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F17269">
      <w:pPr>
        <w:tabs>
          <w:tab w:val="left" w:pos="5850"/>
        </w:tabs>
        <w:spacing w:after="0" w:line="360" w:lineRule="auto"/>
        <w:jc w:val="center"/>
        <w:rPr>
          <w:rFonts w:ascii="Arial" w:hAnsi="Arial"/>
          <w:sz w:val="24"/>
          <w:szCs w:val="24"/>
        </w:rPr>
      </w:pPr>
      <w:bookmarkStart w:id="1" w:name="_GoBack"/>
      <w:r>
        <w:rPr>
          <w:rFonts w:ascii="Arial" w:hAnsi="Arial"/>
          <w:sz w:val="24"/>
          <w:szCs w:val="24"/>
        </w:rPr>
        <w:t>ESTUDO TÉCNICO PRELIMINAR</w:t>
      </w:r>
      <w:bookmarkEnd w:id="1"/>
      <w:r>
        <w:rPr>
          <w:rFonts w:ascii="Arial" w:hAnsi="Arial"/>
          <w:sz w:val="24"/>
          <w:szCs w:val="24"/>
        </w:rPr>
        <w:t xml:space="preserve"> - ETP</w:t>
      </w:r>
    </w:p>
    <w:tbl>
      <w:tblPr>
        <w:tblStyle w:val="3"/>
        <w:tblW w:w="5000" w:type="pct"/>
        <w:tblInd w:w="-5" w:type="dxa"/>
        <w:tblLayout w:type="fixed"/>
        <w:tblCellMar>
          <w:top w:w="55" w:type="dxa"/>
          <w:left w:w="55" w:type="dxa"/>
          <w:bottom w:w="55" w:type="dxa"/>
          <w:right w:w="55" w:type="dxa"/>
        </w:tblCellMar>
      </w:tblPr>
      <w:tblGrid>
        <w:gridCol w:w="8614"/>
      </w:tblGrid>
      <w:tr w14:paraId="712AE95C">
        <w:tblPrEx>
          <w:tblCellMar>
            <w:top w:w="55" w:type="dxa"/>
            <w:left w:w="55" w:type="dxa"/>
            <w:bottom w:w="55" w:type="dxa"/>
            <w:right w:w="55" w:type="dxa"/>
          </w:tblCellMar>
        </w:tblPrEx>
        <w:tc>
          <w:tcPr>
            <w:tcW w:w="9638" w:type="dxa"/>
            <w:tcBorders>
              <w:top w:val="single" w:color="000000" w:sz="4" w:space="0"/>
              <w:left w:val="single" w:color="000000" w:sz="4" w:space="0"/>
              <w:bottom w:val="single" w:color="000000" w:sz="4" w:space="0"/>
              <w:right w:val="single" w:color="000000" w:sz="4" w:space="0"/>
            </w:tcBorders>
          </w:tcPr>
          <w:p w14:paraId="77BEE382">
            <w:pPr>
              <w:pStyle w:val="14"/>
              <w:spacing w:line="360" w:lineRule="auto"/>
              <w:jc w:val="both"/>
              <w:rPr>
                <w:rFonts w:ascii="Arial" w:hAnsi="Arial"/>
              </w:rPr>
            </w:pPr>
            <w:r>
              <w:rPr>
                <w:rFonts w:ascii="Arial" w:hAnsi="Arial"/>
              </w:rPr>
              <w:t>Identificação do processo e solicitante: Administração</w:t>
            </w:r>
          </w:p>
        </w:tc>
      </w:tr>
      <w:tr w14:paraId="4C57CE49">
        <w:tblPrEx>
          <w:tblCellMar>
            <w:top w:w="55" w:type="dxa"/>
            <w:left w:w="55" w:type="dxa"/>
            <w:bottom w:w="55" w:type="dxa"/>
            <w:right w:w="55" w:type="dxa"/>
          </w:tblCellMar>
        </w:tblPrEx>
        <w:tc>
          <w:tcPr>
            <w:tcW w:w="9638" w:type="dxa"/>
            <w:tcBorders>
              <w:left w:val="single" w:color="000000" w:sz="4" w:space="0"/>
              <w:bottom w:val="single" w:color="000000" w:sz="4" w:space="0"/>
              <w:right w:val="single" w:color="000000" w:sz="4" w:space="0"/>
            </w:tcBorders>
          </w:tcPr>
          <w:p w14:paraId="1647676F">
            <w:pPr>
              <w:pStyle w:val="14"/>
              <w:spacing w:line="360" w:lineRule="auto"/>
              <w:jc w:val="both"/>
              <w:rPr>
                <w:rFonts w:ascii="Arial" w:hAnsi="Arial"/>
              </w:rPr>
            </w:pPr>
            <w:r>
              <w:rPr>
                <w:rFonts w:ascii="Arial" w:hAnsi="Arial"/>
              </w:rPr>
              <w:t>Número do processo administrativo: 10/2024</w:t>
            </w:r>
          </w:p>
        </w:tc>
      </w:tr>
      <w:tr w14:paraId="7387BB26">
        <w:tblPrEx>
          <w:tblCellMar>
            <w:top w:w="55" w:type="dxa"/>
            <w:left w:w="55" w:type="dxa"/>
            <w:bottom w:w="55" w:type="dxa"/>
            <w:right w:w="55" w:type="dxa"/>
          </w:tblCellMar>
        </w:tblPrEx>
        <w:tc>
          <w:tcPr>
            <w:tcW w:w="9638" w:type="dxa"/>
            <w:tcBorders>
              <w:left w:val="single" w:color="000000" w:sz="4" w:space="0"/>
              <w:bottom w:val="single" w:color="000000" w:sz="4" w:space="0"/>
              <w:right w:val="single" w:color="000000" w:sz="4" w:space="0"/>
            </w:tcBorders>
          </w:tcPr>
          <w:p w14:paraId="5F91B2DD">
            <w:pPr>
              <w:pStyle w:val="14"/>
              <w:spacing w:line="360" w:lineRule="auto"/>
              <w:jc w:val="both"/>
              <w:rPr>
                <w:rFonts w:ascii="Arial" w:hAnsi="Arial"/>
              </w:rPr>
            </w:pPr>
            <w:r>
              <w:rPr>
                <w:rFonts w:ascii="Arial" w:hAnsi="Arial"/>
              </w:rPr>
              <w:t xml:space="preserve">Secretaria solicitante: Secretaria Municipal de Saúde </w:t>
            </w:r>
          </w:p>
        </w:tc>
      </w:tr>
    </w:tbl>
    <w:p w14:paraId="39238C1A">
      <w:pPr>
        <w:spacing w:after="0" w:line="360" w:lineRule="auto"/>
        <w:jc w:val="both"/>
        <w:rPr>
          <w:rFonts w:ascii="Arial" w:hAnsi="Arial"/>
          <w:b/>
          <w:bCs/>
          <w:sz w:val="24"/>
          <w:szCs w:val="24"/>
        </w:rPr>
      </w:pPr>
    </w:p>
    <w:tbl>
      <w:tblPr>
        <w:tblStyle w:val="3"/>
        <w:tblW w:w="5000" w:type="pct"/>
        <w:tblInd w:w="-5" w:type="dxa"/>
        <w:tblLayout w:type="fixed"/>
        <w:tblCellMar>
          <w:top w:w="55" w:type="dxa"/>
          <w:left w:w="55" w:type="dxa"/>
          <w:bottom w:w="55" w:type="dxa"/>
          <w:right w:w="55" w:type="dxa"/>
        </w:tblCellMar>
      </w:tblPr>
      <w:tblGrid>
        <w:gridCol w:w="8614"/>
      </w:tblGrid>
      <w:tr w14:paraId="7C6D09F2">
        <w:tblPrEx>
          <w:tblCellMar>
            <w:top w:w="55" w:type="dxa"/>
            <w:left w:w="55" w:type="dxa"/>
            <w:bottom w:w="55" w:type="dxa"/>
            <w:right w:w="55" w:type="dxa"/>
          </w:tblCellMar>
        </w:tblPrEx>
        <w:tc>
          <w:tcPr>
            <w:tcW w:w="9638" w:type="dxa"/>
            <w:tcBorders>
              <w:top w:val="single" w:color="000000" w:sz="4" w:space="0"/>
              <w:left w:val="single" w:color="000000" w:sz="4" w:space="0"/>
              <w:bottom w:val="single" w:color="000000" w:sz="4" w:space="0"/>
              <w:right w:val="single" w:color="000000" w:sz="4" w:space="0"/>
            </w:tcBorders>
          </w:tcPr>
          <w:p w14:paraId="23C29F7B">
            <w:pPr>
              <w:pStyle w:val="14"/>
              <w:spacing w:line="360" w:lineRule="auto"/>
              <w:jc w:val="both"/>
              <w:rPr>
                <w:rFonts w:ascii="Arial" w:hAnsi="Arial"/>
              </w:rPr>
            </w:pPr>
            <w:r>
              <w:rPr>
                <w:rFonts w:ascii="Arial" w:hAnsi="Arial"/>
              </w:rPr>
              <w:t xml:space="preserve">Equipe de Planejamento da Contratação: Comissão de Planejamento </w:t>
            </w:r>
          </w:p>
        </w:tc>
      </w:tr>
      <w:tr w14:paraId="3427D775">
        <w:tblPrEx>
          <w:tblCellMar>
            <w:top w:w="55" w:type="dxa"/>
            <w:left w:w="55" w:type="dxa"/>
            <w:bottom w:w="55" w:type="dxa"/>
            <w:right w:w="55" w:type="dxa"/>
          </w:tblCellMar>
        </w:tblPrEx>
        <w:tc>
          <w:tcPr>
            <w:tcW w:w="9638" w:type="dxa"/>
            <w:tcBorders>
              <w:left w:val="single" w:color="000000" w:sz="4" w:space="0"/>
              <w:bottom w:val="single" w:color="000000" w:sz="4" w:space="0"/>
              <w:right w:val="single" w:color="000000" w:sz="4" w:space="0"/>
            </w:tcBorders>
          </w:tcPr>
          <w:p w14:paraId="7E238810">
            <w:pPr>
              <w:pStyle w:val="14"/>
              <w:spacing w:line="360" w:lineRule="auto"/>
              <w:jc w:val="both"/>
              <w:rPr>
                <w:rFonts w:ascii="Arial" w:hAnsi="Arial"/>
              </w:rPr>
            </w:pPr>
            <w:r>
              <w:rPr>
                <w:rFonts w:ascii="Arial" w:hAnsi="Arial"/>
              </w:rPr>
              <w:t xml:space="preserve">Documento(s) de designação: Documento de Formalização da Demanda </w:t>
            </w:r>
          </w:p>
        </w:tc>
      </w:tr>
    </w:tbl>
    <w:p w14:paraId="778170E7">
      <w:pPr>
        <w:spacing w:after="0" w:line="360" w:lineRule="auto"/>
        <w:rPr>
          <w:rFonts w:ascii="Arial" w:hAnsi="Arial"/>
          <w:b/>
          <w:bCs/>
          <w:sz w:val="24"/>
          <w:szCs w:val="24"/>
        </w:rPr>
      </w:pPr>
    </w:p>
    <w:tbl>
      <w:tblPr>
        <w:tblStyle w:val="3"/>
        <w:tblW w:w="5000" w:type="pct"/>
        <w:tblInd w:w="-5" w:type="dxa"/>
        <w:tblLayout w:type="fixed"/>
        <w:tblCellMar>
          <w:top w:w="55" w:type="dxa"/>
          <w:left w:w="55" w:type="dxa"/>
          <w:bottom w:w="55" w:type="dxa"/>
          <w:right w:w="55" w:type="dxa"/>
        </w:tblCellMar>
      </w:tblPr>
      <w:tblGrid>
        <w:gridCol w:w="8614"/>
      </w:tblGrid>
      <w:tr w14:paraId="7F09451D">
        <w:tblPrEx>
          <w:tblCellMar>
            <w:top w:w="55" w:type="dxa"/>
            <w:left w:w="55" w:type="dxa"/>
            <w:bottom w:w="55" w:type="dxa"/>
            <w:right w:w="55" w:type="dxa"/>
          </w:tblCellMar>
        </w:tblPrEx>
        <w:tc>
          <w:tcPr>
            <w:tcW w:w="8614" w:type="dxa"/>
            <w:tcBorders>
              <w:top w:val="single" w:color="000000" w:sz="4" w:space="0"/>
              <w:left w:val="single" w:color="000000" w:sz="4" w:space="0"/>
              <w:bottom w:val="single" w:color="000000" w:sz="4" w:space="0"/>
              <w:right w:val="single" w:color="000000" w:sz="4" w:space="0"/>
            </w:tcBorders>
          </w:tcPr>
          <w:p w14:paraId="3BD5401C">
            <w:pPr>
              <w:pStyle w:val="14"/>
              <w:spacing w:line="360" w:lineRule="auto"/>
              <w:jc w:val="both"/>
            </w:pPr>
            <w:r>
              <w:rPr>
                <w:rFonts w:ascii="Arial" w:hAnsi="Arial"/>
                <w:b/>
                <w:bCs/>
              </w:rPr>
              <w:t>1. DIAGNÓSTICO INICIAL E NECESSIDADE DA CONTRATAÇÃO:</w:t>
            </w:r>
            <w:r>
              <w:rPr>
                <w:rFonts w:ascii="Arial" w:hAnsi="Arial"/>
              </w:rPr>
              <w:t xml:space="preserve"> </w:t>
            </w:r>
          </w:p>
        </w:tc>
      </w:tr>
    </w:tbl>
    <w:p w14:paraId="21AD6CA9">
      <w:pPr>
        <w:spacing w:after="0" w:line="240" w:lineRule="auto"/>
        <w:jc w:val="both"/>
        <w:rPr>
          <w:rFonts w:ascii="Arial" w:hAnsi="Arial" w:cs="Arial"/>
          <w:sz w:val="24"/>
          <w:szCs w:val="24"/>
        </w:rPr>
      </w:pPr>
    </w:p>
    <w:p w14:paraId="2FCFFCBF">
      <w:pPr>
        <w:spacing w:after="0" w:line="360" w:lineRule="auto"/>
        <w:jc w:val="both"/>
        <w:rPr>
          <w:rFonts w:ascii="Arial" w:hAnsi="Arial" w:cs="Arial"/>
          <w:sz w:val="24"/>
          <w:szCs w:val="24"/>
        </w:rPr>
      </w:pPr>
      <w:r>
        <w:rPr>
          <w:rFonts w:ascii="Arial" w:hAnsi="Arial" w:cs="Arial"/>
          <w:sz w:val="24"/>
          <w:szCs w:val="24"/>
        </w:rPr>
        <w:t>O presente documento caracteriza a primeira etapa da fase de planejamento e apresenta os devidos estudos para a contratação de solução que atenderá à necessidade abaixo especificada. O objetivo principal é estudar detalhadamente a necessidade e identificar no mercado a melhor solução para supri-la, em observância às normas vigentes e aos princípios que regem a Administração Pública.</w:t>
      </w:r>
    </w:p>
    <w:p w14:paraId="7EB5970C">
      <w:pPr>
        <w:pStyle w:val="5"/>
        <w:spacing w:line="360" w:lineRule="auto"/>
        <w:rPr>
          <w:rFonts w:cs="Arial"/>
          <w:color w:val="0D0D0D"/>
          <w:shd w:val="clear" w:color="auto" w:fill="FFFFFF"/>
        </w:rPr>
      </w:pPr>
      <w:bookmarkStart w:id="0" w:name="_Hlk160545125"/>
      <w:r>
        <w:rPr>
          <w:rFonts w:eastAsia="Arial" w:cs="Arial"/>
          <w:lang w:val="pt-BR"/>
        </w:rPr>
        <w:t xml:space="preserve">No tocante da necessidade da Secretaria Municipal de Saúde, </w:t>
      </w:r>
      <w:r>
        <w:rPr>
          <w:rFonts w:cs="Arial"/>
        </w:rPr>
        <w:t xml:space="preserve">a contratação de empresa especializada para o fornecimento de medicamentos, saneantes, pensos e materiais descartáveis </w:t>
      </w:r>
      <w:r>
        <w:rPr>
          <w:rFonts w:cs="Arial"/>
          <w:color w:val="0D0D0D"/>
          <w:shd w:val="clear" w:color="auto" w:fill="FFFFFF"/>
        </w:rPr>
        <w:t>visa garantir o abastecimento contínuo de insumos essenciais para a saúde pública</w:t>
      </w:r>
      <w:bookmarkEnd w:id="0"/>
      <w:r>
        <w:rPr>
          <w:rFonts w:cs="Arial"/>
          <w:color w:val="0D0D0D"/>
          <w:shd w:val="clear" w:color="auto" w:fill="FFFFFF"/>
        </w:rPr>
        <w:t xml:space="preserve"> do município. A interrupção no fornecimento desses itens pode causar sérios prejuízos ao atendimento da população, afetando diretamente a qualidade dos serviços de saúde oferecidos.</w:t>
      </w:r>
    </w:p>
    <w:p w14:paraId="1770B5E0">
      <w:pPr>
        <w:pStyle w:val="5"/>
        <w:spacing w:line="360" w:lineRule="auto"/>
        <w:rPr>
          <w:rFonts w:cs="Arial"/>
          <w:color w:val="0D0D0D"/>
          <w:shd w:val="clear" w:color="auto" w:fill="FFFFFF"/>
        </w:rPr>
      </w:pPr>
      <w:r>
        <w:rPr>
          <w:rFonts w:cs="Arial"/>
          <w:color w:val="0D0D0D"/>
          <w:shd w:val="clear" w:color="auto" w:fill="FFFFFF"/>
        </w:rPr>
        <w:t>A população de Santo Estêvão depende dos serviços de saúde pública para tratamento e prevenção de doenças. O fornecimento adequado de medicamentos e outros materiais de saúde é fundamental para garantir que todos os cidadãos recebam o cuidado necessário, especialmente os mais vulneráveis. A contratação de uma empresa especializada permite que o Fundo Municipal de Saúde obtenha produtos de alta qualidade e dentro das especificações exigidas. Isso contribui para a eficácia dos tratamentos e a segurança dos pacientes, evitando complicações decorrentes do uso de produtos inadequados ou de baixa qualidade.</w:t>
      </w:r>
    </w:p>
    <w:p w14:paraId="59FE186F">
      <w:pPr>
        <w:pStyle w:val="5"/>
        <w:spacing w:line="360" w:lineRule="auto"/>
        <w:rPr>
          <w:rFonts w:cs="Arial"/>
          <w:color w:val="0D0D0D"/>
          <w:shd w:val="clear" w:color="auto" w:fill="FFFFFF"/>
        </w:rPr>
      </w:pPr>
      <w:r>
        <w:rPr>
          <w:rFonts w:cs="Arial"/>
          <w:color w:val="0D0D0D"/>
          <w:shd w:val="clear" w:color="auto" w:fill="FFFFFF"/>
        </w:rPr>
        <w:t>Além disso, a contratação de uma empresa especializada assegura que todos os produtos fornecidos estejam em conformidade com as normas sanitárias e regulatórias vigentes, evitando penalidades e garantindo a segurança dos pacientes e profissionais de saúde.</w:t>
      </w:r>
    </w:p>
    <w:p w14:paraId="03FC2DCC">
      <w:pPr>
        <w:pStyle w:val="22"/>
        <w:spacing w:line="360" w:lineRule="auto"/>
        <w:jc w:val="both"/>
        <w:rPr>
          <w:rFonts w:ascii="Arial" w:hAnsi="Arial" w:cs="Arial"/>
          <w:color w:val="0D0D0D"/>
          <w:shd w:val="clear" w:color="auto" w:fill="FFFFFF"/>
        </w:rPr>
      </w:pPr>
      <w:r>
        <w:rPr>
          <w:rFonts w:ascii="Arial" w:hAnsi="Arial" w:cs="Arial"/>
          <w:color w:val="0D0D0D"/>
          <w:shd w:val="clear" w:color="auto" w:fill="FFFFFF"/>
        </w:rPr>
        <w:t>Contratar uma empresa especializada pode resultar em uma utilização mais racional dos recursos públicos. A empresa pode fornecer os materiais a preços mais competitivos e com condições de pagamento que favoreçam o planejamento financeiro da Saúde.</w:t>
      </w:r>
    </w:p>
    <w:p w14:paraId="5F4D183F">
      <w:pPr>
        <w:spacing w:after="0" w:line="240" w:lineRule="auto"/>
        <w:jc w:val="both"/>
        <w:rPr>
          <w:rFonts w:ascii="Arial" w:hAnsi="Arial"/>
          <w:sz w:val="24"/>
          <w:szCs w:val="24"/>
          <w:lang w:val="zh-CN"/>
        </w:rPr>
      </w:pPr>
    </w:p>
    <w:tbl>
      <w:tblPr>
        <w:tblStyle w:val="3"/>
        <w:tblW w:w="5000" w:type="pct"/>
        <w:tblInd w:w="-5" w:type="dxa"/>
        <w:tblLayout w:type="fixed"/>
        <w:tblCellMar>
          <w:top w:w="55" w:type="dxa"/>
          <w:left w:w="55" w:type="dxa"/>
          <w:bottom w:w="55" w:type="dxa"/>
          <w:right w:w="55" w:type="dxa"/>
        </w:tblCellMar>
      </w:tblPr>
      <w:tblGrid>
        <w:gridCol w:w="8614"/>
      </w:tblGrid>
      <w:tr w14:paraId="6BE4388B">
        <w:tblPrEx>
          <w:tblCellMar>
            <w:top w:w="55" w:type="dxa"/>
            <w:left w:w="55" w:type="dxa"/>
            <w:bottom w:w="55" w:type="dxa"/>
            <w:right w:w="55" w:type="dxa"/>
          </w:tblCellMar>
        </w:tblPrEx>
        <w:tc>
          <w:tcPr>
            <w:tcW w:w="9638" w:type="dxa"/>
            <w:tcBorders>
              <w:top w:val="single" w:color="000000" w:sz="4" w:space="0"/>
              <w:left w:val="single" w:color="000000" w:sz="4" w:space="0"/>
              <w:bottom w:val="single" w:color="000000" w:sz="4" w:space="0"/>
              <w:right w:val="single" w:color="000000" w:sz="4" w:space="0"/>
            </w:tcBorders>
          </w:tcPr>
          <w:p w14:paraId="2BA82019">
            <w:pPr>
              <w:pStyle w:val="14"/>
              <w:spacing w:line="360" w:lineRule="auto"/>
              <w:jc w:val="both"/>
              <w:rPr>
                <w:rFonts w:ascii="Arial" w:hAnsi="Arial"/>
              </w:rPr>
            </w:pPr>
            <w:r>
              <w:rPr>
                <w:rFonts w:ascii="Arial" w:hAnsi="Arial"/>
                <w:b/>
                <w:bCs/>
              </w:rPr>
              <w:t>2.</w:t>
            </w:r>
            <w:r>
              <w:rPr>
                <w:rFonts w:ascii="Arial" w:hAnsi="Arial"/>
              </w:rPr>
              <w:t xml:space="preserve"> </w:t>
            </w:r>
            <w:r>
              <w:rPr>
                <w:rFonts w:ascii="Arial" w:hAnsi="Arial"/>
                <w:b/>
                <w:bCs/>
              </w:rPr>
              <w:t>ALINHAMENTO ENTRE A CONTRATAÇÃO E O PLANEJAMENTO</w:t>
            </w:r>
            <w:r>
              <w:rPr>
                <w:rFonts w:ascii="Arial" w:hAnsi="Arial"/>
              </w:rPr>
              <w:t xml:space="preserve"> </w:t>
            </w:r>
          </w:p>
        </w:tc>
      </w:tr>
    </w:tbl>
    <w:p w14:paraId="76BF68CA">
      <w:pPr>
        <w:spacing w:after="0" w:line="360" w:lineRule="auto"/>
        <w:jc w:val="both"/>
        <w:rPr>
          <w:rFonts w:ascii="Arial" w:hAnsi="Arial" w:cs="Arial"/>
          <w:sz w:val="24"/>
          <w:szCs w:val="24"/>
        </w:rPr>
      </w:pPr>
      <w:r>
        <w:rPr>
          <w:rFonts w:ascii="Arial" w:hAnsi="Arial" w:cs="Arial"/>
          <w:sz w:val="24"/>
          <w:szCs w:val="24"/>
        </w:rPr>
        <w:t>A presente necessidade está prevista na lei orçamentária e demais planos de trabalho.</w:t>
      </w:r>
    </w:p>
    <w:p w14:paraId="5F4E6FDF">
      <w:pPr>
        <w:spacing w:after="0" w:line="240" w:lineRule="auto"/>
        <w:jc w:val="both"/>
        <w:rPr>
          <w:rFonts w:ascii="Arial" w:hAnsi="Arial" w:cs="Arial"/>
          <w:sz w:val="24"/>
          <w:szCs w:val="24"/>
        </w:rPr>
      </w:pPr>
    </w:p>
    <w:tbl>
      <w:tblPr>
        <w:tblStyle w:val="3"/>
        <w:tblW w:w="5000" w:type="pct"/>
        <w:tblInd w:w="-5" w:type="dxa"/>
        <w:tblLayout w:type="fixed"/>
        <w:tblCellMar>
          <w:top w:w="55" w:type="dxa"/>
          <w:left w:w="55" w:type="dxa"/>
          <w:bottom w:w="55" w:type="dxa"/>
          <w:right w:w="55" w:type="dxa"/>
        </w:tblCellMar>
      </w:tblPr>
      <w:tblGrid>
        <w:gridCol w:w="8614"/>
      </w:tblGrid>
      <w:tr w14:paraId="092FF06B">
        <w:tblPrEx>
          <w:tblCellMar>
            <w:top w:w="55" w:type="dxa"/>
            <w:left w:w="55" w:type="dxa"/>
            <w:bottom w:w="55" w:type="dxa"/>
            <w:right w:w="55" w:type="dxa"/>
          </w:tblCellMar>
        </w:tblPrEx>
        <w:tc>
          <w:tcPr>
            <w:tcW w:w="9638" w:type="dxa"/>
            <w:tcBorders>
              <w:top w:val="single" w:color="000000" w:sz="4" w:space="0"/>
              <w:left w:val="single" w:color="000000" w:sz="4" w:space="0"/>
              <w:bottom w:val="single" w:color="000000" w:sz="4" w:space="0"/>
              <w:right w:val="single" w:color="000000" w:sz="4" w:space="0"/>
            </w:tcBorders>
          </w:tcPr>
          <w:p w14:paraId="28240711">
            <w:pPr>
              <w:pStyle w:val="14"/>
              <w:spacing w:line="360" w:lineRule="auto"/>
              <w:jc w:val="both"/>
              <w:rPr>
                <w:rFonts w:ascii="Arial" w:hAnsi="Arial"/>
              </w:rPr>
            </w:pPr>
            <w:r>
              <w:rPr>
                <w:rFonts w:ascii="Arial" w:hAnsi="Arial"/>
                <w:b/>
                <w:bCs/>
              </w:rPr>
              <w:t>3.</w:t>
            </w:r>
            <w:r>
              <w:rPr>
                <w:rFonts w:ascii="Arial" w:hAnsi="Arial"/>
              </w:rPr>
              <w:t xml:space="preserve"> </w:t>
            </w:r>
            <w:r>
              <w:rPr>
                <w:rFonts w:ascii="Arial" w:hAnsi="Arial"/>
                <w:b/>
                <w:bCs/>
              </w:rPr>
              <w:t>REQUISITOS DA CONTRATAÇÃO</w:t>
            </w:r>
            <w:r>
              <w:rPr>
                <w:rFonts w:ascii="Arial" w:hAnsi="Arial"/>
              </w:rPr>
              <w:t xml:space="preserve"> </w:t>
            </w:r>
          </w:p>
        </w:tc>
      </w:tr>
    </w:tbl>
    <w:p w14:paraId="0F26F92A">
      <w:pPr>
        <w:pStyle w:val="15"/>
        <w:numPr>
          <w:ilvl w:val="0"/>
          <w:numId w:val="1"/>
        </w:numPr>
        <w:spacing w:line="360" w:lineRule="auto"/>
        <w:ind w:left="714" w:hanging="357"/>
        <w:jc w:val="both"/>
        <w:rPr>
          <w:rFonts w:ascii="Arial" w:hAnsi="Arial" w:cs="Arial"/>
          <w:szCs w:val="24"/>
        </w:rPr>
      </w:pPr>
      <w:r>
        <w:rPr>
          <w:rFonts w:ascii="Arial" w:hAnsi="Arial" w:cs="Arial"/>
          <w:szCs w:val="24"/>
        </w:rPr>
        <w:t xml:space="preserve"> O licitante deverá atender no que couber, em sujeição as normas técnicas, deverão ser atendidos os requisitos mínimos de utilidade, resistência e segurança, e atender as normas técnicas aplicáveis ao objeto e divulgação por órgãos oficiais competentes.</w:t>
      </w:r>
    </w:p>
    <w:p w14:paraId="76B57160">
      <w:pPr>
        <w:pStyle w:val="15"/>
        <w:numPr>
          <w:ilvl w:val="0"/>
          <w:numId w:val="1"/>
        </w:numPr>
        <w:tabs>
          <w:tab w:val="left" w:pos="2537"/>
        </w:tabs>
        <w:spacing w:line="360" w:lineRule="auto"/>
        <w:jc w:val="both"/>
        <w:rPr>
          <w:rFonts w:ascii="Arial" w:hAnsi="Arial" w:cs="Arial"/>
          <w:szCs w:val="24"/>
        </w:rPr>
      </w:pPr>
      <w:r>
        <w:rPr>
          <w:rFonts w:ascii="Arial" w:hAnsi="Arial" w:cs="Arial"/>
          <w:szCs w:val="24"/>
        </w:rPr>
        <w:t>Os materiais deverão ser entregues nos locais estabelecidos de acordo a demanda da administração.</w:t>
      </w:r>
    </w:p>
    <w:p w14:paraId="37E9F403">
      <w:pPr>
        <w:pStyle w:val="15"/>
        <w:numPr>
          <w:ilvl w:val="0"/>
          <w:numId w:val="1"/>
        </w:numPr>
        <w:spacing w:line="360" w:lineRule="auto"/>
        <w:ind w:left="714" w:hanging="357"/>
        <w:jc w:val="both"/>
        <w:rPr>
          <w:rFonts w:ascii="Arial" w:hAnsi="Arial" w:cs="Arial"/>
          <w:szCs w:val="24"/>
        </w:rPr>
      </w:pPr>
      <w:r>
        <w:rPr>
          <w:rFonts w:ascii="Arial" w:hAnsi="Arial" w:cs="Arial"/>
          <w:szCs w:val="24"/>
        </w:rPr>
        <w:t xml:space="preserve">As demais prerrogativas estarão presentes no Edital. </w:t>
      </w:r>
    </w:p>
    <w:p w14:paraId="37C2B04A">
      <w:pPr>
        <w:pStyle w:val="15"/>
        <w:ind w:left="714"/>
        <w:jc w:val="both"/>
        <w:rPr>
          <w:rFonts w:ascii="Arial" w:hAnsi="Arial" w:cs="Arial"/>
          <w:szCs w:val="24"/>
        </w:rPr>
      </w:pPr>
    </w:p>
    <w:tbl>
      <w:tblPr>
        <w:tblStyle w:val="3"/>
        <w:tblW w:w="5000" w:type="pct"/>
        <w:tblInd w:w="-5" w:type="dxa"/>
        <w:tblLayout w:type="fixed"/>
        <w:tblCellMar>
          <w:top w:w="55" w:type="dxa"/>
          <w:left w:w="55" w:type="dxa"/>
          <w:bottom w:w="55" w:type="dxa"/>
          <w:right w:w="55" w:type="dxa"/>
        </w:tblCellMar>
      </w:tblPr>
      <w:tblGrid>
        <w:gridCol w:w="8614"/>
      </w:tblGrid>
      <w:tr w14:paraId="13C2D067">
        <w:tblPrEx>
          <w:tblCellMar>
            <w:top w:w="55" w:type="dxa"/>
            <w:left w:w="55" w:type="dxa"/>
            <w:bottom w:w="55" w:type="dxa"/>
            <w:right w:w="55" w:type="dxa"/>
          </w:tblCellMar>
        </w:tblPrEx>
        <w:tc>
          <w:tcPr>
            <w:tcW w:w="9638" w:type="dxa"/>
            <w:tcBorders>
              <w:top w:val="single" w:color="000000" w:sz="4" w:space="0"/>
              <w:left w:val="single" w:color="000000" w:sz="4" w:space="0"/>
              <w:bottom w:val="single" w:color="000000" w:sz="4" w:space="0"/>
              <w:right w:val="single" w:color="000000" w:sz="4" w:space="0"/>
            </w:tcBorders>
          </w:tcPr>
          <w:p w14:paraId="2542EE75">
            <w:pPr>
              <w:pStyle w:val="14"/>
              <w:spacing w:line="360" w:lineRule="auto"/>
              <w:jc w:val="both"/>
              <w:rPr>
                <w:rFonts w:ascii="Arial" w:hAnsi="Arial"/>
              </w:rPr>
            </w:pPr>
            <w:r>
              <w:rPr>
                <w:rFonts w:ascii="Arial" w:hAnsi="Arial"/>
                <w:b/>
                <w:bCs/>
              </w:rPr>
              <w:t>4.</w:t>
            </w:r>
            <w:r>
              <w:rPr>
                <w:rFonts w:ascii="Arial" w:hAnsi="Arial"/>
              </w:rPr>
              <w:t xml:space="preserve"> </w:t>
            </w:r>
            <w:r>
              <w:rPr>
                <w:rFonts w:ascii="Arial" w:hAnsi="Arial"/>
                <w:b/>
                <w:bCs/>
              </w:rPr>
              <w:t>ESTIMATIVA DAS QUANTIDADES E MEMORIAL DE CÁLCULO</w:t>
            </w:r>
            <w:r>
              <w:rPr>
                <w:rFonts w:ascii="Arial" w:hAnsi="Arial"/>
              </w:rPr>
              <w:t xml:space="preserve"> </w:t>
            </w:r>
          </w:p>
        </w:tc>
      </w:tr>
    </w:tbl>
    <w:p w14:paraId="2E83484F">
      <w:pPr>
        <w:spacing w:after="0" w:line="360" w:lineRule="auto"/>
        <w:jc w:val="both"/>
        <w:rPr>
          <w:rFonts w:ascii="Arial" w:hAnsi="Arial" w:cs="Arial"/>
          <w:sz w:val="24"/>
          <w:szCs w:val="24"/>
        </w:rPr>
      </w:pPr>
      <w:r>
        <w:rPr>
          <w:rFonts w:ascii="Arial" w:hAnsi="Arial" w:cs="Arial"/>
          <w:sz w:val="24"/>
          <w:szCs w:val="24"/>
        </w:rPr>
        <w:t>As quantidades dos itens as serem adquiridos foram levantados com base nas demandas do ano de 2023, entretanto, em razão da criação da Comissão de Planejamento do Município de Santo Estêvão, que possui em sua composição os representantes das secretarias demandantes, do Setor de Compras, do Controle Interno, do Setor de Licitações e da Procuradoria Municipal, essas quantidades foram submetidas a uma análise de razoabilidade e conformidade buscando uma gestão mais eficiente dos recursos públicos, o que justifica a alteração significativa dos quantitativos de alguns itens.</w:t>
      </w:r>
    </w:p>
    <w:p w14:paraId="2EC64F2D">
      <w:pPr>
        <w:tabs>
          <w:tab w:val="left" w:pos="1843"/>
        </w:tabs>
        <w:spacing w:after="0" w:line="360" w:lineRule="auto"/>
        <w:jc w:val="both"/>
        <w:rPr>
          <w:rFonts w:ascii="Arial" w:hAnsi="Arial" w:cs="Arial"/>
          <w:sz w:val="24"/>
          <w:szCs w:val="24"/>
        </w:rPr>
      </w:pPr>
    </w:p>
    <w:tbl>
      <w:tblPr>
        <w:tblStyle w:val="3"/>
        <w:tblW w:w="5000" w:type="pct"/>
        <w:tblInd w:w="-5" w:type="dxa"/>
        <w:tblLayout w:type="fixed"/>
        <w:tblCellMar>
          <w:top w:w="55" w:type="dxa"/>
          <w:left w:w="55" w:type="dxa"/>
          <w:bottom w:w="55" w:type="dxa"/>
          <w:right w:w="55" w:type="dxa"/>
        </w:tblCellMar>
      </w:tblPr>
      <w:tblGrid>
        <w:gridCol w:w="8614"/>
      </w:tblGrid>
      <w:tr w14:paraId="6925EC02">
        <w:tblPrEx>
          <w:tblCellMar>
            <w:top w:w="55" w:type="dxa"/>
            <w:left w:w="55" w:type="dxa"/>
            <w:bottom w:w="55" w:type="dxa"/>
            <w:right w:w="55" w:type="dxa"/>
          </w:tblCellMar>
        </w:tblPrEx>
        <w:tc>
          <w:tcPr>
            <w:tcW w:w="8614" w:type="dxa"/>
            <w:tcBorders>
              <w:top w:val="single" w:color="000000" w:sz="4" w:space="0"/>
              <w:left w:val="single" w:color="000000" w:sz="4" w:space="0"/>
              <w:bottom w:val="single" w:color="000000" w:sz="4" w:space="0"/>
              <w:right w:val="single" w:color="000000" w:sz="4" w:space="0"/>
            </w:tcBorders>
          </w:tcPr>
          <w:p w14:paraId="08D832EA">
            <w:pPr>
              <w:pStyle w:val="14"/>
              <w:tabs>
                <w:tab w:val="left" w:pos="1843"/>
              </w:tabs>
              <w:spacing w:line="360" w:lineRule="auto"/>
              <w:jc w:val="both"/>
              <w:rPr>
                <w:rFonts w:ascii="Arial" w:hAnsi="Arial" w:cs="Arial"/>
                <w:b/>
                <w:bCs/>
              </w:rPr>
            </w:pPr>
            <w:r>
              <w:rPr>
                <w:rFonts w:ascii="Arial" w:hAnsi="Arial" w:cs="Arial"/>
                <w:b/>
                <w:bCs/>
              </w:rPr>
              <w:t xml:space="preserve">5. LEVANTAMENTO DE MERCADO </w:t>
            </w:r>
          </w:p>
        </w:tc>
      </w:tr>
    </w:tbl>
    <w:p w14:paraId="091EB1D8">
      <w:pPr>
        <w:tabs>
          <w:tab w:val="left" w:pos="1843"/>
        </w:tabs>
        <w:spacing w:after="0" w:line="360" w:lineRule="auto"/>
        <w:jc w:val="both"/>
        <w:rPr>
          <w:rFonts w:ascii="Arial" w:hAnsi="Arial" w:cs="Arial"/>
          <w:sz w:val="24"/>
          <w:szCs w:val="24"/>
        </w:rPr>
      </w:pPr>
      <w:r>
        <w:rPr>
          <w:rFonts w:ascii="Arial" w:hAnsi="Arial" w:cs="Arial"/>
          <w:sz w:val="24"/>
          <w:szCs w:val="24"/>
        </w:rPr>
        <w:t>Os bens objeto da aquisição estão dentro da padronização seguida pelo órgão, conforme especificações técnicas e requisitos de desempenho e descrições complementares contidas nos adendos presentes em alguns itens. Para os bens a serem adquiridos existe um grande número de fornecedores no mercado nacional, que oferecem materiais dentro das especificações solicitadas. O Pregão eletrônico tipo Ata de Registro de Preço foi a modalidade selecionada como a mais viável, tendo em vista atender as necessidades contínuas recorrentes, mas não diárias, durante o prazo de vigência da ata, sem implicar em obrigatoriedade de contratação. Os bens classificados como comuns possuem padrões de qualidade que podem ser objetivamente definidos pelo Edital, por meio de especificações reconhecidas e usuais no mercado.</w:t>
      </w:r>
    </w:p>
    <w:p w14:paraId="03D579DE">
      <w:pPr>
        <w:tabs>
          <w:tab w:val="left" w:pos="1843"/>
        </w:tabs>
        <w:spacing w:after="0" w:line="360" w:lineRule="auto"/>
        <w:jc w:val="both"/>
        <w:rPr>
          <w:rFonts w:ascii="Arial" w:hAnsi="Arial" w:cs="Arial"/>
          <w:sz w:val="24"/>
          <w:szCs w:val="24"/>
        </w:rPr>
      </w:pPr>
    </w:p>
    <w:tbl>
      <w:tblPr>
        <w:tblStyle w:val="3"/>
        <w:tblW w:w="5000" w:type="pct"/>
        <w:tblInd w:w="-5" w:type="dxa"/>
        <w:tblLayout w:type="fixed"/>
        <w:tblCellMar>
          <w:top w:w="55" w:type="dxa"/>
          <w:left w:w="55" w:type="dxa"/>
          <w:bottom w:w="55" w:type="dxa"/>
          <w:right w:w="55" w:type="dxa"/>
        </w:tblCellMar>
      </w:tblPr>
      <w:tblGrid>
        <w:gridCol w:w="8614"/>
      </w:tblGrid>
      <w:tr w14:paraId="2F60AF00">
        <w:tblPrEx>
          <w:tblCellMar>
            <w:top w:w="55" w:type="dxa"/>
            <w:left w:w="55" w:type="dxa"/>
            <w:bottom w:w="55" w:type="dxa"/>
            <w:right w:w="55" w:type="dxa"/>
          </w:tblCellMar>
        </w:tblPrEx>
        <w:tc>
          <w:tcPr>
            <w:tcW w:w="9638" w:type="dxa"/>
            <w:tcBorders>
              <w:top w:val="single" w:color="000000" w:sz="4" w:space="0"/>
              <w:left w:val="single" w:color="000000" w:sz="4" w:space="0"/>
              <w:bottom w:val="single" w:color="000000" w:sz="4" w:space="0"/>
              <w:right w:val="single" w:color="000000" w:sz="4" w:space="0"/>
            </w:tcBorders>
          </w:tcPr>
          <w:p w14:paraId="2FB0DED0">
            <w:pPr>
              <w:pStyle w:val="14"/>
              <w:tabs>
                <w:tab w:val="left" w:pos="1843"/>
              </w:tabs>
              <w:spacing w:line="360" w:lineRule="auto"/>
              <w:jc w:val="both"/>
              <w:rPr>
                <w:rFonts w:ascii="Arial" w:hAnsi="Arial" w:cs="Arial"/>
                <w:b/>
                <w:bCs/>
              </w:rPr>
            </w:pPr>
            <w:r>
              <w:rPr>
                <w:rFonts w:ascii="Arial" w:hAnsi="Arial" w:cs="Arial"/>
                <w:b/>
                <w:bCs/>
              </w:rPr>
              <w:t xml:space="preserve">6. ESTIMATIVA DO VALOR DA CONTRATAÇÃO </w:t>
            </w:r>
          </w:p>
        </w:tc>
      </w:tr>
    </w:tbl>
    <w:p w14:paraId="012D1659">
      <w:pPr>
        <w:tabs>
          <w:tab w:val="left" w:pos="1843"/>
        </w:tabs>
        <w:spacing w:after="0" w:line="360" w:lineRule="auto"/>
        <w:jc w:val="both"/>
        <w:rPr>
          <w:rFonts w:ascii="Arial" w:hAnsi="Arial" w:cs="Arial"/>
          <w:sz w:val="24"/>
          <w:szCs w:val="24"/>
        </w:rPr>
      </w:pPr>
      <w:r>
        <w:rPr>
          <w:rFonts w:ascii="Arial" w:hAnsi="Arial" w:cs="Arial"/>
          <w:sz w:val="24"/>
          <w:szCs w:val="24"/>
        </w:rPr>
        <w:t xml:space="preserve">Estima-se o valor de 16.024.664,70 e foram obtidos com base nos contratos anteriores deste Município conforme anexo. </w:t>
      </w:r>
    </w:p>
    <w:tbl>
      <w:tblPr>
        <w:tblStyle w:val="3"/>
        <w:tblW w:w="5000" w:type="pct"/>
        <w:tblInd w:w="-5" w:type="dxa"/>
        <w:tblLayout w:type="fixed"/>
        <w:tblCellMar>
          <w:top w:w="55" w:type="dxa"/>
          <w:left w:w="55" w:type="dxa"/>
          <w:bottom w:w="55" w:type="dxa"/>
          <w:right w:w="55" w:type="dxa"/>
        </w:tblCellMar>
      </w:tblPr>
      <w:tblGrid>
        <w:gridCol w:w="8614"/>
      </w:tblGrid>
      <w:tr w14:paraId="71E8D2DE">
        <w:tblPrEx>
          <w:tblCellMar>
            <w:top w:w="55" w:type="dxa"/>
            <w:left w:w="55" w:type="dxa"/>
            <w:bottom w:w="55" w:type="dxa"/>
            <w:right w:w="55" w:type="dxa"/>
          </w:tblCellMar>
        </w:tblPrEx>
        <w:tc>
          <w:tcPr>
            <w:tcW w:w="9638" w:type="dxa"/>
            <w:tcBorders>
              <w:top w:val="single" w:color="000000" w:sz="4" w:space="0"/>
              <w:left w:val="single" w:color="000000" w:sz="4" w:space="0"/>
              <w:bottom w:val="single" w:color="000000" w:sz="4" w:space="0"/>
              <w:right w:val="single" w:color="000000" w:sz="4" w:space="0"/>
            </w:tcBorders>
          </w:tcPr>
          <w:p w14:paraId="39BF1080">
            <w:pPr>
              <w:pStyle w:val="14"/>
              <w:spacing w:line="360" w:lineRule="auto"/>
              <w:rPr>
                <w:rFonts w:ascii="Arial" w:hAnsi="Arial" w:cs="Arial"/>
                <w:b/>
                <w:bCs/>
              </w:rPr>
            </w:pPr>
            <w:r>
              <w:rPr>
                <w:rFonts w:ascii="Arial" w:hAnsi="Arial" w:cs="Arial"/>
                <w:b/>
                <w:bCs/>
              </w:rPr>
              <w:t>7. ESCOLHA DA SOLUÇÃO</w:t>
            </w:r>
          </w:p>
        </w:tc>
      </w:tr>
    </w:tbl>
    <w:p w14:paraId="346232BF">
      <w:pPr>
        <w:tabs>
          <w:tab w:val="left" w:pos="1843"/>
        </w:tabs>
        <w:spacing w:after="0" w:line="360" w:lineRule="auto"/>
        <w:jc w:val="both"/>
        <w:rPr>
          <w:rFonts w:ascii="Arial" w:hAnsi="Arial" w:cs="Arial"/>
          <w:sz w:val="24"/>
          <w:szCs w:val="24"/>
        </w:rPr>
      </w:pPr>
      <w:r>
        <w:rPr>
          <w:rFonts w:ascii="Arial" w:hAnsi="Arial" w:cs="Arial"/>
          <w:sz w:val="24"/>
          <w:szCs w:val="24"/>
        </w:rPr>
        <w:t>Conforme mencionado anteriormente, a melhor solução encontrada é o uso do Pregão com Registro de Preços, em razão da natureza incerta da demanda e da imprevisibilidade das aquisições e da desnecessidade de reservas orçamentárias. Será realizada através de lotes de acordo com a quantidade dos itens e especificações correlatas.</w:t>
      </w:r>
    </w:p>
    <w:tbl>
      <w:tblPr>
        <w:tblStyle w:val="3"/>
        <w:tblW w:w="5000" w:type="pct"/>
        <w:tblInd w:w="-5" w:type="dxa"/>
        <w:tblLayout w:type="fixed"/>
        <w:tblCellMar>
          <w:top w:w="55" w:type="dxa"/>
          <w:left w:w="55" w:type="dxa"/>
          <w:bottom w:w="55" w:type="dxa"/>
          <w:right w:w="55" w:type="dxa"/>
        </w:tblCellMar>
      </w:tblPr>
      <w:tblGrid>
        <w:gridCol w:w="8614"/>
      </w:tblGrid>
      <w:tr w14:paraId="1E234798">
        <w:tblPrEx>
          <w:tblCellMar>
            <w:top w:w="55" w:type="dxa"/>
            <w:left w:w="55" w:type="dxa"/>
            <w:bottom w:w="55" w:type="dxa"/>
            <w:right w:w="55" w:type="dxa"/>
          </w:tblCellMar>
        </w:tblPrEx>
        <w:tc>
          <w:tcPr>
            <w:tcW w:w="9638" w:type="dxa"/>
            <w:tcBorders>
              <w:top w:val="single" w:color="000000" w:sz="4" w:space="0"/>
              <w:left w:val="single" w:color="000000" w:sz="4" w:space="0"/>
              <w:bottom w:val="single" w:color="000000" w:sz="4" w:space="0"/>
              <w:right w:val="single" w:color="000000" w:sz="4" w:space="0"/>
            </w:tcBorders>
          </w:tcPr>
          <w:p w14:paraId="53CA9782">
            <w:pPr>
              <w:pStyle w:val="14"/>
              <w:spacing w:line="360" w:lineRule="auto"/>
              <w:jc w:val="both"/>
              <w:rPr>
                <w:rFonts w:ascii="Arial" w:hAnsi="Arial" w:cs="Arial"/>
                <w:b/>
                <w:bCs/>
              </w:rPr>
            </w:pPr>
            <w:r>
              <w:rPr>
                <w:rFonts w:ascii="Arial" w:hAnsi="Arial" w:cs="Arial"/>
                <w:b/>
                <w:bCs/>
              </w:rPr>
              <w:t xml:space="preserve">8. DESCRIÇÃO DA SOLUÇÃO COMO UM TODO </w:t>
            </w:r>
          </w:p>
        </w:tc>
      </w:tr>
    </w:tbl>
    <w:p w14:paraId="6DFEB8E3">
      <w:pPr>
        <w:autoSpaceDE w:val="0"/>
        <w:autoSpaceDN w:val="0"/>
        <w:adjustRightInd w:val="0"/>
        <w:spacing w:after="0" w:line="360" w:lineRule="auto"/>
        <w:jc w:val="both"/>
        <w:rPr>
          <w:rFonts w:ascii="Arial" w:hAnsi="Arial" w:cs="Arial"/>
          <w:sz w:val="24"/>
          <w:szCs w:val="24"/>
        </w:rPr>
      </w:pPr>
      <w:r>
        <w:rPr>
          <w:rFonts w:ascii="Arial" w:hAnsi="Arial" w:cs="Arial" w:eastAsiaTheme="minorHAnsi"/>
          <w:sz w:val="24"/>
          <w:szCs w:val="24"/>
        </w:rPr>
        <w:t xml:space="preserve">O modelo de solução adotado é a Ata de Registro de Preços por lote, pela conveniência e </w:t>
      </w:r>
      <w:r>
        <w:rPr>
          <w:rFonts w:ascii="Arial" w:hAnsi="Arial" w:cs="Arial"/>
          <w:sz w:val="24"/>
          <w:szCs w:val="24"/>
        </w:rPr>
        <w:t>imprevisibilidade</w:t>
      </w:r>
      <w:r>
        <w:rPr>
          <w:rFonts w:ascii="Arial" w:hAnsi="Arial" w:cs="Arial" w:eastAsiaTheme="minorHAnsi"/>
          <w:sz w:val="24"/>
          <w:szCs w:val="24"/>
        </w:rPr>
        <w:t xml:space="preserve"> da aquisição com previsão de entregas parceladas, evitando a formação de estoques e a possível perda de produtos pela armazenagem por períodos maiores, existindo, no mercado, diversas empresas do ramo habilitadas ao atendimento da necessidade identificada, ocorrendo o fornecimento mediante requisição segundo às necessidades da Prefeitura Municipal de Santo Estevão, além da </w:t>
      </w:r>
      <w:r>
        <w:rPr>
          <w:rFonts w:ascii="Arial" w:hAnsi="Arial" w:cs="Arial"/>
          <w:sz w:val="24"/>
          <w:szCs w:val="24"/>
        </w:rPr>
        <w:t>desnecessidade de reservas orçamentárias.</w:t>
      </w:r>
    </w:p>
    <w:p w14:paraId="144797D5">
      <w:pPr>
        <w:autoSpaceDE w:val="0"/>
        <w:autoSpaceDN w:val="0"/>
        <w:adjustRightInd w:val="0"/>
        <w:spacing w:after="0" w:line="360" w:lineRule="auto"/>
        <w:jc w:val="both"/>
        <w:rPr>
          <w:rFonts w:ascii="Arial" w:hAnsi="Arial" w:cs="Arial" w:eastAsiaTheme="minorHAnsi"/>
          <w:sz w:val="24"/>
          <w:szCs w:val="24"/>
        </w:rPr>
      </w:pPr>
      <w:r>
        <w:rPr>
          <w:rFonts w:ascii="Arial" w:hAnsi="Arial" w:cs="Arial" w:eastAsiaTheme="minorHAnsi"/>
          <w:sz w:val="24"/>
          <w:szCs w:val="24"/>
        </w:rPr>
        <w:t>Por trata-se de aquisições de mesma natureza, o seu agrupamento dinamiza e uniformiza o processo contratação, o que torna mais satisfatória do ponto de vista da eficiência técnica, trazendo mais vantagens e permitindo uma padronização dos serviços a serem fornecidos, além de facilitar o gerenciamento já que a execução será a cargo de uma mesma empresa. Isso trará economia a Administração já que esta não dispõe de um quantitativo suficiente de servidores que permita fiscalizar um número elevado de contratos administrativos.</w:t>
      </w:r>
    </w:p>
    <w:p w14:paraId="274D8D98">
      <w:pPr>
        <w:autoSpaceDE w:val="0"/>
        <w:autoSpaceDN w:val="0"/>
        <w:adjustRightInd w:val="0"/>
        <w:spacing w:after="0" w:line="360" w:lineRule="auto"/>
        <w:rPr>
          <w:rFonts w:ascii="Arial" w:hAnsi="Arial" w:cs="Arial" w:eastAsiaTheme="minorHAnsi"/>
          <w:sz w:val="24"/>
          <w:szCs w:val="24"/>
        </w:rPr>
      </w:pPr>
      <w:r>
        <w:rPr>
          <w:rFonts w:ascii="Arial" w:hAnsi="Arial" w:cs="Arial" w:eastAsiaTheme="minorHAnsi"/>
          <w:sz w:val="24"/>
          <w:szCs w:val="24"/>
        </w:rPr>
        <w:t xml:space="preserve"> Dessa forma, a aquisição será através de pregão, buscando a proposta mais vantajosa, menor preço com atendimento dos parâmetros técnicos e de qualidade almejados e das normas de saúde, mediante a celebração/fiscalização/acompanhamento de Atas de Registro de Preços, tendo sido consideradas as quantidades apontadas pela projeção de consumo para atendimento da demanda e a sinalização das áreas requisitantes segundo seu planejamento de ações anual, observando a expectativa de durabilidade e rendimento dos produtos.</w:t>
      </w:r>
    </w:p>
    <w:p w14:paraId="653DC11B">
      <w:pPr>
        <w:pStyle w:val="15"/>
        <w:numPr>
          <w:ilvl w:val="0"/>
          <w:numId w:val="2"/>
        </w:numPr>
        <w:tabs>
          <w:tab w:val="left" w:pos="1843"/>
        </w:tabs>
        <w:spacing w:line="360" w:lineRule="auto"/>
        <w:jc w:val="both"/>
        <w:rPr>
          <w:rFonts w:ascii="Arial" w:hAnsi="Arial" w:cs="Arial"/>
          <w:szCs w:val="24"/>
        </w:rPr>
      </w:pPr>
      <w:r>
        <w:rPr>
          <w:rFonts w:ascii="Arial" w:hAnsi="Arial" w:cs="Arial"/>
          <w:szCs w:val="24"/>
        </w:rPr>
        <w:t>Os contratados deverão fornecer no local indicado no termo de referência mediante solicitação;</w:t>
      </w:r>
    </w:p>
    <w:p w14:paraId="0D260E31">
      <w:pPr>
        <w:pStyle w:val="15"/>
        <w:numPr>
          <w:ilvl w:val="0"/>
          <w:numId w:val="2"/>
        </w:numPr>
        <w:tabs>
          <w:tab w:val="left" w:pos="1843"/>
        </w:tabs>
        <w:spacing w:line="360" w:lineRule="auto"/>
        <w:jc w:val="both"/>
        <w:rPr>
          <w:rFonts w:ascii="Arial" w:hAnsi="Arial" w:cs="Arial"/>
          <w:szCs w:val="24"/>
        </w:rPr>
      </w:pPr>
      <w:r>
        <w:rPr>
          <w:rFonts w:ascii="Arial" w:hAnsi="Arial" w:cs="Arial"/>
          <w:szCs w:val="24"/>
        </w:rPr>
        <w:t>Os produtos devem ser compatíveis com as especificações constantes no Termo de Referência;</w:t>
      </w:r>
    </w:p>
    <w:p w14:paraId="07FB1810">
      <w:pPr>
        <w:pStyle w:val="15"/>
        <w:numPr>
          <w:ilvl w:val="0"/>
          <w:numId w:val="2"/>
        </w:numPr>
        <w:tabs>
          <w:tab w:val="left" w:pos="1843"/>
        </w:tabs>
        <w:spacing w:line="360" w:lineRule="auto"/>
        <w:jc w:val="both"/>
        <w:rPr>
          <w:rFonts w:ascii="Arial" w:hAnsi="Arial" w:cs="Arial"/>
          <w:szCs w:val="24"/>
        </w:rPr>
      </w:pPr>
      <w:r>
        <w:rPr>
          <w:rFonts w:ascii="Arial" w:hAnsi="Arial" w:cs="Arial"/>
          <w:szCs w:val="24"/>
        </w:rPr>
        <w:t>A entrega será realizada com a apresentação dos produtos e da nota fiscal que deverá ser recebida pelo fiscal do contrato para averiguação da conformidade dos produtos;</w:t>
      </w:r>
    </w:p>
    <w:p w14:paraId="46D6E25F">
      <w:pPr>
        <w:pStyle w:val="15"/>
        <w:numPr>
          <w:ilvl w:val="0"/>
          <w:numId w:val="2"/>
        </w:numPr>
        <w:tabs>
          <w:tab w:val="left" w:pos="1843"/>
        </w:tabs>
        <w:spacing w:line="360" w:lineRule="auto"/>
        <w:jc w:val="both"/>
        <w:rPr>
          <w:rFonts w:ascii="Arial" w:hAnsi="Arial" w:cs="Arial"/>
          <w:szCs w:val="24"/>
        </w:rPr>
      </w:pPr>
      <w:r>
        <w:rPr>
          <w:rFonts w:ascii="Arial" w:hAnsi="Arial" w:cs="Arial"/>
          <w:szCs w:val="24"/>
        </w:rPr>
        <w:t>Os produtos devem ser armazenados de modo adequado;</w:t>
      </w:r>
    </w:p>
    <w:p w14:paraId="3CB73812">
      <w:pPr>
        <w:pStyle w:val="15"/>
        <w:numPr>
          <w:ilvl w:val="0"/>
          <w:numId w:val="2"/>
        </w:numPr>
        <w:tabs>
          <w:tab w:val="left" w:pos="1843"/>
        </w:tabs>
        <w:spacing w:line="360" w:lineRule="auto"/>
        <w:jc w:val="both"/>
        <w:rPr>
          <w:rFonts w:ascii="Arial" w:hAnsi="Arial" w:cs="Arial"/>
          <w:szCs w:val="24"/>
        </w:rPr>
      </w:pPr>
      <w:r>
        <w:rPr>
          <w:rFonts w:ascii="Arial" w:hAnsi="Arial" w:cs="Arial"/>
          <w:szCs w:val="24"/>
        </w:rPr>
        <w:t>Os produtos devem estar dentro do prazo de validade, que devem estar visíveis e devidamente sinalizados na embalagem.</w:t>
      </w:r>
    </w:p>
    <w:p w14:paraId="5BEED10C">
      <w:pPr>
        <w:pStyle w:val="15"/>
        <w:numPr>
          <w:ilvl w:val="0"/>
          <w:numId w:val="2"/>
        </w:numPr>
        <w:tabs>
          <w:tab w:val="left" w:pos="1843"/>
        </w:tabs>
        <w:spacing w:line="360" w:lineRule="auto"/>
        <w:jc w:val="both"/>
        <w:rPr>
          <w:rFonts w:ascii="Arial" w:hAnsi="Arial" w:cs="Arial"/>
          <w:szCs w:val="24"/>
        </w:rPr>
      </w:pPr>
      <w:r>
        <w:rPr>
          <w:rFonts w:ascii="Arial" w:hAnsi="Arial" w:cs="Arial"/>
          <w:szCs w:val="24"/>
        </w:rPr>
        <w:t>Os produtos não serão recebidos caso não esteja em perfeito estado para consumo.</w:t>
      </w:r>
    </w:p>
    <w:tbl>
      <w:tblPr>
        <w:tblStyle w:val="3"/>
        <w:tblW w:w="5000" w:type="pct"/>
        <w:tblInd w:w="-5" w:type="dxa"/>
        <w:tblLayout w:type="fixed"/>
        <w:tblCellMar>
          <w:top w:w="55" w:type="dxa"/>
          <w:left w:w="55" w:type="dxa"/>
          <w:bottom w:w="55" w:type="dxa"/>
          <w:right w:w="55" w:type="dxa"/>
        </w:tblCellMar>
      </w:tblPr>
      <w:tblGrid>
        <w:gridCol w:w="8614"/>
      </w:tblGrid>
      <w:tr w14:paraId="394DA542">
        <w:tblPrEx>
          <w:tblCellMar>
            <w:top w:w="55" w:type="dxa"/>
            <w:left w:w="55" w:type="dxa"/>
            <w:bottom w:w="55" w:type="dxa"/>
            <w:right w:w="55" w:type="dxa"/>
          </w:tblCellMar>
        </w:tblPrEx>
        <w:tc>
          <w:tcPr>
            <w:tcW w:w="8494" w:type="dxa"/>
            <w:tcBorders>
              <w:top w:val="single" w:color="000000" w:sz="4" w:space="0"/>
              <w:left w:val="single" w:color="000000" w:sz="4" w:space="0"/>
              <w:bottom w:val="single" w:color="000000" w:sz="4" w:space="0"/>
              <w:right w:val="single" w:color="000000" w:sz="4" w:space="0"/>
            </w:tcBorders>
          </w:tcPr>
          <w:p w14:paraId="0969C23F">
            <w:pPr>
              <w:pStyle w:val="14"/>
              <w:spacing w:line="360" w:lineRule="auto"/>
              <w:jc w:val="both"/>
              <w:rPr>
                <w:rFonts w:ascii="Arial" w:hAnsi="Arial" w:cs="Arial"/>
                <w:b/>
                <w:bCs/>
              </w:rPr>
            </w:pPr>
            <w:r>
              <w:rPr>
                <w:rFonts w:ascii="Arial" w:hAnsi="Arial" w:cs="Arial"/>
                <w:b/>
                <w:bCs/>
              </w:rPr>
              <w:t>9. JUSTIFICATIVA PARA O PARCELAMENTO (OU NÃO) DA SOLUÇÃO</w:t>
            </w:r>
          </w:p>
        </w:tc>
      </w:tr>
    </w:tbl>
    <w:p w14:paraId="72C99B8E">
      <w:pPr>
        <w:spacing w:after="0" w:line="360" w:lineRule="auto"/>
        <w:jc w:val="both"/>
        <w:rPr>
          <w:rFonts w:ascii="Arial" w:hAnsi="Arial" w:cs="Arial"/>
          <w:kern w:val="2"/>
          <w:sz w:val="24"/>
          <w:szCs w:val="24"/>
          <w:lang w:eastAsia="zh-CN" w:bidi="hi-IN"/>
        </w:rPr>
      </w:pPr>
    </w:p>
    <w:p w14:paraId="23DECC3B">
      <w:pPr>
        <w:spacing w:after="0" w:line="360" w:lineRule="auto"/>
        <w:jc w:val="both"/>
        <w:rPr>
          <w:rFonts w:ascii="Arial" w:hAnsi="Arial" w:cs="Arial"/>
          <w:sz w:val="24"/>
          <w:szCs w:val="24"/>
        </w:rPr>
      </w:pPr>
      <w:r>
        <w:rPr>
          <w:rFonts w:ascii="Arial" w:hAnsi="Arial" w:cs="Arial"/>
          <w:sz w:val="24"/>
          <w:szCs w:val="24"/>
        </w:rPr>
        <w:t>A adjudicação do Pregão Eletrônico para Sistema de Registro de Preços será por lote, visto que sejam uniformizados e adjudicados a um licitante, em busca da eficiência e qualidade na fiscalização e no gerenciamento da contratação do objeto, bem como da responsabilidade da garantia técnica dos serviços.</w:t>
      </w:r>
    </w:p>
    <w:p w14:paraId="2A7DCE26">
      <w:pPr>
        <w:spacing w:after="0" w:line="360" w:lineRule="auto"/>
        <w:jc w:val="both"/>
        <w:rPr>
          <w:rFonts w:ascii="Arial" w:hAnsi="Arial" w:cs="Arial"/>
          <w:sz w:val="24"/>
          <w:szCs w:val="24"/>
        </w:rPr>
      </w:pPr>
      <w:r>
        <w:rPr>
          <w:rFonts w:ascii="Arial" w:hAnsi="Arial" w:cs="Arial"/>
          <w:sz w:val="24"/>
          <w:szCs w:val="24"/>
        </w:rPr>
        <w:t>Os itens agrupados para lotes possuem mesma natureza, guardam relação entre si, mantém natureza interdependente para a finalização completa da manutenção, uma vez que a não execução de um deles inviabiliza a execução do outro.</w:t>
      </w:r>
    </w:p>
    <w:tbl>
      <w:tblPr>
        <w:tblStyle w:val="3"/>
        <w:tblW w:w="5000" w:type="pct"/>
        <w:tblInd w:w="-5" w:type="dxa"/>
        <w:tblLayout w:type="fixed"/>
        <w:tblCellMar>
          <w:top w:w="55" w:type="dxa"/>
          <w:left w:w="55" w:type="dxa"/>
          <w:bottom w:w="55" w:type="dxa"/>
          <w:right w:w="55" w:type="dxa"/>
        </w:tblCellMar>
      </w:tblPr>
      <w:tblGrid>
        <w:gridCol w:w="8614"/>
      </w:tblGrid>
      <w:tr w14:paraId="1DC05263">
        <w:tblPrEx>
          <w:tblCellMar>
            <w:top w:w="55" w:type="dxa"/>
            <w:left w:w="55" w:type="dxa"/>
            <w:bottom w:w="55" w:type="dxa"/>
            <w:right w:w="55" w:type="dxa"/>
          </w:tblCellMar>
        </w:tblPrEx>
        <w:tc>
          <w:tcPr>
            <w:tcW w:w="9638" w:type="dxa"/>
            <w:tcBorders>
              <w:top w:val="single" w:color="000000" w:sz="4" w:space="0"/>
              <w:left w:val="single" w:color="000000" w:sz="4" w:space="0"/>
              <w:bottom w:val="single" w:color="000000" w:sz="4" w:space="0"/>
              <w:right w:val="single" w:color="000000" w:sz="4" w:space="0"/>
            </w:tcBorders>
          </w:tcPr>
          <w:p w14:paraId="375A4971">
            <w:pPr>
              <w:pStyle w:val="14"/>
              <w:spacing w:line="360" w:lineRule="auto"/>
              <w:jc w:val="both"/>
              <w:rPr>
                <w:rFonts w:ascii="Arial" w:hAnsi="Arial" w:cs="Arial"/>
                <w:b/>
                <w:bCs/>
              </w:rPr>
            </w:pPr>
            <w:r>
              <w:rPr>
                <w:rFonts w:ascii="Arial" w:hAnsi="Arial" w:cs="Arial"/>
                <w:b/>
                <w:bCs/>
              </w:rPr>
              <w:t xml:space="preserve">10. PROVIDÊNCIAS A SEREM ADOTADAS PELA ADMINISTRAÇÃO </w:t>
            </w:r>
          </w:p>
        </w:tc>
      </w:tr>
    </w:tbl>
    <w:p w14:paraId="5097AD4B">
      <w:pPr>
        <w:tabs>
          <w:tab w:val="left" w:pos="2537"/>
        </w:tabs>
        <w:spacing w:after="0" w:line="360" w:lineRule="auto"/>
        <w:jc w:val="both"/>
        <w:rPr>
          <w:rFonts w:ascii="Arial" w:hAnsi="Arial" w:cs="Arial"/>
          <w:sz w:val="24"/>
          <w:szCs w:val="24"/>
        </w:rPr>
      </w:pPr>
      <w:r>
        <w:rPr>
          <w:rFonts w:ascii="Arial" w:hAnsi="Arial" w:cs="Arial"/>
          <w:sz w:val="24"/>
          <w:szCs w:val="24"/>
        </w:rPr>
        <w:t>Após a realização desse Estudo Preliminar, o Termo de Referência será elaborado e caso aprovado pela Administração Central será realizada Licitação através de Pregão Eletrônico, com Sistema de Registro de Preço, por lote. A licitação estando homologada e as atas assinadas poderão ser feitas a contratação para aquisição dos itens licitados, salientado que os locais de entrega serão estabelecidos de acordo a demanda da administração.</w:t>
      </w:r>
    </w:p>
    <w:tbl>
      <w:tblPr>
        <w:tblStyle w:val="3"/>
        <w:tblW w:w="5000" w:type="pct"/>
        <w:tblInd w:w="-5" w:type="dxa"/>
        <w:tblLayout w:type="fixed"/>
        <w:tblCellMar>
          <w:top w:w="55" w:type="dxa"/>
          <w:left w:w="55" w:type="dxa"/>
          <w:bottom w:w="55" w:type="dxa"/>
          <w:right w:w="55" w:type="dxa"/>
        </w:tblCellMar>
      </w:tblPr>
      <w:tblGrid>
        <w:gridCol w:w="8614"/>
      </w:tblGrid>
      <w:tr w14:paraId="5CCD995C">
        <w:tblPrEx>
          <w:tblCellMar>
            <w:top w:w="55" w:type="dxa"/>
            <w:left w:w="55" w:type="dxa"/>
            <w:bottom w:w="55" w:type="dxa"/>
            <w:right w:w="55" w:type="dxa"/>
          </w:tblCellMar>
        </w:tblPrEx>
        <w:tc>
          <w:tcPr>
            <w:tcW w:w="9638" w:type="dxa"/>
            <w:tcBorders>
              <w:top w:val="single" w:color="000000" w:sz="4" w:space="0"/>
              <w:left w:val="single" w:color="000000" w:sz="4" w:space="0"/>
              <w:bottom w:val="single" w:color="000000" w:sz="4" w:space="0"/>
              <w:right w:val="single" w:color="000000" w:sz="4" w:space="0"/>
            </w:tcBorders>
          </w:tcPr>
          <w:p w14:paraId="65DFFBD9">
            <w:pPr>
              <w:pStyle w:val="14"/>
              <w:spacing w:line="360" w:lineRule="auto"/>
              <w:jc w:val="both"/>
              <w:rPr>
                <w:rFonts w:ascii="Arial" w:hAnsi="Arial" w:cs="Arial"/>
                <w:b/>
                <w:bCs/>
              </w:rPr>
            </w:pPr>
            <w:r>
              <w:rPr>
                <w:rFonts w:ascii="Arial" w:hAnsi="Arial" w:cs="Arial"/>
                <w:b/>
                <w:bCs/>
              </w:rPr>
              <w:t xml:space="preserve">11. CONTRATAÇÕES CORRELATAS E/OU INTERDEPENDENTES </w:t>
            </w:r>
          </w:p>
        </w:tc>
      </w:tr>
    </w:tbl>
    <w:p w14:paraId="14243F98">
      <w:pPr>
        <w:spacing w:after="0" w:line="360" w:lineRule="auto"/>
        <w:jc w:val="both"/>
        <w:rPr>
          <w:rFonts w:ascii="Arial" w:hAnsi="Arial" w:cs="Arial"/>
          <w:sz w:val="24"/>
          <w:szCs w:val="24"/>
        </w:rPr>
      </w:pPr>
      <w:r>
        <w:rPr>
          <w:rFonts w:ascii="Arial" w:hAnsi="Arial" w:cs="Arial"/>
          <w:sz w:val="24"/>
          <w:szCs w:val="24"/>
        </w:rPr>
        <w:t>Não se faz necessária a realização de contratações correlatas e/ou interdependentes para a contratação pretendida.</w:t>
      </w:r>
    </w:p>
    <w:tbl>
      <w:tblPr>
        <w:tblStyle w:val="3"/>
        <w:tblW w:w="5000" w:type="pct"/>
        <w:tblInd w:w="-5" w:type="dxa"/>
        <w:tblLayout w:type="fixed"/>
        <w:tblCellMar>
          <w:top w:w="55" w:type="dxa"/>
          <w:left w:w="55" w:type="dxa"/>
          <w:bottom w:w="55" w:type="dxa"/>
          <w:right w:w="55" w:type="dxa"/>
        </w:tblCellMar>
      </w:tblPr>
      <w:tblGrid>
        <w:gridCol w:w="8614"/>
      </w:tblGrid>
      <w:tr w14:paraId="50EB32A5">
        <w:tblPrEx>
          <w:tblCellMar>
            <w:top w:w="55" w:type="dxa"/>
            <w:left w:w="55" w:type="dxa"/>
            <w:bottom w:w="55" w:type="dxa"/>
            <w:right w:w="55" w:type="dxa"/>
          </w:tblCellMar>
        </w:tblPrEx>
        <w:tc>
          <w:tcPr>
            <w:tcW w:w="9638" w:type="dxa"/>
            <w:tcBorders>
              <w:top w:val="single" w:color="000000" w:sz="4" w:space="0"/>
              <w:left w:val="single" w:color="000000" w:sz="4" w:space="0"/>
              <w:bottom w:val="single" w:color="000000" w:sz="4" w:space="0"/>
              <w:right w:val="single" w:color="000000" w:sz="4" w:space="0"/>
            </w:tcBorders>
          </w:tcPr>
          <w:p w14:paraId="4DA869AF">
            <w:pPr>
              <w:pStyle w:val="14"/>
              <w:spacing w:line="360" w:lineRule="auto"/>
              <w:jc w:val="both"/>
              <w:rPr>
                <w:rFonts w:ascii="Arial" w:hAnsi="Arial" w:cs="Arial"/>
                <w:b/>
                <w:bCs/>
              </w:rPr>
            </w:pPr>
            <w:r>
              <w:rPr>
                <w:rFonts w:ascii="Arial" w:hAnsi="Arial" w:cs="Arial"/>
                <w:b/>
                <w:bCs/>
              </w:rPr>
              <w:t>12. IMPACTOS AMBIENTAIS E MEDIDAS DE TRATAMENTO</w:t>
            </w:r>
          </w:p>
        </w:tc>
      </w:tr>
    </w:tbl>
    <w:p w14:paraId="0F11ACD0">
      <w:pPr>
        <w:spacing w:after="0" w:line="360" w:lineRule="auto"/>
        <w:jc w:val="both"/>
        <w:rPr>
          <w:rFonts w:ascii="Arial" w:hAnsi="Arial" w:cs="Arial"/>
          <w:sz w:val="24"/>
          <w:szCs w:val="24"/>
        </w:rPr>
      </w:pPr>
      <w:r>
        <w:rPr>
          <w:rFonts w:ascii="Arial" w:hAnsi="Arial" w:cs="Arial"/>
          <w:sz w:val="24"/>
          <w:szCs w:val="24"/>
        </w:rPr>
        <w:t>Os medicamentos, quando não gerenciados adequadamente, podem causar sérios impactos ambientais, como a contaminação da água e do solo, afetando a vida selvagem e a saúde humana. Os efluentes domésticos e hospitalares podem levar resíduos farmacêuticos para sistemas de esgoto, rios, lagos e oceanos, prejudicando a vida aquática. No solo, o descarte inadequado de medicamentos pode liberar substâncias químicas que contaminam plantas e organismos, impactando também a agricultura. A bioacumulação de substâncias farmacêuticas ao longo da cadeia alimentar e o desenvolvimento de bactérias resistentes devido ao descarte inadequado de antibióticos são riscos adicionais significativos.</w:t>
      </w:r>
    </w:p>
    <w:p w14:paraId="341F642E">
      <w:pPr>
        <w:spacing w:after="0" w:line="360" w:lineRule="auto"/>
        <w:jc w:val="both"/>
        <w:rPr>
          <w:rFonts w:ascii="Arial" w:hAnsi="Arial" w:cs="Arial"/>
          <w:sz w:val="24"/>
          <w:szCs w:val="24"/>
        </w:rPr>
      </w:pPr>
      <w:r>
        <w:rPr>
          <w:rFonts w:ascii="Arial" w:hAnsi="Arial" w:cs="Arial"/>
          <w:sz w:val="24"/>
          <w:szCs w:val="24"/>
        </w:rPr>
        <w:t xml:space="preserve">Para mitigar esses impactos, medidas eficazes incluem a gestão adequada de resíduos farmacêuticos através de coleta seletiva e programas de retorno, permitindo o descarte seguro em farmácias e postos de coleta, além de campanhas de conscientização. </w:t>
      </w:r>
    </w:p>
    <w:p w14:paraId="5EFBD89F">
      <w:pPr>
        <w:spacing w:after="0" w:line="360" w:lineRule="auto"/>
        <w:jc w:val="both"/>
        <w:rPr>
          <w:rFonts w:ascii="Arial" w:hAnsi="Arial" w:cs="Arial"/>
          <w:sz w:val="24"/>
          <w:szCs w:val="24"/>
        </w:rPr>
      </w:pPr>
      <w:r>
        <w:rPr>
          <w:rFonts w:ascii="Arial" w:hAnsi="Arial" w:cs="Arial"/>
          <w:sz w:val="24"/>
          <w:szCs w:val="24"/>
        </w:rPr>
        <w:t xml:space="preserve">No âmbito regulatório, é necessário estabelecer normas rigorosas para o descarte de medicamentos e oferecer incentivos para práticas sustentáveis na produção e gestão de resíduos. </w:t>
      </w:r>
    </w:p>
    <w:tbl>
      <w:tblPr>
        <w:tblStyle w:val="3"/>
        <w:tblW w:w="5000" w:type="pct"/>
        <w:tblInd w:w="-5" w:type="dxa"/>
        <w:tblLayout w:type="fixed"/>
        <w:tblCellMar>
          <w:top w:w="55" w:type="dxa"/>
          <w:left w:w="55" w:type="dxa"/>
          <w:bottom w:w="55" w:type="dxa"/>
          <w:right w:w="55" w:type="dxa"/>
        </w:tblCellMar>
      </w:tblPr>
      <w:tblGrid>
        <w:gridCol w:w="8614"/>
      </w:tblGrid>
      <w:tr w14:paraId="7FD6E757">
        <w:tblPrEx>
          <w:tblCellMar>
            <w:top w:w="55" w:type="dxa"/>
            <w:left w:w="55" w:type="dxa"/>
            <w:bottom w:w="55" w:type="dxa"/>
            <w:right w:w="55" w:type="dxa"/>
          </w:tblCellMar>
        </w:tblPrEx>
        <w:tc>
          <w:tcPr>
            <w:tcW w:w="9638" w:type="dxa"/>
            <w:tcBorders>
              <w:top w:val="single" w:color="000000" w:sz="4" w:space="0"/>
              <w:left w:val="single" w:color="000000" w:sz="4" w:space="0"/>
              <w:bottom w:val="single" w:color="000000" w:sz="4" w:space="0"/>
              <w:right w:val="single" w:color="000000" w:sz="4" w:space="0"/>
            </w:tcBorders>
          </w:tcPr>
          <w:p w14:paraId="07EF3BD4">
            <w:pPr>
              <w:pStyle w:val="14"/>
              <w:spacing w:line="360" w:lineRule="auto"/>
              <w:jc w:val="both"/>
              <w:rPr>
                <w:rFonts w:ascii="Arial" w:hAnsi="Arial" w:cs="Arial"/>
                <w:b/>
                <w:bCs/>
              </w:rPr>
            </w:pPr>
            <w:r>
              <w:rPr>
                <w:rFonts w:ascii="Arial" w:hAnsi="Arial" w:cs="Arial"/>
                <w:b/>
                <w:bCs/>
              </w:rPr>
              <w:t>13. RESULTADOS PRETENDIDOS</w:t>
            </w:r>
          </w:p>
        </w:tc>
      </w:tr>
    </w:tbl>
    <w:p w14:paraId="687B90BA">
      <w:pPr>
        <w:spacing w:after="0" w:line="360" w:lineRule="auto"/>
        <w:jc w:val="both"/>
        <w:rPr>
          <w:rFonts w:ascii="Arial" w:hAnsi="Arial" w:cs="Arial"/>
          <w:sz w:val="24"/>
          <w:szCs w:val="24"/>
        </w:rPr>
      </w:pPr>
      <w:r>
        <w:rPr>
          <w:rFonts w:ascii="Arial" w:hAnsi="Arial" w:cs="Arial"/>
          <w:sz w:val="24"/>
          <w:szCs w:val="24"/>
        </w:rPr>
        <w:t xml:space="preserve">Pretende-se contratar os itens descritos no Edital ao menor preço, com a qualidade e especificações garantidas, visando a manutenção dos serviços já prestados no Município de Santo Estêvão. </w:t>
      </w:r>
    </w:p>
    <w:tbl>
      <w:tblPr>
        <w:tblStyle w:val="3"/>
        <w:tblW w:w="5000" w:type="pct"/>
        <w:tblInd w:w="-5" w:type="dxa"/>
        <w:tblLayout w:type="fixed"/>
        <w:tblCellMar>
          <w:top w:w="55" w:type="dxa"/>
          <w:left w:w="55" w:type="dxa"/>
          <w:bottom w:w="55" w:type="dxa"/>
          <w:right w:w="55" w:type="dxa"/>
        </w:tblCellMar>
      </w:tblPr>
      <w:tblGrid>
        <w:gridCol w:w="8614"/>
      </w:tblGrid>
      <w:tr w14:paraId="3C6EB0BB">
        <w:tblPrEx>
          <w:tblCellMar>
            <w:top w:w="55" w:type="dxa"/>
            <w:left w:w="55" w:type="dxa"/>
            <w:bottom w:w="55" w:type="dxa"/>
            <w:right w:w="55" w:type="dxa"/>
          </w:tblCellMar>
        </w:tblPrEx>
        <w:tc>
          <w:tcPr>
            <w:tcW w:w="9638" w:type="dxa"/>
            <w:tcBorders>
              <w:top w:val="single" w:color="000000" w:sz="4" w:space="0"/>
              <w:left w:val="single" w:color="000000" w:sz="4" w:space="0"/>
              <w:bottom w:val="single" w:color="000000" w:sz="4" w:space="0"/>
              <w:right w:val="single" w:color="000000" w:sz="4" w:space="0"/>
            </w:tcBorders>
          </w:tcPr>
          <w:p w14:paraId="676C2FB2">
            <w:pPr>
              <w:pStyle w:val="14"/>
              <w:spacing w:line="360" w:lineRule="auto"/>
              <w:jc w:val="both"/>
              <w:rPr>
                <w:rFonts w:ascii="Arial" w:hAnsi="Arial" w:cs="Arial"/>
                <w:b/>
                <w:bCs/>
              </w:rPr>
            </w:pPr>
            <w:r>
              <w:rPr>
                <w:rFonts w:ascii="Arial" w:hAnsi="Arial" w:cs="Arial"/>
                <w:b/>
                <w:bCs/>
              </w:rPr>
              <w:t xml:space="preserve">14. DECLARAÇÃO DE VIABILIDADE (OU NÃO) DA CONTRATAÇÃO </w:t>
            </w:r>
          </w:p>
        </w:tc>
      </w:tr>
    </w:tbl>
    <w:p w14:paraId="7BFF220D">
      <w:pPr>
        <w:spacing w:after="0" w:line="360" w:lineRule="auto"/>
        <w:jc w:val="both"/>
        <w:rPr>
          <w:rFonts w:ascii="Arial" w:hAnsi="Arial" w:cs="Arial"/>
          <w:sz w:val="24"/>
          <w:szCs w:val="24"/>
        </w:rPr>
      </w:pPr>
      <w:r>
        <w:rPr>
          <w:rFonts w:ascii="Arial" w:hAnsi="Arial" w:cs="Arial"/>
          <w:sz w:val="24"/>
          <w:szCs w:val="24"/>
        </w:rPr>
        <w:t xml:space="preserve">Com base nos elementos anteriores do presente documento de estudo técnico preliminar, essa equipe de planejamento DECLARA que: </w:t>
      </w:r>
    </w:p>
    <w:p w14:paraId="39443C78">
      <w:pPr>
        <w:spacing w:after="0" w:line="360" w:lineRule="auto"/>
        <w:jc w:val="both"/>
        <w:rPr>
          <w:rFonts w:ascii="Arial" w:hAnsi="Arial" w:cs="Arial"/>
          <w:sz w:val="24"/>
          <w:szCs w:val="24"/>
        </w:rPr>
      </w:pPr>
      <w:r>
        <w:rPr>
          <w:rFonts w:ascii="Arial" w:hAnsi="Arial" w:cs="Arial"/>
          <w:sz w:val="24"/>
          <w:szCs w:val="24"/>
        </w:rPr>
        <w:t xml:space="preserve">É viável a presente contratação; </w:t>
      </w:r>
    </w:p>
    <w:p w14:paraId="09D095AC">
      <w:pPr>
        <w:spacing w:after="0" w:line="360" w:lineRule="auto"/>
        <w:jc w:val="both"/>
        <w:rPr>
          <w:rFonts w:ascii="Arial" w:hAnsi="Arial" w:cs="Arial"/>
          <w:sz w:val="24"/>
          <w:szCs w:val="24"/>
        </w:rPr>
      </w:pPr>
    </w:p>
    <w:p w14:paraId="220AA54D">
      <w:pPr>
        <w:spacing w:after="0" w:line="360" w:lineRule="auto"/>
        <w:jc w:val="both"/>
        <w:rPr>
          <w:rFonts w:ascii="Arial" w:hAnsi="Arial" w:cs="Arial"/>
          <w:sz w:val="24"/>
          <w:szCs w:val="24"/>
        </w:rPr>
      </w:pPr>
      <w:r>
        <w:rPr>
          <w:rFonts w:ascii="Arial" w:hAnsi="Arial" w:cs="Arial"/>
          <w:sz w:val="24"/>
          <w:szCs w:val="24"/>
        </w:rPr>
        <w:t>Santo Estêvão-BA, 20/05/2024</w:t>
      </w:r>
    </w:p>
    <w:p w14:paraId="0D744F32">
      <w:pPr>
        <w:spacing w:after="0" w:line="360" w:lineRule="auto"/>
        <w:jc w:val="both"/>
        <w:rPr>
          <w:rFonts w:ascii="Arial" w:hAnsi="Arial" w:cs="Arial"/>
          <w:sz w:val="24"/>
          <w:szCs w:val="24"/>
        </w:rPr>
      </w:pPr>
    </w:p>
    <w:p w14:paraId="597061CA">
      <w:pPr>
        <w:spacing w:after="0" w:line="240" w:lineRule="auto"/>
        <w:jc w:val="center"/>
        <w:rPr>
          <w:rFonts w:cs="Calibri"/>
          <w:sz w:val="20"/>
          <w:szCs w:val="20"/>
        </w:rPr>
      </w:pPr>
      <w:r>
        <w:rPr>
          <w:rFonts w:cs="Calibri"/>
          <w:sz w:val="20"/>
          <w:szCs w:val="20"/>
        </w:rPr>
        <w:t>_____________________________________________________________</w:t>
      </w:r>
    </w:p>
    <w:p w14:paraId="47645E52">
      <w:pPr>
        <w:spacing w:after="0" w:line="240" w:lineRule="auto"/>
        <w:jc w:val="center"/>
        <w:rPr>
          <w:rFonts w:ascii="Arial" w:hAnsi="Arial" w:cs="Arial"/>
        </w:rPr>
      </w:pPr>
      <w:r>
        <w:rPr>
          <w:rFonts w:ascii="Arial" w:hAnsi="Arial" w:cs="Arial"/>
        </w:rPr>
        <w:t>Angela Santos Machado Mendes</w:t>
      </w:r>
    </w:p>
    <w:p w14:paraId="5157AE63">
      <w:pPr>
        <w:spacing w:after="0" w:line="360" w:lineRule="auto"/>
        <w:jc w:val="center"/>
        <w:rPr>
          <w:rFonts w:ascii="Arial" w:hAnsi="Arial" w:cs="Arial"/>
          <w:bCs/>
        </w:rPr>
      </w:pPr>
      <w:r>
        <w:rPr>
          <w:rFonts w:ascii="Arial" w:hAnsi="Arial" w:cs="Arial"/>
          <w:bCs/>
        </w:rPr>
        <w:t>Coordenadora da Comissão de Planejamento</w:t>
      </w:r>
    </w:p>
    <w:p w14:paraId="0CC11166">
      <w:pPr>
        <w:spacing w:after="0" w:line="360" w:lineRule="auto"/>
        <w:jc w:val="center"/>
        <w:rPr>
          <w:rFonts w:ascii="Arial" w:hAnsi="Arial" w:cs="Arial"/>
          <w:bCs/>
        </w:rPr>
      </w:pPr>
    </w:p>
    <w:p w14:paraId="5668691E">
      <w:pPr>
        <w:spacing w:after="0" w:line="240" w:lineRule="auto"/>
        <w:jc w:val="center"/>
        <w:rPr>
          <w:rFonts w:ascii="Arial" w:hAnsi="Arial"/>
        </w:rPr>
      </w:pPr>
      <w:r>
        <w:rPr>
          <w:rFonts w:ascii="Arial" w:hAnsi="Arial"/>
        </w:rPr>
        <w:t>___________________________</w:t>
      </w:r>
    </w:p>
    <w:p w14:paraId="7E959423">
      <w:pPr>
        <w:spacing w:after="0" w:line="240" w:lineRule="auto"/>
        <w:jc w:val="center"/>
        <w:rPr>
          <w:rFonts w:ascii="Arial" w:hAnsi="Arial" w:cs="Arial"/>
          <w:sz w:val="24"/>
          <w:szCs w:val="24"/>
        </w:rPr>
      </w:pPr>
      <w:r>
        <w:rPr>
          <w:rFonts w:ascii="Arial" w:hAnsi="Arial" w:cs="Arial"/>
          <w:sz w:val="24"/>
          <w:szCs w:val="24"/>
        </w:rPr>
        <w:t>Larissa dos Santos Figueiredo</w:t>
      </w:r>
    </w:p>
    <w:p w14:paraId="229F54A0">
      <w:pPr>
        <w:spacing w:after="0" w:line="240" w:lineRule="auto"/>
        <w:jc w:val="center"/>
        <w:rPr>
          <w:rFonts w:ascii="Arial" w:hAnsi="Arial" w:cstheme="minorBidi"/>
        </w:rPr>
      </w:pPr>
      <w:r>
        <w:rPr>
          <w:rFonts w:ascii="Arial" w:hAnsi="Arial"/>
        </w:rPr>
        <w:t>Agente de Planejamento da Secretaria de Saúde</w:t>
      </w:r>
    </w:p>
    <w:p w14:paraId="65F9AA57">
      <w:pPr>
        <w:spacing w:after="0" w:line="360" w:lineRule="auto"/>
        <w:jc w:val="center"/>
        <w:rPr>
          <w:rFonts w:ascii="Arial" w:hAnsi="Arial" w:cs="Arial"/>
          <w:sz w:val="24"/>
          <w:szCs w:val="24"/>
        </w:rPr>
      </w:pPr>
    </w:p>
    <w:p w14:paraId="5687C5B2">
      <w:pPr>
        <w:spacing w:after="0" w:line="360" w:lineRule="auto"/>
        <w:jc w:val="both"/>
        <w:rPr>
          <w:rFonts w:ascii="Arial" w:hAnsi="Arial" w:cs="Arial"/>
          <w:sz w:val="24"/>
          <w:szCs w:val="24"/>
        </w:rPr>
      </w:pPr>
      <w:r>
        <w:rPr>
          <w:rFonts w:ascii="Arial" w:hAnsi="Arial" w:cs="Arial"/>
          <w:sz w:val="24"/>
          <w:szCs w:val="24"/>
        </w:rPr>
        <w:t xml:space="preserve">Em virtude das atribuições que competem, aprovo o presente Estudo Técnico Preliminar. </w:t>
      </w:r>
    </w:p>
    <w:p w14:paraId="02ABF086">
      <w:pPr>
        <w:spacing w:after="0" w:line="360" w:lineRule="auto"/>
        <w:jc w:val="both"/>
        <w:rPr>
          <w:rFonts w:ascii="Arial" w:hAnsi="Arial" w:cs="Arial"/>
          <w:sz w:val="24"/>
          <w:szCs w:val="24"/>
        </w:rPr>
      </w:pPr>
    </w:p>
    <w:p w14:paraId="193702B9">
      <w:pPr>
        <w:spacing w:after="0" w:line="240" w:lineRule="auto"/>
        <w:jc w:val="center"/>
        <w:rPr>
          <w:rFonts w:ascii="Arial" w:hAnsi="Arial"/>
        </w:rPr>
      </w:pPr>
      <w:r>
        <w:rPr>
          <w:rFonts w:ascii="Arial" w:hAnsi="Arial"/>
        </w:rPr>
        <w:t>___________________________</w:t>
      </w:r>
    </w:p>
    <w:p w14:paraId="6E7035F8">
      <w:pPr>
        <w:spacing w:after="0" w:line="240" w:lineRule="auto"/>
        <w:jc w:val="center"/>
        <w:rPr>
          <w:rFonts w:ascii="Arial" w:hAnsi="Arial" w:cs="Arial"/>
          <w:sz w:val="24"/>
          <w:szCs w:val="24"/>
        </w:rPr>
      </w:pPr>
      <w:r>
        <w:rPr>
          <w:rFonts w:ascii="Arial" w:hAnsi="Arial" w:cs="Arial"/>
          <w:sz w:val="24"/>
          <w:szCs w:val="24"/>
        </w:rPr>
        <w:t>Erivelton de Azevedo Vasconcelos</w:t>
      </w:r>
    </w:p>
    <w:p w14:paraId="61D355DD">
      <w:pPr>
        <w:spacing w:after="0" w:line="240" w:lineRule="auto"/>
        <w:jc w:val="center"/>
        <w:rPr>
          <w:rFonts w:ascii="Arial" w:hAnsi="Arial" w:cstheme="minorBidi"/>
        </w:rPr>
      </w:pPr>
      <w:r>
        <w:rPr>
          <w:rFonts w:ascii="Arial" w:hAnsi="Arial"/>
        </w:rPr>
        <w:t>Secretário Municipal de Saúde</w:t>
      </w:r>
    </w:p>
    <w:p w14:paraId="0391F959">
      <w:pPr>
        <w:spacing w:after="0" w:line="240" w:lineRule="auto"/>
        <w:jc w:val="center"/>
        <w:rPr>
          <w:rFonts w:ascii="Arial" w:hAnsi="Arial"/>
        </w:rPr>
      </w:pPr>
    </w:p>
    <w:p w14:paraId="571C9F66">
      <w:pPr>
        <w:spacing w:after="0" w:line="360" w:lineRule="auto"/>
        <w:jc w:val="both"/>
        <w:rPr>
          <w:rFonts w:ascii="Arial" w:hAnsi="Arial" w:cs="Arial"/>
          <w:sz w:val="24"/>
          <w:szCs w:val="24"/>
        </w:rPr>
        <w:sectPr>
          <w:headerReference r:id="rId5" w:type="default"/>
          <w:pgSz w:w="11906" w:h="16838"/>
          <w:pgMar w:top="1418" w:right="1701" w:bottom="1418" w:left="1701" w:header="709" w:footer="709" w:gutter="0"/>
          <w:cols w:space="708" w:num="1"/>
          <w:docGrid w:linePitch="360" w:charSpace="0"/>
        </w:sectPr>
      </w:pPr>
    </w:p>
    <w:p w14:paraId="623029C3">
      <w:pPr>
        <w:spacing w:after="0" w:line="240" w:lineRule="auto"/>
        <w:jc w:val="both"/>
        <w:rPr>
          <w:rFonts w:ascii="Arial" w:hAnsi="Arial" w:cs="Arial"/>
          <w:sz w:val="24"/>
        </w:rPr>
      </w:pPr>
    </w:p>
    <w:sectPr>
      <w:pgSz w:w="11906" w:h="16838"/>
      <w:pgMar w:top="1418" w:right="1701" w:bottom="1418"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Liberation Serif">
    <w:panose1 w:val="02020603050405020304"/>
    <w:charset w:val="00"/>
    <w:family w:val="roman"/>
    <w:pitch w:val="default"/>
    <w:sig w:usb0="E0000AFF" w:usb1="500078FF" w:usb2="00000021" w:usb3="00000000" w:csb0="600001BF" w:csb1="DFF70000"/>
  </w:font>
  <w:font w:name="NSimSun">
    <w:panose1 w:val="02010609030101010101"/>
    <w:charset w:val="86"/>
    <w:family w:val="modern"/>
    <w:pitch w:val="default"/>
    <w:sig w:usb0="00000003" w:usb1="288F0000" w:usb2="00000006" w:usb3="00000000" w:csb0="00040001" w:csb1="00000000"/>
  </w:font>
  <w:font w:name="Lucida Sans">
    <w:altName w:val="Lucida Sans Unicode"/>
    <w:panose1 w:val="020B0602030504020204"/>
    <w:charset w:val="00"/>
    <w:family w:val="swiss"/>
    <w:pitch w:val="default"/>
    <w:sig w:usb0="00000000" w:usb1="00000000" w:usb2="00000000" w:usb3="00000000" w:csb0="00000001" w:csb1="00000000"/>
  </w:font>
  <w:font w:name="Mangal">
    <w:panose1 w:val="02040503050203030202"/>
    <w:charset w:val="00"/>
    <w:family w:val="roman"/>
    <w:pitch w:val="default"/>
    <w:sig w:usb0="00008003"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Wingdings">
    <w:panose1 w:val="05000000000000000000"/>
    <w:charset w:val="02"/>
    <w:family w:val="auto"/>
    <w:pitch w:val="default"/>
    <w:sig w:usb0="00000000" w:usb1="00000000" w:usb2="00000000" w:usb3="00000000" w:csb0="80000000" w:csb1="00000000"/>
  </w:font>
  <w:font w:name="Century Gothic">
    <w:altName w:val="Segoe Print"/>
    <w:panose1 w:val="020B0502020202020204"/>
    <w:charset w:val="00"/>
    <w:family w:val="swiss"/>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Lucida Sans Unicode">
    <w:panose1 w:val="020B0602030504020204"/>
    <w:charset w:val="00"/>
    <w:family w:val="auto"/>
    <w:pitch w:val="default"/>
    <w:sig w:usb0="80001AFF" w:usb1="0000396B" w:usb2="00000000" w:usb3="00000000" w:csb0="200000BF" w:csb1="D7F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DFDDC0">
    <w:pPr>
      <w:pStyle w:val="7"/>
    </w:pPr>
    <w:r>
      <w:rPr>
        <w:lang w:eastAsia="pt-BR"/>
      </w:rPr>
      <mc:AlternateContent>
        <mc:Choice Requires="wps">
          <w:drawing>
            <wp:anchor distT="0" distB="0" distL="114300" distR="114300" simplePos="0" relativeHeight="251659264" behindDoc="0" locked="0" layoutInCell="1" allowOverlap="1">
              <wp:simplePos x="0" y="0"/>
              <wp:positionH relativeFrom="column">
                <wp:posOffset>1798955</wp:posOffset>
              </wp:positionH>
              <wp:positionV relativeFrom="paragraph">
                <wp:posOffset>-61595</wp:posOffset>
              </wp:positionV>
              <wp:extent cx="5304790" cy="862965"/>
              <wp:effectExtent l="0" t="0" r="1905" b="0"/>
              <wp:wrapNone/>
              <wp:docPr id="4" name="Retângulo 4"/>
              <wp:cNvGraphicFramePr/>
              <a:graphic xmlns:a="http://schemas.openxmlformats.org/drawingml/2006/main">
                <a:graphicData uri="http://schemas.microsoft.com/office/word/2010/wordprocessingShape">
                  <wps:wsp>
                    <wps:cNvSpPr>
                      <a:spLocks noChangeArrowheads="1"/>
                    </wps:cNvSpPr>
                    <wps:spPr bwMode="auto">
                      <a:xfrm>
                        <a:off x="0" y="0"/>
                        <a:ext cx="5304790" cy="862965"/>
                      </a:xfrm>
                      <a:prstGeom prst="rect">
                        <a:avLst/>
                      </a:prstGeom>
                      <a:noFill/>
                      <a:ln>
                        <a:noFill/>
                      </a:ln>
                    </wps:spPr>
                    <wps:txbx>
                      <w:txbxContent>
                        <w:p w14:paraId="36684EDB">
                          <w:pPr>
                            <w:pStyle w:val="13"/>
                            <w:rPr>
                              <w:rFonts w:ascii="Century Gothic" w:hAnsi="Century Gothic"/>
                              <w:b/>
                              <w:sz w:val="32"/>
                              <w:szCs w:val="32"/>
                            </w:rPr>
                          </w:pPr>
                          <w:r>
                            <w:rPr>
                              <w:rFonts w:ascii="Century Gothic" w:hAnsi="Century Gothic"/>
                              <w:b/>
                              <w:sz w:val="32"/>
                              <w:szCs w:val="32"/>
                            </w:rPr>
                            <w:t>PREFEITURA MUNICIPAL DE SANTO ESTEVÃO</w:t>
                          </w:r>
                        </w:p>
                        <w:p w14:paraId="5AA5FACD">
                          <w:pPr>
                            <w:pStyle w:val="13"/>
                            <w:rPr>
                              <w:rFonts w:ascii="Century Gothic" w:hAnsi="Century Gothic"/>
                              <w:b/>
                              <w:sz w:val="32"/>
                              <w:szCs w:val="32"/>
                            </w:rPr>
                          </w:pPr>
                          <w:r>
                            <w:rPr>
                              <w:rFonts w:ascii="Century Gothic" w:hAnsi="Century Gothic"/>
                              <w:b/>
                              <w:sz w:val="32"/>
                              <w:szCs w:val="32"/>
                            </w:rPr>
                            <w:t>Secretaria de Administração</w:t>
                          </w:r>
                        </w:p>
                        <w:p w14:paraId="2C93831C">
                          <w:pPr>
                            <w:pStyle w:val="13"/>
                            <w:rPr>
                              <w:sz w:val="32"/>
                              <w:szCs w:val="32"/>
                            </w:rPr>
                          </w:pPr>
                          <w:r>
                            <w:rPr>
                              <w:sz w:val="32"/>
                              <w:szCs w:val="32"/>
                            </w:rPr>
                            <w:t>ESTADO DA BAHIA</w:t>
                          </w:r>
                        </w:p>
                      </w:txbxContent>
                    </wps:txbx>
                    <wps:bodyPr rot="0" vert="horz" wrap="square" lIns="0" tIns="0" rIns="0" bIns="0" anchor="t" anchorCtr="0" upright="1">
                      <a:noAutofit/>
                    </wps:bodyPr>
                  </wps:wsp>
                </a:graphicData>
              </a:graphic>
            </wp:anchor>
          </w:drawing>
        </mc:Choice>
        <mc:Fallback>
          <w:pict>
            <v:rect id="_x0000_s1026" o:spid="_x0000_s1026" o:spt="1" style="position:absolute;left:0pt;margin-left:141.65pt;margin-top:-4.85pt;height:67.95pt;width:417.7pt;z-index:251659264;mso-width-relative:page;mso-height-relative:page;" filled="f" stroked="f" coordsize="21600,21600" o:gfxdata="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Yqgo32gAAAAsBAAAPAAAAAAAAAAEAIAAAACIAAABkcnMv&#10;ZG93bnJldi54bWxQSwECFAAUAAAACACHTuJAEYTs3QECAAD8AwAADgAAAAAAAAABACAAAAApAQAA&#10;ZHJzL2Uyb0RvYy54bWxQSwUGAAAAAAYABgBZAQAAnAUAAAAA&#10;">
              <v:fill on="f" focussize="0,0"/>
              <v:stroke on="f"/>
              <v:imagedata o:title=""/>
              <o:lock v:ext="edit" aspectratio="f"/>
              <v:textbox inset="0mm,0mm,0mm,0mm">
                <w:txbxContent>
                  <w:p w14:paraId="36684EDB">
                    <w:pPr>
                      <w:pStyle w:val="13"/>
                      <w:rPr>
                        <w:rFonts w:ascii="Century Gothic" w:hAnsi="Century Gothic"/>
                        <w:b/>
                        <w:sz w:val="32"/>
                        <w:szCs w:val="32"/>
                      </w:rPr>
                    </w:pPr>
                    <w:r>
                      <w:rPr>
                        <w:rFonts w:ascii="Century Gothic" w:hAnsi="Century Gothic"/>
                        <w:b/>
                        <w:sz w:val="32"/>
                        <w:szCs w:val="32"/>
                      </w:rPr>
                      <w:t>PREFEITURA MUNICIPAL DE SANTO ESTEVÃO</w:t>
                    </w:r>
                  </w:p>
                  <w:p w14:paraId="5AA5FACD">
                    <w:pPr>
                      <w:pStyle w:val="13"/>
                      <w:rPr>
                        <w:rFonts w:ascii="Century Gothic" w:hAnsi="Century Gothic"/>
                        <w:b/>
                        <w:sz w:val="32"/>
                        <w:szCs w:val="32"/>
                      </w:rPr>
                    </w:pPr>
                    <w:r>
                      <w:rPr>
                        <w:rFonts w:ascii="Century Gothic" w:hAnsi="Century Gothic"/>
                        <w:b/>
                        <w:sz w:val="32"/>
                        <w:szCs w:val="32"/>
                      </w:rPr>
                      <w:t>Secretaria de Administração</w:t>
                    </w:r>
                  </w:p>
                  <w:p w14:paraId="2C93831C">
                    <w:pPr>
                      <w:pStyle w:val="13"/>
                      <w:rPr>
                        <w:sz w:val="32"/>
                        <w:szCs w:val="32"/>
                      </w:rPr>
                    </w:pPr>
                    <w:r>
                      <w:rPr>
                        <w:sz w:val="32"/>
                        <w:szCs w:val="32"/>
                      </w:rPr>
                      <w:t>ESTADO DA BAHIA</w:t>
                    </w:r>
                  </w:p>
                </w:txbxContent>
              </v:textbox>
            </v:rect>
          </w:pict>
        </mc:Fallback>
      </mc:AlternateContent>
    </w:r>
    <w:r>
      <w:rPr>
        <w:lang w:eastAsia="pt-BR"/>
      </w:rPr>
      <w:drawing>
        <wp:anchor distT="0" distB="0" distL="114300" distR="114300" simplePos="0" relativeHeight="251661312" behindDoc="0" locked="0" layoutInCell="1" allowOverlap="1">
          <wp:simplePos x="0" y="0"/>
          <wp:positionH relativeFrom="column">
            <wp:posOffset>-50165</wp:posOffset>
          </wp:positionH>
          <wp:positionV relativeFrom="paragraph">
            <wp:posOffset>-97790</wp:posOffset>
          </wp:positionV>
          <wp:extent cx="1828800" cy="795020"/>
          <wp:effectExtent l="0" t="0" r="0" b="5080"/>
          <wp:wrapNone/>
          <wp:docPr id="1"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28800" cy="795020"/>
                  </a:xfrm>
                  <a:prstGeom prst="rect">
                    <a:avLst/>
                  </a:prstGeom>
                </pic:spPr>
              </pic:pic>
            </a:graphicData>
          </a:graphic>
        </wp:anchor>
      </w:drawing>
    </w:r>
    <w:r>
      <w:t xml:space="preserve">   </w:t>
    </w:r>
  </w:p>
  <w:p w14:paraId="5D4AE524">
    <w:pPr>
      <w:pStyle w:val="7"/>
      <w:tabs>
        <w:tab w:val="left" w:pos="1413"/>
      </w:tabs>
    </w:pPr>
    <w:r>
      <w:tab/>
    </w:r>
  </w:p>
  <w:p w14:paraId="1D45807B">
    <w:pPr>
      <w:pStyle w:val="7"/>
      <w:tabs>
        <w:tab w:val="left" w:pos="1413"/>
      </w:tabs>
    </w:pPr>
  </w:p>
  <w:p w14:paraId="0E5E9F77">
    <w:pPr>
      <w:pStyle w:val="7"/>
      <w:tabs>
        <w:tab w:val="left" w:pos="1413"/>
      </w:tabs>
    </w:pPr>
  </w:p>
  <w:p w14:paraId="5F185538">
    <w:pPr>
      <w:pStyle w:val="7"/>
      <w:tabs>
        <w:tab w:val="left" w:pos="1413"/>
      </w:tabs>
    </w:pPr>
  </w:p>
  <w:p w14:paraId="438A4000">
    <w:pPr>
      <w:pStyle w:val="7"/>
    </w:pPr>
    <w:r>
      <w:rPr>
        <w:lang w:eastAsia="pt-BR"/>
      </w:rPr>
      <mc:AlternateContent>
        <mc:Choice Requires="wps">
          <w:drawing>
            <wp:anchor distT="0" distB="0" distL="114300" distR="114300" simplePos="0" relativeHeight="251660288" behindDoc="0" locked="0" layoutInCell="1" allowOverlap="1">
              <wp:simplePos x="0" y="0"/>
              <wp:positionH relativeFrom="column">
                <wp:posOffset>-142875</wp:posOffset>
              </wp:positionH>
              <wp:positionV relativeFrom="paragraph">
                <wp:posOffset>8255</wp:posOffset>
              </wp:positionV>
              <wp:extent cx="5852160" cy="0"/>
              <wp:effectExtent l="19050" t="27305" r="24765" b="20320"/>
              <wp:wrapNone/>
              <wp:docPr id="3" name="Conector Reto 3"/>
              <wp:cNvGraphicFramePr/>
              <a:graphic xmlns:a="http://schemas.openxmlformats.org/drawingml/2006/main">
                <a:graphicData uri="http://schemas.microsoft.com/office/word/2010/wordprocessingShape">
                  <wps:wsp>
                    <wps:cNvCnPr>
                      <a:cxnSpLocks noChangeShapeType="1"/>
                    </wps:cNvCnPr>
                    <wps:spPr bwMode="auto">
                      <a:xfrm>
                        <a:off x="0" y="0"/>
                        <a:ext cx="5852160" cy="0"/>
                      </a:xfrm>
                      <a:prstGeom prst="line">
                        <a:avLst/>
                      </a:prstGeom>
                      <a:noFill/>
                      <a:ln w="38100" cmpd="dbl">
                        <a:solidFill>
                          <a:srgbClr val="000000"/>
                        </a:solidFill>
                        <a:round/>
                      </a:ln>
                    </wps:spPr>
                    <wps:bodyPr/>
                  </wps:wsp>
                </a:graphicData>
              </a:graphic>
            </wp:anchor>
          </w:drawing>
        </mc:Choice>
        <mc:Fallback>
          <w:pict>
            <v:line id="_x0000_s1026" o:spid="_x0000_s1026" o:spt="20" style="position:absolute;left:0pt;margin-left:-11.25pt;margin-top:0.65pt;height:0pt;width:460.8pt;z-index:251660288;mso-width-relative:page;mso-height-relative:page;" filled="f" stroked="t" coordsize="21600,21600" o:gfxdata="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NtHFojUAAAABwEAAA8AAAAAAAAAAQAgAAAA&#10;IgAAAGRycy9kb3ducmV2LnhtbFBLAQIUABQAAAAIAIdO4kC2ZGCq1gEAALQDAAAOAAAAAAAAAAEA&#10;IAAAACMBAABkcnMvZTJvRG9jLnhtbFBLBQYAAAAABgAGAFkBAABrBQAAAAA=&#10;">
              <v:fill on="f" focussize="0,0"/>
              <v:stroke weight="3pt" color="#000000" linestyle="thinThin" joinstyle="round"/>
              <v:imagedata o:title=""/>
              <o:lock v:ext="edit" aspectratio="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81B6F5D"/>
    <w:multiLevelType w:val="multilevel"/>
    <w:tmpl w:val="781B6F5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7D057269"/>
    <w:multiLevelType w:val="multilevel"/>
    <w:tmpl w:val="7D057269"/>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C1C"/>
    <w:rsid w:val="000119CB"/>
    <w:rsid w:val="000139CE"/>
    <w:rsid w:val="000168EF"/>
    <w:rsid w:val="00031DE2"/>
    <w:rsid w:val="00040E4C"/>
    <w:rsid w:val="000438B1"/>
    <w:rsid w:val="000445DF"/>
    <w:rsid w:val="000450C2"/>
    <w:rsid w:val="0004727C"/>
    <w:rsid w:val="000520AB"/>
    <w:rsid w:val="00057286"/>
    <w:rsid w:val="000611D0"/>
    <w:rsid w:val="00063084"/>
    <w:rsid w:val="00071262"/>
    <w:rsid w:val="000755BF"/>
    <w:rsid w:val="00076898"/>
    <w:rsid w:val="00080EA3"/>
    <w:rsid w:val="00081834"/>
    <w:rsid w:val="00094F70"/>
    <w:rsid w:val="00095EC5"/>
    <w:rsid w:val="000967D7"/>
    <w:rsid w:val="000A6F0F"/>
    <w:rsid w:val="000B1CC1"/>
    <w:rsid w:val="000B2448"/>
    <w:rsid w:val="000C2201"/>
    <w:rsid w:val="000C39A8"/>
    <w:rsid w:val="000D6736"/>
    <w:rsid w:val="000E7E9E"/>
    <w:rsid w:val="000F34BC"/>
    <w:rsid w:val="000F66BE"/>
    <w:rsid w:val="00102DFE"/>
    <w:rsid w:val="0010608E"/>
    <w:rsid w:val="001062A4"/>
    <w:rsid w:val="00111DF7"/>
    <w:rsid w:val="001146C2"/>
    <w:rsid w:val="00141EB9"/>
    <w:rsid w:val="0014264B"/>
    <w:rsid w:val="00147AFD"/>
    <w:rsid w:val="00153AF6"/>
    <w:rsid w:val="00162637"/>
    <w:rsid w:val="0016334C"/>
    <w:rsid w:val="00163BCC"/>
    <w:rsid w:val="00164E62"/>
    <w:rsid w:val="00175052"/>
    <w:rsid w:val="00175908"/>
    <w:rsid w:val="00180D00"/>
    <w:rsid w:val="00187216"/>
    <w:rsid w:val="001A1570"/>
    <w:rsid w:val="001A5305"/>
    <w:rsid w:val="001A6E3E"/>
    <w:rsid w:val="001B0394"/>
    <w:rsid w:val="001B5A2C"/>
    <w:rsid w:val="001B7610"/>
    <w:rsid w:val="001B77AD"/>
    <w:rsid w:val="001C03F6"/>
    <w:rsid w:val="001D6E45"/>
    <w:rsid w:val="001E4687"/>
    <w:rsid w:val="001F127E"/>
    <w:rsid w:val="001F32FE"/>
    <w:rsid w:val="001F543C"/>
    <w:rsid w:val="001F720C"/>
    <w:rsid w:val="00202FBA"/>
    <w:rsid w:val="00203FE7"/>
    <w:rsid w:val="00210144"/>
    <w:rsid w:val="002126B8"/>
    <w:rsid w:val="002134AD"/>
    <w:rsid w:val="00213ACF"/>
    <w:rsid w:val="00215E3E"/>
    <w:rsid w:val="002165E7"/>
    <w:rsid w:val="00235418"/>
    <w:rsid w:val="00243166"/>
    <w:rsid w:val="002517D8"/>
    <w:rsid w:val="0026017A"/>
    <w:rsid w:val="00267EF3"/>
    <w:rsid w:val="00271FAA"/>
    <w:rsid w:val="002844B0"/>
    <w:rsid w:val="00284AF3"/>
    <w:rsid w:val="00291E5A"/>
    <w:rsid w:val="002936AD"/>
    <w:rsid w:val="00294F8F"/>
    <w:rsid w:val="00297ABC"/>
    <w:rsid w:val="002B2A4C"/>
    <w:rsid w:val="002B34D6"/>
    <w:rsid w:val="002B3D7B"/>
    <w:rsid w:val="002B75D3"/>
    <w:rsid w:val="002C08F4"/>
    <w:rsid w:val="002C5826"/>
    <w:rsid w:val="002D261C"/>
    <w:rsid w:val="002E6751"/>
    <w:rsid w:val="002F017F"/>
    <w:rsid w:val="002F4487"/>
    <w:rsid w:val="0030131E"/>
    <w:rsid w:val="00303FD8"/>
    <w:rsid w:val="0032309B"/>
    <w:rsid w:val="00335437"/>
    <w:rsid w:val="003471E3"/>
    <w:rsid w:val="003537E0"/>
    <w:rsid w:val="00354551"/>
    <w:rsid w:val="00354702"/>
    <w:rsid w:val="00355EFD"/>
    <w:rsid w:val="00363004"/>
    <w:rsid w:val="00367B49"/>
    <w:rsid w:val="003723EC"/>
    <w:rsid w:val="00372C4F"/>
    <w:rsid w:val="003731F8"/>
    <w:rsid w:val="00374F65"/>
    <w:rsid w:val="00377134"/>
    <w:rsid w:val="003830D4"/>
    <w:rsid w:val="003913D7"/>
    <w:rsid w:val="003947B1"/>
    <w:rsid w:val="003A1F66"/>
    <w:rsid w:val="003A5190"/>
    <w:rsid w:val="003A52FB"/>
    <w:rsid w:val="003B2803"/>
    <w:rsid w:val="003B65F5"/>
    <w:rsid w:val="003C7CFF"/>
    <w:rsid w:val="003D2D88"/>
    <w:rsid w:val="003D5776"/>
    <w:rsid w:val="003E0FF0"/>
    <w:rsid w:val="003E2EEE"/>
    <w:rsid w:val="003F2825"/>
    <w:rsid w:val="003F5C1C"/>
    <w:rsid w:val="003F7336"/>
    <w:rsid w:val="00411FFB"/>
    <w:rsid w:val="00420F87"/>
    <w:rsid w:val="00421372"/>
    <w:rsid w:val="0042288B"/>
    <w:rsid w:val="004240B2"/>
    <w:rsid w:val="0044789C"/>
    <w:rsid w:val="00454923"/>
    <w:rsid w:val="00457E2B"/>
    <w:rsid w:val="00461970"/>
    <w:rsid w:val="004668D8"/>
    <w:rsid w:val="00467D04"/>
    <w:rsid w:val="00471632"/>
    <w:rsid w:val="00471F39"/>
    <w:rsid w:val="00482601"/>
    <w:rsid w:val="00482A6B"/>
    <w:rsid w:val="00484C84"/>
    <w:rsid w:val="004875B8"/>
    <w:rsid w:val="004965EC"/>
    <w:rsid w:val="004C2522"/>
    <w:rsid w:val="004C3646"/>
    <w:rsid w:val="004D23D1"/>
    <w:rsid w:val="004D2765"/>
    <w:rsid w:val="004D7953"/>
    <w:rsid w:val="004E00C0"/>
    <w:rsid w:val="004E745E"/>
    <w:rsid w:val="004E78B2"/>
    <w:rsid w:val="004F3CE3"/>
    <w:rsid w:val="00505DFD"/>
    <w:rsid w:val="00524DB5"/>
    <w:rsid w:val="00531271"/>
    <w:rsid w:val="00531ADB"/>
    <w:rsid w:val="00532D84"/>
    <w:rsid w:val="0053310F"/>
    <w:rsid w:val="005375D4"/>
    <w:rsid w:val="005504CC"/>
    <w:rsid w:val="005539FD"/>
    <w:rsid w:val="0055632D"/>
    <w:rsid w:val="00556ED8"/>
    <w:rsid w:val="00563D93"/>
    <w:rsid w:val="00565F37"/>
    <w:rsid w:val="005663C4"/>
    <w:rsid w:val="00586519"/>
    <w:rsid w:val="00594C5C"/>
    <w:rsid w:val="005A0103"/>
    <w:rsid w:val="005A0820"/>
    <w:rsid w:val="005A1FDA"/>
    <w:rsid w:val="005A2666"/>
    <w:rsid w:val="005A4337"/>
    <w:rsid w:val="005B0D47"/>
    <w:rsid w:val="005B7087"/>
    <w:rsid w:val="005C2278"/>
    <w:rsid w:val="005C37C4"/>
    <w:rsid w:val="005C39BC"/>
    <w:rsid w:val="005C5689"/>
    <w:rsid w:val="005C7519"/>
    <w:rsid w:val="005D6412"/>
    <w:rsid w:val="005D6CD9"/>
    <w:rsid w:val="005E2B7A"/>
    <w:rsid w:val="005E67FC"/>
    <w:rsid w:val="005F6FED"/>
    <w:rsid w:val="005F7409"/>
    <w:rsid w:val="005F7D5E"/>
    <w:rsid w:val="006063B9"/>
    <w:rsid w:val="006074F4"/>
    <w:rsid w:val="00612C6F"/>
    <w:rsid w:val="00620754"/>
    <w:rsid w:val="0062285D"/>
    <w:rsid w:val="00624EDB"/>
    <w:rsid w:val="0062762E"/>
    <w:rsid w:val="00633C37"/>
    <w:rsid w:val="0063484C"/>
    <w:rsid w:val="00636559"/>
    <w:rsid w:val="0063745F"/>
    <w:rsid w:val="006405E8"/>
    <w:rsid w:val="00650AB7"/>
    <w:rsid w:val="00656491"/>
    <w:rsid w:val="00660E7F"/>
    <w:rsid w:val="00671ACC"/>
    <w:rsid w:val="0067393A"/>
    <w:rsid w:val="00675231"/>
    <w:rsid w:val="0068172F"/>
    <w:rsid w:val="00687FA8"/>
    <w:rsid w:val="00691A44"/>
    <w:rsid w:val="006931E8"/>
    <w:rsid w:val="006B2886"/>
    <w:rsid w:val="006B2A35"/>
    <w:rsid w:val="006B2F45"/>
    <w:rsid w:val="006C2803"/>
    <w:rsid w:val="006C2C48"/>
    <w:rsid w:val="006C49EA"/>
    <w:rsid w:val="006D3C23"/>
    <w:rsid w:val="006D538B"/>
    <w:rsid w:val="006D5710"/>
    <w:rsid w:val="006E74BE"/>
    <w:rsid w:val="006F052A"/>
    <w:rsid w:val="006F1761"/>
    <w:rsid w:val="006F28AC"/>
    <w:rsid w:val="007121A3"/>
    <w:rsid w:val="00717386"/>
    <w:rsid w:val="00721574"/>
    <w:rsid w:val="00732B4B"/>
    <w:rsid w:val="007340F6"/>
    <w:rsid w:val="00746F2D"/>
    <w:rsid w:val="007529C7"/>
    <w:rsid w:val="00762418"/>
    <w:rsid w:val="00762F8C"/>
    <w:rsid w:val="00774F9E"/>
    <w:rsid w:val="00780533"/>
    <w:rsid w:val="00787CB8"/>
    <w:rsid w:val="00791438"/>
    <w:rsid w:val="0079336A"/>
    <w:rsid w:val="00795AE9"/>
    <w:rsid w:val="007A27A8"/>
    <w:rsid w:val="007A697B"/>
    <w:rsid w:val="007D59A0"/>
    <w:rsid w:val="007E2F4B"/>
    <w:rsid w:val="007F7A88"/>
    <w:rsid w:val="00800A73"/>
    <w:rsid w:val="0080429E"/>
    <w:rsid w:val="008054B4"/>
    <w:rsid w:val="00812489"/>
    <w:rsid w:val="00817582"/>
    <w:rsid w:val="0082394A"/>
    <w:rsid w:val="00832703"/>
    <w:rsid w:val="0083439B"/>
    <w:rsid w:val="00834721"/>
    <w:rsid w:val="0084082A"/>
    <w:rsid w:val="008417E6"/>
    <w:rsid w:val="008418BF"/>
    <w:rsid w:val="0084318D"/>
    <w:rsid w:val="00845981"/>
    <w:rsid w:val="008550D3"/>
    <w:rsid w:val="00860431"/>
    <w:rsid w:val="00861868"/>
    <w:rsid w:val="00862277"/>
    <w:rsid w:val="00872200"/>
    <w:rsid w:val="008820A4"/>
    <w:rsid w:val="008830F5"/>
    <w:rsid w:val="008856A5"/>
    <w:rsid w:val="00886BB0"/>
    <w:rsid w:val="0089555F"/>
    <w:rsid w:val="008A36A9"/>
    <w:rsid w:val="008A6C95"/>
    <w:rsid w:val="008B1E2E"/>
    <w:rsid w:val="008C0146"/>
    <w:rsid w:val="008C4E93"/>
    <w:rsid w:val="008D0D06"/>
    <w:rsid w:val="008D0FBD"/>
    <w:rsid w:val="008D4217"/>
    <w:rsid w:val="008D5C9C"/>
    <w:rsid w:val="008E5422"/>
    <w:rsid w:val="008F48B8"/>
    <w:rsid w:val="008F6BC1"/>
    <w:rsid w:val="0090589E"/>
    <w:rsid w:val="00910182"/>
    <w:rsid w:val="00910F3E"/>
    <w:rsid w:val="0092092E"/>
    <w:rsid w:val="009258FE"/>
    <w:rsid w:val="00936E22"/>
    <w:rsid w:val="00943AFA"/>
    <w:rsid w:val="00946EB5"/>
    <w:rsid w:val="00947AFA"/>
    <w:rsid w:val="00955F29"/>
    <w:rsid w:val="00957355"/>
    <w:rsid w:val="009575F6"/>
    <w:rsid w:val="009625DE"/>
    <w:rsid w:val="009750A3"/>
    <w:rsid w:val="00991D32"/>
    <w:rsid w:val="0099235E"/>
    <w:rsid w:val="009929FB"/>
    <w:rsid w:val="00994627"/>
    <w:rsid w:val="00996096"/>
    <w:rsid w:val="009A41C4"/>
    <w:rsid w:val="009A4C51"/>
    <w:rsid w:val="009A5124"/>
    <w:rsid w:val="009A7895"/>
    <w:rsid w:val="009B257F"/>
    <w:rsid w:val="009B29D3"/>
    <w:rsid w:val="009C03A1"/>
    <w:rsid w:val="009C52E4"/>
    <w:rsid w:val="009D490B"/>
    <w:rsid w:val="009D59A4"/>
    <w:rsid w:val="009D5DD0"/>
    <w:rsid w:val="00A057E1"/>
    <w:rsid w:val="00A111B5"/>
    <w:rsid w:val="00A13C4F"/>
    <w:rsid w:val="00A21504"/>
    <w:rsid w:val="00A30C52"/>
    <w:rsid w:val="00A31214"/>
    <w:rsid w:val="00A463DB"/>
    <w:rsid w:val="00A53F99"/>
    <w:rsid w:val="00A548BF"/>
    <w:rsid w:val="00A5565B"/>
    <w:rsid w:val="00A6752A"/>
    <w:rsid w:val="00A729B8"/>
    <w:rsid w:val="00A95959"/>
    <w:rsid w:val="00A971E5"/>
    <w:rsid w:val="00AA43F2"/>
    <w:rsid w:val="00AA46FD"/>
    <w:rsid w:val="00AA4889"/>
    <w:rsid w:val="00AA4B8D"/>
    <w:rsid w:val="00AB3E42"/>
    <w:rsid w:val="00AB58BF"/>
    <w:rsid w:val="00AB7C12"/>
    <w:rsid w:val="00AC2006"/>
    <w:rsid w:val="00AC5E5D"/>
    <w:rsid w:val="00AD3BD2"/>
    <w:rsid w:val="00AD525F"/>
    <w:rsid w:val="00AD7200"/>
    <w:rsid w:val="00AD77D3"/>
    <w:rsid w:val="00AE4580"/>
    <w:rsid w:val="00AE46D9"/>
    <w:rsid w:val="00AE4A97"/>
    <w:rsid w:val="00AF130B"/>
    <w:rsid w:val="00B02347"/>
    <w:rsid w:val="00B03B39"/>
    <w:rsid w:val="00B154D1"/>
    <w:rsid w:val="00B16866"/>
    <w:rsid w:val="00B20594"/>
    <w:rsid w:val="00B21674"/>
    <w:rsid w:val="00B23EF0"/>
    <w:rsid w:val="00B35498"/>
    <w:rsid w:val="00B37818"/>
    <w:rsid w:val="00B378E8"/>
    <w:rsid w:val="00B460C4"/>
    <w:rsid w:val="00B461B8"/>
    <w:rsid w:val="00B71A68"/>
    <w:rsid w:val="00B7689C"/>
    <w:rsid w:val="00B83A5D"/>
    <w:rsid w:val="00B85A5D"/>
    <w:rsid w:val="00B91691"/>
    <w:rsid w:val="00B943BA"/>
    <w:rsid w:val="00B96522"/>
    <w:rsid w:val="00BA39B2"/>
    <w:rsid w:val="00BB192C"/>
    <w:rsid w:val="00BB2447"/>
    <w:rsid w:val="00BB42CE"/>
    <w:rsid w:val="00BB5E23"/>
    <w:rsid w:val="00BC192D"/>
    <w:rsid w:val="00BC4F07"/>
    <w:rsid w:val="00BD6BF5"/>
    <w:rsid w:val="00BD798A"/>
    <w:rsid w:val="00BE33F9"/>
    <w:rsid w:val="00BE7125"/>
    <w:rsid w:val="00BF2F2A"/>
    <w:rsid w:val="00C00891"/>
    <w:rsid w:val="00C03795"/>
    <w:rsid w:val="00C046EE"/>
    <w:rsid w:val="00C055B2"/>
    <w:rsid w:val="00C10335"/>
    <w:rsid w:val="00C10524"/>
    <w:rsid w:val="00C10827"/>
    <w:rsid w:val="00C167AE"/>
    <w:rsid w:val="00C17A8C"/>
    <w:rsid w:val="00C21F11"/>
    <w:rsid w:val="00C22647"/>
    <w:rsid w:val="00C23825"/>
    <w:rsid w:val="00C37BAA"/>
    <w:rsid w:val="00C42DA9"/>
    <w:rsid w:val="00C4412F"/>
    <w:rsid w:val="00C47279"/>
    <w:rsid w:val="00C52AC2"/>
    <w:rsid w:val="00C6079B"/>
    <w:rsid w:val="00C7268B"/>
    <w:rsid w:val="00C807E0"/>
    <w:rsid w:val="00C854FB"/>
    <w:rsid w:val="00C85B5C"/>
    <w:rsid w:val="00C860B4"/>
    <w:rsid w:val="00C94B3B"/>
    <w:rsid w:val="00C952C6"/>
    <w:rsid w:val="00C95C4E"/>
    <w:rsid w:val="00CA2710"/>
    <w:rsid w:val="00CA5661"/>
    <w:rsid w:val="00CA5C55"/>
    <w:rsid w:val="00CB06C6"/>
    <w:rsid w:val="00CB18BF"/>
    <w:rsid w:val="00CB28B4"/>
    <w:rsid w:val="00CB730D"/>
    <w:rsid w:val="00CC0315"/>
    <w:rsid w:val="00CC073F"/>
    <w:rsid w:val="00CC45C2"/>
    <w:rsid w:val="00CC610D"/>
    <w:rsid w:val="00CC7182"/>
    <w:rsid w:val="00CD3F6A"/>
    <w:rsid w:val="00CD5AE1"/>
    <w:rsid w:val="00CD6100"/>
    <w:rsid w:val="00CE1B82"/>
    <w:rsid w:val="00CF5E8B"/>
    <w:rsid w:val="00CF7C7F"/>
    <w:rsid w:val="00D00404"/>
    <w:rsid w:val="00D06CE3"/>
    <w:rsid w:val="00D10BFE"/>
    <w:rsid w:val="00D13206"/>
    <w:rsid w:val="00D1547B"/>
    <w:rsid w:val="00D1695A"/>
    <w:rsid w:val="00D33B28"/>
    <w:rsid w:val="00D35E8F"/>
    <w:rsid w:val="00D4245D"/>
    <w:rsid w:val="00D5167D"/>
    <w:rsid w:val="00D62C9C"/>
    <w:rsid w:val="00D641C4"/>
    <w:rsid w:val="00D856C0"/>
    <w:rsid w:val="00D95956"/>
    <w:rsid w:val="00DA1128"/>
    <w:rsid w:val="00DA63E4"/>
    <w:rsid w:val="00DA6902"/>
    <w:rsid w:val="00DB1976"/>
    <w:rsid w:val="00DB27C2"/>
    <w:rsid w:val="00DB458B"/>
    <w:rsid w:val="00DC34D8"/>
    <w:rsid w:val="00DC72D7"/>
    <w:rsid w:val="00DD020A"/>
    <w:rsid w:val="00DD13B5"/>
    <w:rsid w:val="00DD1DBF"/>
    <w:rsid w:val="00DD7070"/>
    <w:rsid w:val="00DF42E7"/>
    <w:rsid w:val="00DF60C8"/>
    <w:rsid w:val="00E01A6A"/>
    <w:rsid w:val="00E03FF6"/>
    <w:rsid w:val="00E15B84"/>
    <w:rsid w:val="00E15F7E"/>
    <w:rsid w:val="00E16B85"/>
    <w:rsid w:val="00E22375"/>
    <w:rsid w:val="00E234A4"/>
    <w:rsid w:val="00E23893"/>
    <w:rsid w:val="00E27608"/>
    <w:rsid w:val="00E332BA"/>
    <w:rsid w:val="00E364F5"/>
    <w:rsid w:val="00E435A5"/>
    <w:rsid w:val="00E550C9"/>
    <w:rsid w:val="00E61E2A"/>
    <w:rsid w:val="00E63509"/>
    <w:rsid w:val="00E64982"/>
    <w:rsid w:val="00E709EE"/>
    <w:rsid w:val="00E96404"/>
    <w:rsid w:val="00EA303A"/>
    <w:rsid w:val="00EA38C5"/>
    <w:rsid w:val="00EA4C2F"/>
    <w:rsid w:val="00EB1434"/>
    <w:rsid w:val="00EB42F0"/>
    <w:rsid w:val="00EB45DF"/>
    <w:rsid w:val="00EB64FE"/>
    <w:rsid w:val="00EC76BC"/>
    <w:rsid w:val="00EC789F"/>
    <w:rsid w:val="00EE4488"/>
    <w:rsid w:val="00EE5277"/>
    <w:rsid w:val="00F014D0"/>
    <w:rsid w:val="00F01C71"/>
    <w:rsid w:val="00F02247"/>
    <w:rsid w:val="00F10154"/>
    <w:rsid w:val="00F21449"/>
    <w:rsid w:val="00F40FF8"/>
    <w:rsid w:val="00F444F8"/>
    <w:rsid w:val="00F51642"/>
    <w:rsid w:val="00F53147"/>
    <w:rsid w:val="00F61F5E"/>
    <w:rsid w:val="00F64333"/>
    <w:rsid w:val="00F733E5"/>
    <w:rsid w:val="00F74C82"/>
    <w:rsid w:val="00F86415"/>
    <w:rsid w:val="00F96514"/>
    <w:rsid w:val="00F97518"/>
    <w:rsid w:val="00F97C14"/>
    <w:rsid w:val="00F97EB0"/>
    <w:rsid w:val="00FD0513"/>
    <w:rsid w:val="00FD161F"/>
    <w:rsid w:val="00FE0D7B"/>
    <w:rsid w:val="00FE2C47"/>
    <w:rsid w:val="00FF3135"/>
    <w:rsid w:val="2DE07FAF"/>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200" w:line="276" w:lineRule="auto"/>
    </w:pPr>
    <w:rPr>
      <w:rFonts w:ascii="Calibri" w:hAnsi="Calibri" w:eastAsia="Calibri" w:cs="Times New Roman"/>
      <w:sz w:val="22"/>
      <w:szCs w:val="22"/>
      <w:lang w:val="pt-BR"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annotation reference"/>
    <w:basedOn w:val="2"/>
    <w:semiHidden/>
    <w:unhideWhenUsed/>
    <w:uiPriority w:val="99"/>
    <w:rPr>
      <w:sz w:val="16"/>
      <w:szCs w:val="16"/>
    </w:rPr>
  </w:style>
  <w:style w:type="paragraph" w:styleId="5">
    <w:name w:val="Body Text"/>
    <w:basedOn w:val="1"/>
    <w:link w:val="21"/>
    <w:semiHidden/>
    <w:unhideWhenUsed/>
    <w:uiPriority w:val="99"/>
    <w:pPr>
      <w:spacing w:after="0" w:line="240" w:lineRule="auto"/>
      <w:jc w:val="both"/>
    </w:pPr>
    <w:rPr>
      <w:rFonts w:ascii="Arial" w:hAnsi="Arial" w:eastAsia="Times New Roman"/>
      <w:sz w:val="24"/>
      <w:szCs w:val="20"/>
      <w:lang w:val="zh-CN" w:eastAsia="zh-CN"/>
    </w:rPr>
  </w:style>
  <w:style w:type="paragraph" w:styleId="6">
    <w:name w:val="annotation text"/>
    <w:basedOn w:val="1"/>
    <w:link w:val="18"/>
    <w:unhideWhenUsed/>
    <w:uiPriority w:val="99"/>
    <w:pPr>
      <w:spacing w:line="240" w:lineRule="auto"/>
    </w:pPr>
    <w:rPr>
      <w:sz w:val="20"/>
      <w:szCs w:val="20"/>
    </w:rPr>
  </w:style>
  <w:style w:type="paragraph" w:styleId="7">
    <w:name w:val="header"/>
    <w:basedOn w:val="1"/>
    <w:link w:val="12"/>
    <w:unhideWhenUsed/>
    <w:qFormat/>
    <w:uiPriority w:val="99"/>
    <w:pPr>
      <w:tabs>
        <w:tab w:val="center" w:pos="4252"/>
        <w:tab w:val="right" w:pos="8504"/>
      </w:tabs>
      <w:spacing w:after="0" w:line="240" w:lineRule="auto"/>
    </w:pPr>
    <w:rPr>
      <w:rFonts w:asciiTheme="minorHAnsi" w:hAnsiTheme="minorHAnsi" w:eastAsiaTheme="minorHAnsi" w:cstheme="minorBidi"/>
    </w:rPr>
  </w:style>
  <w:style w:type="paragraph" w:styleId="8">
    <w:name w:val="annotation subject"/>
    <w:basedOn w:val="6"/>
    <w:next w:val="6"/>
    <w:link w:val="19"/>
    <w:semiHidden/>
    <w:unhideWhenUsed/>
    <w:uiPriority w:val="99"/>
    <w:rPr>
      <w:b/>
      <w:bCs/>
    </w:rPr>
  </w:style>
  <w:style w:type="paragraph" w:styleId="9">
    <w:name w:val="footer"/>
    <w:basedOn w:val="1"/>
    <w:link w:val="16"/>
    <w:unhideWhenUsed/>
    <w:uiPriority w:val="99"/>
    <w:pPr>
      <w:tabs>
        <w:tab w:val="center" w:pos="4252"/>
        <w:tab w:val="right" w:pos="8504"/>
      </w:tabs>
      <w:spacing w:after="0" w:line="240" w:lineRule="auto"/>
    </w:pPr>
  </w:style>
  <w:style w:type="paragraph" w:styleId="10">
    <w:name w:val="Balloon Text"/>
    <w:basedOn w:val="1"/>
    <w:link w:val="17"/>
    <w:semiHidden/>
    <w:unhideWhenUsed/>
    <w:uiPriority w:val="99"/>
    <w:pPr>
      <w:spacing w:after="0" w:line="240" w:lineRule="auto"/>
    </w:pPr>
    <w:rPr>
      <w:rFonts w:ascii="Tahoma" w:hAnsi="Tahoma" w:cs="Tahoma"/>
      <w:sz w:val="16"/>
      <w:szCs w:val="16"/>
    </w:rPr>
  </w:style>
  <w:style w:type="table" w:styleId="11">
    <w:name w:val="Table Grid"/>
    <w:basedOn w:val="3"/>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12">
    <w:name w:val="Cabeçalho Char"/>
    <w:basedOn w:val="2"/>
    <w:link w:val="7"/>
    <w:uiPriority w:val="99"/>
  </w:style>
  <w:style w:type="paragraph" w:styleId="13">
    <w:name w:val="No Spacing"/>
    <w:qFormat/>
    <w:uiPriority w:val="1"/>
    <w:pPr>
      <w:spacing w:after="0" w:line="240" w:lineRule="auto"/>
    </w:pPr>
    <w:rPr>
      <w:rFonts w:ascii="Calibri" w:hAnsi="Calibri" w:eastAsia="Calibri" w:cs="Times New Roman"/>
      <w:sz w:val="22"/>
      <w:szCs w:val="22"/>
      <w:lang w:val="pt-BR" w:eastAsia="en-US" w:bidi="ar-SA"/>
    </w:rPr>
  </w:style>
  <w:style w:type="paragraph" w:customStyle="1" w:styleId="14">
    <w:name w:val="Conteúdo da tabela"/>
    <w:basedOn w:val="1"/>
    <w:qFormat/>
    <w:uiPriority w:val="0"/>
    <w:pPr>
      <w:widowControl w:val="0"/>
      <w:suppressLineNumbers/>
      <w:suppressAutoHyphens/>
      <w:spacing w:after="0" w:line="240" w:lineRule="auto"/>
    </w:pPr>
    <w:rPr>
      <w:rFonts w:ascii="Liberation Serif" w:hAnsi="Liberation Serif" w:eastAsia="NSimSun" w:cs="Lucida Sans"/>
      <w:kern w:val="2"/>
      <w:sz w:val="24"/>
      <w:szCs w:val="24"/>
      <w:lang w:eastAsia="zh-CN" w:bidi="hi-IN"/>
    </w:rPr>
  </w:style>
  <w:style w:type="paragraph" w:styleId="15">
    <w:name w:val="List Paragraph"/>
    <w:basedOn w:val="1"/>
    <w:qFormat/>
    <w:uiPriority w:val="34"/>
    <w:pPr>
      <w:suppressAutoHyphens/>
      <w:spacing w:after="0" w:line="240" w:lineRule="auto"/>
      <w:ind w:left="720"/>
      <w:contextualSpacing/>
    </w:pPr>
    <w:rPr>
      <w:rFonts w:ascii="Liberation Serif" w:hAnsi="Liberation Serif" w:eastAsia="NSimSun" w:cs="Mangal"/>
      <w:kern w:val="2"/>
      <w:sz w:val="24"/>
      <w:szCs w:val="21"/>
      <w:lang w:eastAsia="zh-CN" w:bidi="hi-IN"/>
    </w:rPr>
  </w:style>
  <w:style w:type="character" w:customStyle="1" w:styleId="16">
    <w:name w:val="Rodapé Char"/>
    <w:basedOn w:val="2"/>
    <w:link w:val="9"/>
    <w:uiPriority w:val="99"/>
    <w:rPr>
      <w:rFonts w:ascii="Calibri" w:hAnsi="Calibri" w:eastAsia="Calibri" w:cs="Times New Roman"/>
    </w:rPr>
  </w:style>
  <w:style w:type="character" w:customStyle="1" w:styleId="17">
    <w:name w:val="Texto de balão Char"/>
    <w:basedOn w:val="2"/>
    <w:link w:val="10"/>
    <w:semiHidden/>
    <w:uiPriority w:val="99"/>
    <w:rPr>
      <w:rFonts w:ascii="Tahoma" w:hAnsi="Tahoma" w:eastAsia="Calibri" w:cs="Tahoma"/>
      <w:sz w:val="16"/>
      <w:szCs w:val="16"/>
    </w:rPr>
  </w:style>
  <w:style w:type="character" w:customStyle="1" w:styleId="18">
    <w:name w:val="Texto de comentário Char"/>
    <w:basedOn w:val="2"/>
    <w:link w:val="6"/>
    <w:uiPriority w:val="99"/>
    <w:rPr>
      <w:rFonts w:ascii="Calibri" w:hAnsi="Calibri" w:eastAsia="Calibri" w:cs="Times New Roman"/>
      <w:sz w:val="20"/>
      <w:szCs w:val="20"/>
    </w:rPr>
  </w:style>
  <w:style w:type="character" w:customStyle="1" w:styleId="19">
    <w:name w:val="Assunto do comentário Char"/>
    <w:basedOn w:val="18"/>
    <w:link w:val="8"/>
    <w:semiHidden/>
    <w:uiPriority w:val="99"/>
    <w:rPr>
      <w:rFonts w:ascii="Calibri" w:hAnsi="Calibri" w:eastAsia="Calibri" w:cs="Times New Roman"/>
      <w:b/>
      <w:bCs/>
      <w:sz w:val="20"/>
      <w:szCs w:val="20"/>
    </w:rPr>
  </w:style>
  <w:style w:type="character" w:customStyle="1" w:styleId="20">
    <w:name w:val="morecontent"/>
    <w:basedOn w:val="2"/>
    <w:uiPriority w:val="0"/>
  </w:style>
  <w:style w:type="character" w:customStyle="1" w:styleId="21">
    <w:name w:val="Corpo de texto Char"/>
    <w:basedOn w:val="2"/>
    <w:link w:val="5"/>
    <w:semiHidden/>
    <w:uiPriority w:val="99"/>
    <w:rPr>
      <w:rFonts w:ascii="Arial" w:hAnsi="Arial" w:eastAsia="Times New Roman" w:cs="Times New Roman"/>
      <w:sz w:val="24"/>
      <w:szCs w:val="20"/>
      <w:lang w:val="zh-CN" w:eastAsia="zh-CN"/>
    </w:rPr>
  </w:style>
  <w:style w:type="paragraph" w:customStyle="1" w:styleId="22">
    <w:name w:val="Default"/>
    <w:qFormat/>
    <w:uiPriority w:val="99"/>
    <w:pPr>
      <w:autoSpaceDE w:val="0"/>
      <w:autoSpaceDN w:val="0"/>
      <w:adjustRightInd w:val="0"/>
      <w:spacing w:after="0" w:line="240" w:lineRule="auto"/>
    </w:pPr>
    <w:rPr>
      <w:rFonts w:ascii="Verdana" w:hAnsi="Verdana" w:eastAsia="Times New Roman" w:cs="Verdana"/>
      <w:color w:val="000000"/>
      <w:sz w:val="24"/>
      <w:szCs w:val="24"/>
      <w:lang w:val="pt-BR" w:eastAsia="pt-BR"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51B70CB-AF9C-47C6-A108-B572B40402FC}">
  <ds:schemaRefs/>
</ds:datastoreItem>
</file>

<file path=docProps/app.xml><?xml version="1.0" encoding="utf-8"?>
<Properties xmlns="http://schemas.openxmlformats.org/officeDocument/2006/extended-properties" xmlns:vt="http://schemas.openxmlformats.org/officeDocument/2006/docPropsVTypes">
  <Template>Normal</Template>
  <Pages>8</Pages>
  <Words>1624</Words>
  <Characters>8770</Characters>
  <Lines>73</Lines>
  <Paragraphs>20</Paragraphs>
  <TotalTime>76</TotalTime>
  <ScaleCrop>false</ScaleCrop>
  <LinksUpToDate>false</LinksUpToDate>
  <CharactersWithSpaces>10374</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2024-02-28T14:27:00Z</dcterms:created>
  <dc:creator>Secad</dc:creator>
  <cp:lastModifiedBy>darllyson.henrique</cp:lastModifiedBy>
  <cp:lastPrinted>2024-05-22T11:17:00Z</cp:lastPrinted>
  <dcterms:modified xsi:type="dcterms:W3CDTF">2024-06-07T13:03:44Z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1046-12.2.0.17119</vt:lpwstr>
  </property>
  <property fmtid="{D5CDD505-2E9C-101B-9397-08002B2CF9AE}" pid="3" name="ICV">
    <vt:lpwstr>D131724E98F04354835D26E544ED7327_13</vt:lpwstr>
  </property>
</Properties>
</file>