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489B9">
      <w:pPr>
        <w:jc w:val="center"/>
        <w:rPr>
          <w:rFonts w:ascii="Arial" w:hAnsi="Arial" w:cs="Arial"/>
          <w:b/>
          <w:bCs/>
          <w:sz w:val="24"/>
          <w:szCs w:val="24"/>
          <w:lang w:eastAsia="pt-BR"/>
        </w:rPr>
      </w:pPr>
      <w:bookmarkStart w:id="3" w:name="_GoBack"/>
      <w:bookmarkEnd w:id="3"/>
      <w:r>
        <w:rPr>
          <w:rFonts w:ascii="Arial" w:hAnsi="Arial" w:cs="Arial"/>
          <w:b/>
          <w:bCs/>
          <w:sz w:val="24"/>
          <w:szCs w:val="24"/>
          <w:lang w:eastAsia="pt-BR"/>
        </w:rPr>
        <w:t>EDITAL DE LICITAÇÃO</w:t>
      </w:r>
    </w:p>
    <w:p w14:paraId="39E0FE5E">
      <w:pPr>
        <w:suppressAutoHyphens w:val="0"/>
        <w:autoSpaceDE w:val="0"/>
        <w:autoSpaceDN w:val="0"/>
        <w:adjustRightInd w:val="0"/>
        <w:spacing w:line="360" w:lineRule="auto"/>
        <w:jc w:val="center"/>
        <w:rPr>
          <w:rFonts w:ascii="Arial" w:hAnsi="Arial" w:cs="Arial"/>
          <w:b/>
          <w:bCs/>
          <w:sz w:val="24"/>
          <w:szCs w:val="24"/>
          <w:lang w:eastAsia="pt-BR"/>
        </w:rPr>
      </w:pPr>
      <w:r>
        <w:rPr>
          <w:rFonts w:ascii="Arial" w:hAnsi="Arial" w:cs="Arial"/>
          <w:b/>
          <w:bCs/>
          <w:sz w:val="24"/>
          <w:szCs w:val="24"/>
          <w:lang w:eastAsia="pt-BR"/>
        </w:rPr>
        <w:t>PROCESSO ADMINISTRATIVO N.º 1723/2025</w:t>
      </w:r>
    </w:p>
    <w:p w14:paraId="7ED467A1">
      <w:pPr>
        <w:suppressAutoHyphens w:val="0"/>
        <w:autoSpaceDE w:val="0"/>
        <w:autoSpaceDN w:val="0"/>
        <w:adjustRightInd w:val="0"/>
        <w:spacing w:line="360" w:lineRule="auto"/>
        <w:jc w:val="center"/>
        <w:rPr>
          <w:rFonts w:ascii="Arial" w:hAnsi="Arial" w:cs="Arial"/>
          <w:b/>
          <w:bCs/>
          <w:color w:val="FF0000"/>
          <w:sz w:val="24"/>
          <w:szCs w:val="24"/>
          <w:lang w:eastAsia="pt-BR"/>
        </w:rPr>
      </w:pPr>
      <w:r>
        <w:rPr>
          <w:rFonts w:ascii="Arial" w:hAnsi="Arial" w:cs="Arial"/>
          <w:b/>
          <w:bCs/>
          <w:color w:val="FF0000"/>
          <w:sz w:val="24"/>
          <w:szCs w:val="24"/>
          <w:lang w:eastAsia="pt-BR"/>
        </w:rPr>
        <w:t>PROCESSO LICITATÓRIO N.º 32/2025</w:t>
      </w:r>
    </w:p>
    <w:p w14:paraId="35B893B4">
      <w:pPr>
        <w:suppressAutoHyphens w:val="0"/>
        <w:autoSpaceDE w:val="0"/>
        <w:autoSpaceDN w:val="0"/>
        <w:adjustRightInd w:val="0"/>
        <w:spacing w:line="360" w:lineRule="auto"/>
        <w:jc w:val="center"/>
        <w:rPr>
          <w:rFonts w:ascii="Arial" w:hAnsi="Arial" w:cs="Arial"/>
          <w:b/>
          <w:bCs/>
          <w:color w:val="FF0000"/>
          <w:sz w:val="24"/>
          <w:szCs w:val="24"/>
          <w:lang w:eastAsia="pt-BR"/>
        </w:rPr>
      </w:pPr>
      <w:r>
        <w:rPr>
          <w:rFonts w:ascii="Arial" w:hAnsi="Arial" w:cs="Arial"/>
          <w:b/>
          <w:bCs/>
          <w:color w:val="FF0000"/>
          <w:sz w:val="24"/>
          <w:szCs w:val="24"/>
          <w:lang w:eastAsia="pt-BR"/>
        </w:rPr>
        <w:t>PREGÃO ELETRÔNICO N.º 27/2025</w:t>
      </w:r>
    </w:p>
    <w:p w14:paraId="109ECB16">
      <w:pPr>
        <w:suppressAutoHyphens w:val="0"/>
        <w:autoSpaceDE w:val="0"/>
        <w:spacing w:line="360" w:lineRule="auto"/>
        <w:jc w:val="both"/>
        <w:rPr>
          <w:rFonts w:ascii="Arial" w:hAnsi="Arial" w:cs="Arial"/>
          <w:b/>
          <w:bCs/>
          <w:sz w:val="24"/>
          <w:szCs w:val="24"/>
          <w:lang w:eastAsia="pt-BR"/>
        </w:rPr>
      </w:pPr>
    </w:p>
    <w:p w14:paraId="045C0D21">
      <w:pPr>
        <w:suppressAutoHyphens w:val="0"/>
        <w:autoSpaceDE w:val="0"/>
        <w:spacing w:line="360" w:lineRule="auto"/>
        <w:jc w:val="both"/>
        <w:rPr>
          <w:rFonts w:ascii="Arial" w:hAnsi="Arial" w:cs="Arial"/>
          <w:b/>
          <w:bCs/>
          <w:sz w:val="24"/>
          <w:szCs w:val="24"/>
          <w:lang w:eastAsia="pt-BR"/>
        </w:rPr>
      </w:pPr>
    </w:p>
    <w:p w14:paraId="7671450E">
      <w:pPr>
        <w:suppressAutoHyphens w:val="0"/>
        <w:autoSpaceDE w:val="0"/>
        <w:spacing w:line="360" w:lineRule="auto"/>
        <w:jc w:val="both"/>
        <w:rPr>
          <w:rFonts w:ascii="Arial" w:hAnsi="Arial" w:cs="Arial"/>
          <w:b/>
          <w:bCs/>
          <w:sz w:val="24"/>
          <w:szCs w:val="24"/>
        </w:rPr>
      </w:pPr>
      <w:r>
        <w:rPr>
          <w:rFonts w:ascii="Arial" w:hAnsi="Arial" w:cs="Arial"/>
          <w:b/>
          <w:bCs/>
          <w:sz w:val="24"/>
          <w:szCs w:val="24"/>
        </w:rPr>
        <w:t>I – PREÂMBULO</w:t>
      </w:r>
    </w:p>
    <w:p w14:paraId="7E62ECFC">
      <w:pPr>
        <w:spacing w:line="360" w:lineRule="auto"/>
        <w:jc w:val="both"/>
        <w:rPr>
          <w:rFonts w:ascii="Arial" w:hAnsi="Arial" w:cs="Arial"/>
          <w:sz w:val="24"/>
          <w:szCs w:val="24"/>
        </w:rPr>
      </w:pPr>
      <w:r>
        <w:rPr>
          <w:rFonts w:ascii="Arial" w:hAnsi="Arial" w:cs="Arial"/>
          <w:sz w:val="24"/>
          <w:szCs w:val="24"/>
        </w:rPr>
        <w:t xml:space="preserve">1.1 – O Município de Cedral, Estado de São Paulo, inscrito no CNPJ sob n.º 45.093.663/0001-36, representado pelo Excelentíssimo Senhor Prefeito, </w:t>
      </w:r>
      <w:r>
        <w:rPr>
          <w:rFonts w:ascii="Arial" w:hAnsi="Arial" w:cs="Arial"/>
          <w:b/>
          <w:sz w:val="24"/>
          <w:szCs w:val="24"/>
          <w:highlight w:val="yellow"/>
        </w:rPr>
        <w:t>IRINEO BEOLCHI JÚNIOR</w:t>
      </w:r>
      <w:r>
        <w:rPr>
          <w:rFonts w:ascii="Arial" w:hAnsi="Arial" w:cs="Arial"/>
          <w:sz w:val="24"/>
          <w:szCs w:val="24"/>
        </w:rPr>
        <w:t xml:space="preserve">, através dos Pregoeiros e Equipe de Apoio, nomeados pela </w:t>
      </w:r>
      <w:r>
        <w:rPr>
          <w:rFonts w:ascii="Arial" w:hAnsi="Arial" w:cs="Arial"/>
          <w:b/>
          <w:bCs/>
          <w:sz w:val="24"/>
          <w:szCs w:val="24"/>
          <w:highlight w:val="yellow"/>
          <w:u w:val="single"/>
        </w:rPr>
        <w:t xml:space="preserve">Portaria n.º </w:t>
      </w:r>
      <w:r>
        <w:rPr>
          <w:rFonts w:ascii="Arial" w:hAnsi="Arial" w:cs="Arial"/>
          <w:b/>
          <w:bCs/>
          <w:sz w:val="24"/>
          <w:szCs w:val="24"/>
          <w:u w:val="single"/>
        </w:rPr>
        <w:t>3.940 de 14/01/2025</w:t>
      </w:r>
      <w:r>
        <w:rPr>
          <w:rFonts w:ascii="Arial" w:hAnsi="Arial" w:cs="Arial"/>
          <w:sz w:val="24"/>
          <w:szCs w:val="24"/>
        </w:rPr>
        <w:t xml:space="preserve"> observadas às disposições contidas na </w:t>
      </w:r>
      <w:r>
        <w:rPr>
          <w:rFonts w:ascii="Arial" w:hAnsi="Arial" w:cs="Arial"/>
          <w:b/>
          <w:sz w:val="24"/>
          <w:szCs w:val="24"/>
          <w:highlight w:val="yellow"/>
          <w:u w:val="single"/>
        </w:rPr>
        <w:t>Lei Federal nº/14.133/2021 e Decreto Municipal nº 3.500/2022</w:t>
      </w:r>
      <w:r>
        <w:rPr>
          <w:rFonts w:ascii="Arial" w:hAnsi="Arial" w:cs="Arial"/>
          <w:sz w:val="24"/>
          <w:szCs w:val="24"/>
        </w:rPr>
        <w:t>, Lei Complementar 123/2006, alterada pela Lei Complementar 147/2014, e Decreto Federal nº 8.538/2015, com suas alterações, torna público a realização da seguinte licitação:</w:t>
      </w:r>
    </w:p>
    <w:p w14:paraId="48103736">
      <w:pPr>
        <w:spacing w:line="360" w:lineRule="auto"/>
        <w:jc w:val="both"/>
        <w:rPr>
          <w:rFonts w:ascii="Arial" w:hAnsi="Arial" w:cs="Arial"/>
          <w:sz w:val="24"/>
          <w:szCs w:val="24"/>
        </w:rPr>
      </w:pPr>
    </w:p>
    <w:p w14:paraId="3122F29A">
      <w:pPr>
        <w:numPr>
          <w:ilvl w:val="0"/>
          <w:numId w:val="1"/>
        </w:numPr>
        <w:suppressAutoHyphens w:val="0"/>
        <w:autoSpaceDE w:val="0"/>
        <w:autoSpaceDN w:val="0"/>
        <w:adjustRightInd w:val="0"/>
        <w:spacing w:line="360" w:lineRule="auto"/>
        <w:rPr>
          <w:rFonts w:ascii="Arial" w:hAnsi="Arial" w:cs="Arial"/>
          <w:b/>
          <w:bCs/>
          <w:sz w:val="24"/>
          <w:szCs w:val="24"/>
          <w:highlight w:val="lightGray"/>
          <w:lang w:eastAsia="pt-BR"/>
        </w:rPr>
      </w:pPr>
      <w:r>
        <w:rPr>
          <w:rFonts w:ascii="Arial" w:hAnsi="Arial" w:cs="Arial"/>
          <w:b/>
          <w:bCs/>
          <w:sz w:val="24"/>
          <w:szCs w:val="24"/>
          <w:highlight w:val="lightGray"/>
          <w:lang w:eastAsia="pt-BR"/>
        </w:rPr>
        <w:t xml:space="preserve">PREGÃO ELETRÔNICO PARA </w:t>
      </w:r>
      <w:r>
        <w:rPr>
          <w:rFonts w:ascii="Arial" w:hAnsi="Arial" w:cs="Arial"/>
          <w:b/>
          <w:bCs/>
          <w:sz w:val="24"/>
          <w:szCs w:val="24"/>
          <w:highlight w:val="yellow"/>
          <w:lang w:eastAsia="pt-BR"/>
        </w:rPr>
        <w:t>REGISTRO DE PREÇOS</w:t>
      </w:r>
    </w:p>
    <w:p w14:paraId="24C1CB93">
      <w:pPr>
        <w:numPr>
          <w:ilvl w:val="0"/>
          <w:numId w:val="1"/>
        </w:numPr>
        <w:suppressAutoHyphens w:val="0"/>
        <w:autoSpaceDE w:val="0"/>
        <w:autoSpaceDN w:val="0"/>
        <w:adjustRightInd w:val="0"/>
        <w:spacing w:line="360" w:lineRule="auto"/>
        <w:rPr>
          <w:rFonts w:ascii="Arial" w:hAnsi="Arial" w:cs="Arial"/>
          <w:b/>
          <w:bCs/>
          <w:sz w:val="24"/>
          <w:szCs w:val="24"/>
          <w:highlight w:val="lightGray"/>
          <w:lang w:eastAsia="pt-BR"/>
        </w:rPr>
      </w:pPr>
      <w:r>
        <w:rPr>
          <w:rFonts w:ascii="Arial" w:hAnsi="Arial" w:cs="Arial"/>
          <w:b/>
          <w:bCs/>
          <w:sz w:val="24"/>
          <w:szCs w:val="24"/>
          <w:highlight w:val="yellow"/>
          <w:lang w:eastAsia="pt-BR"/>
        </w:rPr>
        <w:t>CRITÉRIO DE JULGAMENTO DE MENOR PREÇO POR ITEM</w:t>
      </w:r>
      <w:r>
        <w:rPr>
          <w:rFonts w:ascii="Arial" w:hAnsi="Arial" w:cs="Arial"/>
          <w:b/>
          <w:bCs/>
          <w:sz w:val="24"/>
          <w:szCs w:val="24"/>
          <w:highlight w:val="lightGray"/>
          <w:lang w:eastAsia="pt-BR"/>
        </w:rPr>
        <w:t xml:space="preserve">, DEVENDO A ETAPA DE LANCES PROCEDER PELO </w:t>
      </w:r>
      <w:r>
        <w:rPr>
          <w:rFonts w:ascii="Arial" w:hAnsi="Arial" w:cs="Arial"/>
          <w:b/>
          <w:bCs/>
          <w:sz w:val="24"/>
          <w:szCs w:val="24"/>
          <w:highlight w:val="yellow"/>
          <w:lang w:eastAsia="pt-BR"/>
        </w:rPr>
        <w:t>VALOR GLOBAL DO ITEM</w:t>
      </w:r>
    </w:p>
    <w:p w14:paraId="39AB80C6">
      <w:pPr>
        <w:numPr>
          <w:ilvl w:val="0"/>
          <w:numId w:val="1"/>
        </w:numPr>
        <w:suppressAutoHyphens w:val="0"/>
        <w:autoSpaceDE w:val="0"/>
        <w:autoSpaceDN w:val="0"/>
        <w:adjustRightInd w:val="0"/>
        <w:spacing w:line="360" w:lineRule="auto"/>
        <w:rPr>
          <w:rFonts w:ascii="Arial" w:hAnsi="Arial" w:cs="Arial"/>
          <w:b/>
          <w:bCs/>
          <w:sz w:val="24"/>
          <w:szCs w:val="24"/>
          <w:highlight w:val="lightGray"/>
          <w:lang w:eastAsia="pt-BR"/>
        </w:rPr>
      </w:pPr>
      <w:r>
        <w:rPr>
          <w:rFonts w:ascii="Arial" w:hAnsi="Arial" w:cs="Arial"/>
          <w:b/>
          <w:bCs/>
          <w:sz w:val="24"/>
          <w:szCs w:val="24"/>
          <w:highlight w:val="lightGray"/>
          <w:lang w:eastAsia="pt-BR"/>
        </w:rPr>
        <w:t>MODO DE DISPUTA ABERTO</w:t>
      </w:r>
    </w:p>
    <w:p w14:paraId="0377F284">
      <w:pPr>
        <w:numPr>
          <w:ilvl w:val="0"/>
          <w:numId w:val="1"/>
        </w:numPr>
        <w:suppressAutoHyphens w:val="0"/>
        <w:autoSpaceDE w:val="0"/>
        <w:autoSpaceDN w:val="0"/>
        <w:adjustRightInd w:val="0"/>
        <w:spacing w:line="360" w:lineRule="auto"/>
        <w:rPr>
          <w:rFonts w:ascii="Arial" w:hAnsi="Arial" w:cs="Arial"/>
          <w:b/>
          <w:bCs/>
          <w:sz w:val="24"/>
          <w:szCs w:val="24"/>
          <w:highlight w:val="lightGray"/>
          <w:lang w:eastAsia="pt-BR"/>
        </w:rPr>
      </w:pPr>
      <w:r>
        <w:rPr>
          <w:rFonts w:ascii="Arial" w:hAnsi="Arial" w:cs="Arial"/>
          <w:b/>
          <w:bCs/>
          <w:sz w:val="24"/>
          <w:szCs w:val="24"/>
          <w:highlight w:val="lightGray"/>
          <w:lang w:eastAsia="pt-BR"/>
        </w:rPr>
        <w:t>SEM CARÁTER SIGILOSO QUANTO AOS VALORES MÁXIMOS ACEITÁVEIS</w:t>
      </w:r>
    </w:p>
    <w:p w14:paraId="2B9F697A">
      <w:pPr>
        <w:numPr>
          <w:ilvl w:val="0"/>
          <w:numId w:val="1"/>
        </w:numPr>
        <w:suppressAutoHyphens w:val="0"/>
        <w:autoSpaceDE w:val="0"/>
        <w:autoSpaceDN w:val="0"/>
        <w:adjustRightInd w:val="0"/>
        <w:spacing w:line="360" w:lineRule="auto"/>
        <w:rPr>
          <w:rFonts w:ascii="Arial" w:hAnsi="Arial" w:cs="Arial"/>
          <w:b/>
          <w:bCs/>
          <w:sz w:val="24"/>
          <w:szCs w:val="24"/>
          <w:highlight w:val="lightGray"/>
          <w:lang w:eastAsia="pt-BR"/>
        </w:rPr>
      </w:pPr>
      <w:r>
        <w:rPr>
          <w:rFonts w:ascii="Arial" w:hAnsi="Arial" w:cs="Arial"/>
          <w:b/>
          <w:bCs/>
          <w:sz w:val="24"/>
          <w:szCs w:val="24"/>
          <w:highlight w:val="lightGray"/>
          <w:lang w:eastAsia="pt-BR"/>
        </w:rPr>
        <w:t>INTERVALO DE VALORES PARA LANCES: R$ 0,01</w:t>
      </w:r>
    </w:p>
    <w:p w14:paraId="1D9E37A7">
      <w:pPr>
        <w:numPr>
          <w:ilvl w:val="0"/>
          <w:numId w:val="1"/>
        </w:numPr>
        <w:suppressAutoHyphens w:val="0"/>
        <w:autoSpaceDE w:val="0"/>
        <w:autoSpaceDN w:val="0"/>
        <w:adjustRightInd w:val="0"/>
        <w:spacing w:line="360" w:lineRule="auto"/>
        <w:rPr>
          <w:rFonts w:ascii="Arial" w:hAnsi="Arial" w:cs="Arial"/>
          <w:b/>
          <w:bCs/>
          <w:sz w:val="24"/>
          <w:szCs w:val="24"/>
          <w:highlight w:val="lightGray"/>
          <w:lang w:eastAsia="pt-BR"/>
        </w:rPr>
      </w:pPr>
      <w:r>
        <w:rPr>
          <w:rFonts w:ascii="Arial" w:hAnsi="Arial" w:cs="Arial"/>
          <w:b/>
          <w:bCs/>
          <w:sz w:val="24"/>
          <w:szCs w:val="24"/>
          <w:highlight w:val="lightGray"/>
          <w:lang w:eastAsia="pt-BR"/>
        </w:rPr>
        <w:t>INTERVALO DE TEMPO PARA LANCES: 5 SEGUNDOS</w:t>
      </w:r>
    </w:p>
    <w:p w14:paraId="1B157BDB">
      <w:pPr>
        <w:numPr>
          <w:ilvl w:val="0"/>
          <w:numId w:val="1"/>
        </w:numPr>
        <w:suppressAutoHyphens w:val="0"/>
        <w:autoSpaceDE w:val="0"/>
        <w:autoSpaceDN w:val="0"/>
        <w:adjustRightInd w:val="0"/>
        <w:spacing w:line="360" w:lineRule="auto"/>
        <w:rPr>
          <w:rFonts w:ascii="Arial" w:hAnsi="Arial" w:cs="Arial"/>
          <w:b/>
          <w:bCs/>
          <w:sz w:val="24"/>
          <w:szCs w:val="24"/>
          <w:highlight w:val="lightGray"/>
          <w:lang w:eastAsia="pt-BR"/>
        </w:rPr>
      </w:pPr>
      <w:r>
        <w:rPr>
          <w:rFonts w:ascii="Arial" w:hAnsi="Arial" w:cs="Arial"/>
          <w:b/>
          <w:bCs/>
          <w:sz w:val="24"/>
          <w:szCs w:val="24"/>
          <w:highlight w:val="lightGray"/>
          <w:lang w:eastAsia="pt-BR"/>
        </w:rPr>
        <w:t>REGIME DE EXECUÇÃO: PREÇO UNITÁRIO</w:t>
      </w:r>
    </w:p>
    <w:p w14:paraId="59C9BC56">
      <w:pPr>
        <w:suppressAutoHyphens w:val="0"/>
        <w:autoSpaceDE w:val="0"/>
        <w:autoSpaceDN w:val="0"/>
        <w:adjustRightInd w:val="0"/>
        <w:spacing w:line="360" w:lineRule="auto"/>
        <w:ind w:left="360"/>
        <w:rPr>
          <w:rFonts w:ascii="Arial" w:hAnsi="Arial" w:cs="Arial"/>
          <w:b/>
          <w:bCs/>
          <w:sz w:val="24"/>
          <w:szCs w:val="24"/>
          <w:lang w:eastAsia="pt-BR"/>
        </w:rPr>
      </w:pPr>
    </w:p>
    <w:p w14:paraId="2B4B11B3">
      <w:pPr>
        <w:suppressAutoHyphens w:val="0"/>
        <w:autoSpaceDE w:val="0"/>
        <w:autoSpaceDN w:val="0"/>
        <w:adjustRightInd w:val="0"/>
        <w:spacing w:line="360" w:lineRule="auto"/>
        <w:rPr>
          <w:rFonts w:ascii="Arial" w:hAnsi="Arial" w:cs="Arial"/>
          <w:b/>
          <w:bCs/>
          <w:sz w:val="24"/>
          <w:szCs w:val="24"/>
          <w:lang w:eastAsia="pt-BR"/>
        </w:rPr>
      </w:pPr>
      <w:r>
        <w:rPr>
          <w:rFonts w:ascii="Arial" w:hAnsi="Arial" w:cs="Arial"/>
          <w:b/>
          <w:bCs/>
          <w:sz w:val="24"/>
          <w:szCs w:val="24"/>
          <w:lang w:eastAsia="pt-BR"/>
        </w:rPr>
        <w:t xml:space="preserve">1.2 - RECEBIMENTO DAS PROPOSTAS: </w:t>
      </w:r>
      <w:r>
        <w:rPr>
          <w:rFonts w:ascii="Arial" w:hAnsi="Arial" w:cs="Arial"/>
          <w:b/>
          <w:bCs/>
          <w:sz w:val="24"/>
          <w:szCs w:val="24"/>
          <w:highlight w:val="lightGray"/>
          <w:lang w:eastAsia="pt-BR"/>
        </w:rPr>
        <w:t xml:space="preserve">Até às </w:t>
      </w:r>
      <w:r>
        <w:rPr>
          <w:rFonts w:ascii="Arial" w:hAnsi="Arial" w:cs="Arial"/>
          <w:b/>
          <w:bCs/>
          <w:color w:val="FF0000"/>
          <w:sz w:val="24"/>
          <w:szCs w:val="24"/>
          <w:highlight w:val="lightGray"/>
          <w:lang w:eastAsia="pt-BR"/>
        </w:rPr>
        <w:t>08:30</w:t>
      </w:r>
      <w:r>
        <w:rPr>
          <w:rFonts w:ascii="Arial" w:hAnsi="Arial" w:cs="Arial"/>
          <w:b/>
          <w:bCs/>
          <w:sz w:val="24"/>
          <w:szCs w:val="24"/>
          <w:highlight w:val="lightGray"/>
          <w:lang w:eastAsia="pt-BR"/>
        </w:rPr>
        <w:t xml:space="preserve"> horas do dia </w:t>
      </w:r>
      <w:r>
        <w:rPr>
          <w:rFonts w:ascii="Arial" w:hAnsi="Arial" w:cs="Arial"/>
          <w:b/>
          <w:bCs/>
          <w:color w:val="FF0000"/>
          <w:sz w:val="24"/>
          <w:szCs w:val="24"/>
          <w:lang w:eastAsia="pt-BR"/>
        </w:rPr>
        <w:t>30/06/2025</w:t>
      </w:r>
      <w:r>
        <w:rPr>
          <w:rFonts w:ascii="Arial" w:hAnsi="Arial" w:cs="Arial"/>
          <w:b/>
          <w:bCs/>
          <w:sz w:val="24"/>
          <w:szCs w:val="24"/>
          <w:lang w:eastAsia="pt-BR"/>
        </w:rPr>
        <w:t>.</w:t>
      </w:r>
    </w:p>
    <w:p w14:paraId="79F2CD6D">
      <w:pPr>
        <w:spacing w:line="360" w:lineRule="auto"/>
        <w:jc w:val="both"/>
        <w:rPr>
          <w:rFonts w:ascii="Arial" w:hAnsi="Arial" w:cs="Arial"/>
          <w:b/>
          <w:bCs/>
          <w:sz w:val="24"/>
          <w:szCs w:val="24"/>
          <w:lang w:eastAsia="pt-BR"/>
        </w:rPr>
      </w:pPr>
      <w:r>
        <w:rPr>
          <w:rFonts w:ascii="Arial" w:hAnsi="Arial" w:cs="Arial"/>
          <w:b/>
          <w:bCs/>
          <w:sz w:val="24"/>
          <w:szCs w:val="24"/>
          <w:lang w:eastAsia="pt-BR"/>
        </w:rPr>
        <w:t xml:space="preserve">1.3 - INÍCIO DA SESSÃO DE DISPUTA DE PREÇOS: </w:t>
      </w:r>
      <w:r>
        <w:rPr>
          <w:rFonts w:ascii="Arial" w:hAnsi="Arial" w:cs="Arial"/>
          <w:b/>
          <w:bCs/>
          <w:sz w:val="24"/>
          <w:szCs w:val="24"/>
          <w:highlight w:val="lightGray"/>
          <w:lang w:eastAsia="pt-BR"/>
        </w:rPr>
        <w:t xml:space="preserve">Às </w:t>
      </w:r>
      <w:r>
        <w:rPr>
          <w:rFonts w:ascii="Arial" w:hAnsi="Arial" w:cs="Arial"/>
          <w:b/>
          <w:bCs/>
          <w:color w:val="FF0000"/>
          <w:sz w:val="24"/>
          <w:szCs w:val="24"/>
          <w:highlight w:val="lightGray"/>
          <w:lang w:eastAsia="pt-BR"/>
        </w:rPr>
        <w:t xml:space="preserve">09:00 </w:t>
      </w:r>
      <w:r>
        <w:rPr>
          <w:rFonts w:ascii="Arial" w:hAnsi="Arial" w:cs="Arial"/>
          <w:b/>
          <w:bCs/>
          <w:sz w:val="24"/>
          <w:szCs w:val="24"/>
          <w:highlight w:val="lightGray"/>
          <w:lang w:eastAsia="pt-BR"/>
        </w:rPr>
        <w:t>horas do dia</w:t>
      </w:r>
      <w:r>
        <w:rPr>
          <w:rFonts w:ascii="Arial" w:hAnsi="Arial" w:cs="Arial"/>
          <w:b/>
          <w:bCs/>
          <w:sz w:val="24"/>
          <w:szCs w:val="24"/>
          <w:lang w:eastAsia="pt-BR"/>
        </w:rPr>
        <w:t xml:space="preserve"> 30/06/2025.</w:t>
      </w:r>
    </w:p>
    <w:p w14:paraId="17F5593F">
      <w:pPr>
        <w:spacing w:line="360" w:lineRule="auto"/>
        <w:jc w:val="both"/>
        <w:rPr>
          <w:rFonts w:ascii="Arial" w:hAnsi="Arial" w:cs="Arial"/>
          <w:b/>
          <w:color w:val="FF0000"/>
          <w:sz w:val="24"/>
          <w:szCs w:val="24"/>
          <w:u w:val="single"/>
        </w:rPr>
      </w:pPr>
      <w:r>
        <w:rPr>
          <w:rFonts w:ascii="Arial" w:hAnsi="Arial" w:cs="Arial"/>
          <w:b/>
          <w:bCs/>
          <w:sz w:val="24"/>
          <w:szCs w:val="24"/>
          <w:lang w:eastAsia="pt-BR"/>
        </w:rPr>
        <w:t xml:space="preserve">1.4 -  LOCAL DA DISPUTA: </w:t>
      </w:r>
      <w:r>
        <w:rPr>
          <w:rFonts w:ascii="Arial" w:hAnsi="Arial" w:cs="Arial"/>
          <w:b/>
          <w:color w:val="FF0000"/>
        </w:rPr>
        <w:t>http://200.95.195.86:8081/comprasedital/</w:t>
      </w:r>
    </w:p>
    <w:p w14:paraId="3B5C0C1F">
      <w:pPr>
        <w:suppressAutoHyphens w:val="0"/>
        <w:autoSpaceDE w:val="0"/>
        <w:autoSpaceDN w:val="0"/>
        <w:adjustRightInd w:val="0"/>
        <w:spacing w:line="360" w:lineRule="auto"/>
        <w:jc w:val="both"/>
        <w:rPr>
          <w:rFonts w:ascii="Arial" w:hAnsi="Arial" w:cs="Arial"/>
          <w:b/>
          <w:sz w:val="24"/>
          <w:szCs w:val="24"/>
        </w:rPr>
      </w:pPr>
    </w:p>
    <w:p w14:paraId="3DF45E39">
      <w:pPr>
        <w:suppressAutoHyphens w:val="0"/>
        <w:autoSpaceDE w:val="0"/>
        <w:autoSpaceDN w:val="0"/>
        <w:adjustRightInd w:val="0"/>
        <w:spacing w:line="360" w:lineRule="auto"/>
        <w:jc w:val="both"/>
        <w:rPr>
          <w:rFonts w:ascii="Arial" w:hAnsi="Arial" w:cs="Arial"/>
          <w:b/>
          <w:sz w:val="24"/>
          <w:szCs w:val="24"/>
        </w:rPr>
      </w:pPr>
    </w:p>
    <w:p w14:paraId="4153D854">
      <w:pPr>
        <w:suppressAutoHyphens w:val="0"/>
        <w:autoSpaceDE w:val="0"/>
        <w:autoSpaceDN w:val="0"/>
        <w:adjustRightInd w:val="0"/>
        <w:spacing w:line="360" w:lineRule="auto"/>
        <w:jc w:val="both"/>
        <w:rPr>
          <w:rFonts w:ascii="Arial" w:hAnsi="Arial" w:cs="Arial"/>
          <w:b/>
          <w:sz w:val="24"/>
          <w:szCs w:val="24"/>
        </w:rPr>
      </w:pPr>
      <w:r>
        <w:rPr>
          <w:rFonts w:ascii="Arial" w:hAnsi="Arial" w:cs="Arial"/>
          <w:b/>
          <w:sz w:val="24"/>
          <w:szCs w:val="24"/>
        </w:rPr>
        <w:t>1.5 – MODO DE DISPUTA ABERTO:</w:t>
      </w:r>
    </w:p>
    <w:p w14:paraId="489EEB5A">
      <w:pPr>
        <w:suppressAutoHyphens w:val="0"/>
        <w:autoSpaceDE w:val="0"/>
        <w:autoSpaceDN w:val="0"/>
        <w:adjustRightInd w:val="0"/>
        <w:spacing w:line="360" w:lineRule="auto"/>
        <w:jc w:val="both"/>
        <w:rPr>
          <w:rFonts w:ascii="Arial" w:hAnsi="Arial" w:cs="Arial"/>
          <w:sz w:val="24"/>
          <w:szCs w:val="24"/>
          <w:lang w:eastAsia="pt-BR"/>
        </w:rPr>
      </w:pPr>
      <w:r>
        <w:rPr>
          <w:rFonts w:ascii="Arial" w:hAnsi="Arial" w:cs="Arial"/>
          <w:sz w:val="24"/>
          <w:szCs w:val="24"/>
          <w:lang w:eastAsia="pt-BR"/>
        </w:rPr>
        <w:t>1 - A etapa de envio de lances na sessão pública durará dez minutos e, após isso, será prorrogada automaticamente pelo sistema quando houver lance ofertado nos últimos dois minutos do período de duração da sessão pública.</w:t>
      </w:r>
    </w:p>
    <w:p w14:paraId="13B7B78F">
      <w:pPr>
        <w:suppressAutoHyphens w:val="0"/>
        <w:autoSpaceDE w:val="0"/>
        <w:autoSpaceDN w:val="0"/>
        <w:adjustRightInd w:val="0"/>
        <w:spacing w:line="360" w:lineRule="auto"/>
        <w:jc w:val="both"/>
        <w:rPr>
          <w:rFonts w:ascii="Arial" w:hAnsi="Arial" w:cs="Arial"/>
          <w:sz w:val="24"/>
          <w:szCs w:val="24"/>
          <w:lang w:eastAsia="pt-BR"/>
        </w:rPr>
      </w:pPr>
      <w:r>
        <w:rPr>
          <w:rFonts w:ascii="Arial" w:hAnsi="Arial" w:cs="Arial"/>
          <w:sz w:val="24"/>
          <w:szCs w:val="24"/>
          <w:lang w:eastAsia="pt-BR"/>
        </w:rPr>
        <w:t>2 - A prorrogação automática da etapa de envio de lances será de dois minutos e ocorrerá sucessivamente sempre que houver lances enviados nesse período de prorrogação, inclusive quando se tratar de lances intermediários.</w:t>
      </w:r>
    </w:p>
    <w:p w14:paraId="0A09B6F4">
      <w:pPr>
        <w:suppressAutoHyphens w:val="0"/>
        <w:autoSpaceDE w:val="0"/>
        <w:autoSpaceDN w:val="0"/>
        <w:adjustRightInd w:val="0"/>
        <w:spacing w:line="360" w:lineRule="auto"/>
        <w:jc w:val="both"/>
        <w:rPr>
          <w:rFonts w:ascii="Arial" w:hAnsi="Arial" w:cs="Arial"/>
          <w:sz w:val="24"/>
          <w:szCs w:val="24"/>
          <w:lang w:eastAsia="pt-BR"/>
        </w:rPr>
      </w:pPr>
      <w:r>
        <w:rPr>
          <w:rFonts w:ascii="Arial" w:hAnsi="Arial" w:cs="Arial"/>
          <w:sz w:val="24"/>
          <w:szCs w:val="24"/>
          <w:lang w:eastAsia="pt-BR"/>
        </w:rPr>
        <w:t>3 - Na hipótese de não haver novos lances na forma estabelecida na prorrogação, a sessão pública será encerrada automaticamente.</w:t>
      </w:r>
    </w:p>
    <w:p w14:paraId="31BC657D">
      <w:pPr>
        <w:suppressAutoHyphens w:val="0"/>
        <w:autoSpaceDE w:val="0"/>
        <w:autoSpaceDN w:val="0"/>
        <w:adjustRightInd w:val="0"/>
        <w:spacing w:line="360" w:lineRule="auto"/>
        <w:jc w:val="both"/>
        <w:rPr>
          <w:rFonts w:ascii="Arial" w:hAnsi="Arial" w:cs="Arial"/>
          <w:b/>
          <w:sz w:val="24"/>
          <w:szCs w:val="24"/>
        </w:rPr>
      </w:pPr>
      <w:r>
        <w:rPr>
          <w:rFonts w:ascii="Arial" w:hAnsi="Arial" w:cs="Arial"/>
          <w:sz w:val="24"/>
          <w:szCs w:val="24"/>
          <w:lang w:eastAsia="pt-BR"/>
        </w:rPr>
        <w:t>4 - Encerrada a sessão pública sem prorrogação automática pelo sistema, o pregoeiro poderá, assessorado pela equipe de apoio, admitir o reinício da etapa de envio de lances, em prol da consecução do melhor preço.</w:t>
      </w:r>
      <w:r>
        <w:rPr>
          <w:rFonts w:ascii="Arial" w:hAnsi="Arial" w:cs="Arial"/>
          <w:b/>
          <w:sz w:val="24"/>
          <w:szCs w:val="24"/>
        </w:rPr>
        <w:t xml:space="preserve"> </w:t>
      </w:r>
    </w:p>
    <w:p w14:paraId="238E44C1">
      <w:pPr>
        <w:spacing w:line="360" w:lineRule="auto"/>
        <w:jc w:val="both"/>
        <w:rPr>
          <w:rFonts w:ascii="Arial" w:hAnsi="Arial" w:cs="Arial"/>
          <w:sz w:val="24"/>
          <w:szCs w:val="24"/>
        </w:rPr>
      </w:pPr>
    </w:p>
    <w:p w14:paraId="23F05983">
      <w:pPr>
        <w:spacing w:line="360" w:lineRule="auto"/>
        <w:jc w:val="both"/>
        <w:rPr>
          <w:rFonts w:ascii="Arial" w:hAnsi="Arial" w:cs="Arial"/>
          <w:sz w:val="24"/>
          <w:szCs w:val="24"/>
        </w:rPr>
      </w:pPr>
      <w:r>
        <w:rPr>
          <w:rFonts w:ascii="Arial" w:hAnsi="Arial" w:cs="Arial"/>
          <w:b/>
          <w:sz w:val="24"/>
          <w:szCs w:val="24"/>
        </w:rPr>
        <w:t>1.6 - REFERÊNCIA DE TEMPO:</w:t>
      </w:r>
      <w:r>
        <w:rPr>
          <w:rFonts w:ascii="Arial" w:hAnsi="Arial" w:cs="Arial"/>
          <w:sz w:val="24"/>
          <w:szCs w:val="24"/>
        </w:rPr>
        <w:t xml:space="preserve"> para todas as referências de tempo será considerado o horário de Brasília - DF.</w:t>
      </w:r>
    </w:p>
    <w:p w14:paraId="56A6AF4F">
      <w:pPr>
        <w:spacing w:line="360" w:lineRule="auto"/>
        <w:jc w:val="both"/>
        <w:rPr>
          <w:rFonts w:ascii="Arial" w:hAnsi="Arial" w:cs="Arial"/>
          <w:sz w:val="24"/>
          <w:szCs w:val="24"/>
        </w:rPr>
      </w:pPr>
    </w:p>
    <w:p w14:paraId="53A056CB">
      <w:pPr>
        <w:suppressAutoHyphens w:val="0"/>
        <w:autoSpaceDE w:val="0"/>
        <w:spacing w:line="360" w:lineRule="auto"/>
        <w:jc w:val="both"/>
        <w:rPr>
          <w:rFonts w:ascii="Arial" w:hAnsi="Arial" w:cs="Arial"/>
          <w:b/>
          <w:bCs/>
          <w:sz w:val="24"/>
          <w:szCs w:val="24"/>
          <w:u w:val="single"/>
        </w:rPr>
      </w:pPr>
      <w:r>
        <w:rPr>
          <w:rFonts w:ascii="Arial" w:hAnsi="Arial" w:cs="Arial"/>
          <w:b/>
          <w:bCs/>
          <w:sz w:val="24"/>
          <w:szCs w:val="24"/>
          <w:u w:val="single"/>
        </w:rPr>
        <w:t>II - DO OBJETO</w:t>
      </w:r>
    </w:p>
    <w:p w14:paraId="492E9591">
      <w:pPr>
        <w:spacing w:line="360" w:lineRule="auto"/>
        <w:jc w:val="both"/>
        <w:rPr>
          <w:rFonts w:ascii="Arial" w:hAnsi="Arial" w:cs="Arial"/>
          <w:sz w:val="24"/>
          <w:szCs w:val="24"/>
        </w:rPr>
      </w:pPr>
      <w:r>
        <w:rPr>
          <w:rFonts w:ascii="Arial" w:hAnsi="Arial" w:cs="Arial"/>
          <w:sz w:val="24"/>
          <w:szCs w:val="24"/>
        </w:rPr>
        <w:t xml:space="preserve">2.1 – Constitui objeto do presente pregão o </w:t>
      </w:r>
      <w:r>
        <w:rPr>
          <w:rFonts w:ascii="Arial" w:hAnsi="Arial" w:cs="Arial"/>
          <w:b/>
          <w:sz w:val="24"/>
          <w:szCs w:val="24"/>
          <w:u w:val="single"/>
        </w:rPr>
        <w:t>REGISTRO DE PREÇOS DE MEDICAMENTOS DIVERSOS 2,</w:t>
      </w:r>
      <w:r>
        <w:rPr>
          <w:rFonts w:ascii="Arial" w:hAnsi="Arial" w:cs="Arial"/>
          <w:sz w:val="24"/>
          <w:szCs w:val="24"/>
        </w:rPr>
        <w:t xml:space="preserve"> conforme especificações constantes no Anexo I do edital.</w:t>
      </w:r>
    </w:p>
    <w:p w14:paraId="1B2CC421">
      <w:pPr>
        <w:spacing w:line="360" w:lineRule="auto"/>
        <w:jc w:val="both"/>
        <w:rPr>
          <w:rFonts w:ascii="Arial" w:hAnsi="Arial" w:cs="Arial"/>
          <w:sz w:val="24"/>
          <w:szCs w:val="24"/>
        </w:rPr>
      </w:pPr>
    </w:p>
    <w:p w14:paraId="1F6CE169">
      <w:pPr>
        <w:spacing w:line="360" w:lineRule="auto"/>
        <w:jc w:val="both"/>
        <w:rPr>
          <w:rFonts w:ascii="Arial" w:hAnsi="Arial" w:cs="Arial"/>
          <w:b/>
          <w:sz w:val="24"/>
          <w:szCs w:val="24"/>
        </w:rPr>
      </w:pPr>
      <w:r>
        <w:rPr>
          <w:rFonts w:ascii="Arial" w:hAnsi="Arial" w:cs="Arial"/>
          <w:b/>
          <w:sz w:val="24"/>
          <w:szCs w:val="24"/>
        </w:rPr>
        <w:t>III – DO ACESSO AO AMBIENTE VIRTUAL PARA PARTICIPAÇÃO NO CERTAME</w:t>
      </w:r>
    </w:p>
    <w:p w14:paraId="70FA5A4A">
      <w:pPr>
        <w:pStyle w:val="23"/>
        <w:widowControl/>
        <w:spacing w:line="360" w:lineRule="auto"/>
        <w:jc w:val="both"/>
        <w:rPr>
          <w:rFonts w:ascii="Arial" w:hAnsi="Arial" w:cs="Arial"/>
          <w:szCs w:val="24"/>
          <w:lang w:val="pt-BR"/>
        </w:rPr>
      </w:pPr>
      <w:r>
        <w:rPr>
          <w:rFonts w:ascii="Arial" w:hAnsi="Arial" w:cs="Arial"/>
          <w:szCs w:val="24"/>
          <w:lang w:val="pt-BR"/>
        </w:rPr>
        <w:t xml:space="preserve">3.1 - O </w:t>
      </w:r>
      <w:r>
        <w:rPr>
          <w:rFonts w:ascii="Arial" w:hAnsi="Arial" w:cs="Arial"/>
          <w:b/>
          <w:szCs w:val="24"/>
          <w:u w:val="single"/>
          <w:lang w:val="pt-BR"/>
        </w:rPr>
        <w:t>certame será realizado através do sistema de SCPI – Portal de Compras do Município</w:t>
      </w:r>
      <w:r>
        <w:rPr>
          <w:rFonts w:ascii="Arial" w:hAnsi="Arial" w:cs="Arial"/>
          <w:szCs w:val="24"/>
          <w:lang w:val="pt-BR"/>
        </w:rPr>
        <w:t xml:space="preserve">, conforme link de acesso constante no site </w:t>
      </w:r>
      <w:r>
        <w:rPr>
          <w:rFonts w:ascii="Arial" w:hAnsi="Arial" w:cs="Arial"/>
          <w:b/>
          <w:color w:val="000000" w:themeColor="text1"/>
          <w:szCs w:val="24"/>
          <w:highlight w:val="yellow"/>
          <w:u w:val="single"/>
          <w:lang w:val="pt-BR"/>
          <w14:textFill>
            <w14:solidFill>
              <w14:schemeClr w14:val="tx1"/>
            </w14:solidFill>
          </w14:textFill>
        </w:rPr>
        <w:t xml:space="preserve">do Município: </w:t>
      </w:r>
      <w:r>
        <w:rPr>
          <w:rFonts w:ascii="Arial" w:hAnsi="Arial" w:cs="Arial"/>
          <w:b/>
          <w:color w:val="FF0000"/>
          <w:lang w:val="pt-BR"/>
        </w:rPr>
        <w:t>http://200.95.195.86:8081/comprasedital/</w:t>
      </w:r>
      <w:r>
        <w:rPr>
          <w:rFonts w:ascii="Arial" w:hAnsi="Arial" w:cs="Arial"/>
          <w:szCs w:val="24"/>
          <w:lang w:val="pt-BR"/>
        </w:rPr>
        <w:t>em sessão pública, por meio da internet.</w:t>
      </w:r>
    </w:p>
    <w:p w14:paraId="4F66B8AD">
      <w:pPr>
        <w:pStyle w:val="23"/>
        <w:widowControl/>
        <w:spacing w:line="360" w:lineRule="auto"/>
        <w:jc w:val="both"/>
        <w:rPr>
          <w:rFonts w:ascii="Arial" w:hAnsi="Arial" w:cs="Arial"/>
          <w:szCs w:val="24"/>
          <w:lang w:val="pt-BR"/>
        </w:rPr>
      </w:pPr>
      <w:r>
        <w:rPr>
          <w:rFonts w:ascii="Arial" w:hAnsi="Arial" w:cs="Arial"/>
          <w:szCs w:val="24"/>
          <w:lang w:val="pt-BR"/>
        </w:rPr>
        <w:t xml:space="preserve">3.2 – O ambiente virtual onde a sessão será realizada acessa-se pelo link: </w:t>
      </w:r>
      <w:r>
        <w:rPr>
          <w:rFonts w:ascii="Arial" w:hAnsi="Arial" w:cs="Arial"/>
          <w:b/>
          <w:color w:val="FF0000"/>
          <w:lang w:val="pt-BR"/>
        </w:rPr>
        <w:t>http://200.95.195.86:8081/comprasedital/</w:t>
      </w:r>
      <w:r>
        <w:rPr>
          <w:rFonts w:ascii="Arial" w:hAnsi="Arial" w:cs="Arial"/>
          <w:szCs w:val="24"/>
          <w:lang w:val="pt-BR"/>
        </w:rPr>
        <w:t xml:space="preserve"> </w:t>
      </w:r>
      <w:r>
        <w:fldChar w:fldCharType="begin"/>
      </w:r>
      <w:r>
        <w:instrText xml:space="preserve"> HYPERLINK "http://www.licitacoes-e.com.br" </w:instrText>
      </w:r>
      <w:r>
        <w:fldChar w:fldCharType="separate"/>
      </w:r>
      <w:r>
        <w:fldChar w:fldCharType="end"/>
      </w:r>
      <w:r>
        <w:rPr>
          <w:rFonts w:ascii="Arial" w:hAnsi="Arial" w:cs="Arial"/>
          <w:szCs w:val="24"/>
          <w:lang w:val="pt-BR"/>
        </w:rPr>
        <w:t>, onde são utilizados recursos de criptografia e de autenticação que asseguram condições adequadas de segurança em toda etapa do certame.</w:t>
      </w:r>
    </w:p>
    <w:p w14:paraId="32C79EFD">
      <w:pPr>
        <w:spacing w:line="360" w:lineRule="auto"/>
        <w:jc w:val="both"/>
        <w:rPr>
          <w:rFonts w:ascii="Arial" w:hAnsi="Arial" w:cs="Arial"/>
          <w:color w:val="FF0000"/>
          <w:sz w:val="24"/>
          <w:szCs w:val="24"/>
        </w:rPr>
      </w:pPr>
      <w:r>
        <w:rPr>
          <w:rFonts w:ascii="Arial" w:hAnsi="Arial" w:cs="Arial"/>
          <w:sz w:val="24"/>
          <w:szCs w:val="24"/>
        </w:rPr>
        <w:t xml:space="preserve">3.3 – Os interessados em participar da licitação, deverão solicitar a chave de acesso para o pregão eletrônico através do </w:t>
      </w:r>
      <w:r>
        <w:rPr>
          <w:rFonts w:ascii="Arial" w:hAnsi="Arial" w:cs="Arial"/>
          <w:b/>
          <w:sz w:val="24"/>
          <w:szCs w:val="24"/>
          <w:highlight w:val="yellow"/>
          <w:u w:val="single"/>
        </w:rPr>
        <w:t xml:space="preserve">link: </w:t>
      </w:r>
      <w:r>
        <w:rPr>
          <w:rFonts w:ascii="Arial" w:hAnsi="Arial" w:cs="Arial"/>
          <w:b/>
          <w:color w:val="FF0000"/>
        </w:rPr>
        <w:t>http://200.95.195.86:8081/comprasedital/</w:t>
      </w:r>
      <w:r>
        <w:rPr>
          <w:rFonts w:ascii="Arial" w:hAnsi="Arial" w:cs="Arial"/>
          <w:b/>
          <w:color w:val="000000" w:themeColor="text1"/>
          <w:sz w:val="24"/>
          <w:szCs w:val="24"/>
          <w:u w:val="single"/>
          <w14:textFill>
            <w14:solidFill>
              <w14:schemeClr w14:val="tx1"/>
            </w14:solidFill>
          </w14:textFill>
        </w:rPr>
        <w:t>.</w:t>
      </w:r>
    </w:p>
    <w:p w14:paraId="2F2B1718">
      <w:pPr>
        <w:spacing w:line="360" w:lineRule="auto"/>
        <w:jc w:val="both"/>
        <w:rPr>
          <w:rFonts w:ascii="Arial" w:hAnsi="Arial" w:cs="Arial"/>
          <w:b/>
          <w:sz w:val="24"/>
          <w:szCs w:val="24"/>
        </w:rPr>
      </w:pPr>
      <w:r>
        <w:rPr>
          <w:rFonts w:ascii="Arial" w:hAnsi="Arial" w:cs="Arial"/>
          <w:sz w:val="24"/>
          <w:szCs w:val="24"/>
        </w:rPr>
        <w:t>3.4 – Após receber a chave de identificação/acesso ao Sistema, poderá verificar os editais de pregão eletrônico abertos pelo Município e começar a cadastrar propostas e inserir documentos.</w:t>
      </w:r>
    </w:p>
    <w:p w14:paraId="2321BCA0">
      <w:pPr>
        <w:pStyle w:val="23"/>
        <w:widowControl/>
        <w:spacing w:line="360" w:lineRule="auto"/>
        <w:jc w:val="both"/>
        <w:rPr>
          <w:rFonts w:ascii="Arial" w:hAnsi="Arial" w:cs="Arial"/>
          <w:szCs w:val="24"/>
          <w:lang w:val="pt-BR"/>
        </w:rPr>
      </w:pPr>
      <w:r>
        <w:rPr>
          <w:rFonts w:ascii="Arial" w:hAnsi="Arial" w:cs="Arial"/>
          <w:szCs w:val="24"/>
          <w:lang w:val="pt-BR"/>
        </w:rPr>
        <w:t>3.5-Os trabalhos serão conduzidos pelo Pregoeiro com o suporte de sua Equipe de Apoio, os quais, juntamente com a autoridade competente do órgão promotor da licitação, formam o conjunto de operadores do sistema do Pregão Eletrônico.</w:t>
      </w:r>
    </w:p>
    <w:p w14:paraId="604E15D9">
      <w:pPr>
        <w:pStyle w:val="23"/>
        <w:widowControl/>
        <w:spacing w:line="360" w:lineRule="auto"/>
        <w:jc w:val="both"/>
        <w:rPr>
          <w:rFonts w:ascii="Arial" w:hAnsi="Arial" w:cs="Arial"/>
          <w:szCs w:val="24"/>
          <w:lang w:val="pt-BR"/>
        </w:rPr>
      </w:pPr>
    </w:p>
    <w:p w14:paraId="2EA909DD">
      <w:pPr>
        <w:spacing w:line="360" w:lineRule="auto"/>
        <w:jc w:val="both"/>
        <w:rPr>
          <w:rFonts w:ascii="Arial" w:hAnsi="Arial" w:cs="Arial"/>
          <w:b/>
          <w:bCs/>
          <w:sz w:val="24"/>
          <w:szCs w:val="24"/>
        </w:rPr>
      </w:pPr>
      <w:r>
        <w:rPr>
          <w:rFonts w:ascii="Arial" w:hAnsi="Arial" w:cs="Arial"/>
          <w:b/>
          <w:bCs/>
          <w:sz w:val="24"/>
          <w:szCs w:val="24"/>
        </w:rPr>
        <w:t xml:space="preserve">IV - DAS CONDIÇÕES PARA PARTICIPAÇÃO </w:t>
      </w:r>
    </w:p>
    <w:p w14:paraId="25EC2992">
      <w:pPr>
        <w:spacing w:line="360" w:lineRule="auto"/>
        <w:jc w:val="both"/>
        <w:rPr>
          <w:rFonts w:ascii="Arial" w:hAnsi="Arial" w:cs="Arial"/>
          <w:sz w:val="24"/>
          <w:szCs w:val="24"/>
        </w:rPr>
      </w:pPr>
    </w:p>
    <w:p w14:paraId="7003880C">
      <w:pPr>
        <w:pStyle w:val="10"/>
        <w:spacing w:line="360" w:lineRule="auto"/>
        <w:rPr>
          <w:rFonts w:ascii="Arial" w:hAnsi="Arial" w:cs="Arial"/>
          <w:sz w:val="24"/>
          <w:szCs w:val="24"/>
        </w:rPr>
      </w:pPr>
      <w:r>
        <w:rPr>
          <w:rFonts w:ascii="Arial" w:hAnsi="Arial" w:cs="Arial"/>
          <w:sz w:val="24"/>
          <w:szCs w:val="24"/>
        </w:rPr>
        <w:t>4.1 – Poderão participar todas as pessoas jurídicas que estiverem de acordo com o presente edital.</w:t>
      </w:r>
    </w:p>
    <w:p w14:paraId="52873589">
      <w:pPr>
        <w:spacing w:line="360" w:lineRule="auto"/>
        <w:jc w:val="both"/>
        <w:rPr>
          <w:rFonts w:ascii="Arial" w:hAnsi="Arial" w:cs="Arial"/>
          <w:sz w:val="24"/>
          <w:szCs w:val="24"/>
        </w:rPr>
      </w:pPr>
      <w:r>
        <w:rPr>
          <w:rFonts w:ascii="Arial" w:hAnsi="Arial" w:cs="Arial"/>
          <w:sz w:val="24"/>
          <w:szCs w:val="24"/>
        </w:rPr>
        <w:t xml:space="preserve">4.2 - Não poderão disputar licitação ou participar da execução de contrato, direta ou indiretamente: </w:t>
      </w:r>
    </w:p>
    <w:p w14:paraId="281DA84E">
      <w:pPr>
        <w:spacing w:line="360" w:lineRule="auto"/>
        <w:jc w:val="both"/>
        <w:rPr>
          <w:rFonts w:ascii="Arial" w:hAnsi="Arial" w:cs="Arial"/>
          <w:sz w:val="24"/>
          <w:szCs w:val="24"/>
        </w:rPr>
      </w:pPr>
    </w:p>
    <w:p w14:paraId="1707180F">
      <w:pPr>
        <w:spacing w:line="360" w:lineRule="auto"/>
        <w:jc w:val="both"/>
        <w:rPr>
          <w:rFonts w:ascii="Arial" w:hAnsi="Arial" w:cs="Arial"/>
          <w:sz w:val="24"/>
          <w:szCs w:val="24"/>
        </w:rPr>
      </w:pPr>
      <w:r>
        <w:rPr>
          <w:rFonts w:ascii="Arial" w:hAnsi="Arial" w:cs="Arial"/>
          <w:sz w:val="24"/>
          <w:szCs w:val="24"/>
        </w:rPr>
        <w:t xml:space="preserve">1 - quem esteja em recuperação judicial (exceto as que apresentarem o plano de recuperação já homologado pelo juízo competente e em pleno vigor, conforme Súmula 501 do TCE SP) ou extrajudicial, </w:t>
      </w:r>
    </w:p>
    <w:p w14:paraId="0632C41B">
      <w:pPr>
        <w:spacing w:line="360" w:lineRule="auto"/>
        <w:jc w:val="both"/>
        <w:rPr>
          <w:rFonts w:ascii="Arial" w:hAnsi="Arial" w:cs="Arial"/>
          <w:sz w:val="24"/>
          <w:szCs w:val="24"/>
        </w:rPr>
      </w:pPr>
    </w:p>
    <w:p w14:paraId="6499EC50">
      <w:pPr>
        <w:spacing w:line="360" w:lineRule="auto"/>
        <w:jc w:val="both"/>
        <w:rPr>
          <w:rFonts w:ascii="Arial" w:hAnsi="Arial" w:cs="Arial"/>
          <w:sz w:val="24"/>
          <w:szCs w:val="24"/>
        </w:rPr>
      </w:pPr>
      <w:r>
        <w:rPr>
          <w:rFonts w:ascii="Arial" w:hAnsi="Arial" w:cs="Arial"/>
          <w:sz w:val="24"/>
          <w:szCs w:val="24"/>
        </w:rPr>
        <w:t xml:space="preserve">2 - autor do anteprojeto, do projeto básico ou do projeto executivo, pessoa física ou jurídica, quando a licitação versar sobre obra, serviços ou fornecimento de bens a ele relacionados (A critério da Administração e exclusivamente a seu serviço, o autor dos projetos e a empresa poderão participar no apoio das atividades de planejamento da contratação, de execução da licitação ou de gestão do contrato, desde que sob supervisão exclusiva de agentes públicos do órgão ou entidade). </w:t>
      </w:r>
    </w:p>
    <w:p w14:paraId="000BB539">
      <w:pPr>
        <w:spacing w:line="360" w:lineRule="auto"/>
        <w:jc w:val="both"/>
        <w:rPr>
          <w:rFonts w:ascii="Arial" w:hAnsi="Arial" w:cs="Arial"/>
          <w:sz w:val="24"/>
          <w:szCs w:val="24"/>
        </w:rPr>
      </w:pPr>
    </w:p>
    <w:p w14:paraId="5C33FE5B">
      <w:pPr>
        <w:spacing w:line="360" w:lineRule="auto"/>
        <w:jc w:val="both"/>
        <w:rPr>
          <w:rFonts w:ascii="Arial" w:hAnsi="Arial" w:cs="Arial"/>
          <w:sz w:val="24"/>
          <w:szCs w:val="24"/>
        </w:rPr>
      </w:pPr>
      <w:r>
        <w:rPr>
          <w:rFonts w:ascii="Arial" w:hAnsi="Arial" w:cs="Arial"/>
          <w:sz w:val="24"/>
          <w:szCs w:val="24"/>
        </w:rPr>
        <w:t xml:space="preserve">3 -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 critério da Administração e exclusivamente a seu serviço, o autor dos projetos e a empresa poderão participar no apoio das atividades de planejamento da contratação, de execução da licitação ou de gestão do contrato, desde que sob supervisão exclusiva de agentes públicos do órgão ou entidade); </w:t>
      </w:r>
    </w:p>
    <w:p w14:paraId="51B1E12B">
      <w:pPr>
        <w:spacing w:line="360" w:lineRule="auto"/>
        <w:jc w:val="both"/>
        <w:rPr>
          <w:rFonts w:ascii="Arial" w:hAnsi="Arial" w:cs="Arial"/>
          <w:sz w:val="24"/>
          <w:szCs w:val="24"/>
        </w:rPr>
      </w:pPr>
    </w:p>
    <w:p w14:paraId="30181C9E">
      <w:pPr>
        <w:spacing w:line="360" w:lineRule="auto"/>
        <w:jc w:val="both"/>
        <w:rPr>
          <w:rFonts w:ascii="Arial" w:hAnsi="Arial" w:cs="Arial"/>
          <w:sz w:val="24"/>
          <w:szCs w:val="24"/>
        </w:rPr>
      </w:pPr>
      <w:r>
        <w:rPr>
          <w:rFonts w:ascii="Arial" w:hAnsi="Arial" w:cs="Arial"/>
          <w:sz w:val="24"/>
          <w:szCs w:val="24"/>
        </w:rPr>
        <w:t xml:space="preserve">4 - pessoa física ou jurídica que se encontre, ao tempo da licitação, impossibilitada de participar da licitação em decorrência de sanção que lhe foi imposta com declaração de inidoneidade ou suspensa de licitar e contratar com o Município, bem como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280EA5C1">
      <w:pPr>
        <w:spacing w:line="360" w:lineRule="auto"/>
        <w:jc w:val="both"/>
        <w:rPr>
          <w:rFonts w:ascii="Arial" w:hAnsi="Arial" w:cs="Arial"/>
          <w:sz w:val="24"/>
          <w:szCs w:val="24"/>
        </w:rPr>
      </w:pPr>
    </w:p>
    <w:p w14:paraId="54F9941C">
      <w:pPr>
        <w:spacing w:line="360" w:lineRule="auto"/>
        <w:jc w:val="both"/>
        <w:rPr>
          <w:rFonts w:ascii="Arial" w:hAnsi="Arial" w:cs="Arial"/>
          <w:sz w:val="24"/>
          <w:szCs w:val="24"/>
        </w:rPr>
      </w:pPr>
      <w:r>
        <w:rPr>
          <w:rFonts w:ascii="Arial" w:hAnsi="Arial" w:cs="Arial"/>
          <w:sz w:val="24"/>
          <w:szCs w:val="24"/>
        </w:rPr>
        <w:t xml:space="preserve">5 -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05B3DC74">
      <w:pPr>
        <w:spacing w:line="360" w:lineRule="auto"/>
        <w:jc w:val="both"/>
        <w:rPr>
          <w:rFonts w:ascii="Arial" w:hAnsi="Arial" w:cs="Arial"/>
          <w:sz w:val="24"/>
          <w:szCs w:val="24"/>
        </w:rPr>
      </w:pPr>
    </w:p>
    <w:p w14:paraId="601CFF4B">
      <w:pPr>
        <w:spacing w:line="360" w:lineRule="auto"/>
        <w:jc w:val="both"/>
        <w:rPr>
          <w:rFonts w:ascii="Arial" w:hAnsi="Arial" w:cs="Arial"/>
          <w:sz w:val="24"/>
          <w:szCs w:val="24"/>
        </w:rPr>
      </w:pPr>
      <w:r>
        <w:rPr>
          <w:rFonts w:ascii="Arial" w:hAnsi="Arial" w:cs="Arial"/>
          <w:sz w:val="24"/>
          <w:szCs w:val="24"/>
        </w:rPr>
        <w:t xml:space="preserve">6 - empresas controladoras, controladas ou coligadas, nos termos da Lei nº 6.404, de 15 de dezembro de 1976, concorrendo entre si; </w:t>
      </w:r>
    </w:p>
    <w:p w14:paraId="537AC014">
      <w:pPr>
        <w:spacing w:line="360" w:lineRule="auto"/>
        <w:jc w:val="both"/>
        <w:rPr>
          <w:rFonts w:ascii="Arial" w:hAnsi="Arial" w:cs="Arial"/>
          <w:sz w:val="24"/>
          <w:szCs w:val="24"/>
        </w:rPr>
      </w:pPr>
    </w:p>
    <w:p w14:paraId="2727A552">
      <w:pPr>
        <w:spacing w:line="360" w:lineRule="auto"/>
        <w:jc w:val="both"/>
        <w:rPr>
          <w:rFonts w:ascii="Arial" w:hAnsi="Arial" w:cs="Arial"/>
          <w:sz w:val="24"/>
          <w:szCs w:val="24"/>
        </w:rPr>
      </w:pPr>
      <w:r>
        <w:rPr>
          <w:rFonts w:ascii="Arial" w:hAnsi="Arial" w:cs="Arial"/>
          <w:sz w:val="24"/>
          <w:szCs w:val="24"/>
        </w:rPr>
        <w:t xml:space="preserve">7 -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6FDFD67">
      <w:pPr>
        <w:spacing w:line="360" w:lineRule="auto"/>
        <w:jc w:val="both"/>
        <w:rPr>
          <w:rFonts w:ascii="Arial" w:hAnsi="Arial" w:cs="Arial"/>
          <w:sz w:val="24"/>
          <w:szCs w:val="24"/>
        </w:rPr>
      </w:pPr>
    </w:p>
    <w:p w14:paraId="1868622E">
      <w:pPr>
        <w:spacing w:line="360" w:lineRule="auto"/>
        <w:jc w:val="both"/>
        <w:rPr>
          <w:rFonts w:ascii="Arial" w:hAnsi="Arial" w:cs="Arial"/>
          <w:sz w:val="24"/>
          <w:szCs w:val="24"/>
        </w:rPr>
      </w:pPr>
      <w:r>
        <w:rPr>
          <w:rFonts w:ascii="Arial" w:hAnsi="Arial" w:cs="Arial"/>
          <w:sz w:val="24"/>
          <w:szCs w:val="24"/>
        </w:rPr>
        <w:t xml:space="preserve">4.2.1 - Equiparam-se aos autores do projeto as empresas integrantes do mesmo grupo econômico. </w:t>
      </w:r>
    </w:p>
    <w:p w14:paraId="000B5351">
      <w:pPr>
        <w:pStyle w:val="9"/>
        <w:spacing w:after="80" w:line="360" w:lineRule="auto"/>
        <w:jc w:val="both"/>
        <w:rPr>
          <w:rFonts w:ascii="Arial" w:hAnsi="Arial" w:cs="Arial"/>
        </w:rPr>
      </w:pPr>
      <w:r>
        <w:rPr>
          <w:rFonts w:ascii="Arial" w:hAnsi="Arial" w:cs="Arial"/>
        </w:rPr>
        <w:t xml:space="preserve">4.3 – Os benefícios do </w:t>
      </w:r>
      <w:r>
        <w:rPr>
          <w:rFonts w:ascii="Arial" w:hAnsi="Arial" w:cs="Arial"/>
          <w:b/>
          <w:highlight w:val="yellow"/>
          <w:u w:val="single"/>
        </w:rPr>
        <w:t>Decreto Federal nº 8.538/2015</w:t>
      </w:r>
      <w:r>
        <w:rPr>
          <w:rFonts w:ascii="Arial" w:hAnsi="Arial" w:cs="Arial"/>
          <w:highlight w:val="yellow"/>
        </w:rPr>
        <w:t>,</w:t>
      </w:r>
      <w:r>
        <w:rPr>
          <w:rFonts w:ascii="Arial" w:hAnsi="Arial" w:cs="Arial"/>
        </w:rPr>
        <w:t xml:space="preserve"> de concedidos com </w:t>
      </w:r>
      <w:r>
        <w:rPr>
          <w:rFonts w:ascii="Arial" w:hAnsi="Arial" w:cs="Arial"/>
          <w:b/>
          <w:highlight w:val="yellow"/>
          <w:u w:val="single"/>
        </w:rPr>
        <w:t>RESERVA DE COTAS</w:t>
      </w:r>
      <w:r>
        <w:rPr>
          <w:rFonts w:ascii="Arial" w:hAnsi="Arial" w:cs="Arial"/>
        </w:rPr>
        <w:t>.</w:t>
      </w:r>
    </w:p>
    <w:p w14:paraId="259BE18F">
      <w:pPr>
        <w:suppressAutoHyphens w:val="0"/>
        <w:autoSpaceDE w:val="0"/>
        <w:spacing w:line="360" w:lineRule="auto"/>
        <w:jc w:val="both"/>
        <w:rPr>
          <w:rFonts w:ascii="Arial" w:hAnsi="Arial" w:cs="Arial"/>
          <w:b/>
          <w:bCs/>
          <w:sz w:val="24"/>
          <w:szCs w:val="24"/>
        </w:rPr>
      </w:pPr>
      <w:r>
        <w:rPr>
          <w:rFonts w:ascii="Arial" w:hAnsi="Arial" w:cs="Arial"/>
          <w:b/>
          <w:bCs/>
          <w:sz w:val="24"/>
          <w:szCs w:val="24"/>
        </w:rPr>
        <w:t>V - DO PEDIDO DE ESCLARECIMENTO E IMPUGNAÇÃO DO EDITAL</w:t>
      </w:r>
    </w:p>
    <w:p w14:paraId="6828FD38">
      <w:pPr>
        <w:suppressAutoHyphens w:val="0"/>
        <w:autoSpaceDE w:val="0"/>
        <w:spacing w:line="360" w:lineRule="auto"/>
        <w:jc w:val="both"/>
        <w:rPr>
          <w:rFonts w:ascii="Arial" w:hAnsi="Arial" w:cs="Arial"/>
          <w:sz w:val="24"/>
          <w:szCs w:val="24"/>
        </w:rPr>
      </w:pPr>
      <w:r>
        <w:rPr>
          <w:rFonts w:ascii="Arial" w:hAnsi="Arial" w:cs="Arial"/>
          <w:sz w:val="24"/>
          <w:szCs w:val="24"/>
        </w:rPr>
        <w:t xml:space="preserve">5.1 - Os </w:t>
      </w:r>
      <w:r>
        <w:rPr>
          <w:rFonts w:ascii="Arial" w:hAnsi="Arial" w:cs="Arial"/>
          <w:b/>
          <w:sz w:val="24"/>
          <w:szCs w:val="24"/>
          <w:highlight w:val="lightGray"/>
          <w:u w:val="single"/>
        </w:rPr>
        <w:t>pedidos de esclarecimentos e impugnação</w:t>
      </w:r>
      <w:r>
        <w:rPr>
          <w:rFonts w:ascii="Arial" w:hAnsi="Arial" w:cs="Arial"/>
          <w:sz w:val="24"/>
          <w:szCs w:val="24"/>
        </w:rPr>
        <w:t xml:space="preserve"> deverão estar devidamente datados, com endereço completo da pessoa jurídica, nome e qualificação do representante legal, devendo ambos os pedidos serem através do e-mail: </w:t>
      </w:r>
      <w:r>
        <w:fldChar w:fldCharType="begin"/>
      </w:r>
      <w:r>
        <w:instrText xml:space="preserve"> HYPERLINK "mailto:licitacao@cedral.sp.gov.br" </w:instrText>
      </w:r>
      <w:r>
        <w:fldChar w:fldCharType="separate"/>
      </w:r>
      <w:r>
        <w:rPr>
          <w:rStyle w:val="6"/>
          <w:rFonts w:ascii="Arial" w:hAnsi="Arial" w:cs="Arial"/>
          <w:b/>
          <w:sz w:val="24"/>
          <w:szCs w:val="24"/>
        </w:rPr>
        <w:t>licitacao@cedral.sp.gov.br</w:t>
      </w:r>
      <w:r>
        <w:rPr>
          <w:rStyle w:val="6"/>
          <w:rFonts w:ascii="Arial" w:hAnsi="Arial" w:cs="Arial"/>
          <w:b/>
          <w:sz w:val="24"/>
          <w:szCs w:val="24"/>
        </w:rPr>
        <w:fldChar w:fldCharType="end"/>
      </w:r>
      <w:r>
        <w:rPr>
          <w:rFonts w:ascii="Arial" w:hAnsi="Arial" w:cs="Arial"/>
          <w:b/>
          <w:sz w:val="24"/>
          <w:szCs w:val="24"/>
          <w:u w:val="single"/>
        </w:rPr>
        <w:t>,</w:t>
      </w:r>
      <w:r>
        <w:rPr>
          <w:rFonts w:ascii="Arial" w:hAnsi="Arial" w:cs="Arial"/>
          <w:sz w:val="24"/>
          <w:szCs w:val="24"/>
        </w:rPr>
        <w:t xml:space="preserve"> sendo:</w:t>
      </w:r>
    </w:p>
    <w:p w14:paraId="0787381F">
      <w:pPr>
        <w:suppressAutoHyphens w:val="0"/>
        <w:autoSpaceDE w:val="0"/>
        <w:spacing w:line="360" w:lineRule="auto"/>
        <w:jc w:val="both"/>
        <w:rPr>
          <w:rFonts w:ascii="Arial" w:hAnsi="Arial" w:cs="Arial"/>
          <w:sz w:val="24"/>
          <w:szCs w:val="24"/>
        </w:rPr>
      </w:pPr>
    </w:p>
    <w:p w14:paraId="6980AA84">
      <w:pPr>
        <w:suppressAutoHyphens w:val="0"/>
        <w:autoSpaceDE w:val="0"/>
        <w:autoSpaceDN w:val="0"/>
        <w:adjustRightInd w:val="0"/>
        <w:spacing w:line="360" w:lineRule="auto"/>
        <w:jc w:val="both"/>
        <w:rPr>
          <w:rFonts w:ascii="Arial" w:hAnsi="Arial" w:cs="Arial"/>
          <w:b/>
          <w:bCs/>
          <w:sz w:val="24"/>
          <w:szCs w:val="24"/>
          <w:lang w:eastAsia="pt-BR"/>
        </w:rPr>
      </w:pPr>
      <w:r>
        <w:rPr>
          <w:rFonts w:ascii="Arial" w:hAnsi="Arial" w:cs="Arial"/>
          <w:b/>
          <w:bCs/>
          <w:sz w:val="24"/>
          <w:szCs w:val="24"/>
          <w:lang w:eastAsia="pt-BR"/>
        </w:rPr>
        <w:t>5.2 Esclarecimentos</w:t>
      </w:r>
    </w:p>
    <w:p w14:paraId="081A7F12">
      <w:pPr>
        <w:suppressAutoHyphens w:val="0"/>
        <w:autoSpaceDE w:val="0"/>
        <w:autoSpaceDN w:val="0"/>
        <w:adjustRightInd w:val="0"/>
        <w:spacing w:line="360" w:lineRule="auto"/>
        <w:jc w:val="both"/>
        <w:rPr>
          <w:rFonts w:ascii="Arial" w:hAnsi="Arial" w:cs="Arial"/>
          <w:sz w:val="24"/>
          <w:szCs w:val="24"/>
          <w:lang w:eastAsia="pt-BR"/>
        </w:rPr>
      </w:pPr>
      <w:r>
        <w:rPr>
          <w:rFonts w:ascii="Arial" w:hAnsi="Arial" w:cs="Arial"/>
          <w:sz w:val="24"/>
          <w:szCs w:val="24"/>
          <w:lang w:eastAsia="pt-BR"/>
        </w:rPr>
        <w:t xml:space="preserve">1 - Os pedidos de esclarecimentos referentes ao processo licitatório serão enviados ao pregoeiro, </w:t>
      </w:r>
      <w:r>
        <w:rPr>
          <w:rFonts w:ascii="Arial" w:hAnsi="Arial" w:cs="Arial"/>
          <w:b/>
          <w:sz w:val="24"/>
          <w:szCs w:val="24"/>
          <w:u w:val="single"/>
          <w:lang w:eastAsia="pt-BR"/>
        </w:rPr>
        <w:t>até três dias úteis anteriores à data fixada para abertura da sessão pública</w:t>
      </w:r>
      <w:r>
        <w:rPr>
          <w:rFonts w:ascii="Arial" w:hAnsi="Arial" w:cs="Arial"/>
          <w:sz w:val="24"/>
          <w:szCs w:val="24"/>
          <w:lang w:eastAsia="pt-BR"/>
        </w:rPr>
        <w:t>,.</w:t>
      </w:r>
    </w:p>
    <w:p w14:paraId="7B898557">
      <w:pPr>
        <w:suppressAutoHyphens w:val="0"/>
        <w:autoSpaceDE w:val="0"/>
        <w:autoSpaceDN w:val="0"/>
        <w:adjustRightInd w:val="0"/>
        <w:spacing w:line="360" w:lineRule="auto"/>
        <w:jc w:val="both"/>
        <w:rPr>
          <w:rFonts w:ascii="Arial" w:hAnsi="Arial" w:cs="Arial"/>
          <w:sz w:val="24"/>
          <w:szCs w:val="24"/>
          <w:lang w:eastAsia="pt-BR"/>
        </w:rPr>
      </w:pPr>
      <w:r>
        <w:rPr>
          <w:rFonts w:ascii="Arial" w:hAnsi="Arial" w:cs="Arial"/>
          <w:sz w:val="24"/>
          <w:szCs w:val="24"/>
          <w:lang w:eastAsia="pt-BR"/>
        </w:rPr>
        <w:t xml:space="preserve">2 - O </w:t>
      </w:r>
      <w:r>
        <w:rPr>
          <w:rFonts w:ascii="Arial" w:hAnsi="Arial" w:cs="Arial"/>
          <w:b/>
          <w:sz w:val="24"/>
          <w:szCs w:val="24"/>
          <w:u w:val="single"/>
          <w:lang w:eastAsia="pt-BR"/>
        </w:rPr>
        <w:t>pregoeiro responderá</w:t>
      </w:r>
      <w:r>
        <w:rPr>
          <w:rFonts w:ascii="Arial" w:hAnsi="Arial" w:cs="Arial"/>
          <w:sz w:val="24"/>
          <w:szCs w:val="24"/>
          <w:lang w:eastAsia="pt-BR"/>
        </w:rPr>
        <w:t xml:space="preserve"> aos pedidos de esclarecimentos no</w:t>
      </w:r>
      <w:r>
        <w:rPr>
          <w:rFonts w:ascii="Arial" w:hAnsi="Arial" w:cs="Arial"/>
          <w:b/>
          <w:sz w:val="24"/>
          <w:szCs w:val="24"/>
          <w:u w:val="single"/>
          <w:lang w:eastAsia="pt-BR"/>
        </w:rPr>
        <w:t xml:space="preserve"> prazo de dois dias úteis, contado da data de recebimento do pedido</w:t>
      </w:r>
      <w:r>
        <w:rPr>
          <w:rFonts w:ascii="Arial" w:hAnsi="Arial" w:cs="Arial"/>
          <w:sz w:val="24"/>
          <w:szCs w:val="24"/>
          <w:lang w:eastAsia="pt-BR"/>
        </w:rPr>
        <w:t>, e poderá requisitar subsídios formais aos órgãos técnicos.</w:t>
      </w:r>
    </w:p>
    <w:p w14:paraId="65CD5676">
      <w:pPr>
        <w:suppressAutoHyphens w:val="0"/>
        <w:autoSpaceDE w:val="0"/>
        <w:autoSpaceDN w:val="0"/>
        <w:adjustRightInd w:val="0"/>
        <w:spacing w:line="360" w:lineRule="auto"/>
        <w:jc w:val="both"/>
        <w:rPr>
          <w:rFonts w:ascii="Arial" w:hAnsi="Arial" w:cs="Arial"/>
          <w:sz w:val="24"/>
          <w:szCs w:val="24"/>
          <w:lang w:eastAsia="pt-BR"/>
        </w:rPr>
      </w:pPr>
      <w:r>
        <w:rPr>
          <w:rFonts w:ascii="Arial" w:hAnsi="Arial" w:cs="Arial"/>
          <w:sz w:val="24"/>
          <w:szCs w:val="24"/>
          <w:lang w:eastAsia="pt-BR"/>
        </w:rPr>
        <w:t>3 - As respostas aos pedidos de esclarecimentos serão divulgadas pelo sistema e vincularão os participantes e a administração.</w:t>
      </w:r>
    </w:p>
    <w:p w14:paraId="117AD073">
      <w:pPr>
        <w:suppressAutoHyphens w:val="0"/>
        <w:autoSpaceDE w:val="0"/>
        <w:autoSpaceDN w:val="0"/>
        <w:adjustRightInd w:val="0"/>
        <w:spacing w:line="360" w:lineRule="auto"/>
        <w:jc w:val="both"/>
        <w:rPr>
          <w:rFonts w:ascii="Arial" w:hAnsi="Arial" w:cs="Arial"/>
          <w:sz w:val="24"/>
          <w:szCs w:val="24"/>
          <w:lang w:eastAsia="pt-BR"/>
        </w:rPr>
      </w:pPr>
    </w:p>
    <w:p w14:paraId="2F9B8E9D">
      <w:pPr>
        <w:suppressAutoHyphens w:val="0"/>
        <w:autoSpaceDE w:val="0"/>
        <w:autoSpaceDN w:val="0"/>
        <w:adjustRightInd w:val="0"/>
        <w:spacing w:line="360" w:lineRule="auto"/>
        <w:jc w:val="both"/>
        <w:rPr>
          <w:rFonts w:ascii="Arial" w:hAnsi="Arial" w:cs="Arial"/>
          <w:b/>
          <w:bCs/>
          <w:sz w:val="24"/>
          <w:szCs w:val="24"/>
          <w:lang w:eastAsia="pt-BR"/>
        </w:rPr>
      </w:pPr>
      <w:r>
        <w:rPr>
          <w:rFonts w:ascii="Arial" w:hAnsi="Arial" w:cs="Arial"/>
          <w:b/>
          <w:bCs/>
          <w:sz w:val="24"/>
          <w:szCs w:val="24"/>
          <w:lang w:eastAsia="pt-BR"/>
        </w:rPr>
        <w:t>5.3 - Impugnação</w:t>
      </w:r>
    </w:p>
    <w:p w14:paraId="7DBAF7C5">
      <w:pPr>
        <w:suppressAutoHyphens w:val="0"/>
        <w:autoSpaceDE w:val="0"/>
        <w:autoSpaceDN w:val="0"/>
        <w:adjustRightInd w:val="0"/>
        <w:spacing w:line="360" w:lineRule="auto"/>
        <w:jc w:val="both"/>
        <w:rPr>
          <w:rFonts w:ascii="Arial" w:hAnsi="Arial" w:cs="Arial"/>
          <w:sz w:val="24"/>
          <w:szCs w:val="24"/>
          <w:lang w:eastAsia="pt-BR"/>
        </w:rPr>
      </w:pPr>
      <w:r>
        <w:rPr>
          <w:rFonts w:ascii="Arial" w:hAnsi="Arial" w:cs="Arial"/>
          <w:sz w:val="24"/>
          <w:szCs w:val="24"/>
          <w:lang w:eastAsia="pt-BR"/>
        </w:rPr>
        <w:t xml:space="preserve">1 - Qualquer pessoa poderá impugnar os termos do edital do pregão, por meio eletrônico, na forma prevista no edital, </w:t>
      </w:r>
      <w:r>
        <w:rPr>
          <w:rFonts w:ascii="Arial" w:hAnsi="Arial" w:cs="Arial"/>
          <w:b/>
          <w:sz w:val="24"/>
          <w:szCs w:val="24"/>
          <w:u w:val="single"/>
          <w:lang w:eastAsia="pt-BR"/>
        </w:rPr>
        <w:t>até três dias úteis anteriores à data fixada para abertura da sessão pública</w:t>
      </w:r>
      <w:r>
        <w:rPr>
          <w:rFonts w:ascii="Arial" w:hAnsi="Arial" w:cs="Arial"/>
          <w:sz w:val="24"/>
          <w:szCs w:val="24"/>
          <w:lang w:eastAsia="pt-BR"/>
        </w:rPr>
        <w:t>.</w:t>
      </w:r>
    </w:p>
    <w:p w14:paraId="08C03F80">
      <w:pPr>
        <w:suppressAutoHyphens w:val="0"/>
        <w:autoSpaceDE w:val="0"/>
        <w:autoSpaceDN w:val="0"/>
        <w:adjustRightInd w:val="0"/>
        <w:spacing w:line="360" w:lineRule="auto"/>
        <w:jc w:val="both"/>
        <w:rPr>
          <w:rFonts w:ascii="Arial" w:hAnsi="Arial" w:cs="Arial"/>
          <w:sz w:val="24"/>
          <w:szCs w:val="24"/>
          <w:lang w:eastAsia="pt-BR"/>
        </w:rPr>
      </w:pPr>
      <w:r>
        <w:rPr>
          <w:rFonts w:ascii="Arial" w:hAnsi="Arial" w:cs="Arial"/>
          <w:sz w:val="24"/>
          <w:szCs w:val="24"/>
          <w:lang w:eastAsia="pt-BR"/>
        </w:rPr>
        <w:t xml:space="preserve">2 - A impugnação não possui efeito suspensivo e </w:t>
      </w:r>
      <w:r>
        <w:rPr>
          <w:rFonts w:ascii="Arial" w:hAnsi="Arial" w:cs="Arial"/>
          <w:b/>
          <w:sz w:val="24"/>
          <w:szCs w:val="24"/>
          <w:u w:val="single"/>
          <w:lang w:eastAsia="pt-BR"/>
        </w:rPr>
        <w:t>caberá ao pregoeiro</w:t>
      </w:r>
      <w:r>
        <w:rPr>
          <w:rFonts w:ascii="Arial" w:hAnsi="Arial" w:cs="Arial"/>
          <w:sz w:val="24"/>
          <w:szCs w:val="24"/>
          <w:lang w:eastAsia="pt-BR"/>
        </w:rPr>
        <w:t xml:space="preserve">, auxiliado pelos órgãos técnicos, </w:t>
      </w:r>
      <w:r>
        <w:rPr>
          <w:rFonts w:ascii="Arial" w:hAnsi="Arial" w:cs="Arial"/>
          <w:b/>
          <w:sz w:val="24"/>
          <w:szCs w:val="24"/>
          <w:u w:val="single"/>
          <w:lang w:eastAsia="pt-BR"/>
        </w:rPr>
        <w:t>decidir sobre a impugnação no prazo de dois dias úteis, contado do data de recebimento da impugnação</w:t>
      </w:r>
      <w:r>
        <w:rPr>
          <w:rFonts w:ascii="Arial" w:hAnsi="Arial" w:cs="Arial"/>
          <w:sz w:val="24"/>
          <w:szCs w:val="24"/>
          <w:lang w:eastAsia="pt-BR"/>
        </w:rPr>
        <w:t>.</w:t>
      </w:r>
    </w:p>
    <w:p w14:paraId="5250B996">
      <w:pPr>
        <w:suppressAutoHyphens w:val="0"/>
        <w:autoSpaceDE w:val="0"/>
        <w:autoSpaceDN w:val="0"/>
        <w:adjustRightInd w:val="0"/>
        <w:spacing w:line="360" w:lineRule="auto"/>
        <w:jc w:val="both"/>
        <w:rPr>
          <w:rFonts w:ascii="Arial" w:hAnsi="Arial" w:cs="Arial"/>
          <w:sz w:val="24"/>
          <w:szCs w:val="24"/>
          <w:lang w:eastAsia="pt-BR"/>
        </w:rPr>
      </w:pPr>
      <w:r>
        <w:rPr>
          <w:rFonts w:ascii="Arial" w:hAnsi="Arial" w:cs="Arial"/>
          <w:sz w:val="24"/>
          <w:szCs w:val="24"/>
          <w:lang w:eastAsia="pt-BR"/>
        </w:rPr>
        <w:t>3 - A concessão de efeito suspensivo à impugnação é medida excepcional e deverá ser motivada pelo pregoeiro, nos autos do processo de licitação.</w:t>
      </w:r>
    </w:p>
    <w:p w14:paraId="7DEC9025">
      <w:pPr>
        <w:suppressAutoHyphens w:val="0"/>
        <w:autoSpaceDE w:val="0"/>
        <w:spacing w:line="360" w:lineRule="auto"/>
        <w:jc w:val="both"/>
        <w:rPr>
          <w:rFonts w:ascii="Arial" w:hAnsi="Arial" w:cs="Arial"/>
          <w:sz w:val="24"/>
          <w:szCs w:val="24"/>
          <w:lang w:eastAsia="pt-BR"/>
        </w:rPr>
      </w:pPr>
      <w:r>
        <w:rPr>
          <w:rFonts w:ascii="Arial" w:hAnsi="Arial" w:cs="Arial"/>
          <w:sz w:val="24"/>
          <w:szCs w:val="24"/>
          <w:lang w:eastAsia="pt-BR"/>
        </w:rPr>
        <w:t>4 - Acolhida a impugnação contra o edital, será definida e publicada nova data para realização do certame.</w:t>
      </w:r>
    </w:p>
    <w:p w14:paraId="7762E7C7">
      <w:pPr>
        <w:suppressAutoHyphens w:val="0"/>
        <w:autoSpaceDE w:val="0"/>
        <w:spacing w:line="360" w:lineRule="auto"/>
        <w:jc w:val="both"/>
        <w:rPr>
          <w:rFonts w:ascii="Arial" w:hAnsi="Arial" w:cs="Arial"/>
          <w:sz w:val="24"/>
          <w:szCs w:val="24"/>
        </w:rPr>
      </w:pPr>
    </w:p>
    <w:p w14:paraId="2862C5BD">
      <w:pPr>
        <w:suppressAutoHyphens w:val="0"/>
        <w:autoSpaceDE w:val="0"/>
        <w:spacing w:line="360" w:lineRule="auto"/>
        <w:jc w:val="both"/>
        <w:rPr>
          <w:rFonts w:ascii="Arial" w:hAnsi="Arial" w:cs="Arial"/>
          <w:sz w:val="24"/>
          <w:szCs w:val="24"/>
        </w:rPr>
      </w:pPr>
      <w:r>
        <w:rPr>
          <w:rFonts w:ascii="Arial" w:hAnsi="Arial" w:cs="Arial"/>
          <w:sz w:val="24"/>
          <w:szCs w:val="24"/>
        </w:rPr>
        <w:t>5.4 - A impugnação feita tempestivamente pelo licitante não o impedirá de participar do processo licitatório.</w:t>
      </w:r>
    </w:p>
    <w:p w14:paraId="3047786F">
      <w:pPr>
        <w:suppressAutoHyphens w:val="0"/>
        <w:autoSpaceDE w:val="0"/>
        <w:spacing w:line="360" w:lineRule="auto"/>
        <w:jc w:val="both"/>
        <w:rPr>
          <w:rFonts w:ascii="Arial" w:hAnsi="Arial" w:cs="Arial"/>
          <w:sz w:val="24"/>
          <w:szCs w:val="24"/>
        </w:rPr>
      </w:pPr>
    </w:p>
    <w:p w14:paraId="40E40747">
      <w:pPr>
        <w:suppressAutoHyphens w:val="0"/>
        <w:autoSpaceDE w:val="0"/>
        <w:spacing w:line="360" w:lineRule="auto"/>
        <w:jc w:val="both"/>
        <w:rPr>
          <w:rFonts w:ascii="Arial" w:hAnsi="Arial" w:cs="Arial"/>
          <w:b/>
          <w:bCs/>
          <w:sz w:val="24"/>
          <w:szCs w:val="24"/>
        </w:rPr>
      </w:pPr>
      <w:r>
        <w:rPr>
          <w:rFonts w:ascii="Arial" w:hAnsi="Arial" w:cs="Arial"/>
          <w:b/>
          <w:bCs/>
          <w:sz w:val="24"/>
          <w:szCs w:val="24"/>
        </w:rPr>
        <w:t>VI- DO CREDENCIAMENTO E EFETIVA PARTICIPAÇÃO</w:t>
      </w:r>
    </w:p>
    <w:p w14:paraId="0AEAD47B">
      <w:pPr>
        <w:pStyle w:val="23"/>
        <w:widowControl/>
        <w:tabs>
          <w:tab w:val="left" w:pos="0"/>
        </w:tabs>
        <w:spacing w:line="360" w:lineRule="auto"/>
        <w:jc w:val="both"/>
        <w:rPr>
          <w:rFonts w:ascii="Arial" w:hAnsi="Arial" w:cs="Arial"/>
          <w:szCs w:val="24"/>
          <w:lang w:val="pt-BR"/>
        </w:rPr>
      </w:pPr>
      <w:r>
        <w:rPr>
          <w:rFonts w:ascii="Arial" w:hAnsi="Arial" w:cs="Arial"/>
          <w:szCs w:val="24"/>
          <w:lang w:val="pt-BR"/>
        </w:rPr>
        <w:t>6.1 -</w:t>
      </w:r>
      <w:r>
        <w:rPr>
          <w:rFonts w:ascii="Arial" w:hAnsi="Arial" w:cs="Arial"/>
          <w:b/>
          <w:szCs w:val="24"/>
          <w:lang w:val="pt-BR"/>
        </w:rPr>
        <w:t xml:space="preserve"> </w:t>
      </w:r>
      <w:r>
        <w:rPr>
          <w:rFonts w:ascii="Arial" w:hAnsi="Arial" w:cs="Arial"/>
          <w:szCs w:val="24"/>
          <w:lang w:val="pt-BR"/>
        </w:rPr>
        <w:t xml:space="preserve">Para acesso ao sistema eletrônico, os interessados em participar do Pregão, deverão dispor de chave de identificação e senha pessoal e intransferível, a ser solicitada através do link: </w:t>
      </w:r>
      <w:r>
        <w:rPr>
          <w:rFonts w:ascii="Arial" w:hAnsi="Arial" w:cs="Arial"/>
          <w:b/>
          <w:color w:val="FF0000"/>
          <w:lang w:val="pt-BR"/>
        </w:rPr>
        <w:t>http://200.95.195.86:8081/comprasedital/</w:t>
      </w:r>
      <w:r>
        <w:rPr>
          <w:rFonts w:ascii="Arial" w:hAnsi="Arial" w:cs="Arial"/>
          <w:szCs w:val="24"/>
          <w:lang w:val="pt-BR"/>
        </w:rPr>
        <w:t>.</w:t>
      </w:r>
    </w:p>
    <w:p w14:paraId="6DE62914">
      <w:pPr>
        <w:pStyle w:val="23"/>
        <w:widowControl/>
        <w:tabs>
          <w:tab w:val="left" w:pos="0"/>
        </w:tabs>
        <w:spacing w:line="360" w:lineRule="auto"/>
        <w:jc w:val="both"/>
        <w:rPr>
          <w:rFonts w:ascii="Arial" w:hAnsi="Arial" w:cs="Arial"/>
          <w:szCs w:val="24"/>
          <w:lang w:val="pt-BR"/>
        </w:rPr>
      </w:pPr>
      <w:r>
        <w:rPr>
          <w:rFonts w:ascii="Arial" w:hAnsi="Arial" w:cs="Arial"/>
          <w:szCs w:val="24"/>
          <w:lang w:val="pt-BR"/>
        </w:rPr>
        <w:t>6.2 - É de exclusiva responsabilidade do usuário o sigilo da senha, bem como seu uso em qualquer transação efetuada diretamente ou por seu representante, não cabendo ao provedor do sistema ou ao órgão promotor da licitação responsabilidade por eventuais danos decorrentes de uso indevido da senha, ainda que por terceiros.</w:t>
      </w:r>
    </w:p>
    <w:p w14:paraId="31C2DF86">
      <w:pPr>
        <w:pStyle w:val="23"/>
        <w:widowControl/>
        <w:tabs>
          <w:tab w:val="left" w:pos="0"/>
        </w:tabs>
        <w:spacing w:line="360" w:lineRule="auto"/>
        <w:jc w:val="both"/>
        <w:rPr>
          <w:rFonts w:ascii="Arial" w:hAnsi="Arial" w:cs="Arial"/>
          <w:szCs w:val="24"/>
          <w:lang w:val="pt-BR"/>
        </w:rPr>
      </w:pPr>
      <w:r>
        <w:rPr>
          <w:rFonts w:ascii="Arial" w:hAnsi="Arial" w:cs="Arial"/>
          <w:szCs w:val="24"/>
          <w:lang w:val="pt-BR"/>
        </w:rPr>
        <w:t>6.3 -</w:t>
      </w:r>
      <w:r>
        <w:rPr>
          <w:rFonts w:ascii="Arial" w:hAnsi="Arial" w:cs="Arial"/>
          <w:b/>
          <w:szCs w:val="24"/>
          <w:lang w:val="pt-BR"/>
        </w:rPr>
        <w:t xml:space="preserve"> </w:t>
      </w:r>
      <w:r>
        <w:rPr>
          <w:rFonts w:ascii="Arial" w:hAnsi="Arial" w:cs="Arial"/>
          <w:szCs w:val="24"/>
          <w:lang w:val="pt-BR"/>
        </w:rPr>
        <w:t>O credenciamento do fornecedor e de seu representante legal junto ao sistema eletrônico implica a responsabilidade legal pelos atos praticados e a presunção de capacidade técnica para realização das transações inerentes ao pregão eletrônico.</w:t>
      </w:r>
    </w:p>
    <w:p w14:paraId="1C05E9E1">
      <w:pPr>
        <w:pStyle w:val="23"/>
        <w:widowControl/>
        <w:tabs>
          <w:tab w:val="left" w:pos="0"/>
        </w:tabs>
        <w:spacing w:line="360" w:lineRule="auto"/>
        <w:jc w:val="both"/>
        <w:rPr>
          <w:rFonts w:ascii="Arial" w:hAnsi="Arial" w:cs="Arial"/>
          <w:szCs w:val="24"/>
          <w:lang w:val="pt-BR"/>
        </w:rPr>
      </w:pPr>
      <w:r>
        <w:rPr>
          <w:rFonts w:ascii="Arial" w:hAnsi="Arial" w:cs="Arial"/>
          <w:szCs w:val="24"/>
          <w:lang w:val="pt-BR"/>
        </w:rPr>
        <w:t>6.4 A participação no Pregão Eletrônico se dará por meio da digitação da senha pessoal e intransferível do representante credenciado e subsequente encaminhamento da proposta de preços, exclusivamente por meio do sistema eletrônico, observados data e horário limite estabelecidos.</w:t>
      </w:r>
    </w:p>
    <w:p w14:paraId="29EA1A2E">
      <w:pPr>
        <w:pStyle w:val="23"/>
        <w:widowControl/>
        <w:tabs>
          <w:tab w:val="left" w:pos="0"/>
        </w:tabs>
        <w:spacing w:line="360" w:lineRule="auto"/>
        <w:jc w:val="both"/>
        <w:rPr>
          <w:rFonts w:ascii="Arial" w:hAnsi="Arial" w:cs="Arial"/>
          <w:szCs w:val="24"/>
          <w:lang w:val="pt-BR"/>
        </w:rPr>
      </w:pPr>
      <w:r>
        <w:rPr>
          <w:rFonts w:ascii="Arial" w:hAnsi="Arial" w:cs="Arial"/>
          <w:szCs w:val="24"/>
          <w:lang w:val="pt-BR"/>
        </w:rPr>
        <w:t>6.5 - O encaminhamento de proposta pressupõe o pleno conhecimento e atendimento às exigências de habilitação previstas no Edital. O fornecedor será responsável por todas as transações que forem efetuadas em seu nome no sistema eletrônico, assumindo como firmes e verdadeiras suas propostas e lances.</w:t>
      </w:r>
    </w:p>
    <w:p w14:paraId="14FB2E74">
      <w:pPr>
        <w:pStyle w:val="23"/>
        <w:widowControl/>
        <w:tabs>
          <w:tab w:val="left" w:pos="0"/>
        </w:tabs>
        <w:spacing w:line="360" w:lineRule="auto"/>
        <w:jc w:val="both"/>
        <w:rPr>
          <w:rFonts w:ascii="Arial" w:hAnsi="Arial" w:cs="Arial"/>
          <w:szCs w:val="24"/>
          <w:lang w:val="pt-BR"/>
        </w:rPr>
      </w:pPr>
      <w:r>
        <w:rPr>
          <w:rFonts w:ascii="Arial" w:hAnsi="Arial" w:cs="Arial"/>
          <w:szCs w:val="24"/>
          <w:lang w:val="pt-BR"/>
        </w:rPr>
        <w:t>6.6 - Caberá ao fornecedor acompanhar as operações no sistema eletrônico durante a sessão pública do pregão, ficando responsável pelo ônus decorrente da perda de negócios diante da inobservância de quaisquer mensagens emitidas pelo sistema ou de sua desconexão.</w:t>
      </w:r>
    </w:p>
    <w:p w14:paraId="0331E685">
      <w:pPr>
        <w:pStyle w:val="23"/>
        <w:widowControl/>
        <w:tabs>
          <w:tab w:val="left" w:pos="0"/>
        </w:tabs>
        <w:spacing w:line="360" w:lineRule="auto"/>
        <w:jc w:val="both"/>
        <w:rPr>
          <w:rFonts w:ascii="Arial" w:hAnsi="Arial" w:cs="Arial"/>
          <w:szCs w:val="24"/>
          <w:lang w:val="pt-BR"/>
        </w:rPr>
      </w:pPr>
    </w:p>
    <w:p w14:paraId="453B5165">
      <w:pPr>
        <w:pStyle w:val="23"/>
        <w:widowControl/>
        <w:tabs>
          <w:tab w:val="left" w:pos="0"/>
        </w:tabs>
        <w:spacing w:line="360" w:lineRule="auto"/>
        <w:jc w:val="both"/>
        <w:rPr>
          <w:rFonts w:ascii="Arial" w:hAnsi="Arial" w:cs="Arial"/>
          <w:szCs w:val="24"/>
          <w:lang w:val="pt-BR"/>
        </w:rPr>
      </w:pPr>
    </w:p>
    <w:p w14:paraId="6817888D">
      <w:pPr>
        <w:spacing w:line="360" w:lineRule="auto"/>
        <w:jc w:val="both"/>
        <w:rPr>
          <w:rFonts w:ascii="Arial" w:hAnsi="Arial" w:cs="Arial"/>
          <w:b/>
          <w:sz w:val="24"/>
          <w:szCs w:val="24"/>
        </w:rPr>
      </w:pPr>
      <w:r>
        <w:rPr>
          <w:rFonts w:ascii="Arial" w:hAnsi="Arial" w:cs="Arial"/>
          <w:b/>
          <w:bCs/>
          <w:sz w:val="24"/>
          <w:szCs w:val="24"/>
        </w:rPr>
        <w:t>VII – D</w:t>
      </w:r>
      <w:r>
        <w:rPr>
          <w:rFonts w:ascii="Arial" w:hAnsi="Arial" w:cs="Arial"/>
          <w:b/>
          <w:sz w:val="24"/>
          <w:szCs w:val="24"/>
        </w:rPr>
        <w:t xml:space="preserve">O RECEBIMENTO DA PROPOSTA E </w:t>
      </w:r>
      <w:r>
        <w:rPr>
          <w:rFonts w:ascii="Arial" w:hAnsi="Arial" w:cs="Arial"/>
          <w:b/>
          <w:bCs/>
          <w:sz w:val="24"/>
          <w:szCs w:val="24"/>
        </w:rPr>
        <w:t>DOS DOCUMENTOS DE HABILITAÇÃO</w:t>
      </w:r>
    </w:p>
    <w:p w14:paraId="4899F733">
      <w:pPr>
        <w:spacing w:line="360" w:lineRule="auto"/>
        <w:jc w:val="both"/>
        <w:rPr>
          <w:rFonts w:ascii="Arial" w:hAnsi="Arial" w:cs="Arial"/>
          <w:snapToGrid w:val="0"/>
          <w:sz w:val="24"/>
          <w:szCs w:val="24"/>
        </w:rPr>
      </w:pPr>
      <w:r>
        <w:rPr>
          <w:rFonts w:ascii="Arial" w:hAnsi="Arial" w:cs="Arial"/>
          <w:sz w:val="24"/>
          <w:szCs w:val="24"/>
        </w:rPr>
        <w:t xml:space="preserve">7.1 - </w:t>
      </w:r>
      <w:r>
        <w:rPr>
          <w:rFonts w:ascii="Arial" w:hAnsi="Arial" w:cs="Arial"/>
          <w:snapToGrid w:val="0"/>
          <w:sz w:val="24"/>
          <w:szCs w:val="24"/>
        </w:rPr>
        <w:t xml:space="preserve">As propostas, bem como os documentos de habilitação serão recebidos até o horário previsto. </w:t>
      </w:r>
    </w:p>
    <w:p w14:paraId="55AD401C">
      <w:pPr>
        <w:spacing w:line="360" w:lineRule="auto"/>
        <w:jc w:val="both"/>
        <w:rPr>
          <w:rFonts w:ascii="Arial" w:hAnsi="Arial" w:cs="Arial"/>
          <w:snapToGrid w:val="0"/>
          <w:sz w:val="24"/>
          <w:szCs w:val="24"/>
        </w:rPr>
      </w:pPr>
      <w:r>
        <w:rPr>
          <w:rFonts w:ascii="Arial" w:hAnsi="Arial" w:cs="Arial"/>
          <w:snapToGrid w:val="0"/>
          <w:sz w:val="24"/>
          <w:szCs w:val="24"/>
        </w:rPr>
        <w:t xml:space="preserve">7.2 – A proposta postada no sistema para que fins de lances, deve ser efetuada com </w:t>
      </w:r>
      <w:r>
        <w:rPr>
          <w:rFonts w:ascii="Arial" w:hAnsi="Arial" w:cs="Arial"/>
          <w:b/>
          <w:snapToGrid w:val="0"/>
          <w:color w:val="1F497D" w:themeColor="text2"/>
          <w:sz w:val="24"/>
          <w:szCs w:val="24"/>
          <w:u w:val="single"/>
          <w14:textFill>
            <w14:solidFill>
              <w14:schemeClr w14:val="tx2"/>
            </w14:solidFill>
          </w14:textFill>
        </w:rPr>
        <w:t>VALOR UNITÁRIO DO ITEM</w:t>
      </w:r>
      <w:r>
        <w:rPr>
          <w:rFonts w:ascii="Arial" w:hAnsi="Arial" w:cs="Arial"/>
          <w:snapToGrid w:val="0"/>
          <w:color w:val="1F497D" w:themeColor="text2"/>
          <w:sz w:val="24"/>
          <w:szCs w:val="24"/>
          <w14:textFill>
            <w14:solidFill>
              <w14:schemeClr w14:val="tx2"/>
            </w14:solidFill>
          </w14:textFill>
        </w:rPr>
        <w:t>,</w:t>
      </w:r>
      <w:r>
        <w:rPr>
          <w:rFonts w:ascii="Arial" w:hAnsi="Arial" w:cs="Arial"/>
          <w:snapToGrid w:val="0"/>
          <w:sz w:val="24"/>
          <w:szCs w:val="24"/>
        </w:rPr>
        <w:t xml:space="preserve"> respeitando-se os valores estimados da licitação e as descrições exigidas no edital, bem como os critérios abaixo.</w:t>
      </w:r>
    </w:p>
    <w:p w14:paraId="7281512E">
      <w:pPr>
        <w:spacing w:line="360" w:lineRule="auto"/>
        <w:jc w:val="both"/>
        <w:rPr>
          <w:rFonts w:ascii="Arial" w:hAnsi="Arial" w:cs="Arial"/>
          <w:sz w:val="24"/>
          <w:szCs w:val="24"/>
        </w:rPr>
      </w:pPr>
      <w:r>
        <w:rPr>
          <w:rFonts w:ascii="Arial" w:hAnsi="Arial" w:cs="Arial"/>
          <w:snapToGrid w:val="0"/>
          <w:sz w:val="24"/>
          <w:szCs w:val="24"/>
        </w:rPr>
        <w:t xml:space="preserve">a) - </w:t>
      </w:r>
      <w:r>
        <w:rPr>
          <w:rFonts w:ascii="Arial" w:hAnsi="Arial" w:cs="Arial"/>
          <w:sz w:val="24"/>
          <w:szCs w:val="24"/>
        </w:rPr>
        <w:t>cotados em moeda corrente nacional;</w:t>
      </w:r>
    </w:p>
    <w:p w14:paraId="661437D6">
      <w:pPr>
        <w:autoSpaceDE w:val="0"/>
        <w:spacing w:line="360" w:lineRule="auto"/>
        <w:jc w:val="both"/>
        <w:rPr>
          <w:rFonts w:ascii="Arial" w:hAnsi="Arial" w:eastAsia="Tahoma" w:cs="Arial"/>
          <w:sz w:val="24"/>
          <w:szCs w:val="24"/>
        </w:rPr>
      </w:pPr>
      <w:r>
        <w:rPr>
          <w:rFonts w:ascii="Arial" w:hAnsi="Arial" w:cs="Arial"/>
          <w:sz w:val="24"/>
          <w:szCs w:val="24"/>
        </w:rPr>
        <w:t xml:space="preserve">b) – </w:t>
      </w:r>
      <w:r>
        <w:rPr>
          <w:rFonts w:ascii="Arial" w:hAnsi="Arial" w:cs="Arial"/>
          <w:b/>
          <w:sz w:val="24"/>
          <w:szCs w:val="24"/>
          <w:u w:val="single"/>
        </w:rPr>
        <w:t>n</w:t>
      </w:r>
      <w:r>
        <w:rPr>
          <w:rFonts w:ascii="Arial" w:hAnsi="Arial" w:eastAsia="Tahoma" w:cs="Arial"/>
          <w:b/>
          <w:sz w:val="24"/>
          <w:szCs w:val="24"/>
          <w:u w:val="single"/>
        </w:rPr>
        <w:t>os preços deverão estar incluídas todas as despesas</w:t>
      </w:r>
      <w:r>
        <w:rPr>
          <w:rFonts w:ascii="Arial" w:hAnsi="Arial" w:eastAsia="Tahoma" w:cs="Arial"/>
          <w:sz w:val="24"/>
          <w:szCs w:val="24"/>
        </w:rPr>
        <w:t xml:space="preserve"> com: tributos/taxas, seguros e todos os demais encargos necessários ao fornecimento do objeto licitado, incluídos os trabalhistas e sociais, de acordo com a Súmula 10</w:t>
      </w:r>
      <w:r>
        <w:rPr>
          <w:rStyle w:val="5"/>
          <w:rFonts w:ascii="Arial" w:hAnsi="Arial" w:eastAsia="Tahoma" w:cs="Arial"/>
          <w:sz w:val="24"/>
          <w:szCs w:val="24"/>
        </w:rPr>
        <w:footnoteReference w:id="0"/>
      </w:r>
      <w:r>
        <w:rPr>
          <w:rFonts w:ascii="Arial" w:hAnsi="Arial" w:eastAsia="Tahoma" w:cs="Arial"/>
          <w:sz w:val="24"/>
          <w:szCs w:val="24"/>
        </w:rPr>
        <w:t xml:space="preserve"> do TCE/SP, sendo que o proponente será responsável por quaisquer ônus decorrente de: marcas, registros e patentes ao objeto cotado.</w:t>
      </w:r>
    </w:p>
    <w:p w14:paraId="30AEFCC3">
      <w:pPr>
        <w:autoSpaceDE w:val="0"/>
        <w:spacing w:line="360" w:lineRule="auto"/>
        <w:jc w:val="both"/>
        <w:rPr>
          <w:rFonts w:ascii="Arial" w:hAnsi="Arial" w:eastAsia="Tahoma" w:cs="Arial"/>
          <w:sz w:val="24"/>
          <w:szCs w:val="24"/>
        </w:rPr>
      </w:pPr>
      <w:r>
        <w:rPr>
          <w:rFonts w:ascii="Arial" w:hAnsi="Arial" w:eastAsia="Tahoma" w:cs="Arial"/>
          <w:sz w:val="24"/>
          <w:szCs w:val="24"/>
        </w:rPr>
        <w:t xml:space="preserve">7.3 – A proposta postada junto com os documentos de habilitação, deverá respeitar as descrições e o modelo do Anexo III, bem como constar: </w:t>
      </w:r>
    </w:p>
    <w:p w14:paraId="44238D85">
      <w:pPr>
        <w:spacing w:line="360" w:lineRule="auto"/>
        <w:jc w:val="both"/>
        <w:rPr>
          <w:rFonts w:ascii="Arial" w:hAnsi="Arial" w:cs="Arial"/>
          <w:sz w:val="24"/>
          <w:szCs w:val="24"/>
        </w:rPr>
      </w:pPr>
      <w:r>
        <w:rPr>
          <w:rFonts w:ascii="Arial" w:hAnsi="Arial" w:cs="Arial"/>
          <w:snapToGrid w:val="0"/>
          <w:sz w:val="24"/>
          <w:szCs w:val="24"/>
        </w:rPr>
        <w:t xml:space="preserve">a) - </w:t>
      </w:r>
      <w:r>
        <w:rPr>
          <w:rFonts w:ascii="Arial" w:hAnsi="Arial" w:cs="Arial"/>
          <w:sz w:val="24"/>
          <w:szCs w:val="24"/>
        </w:rPr>
        <w:t>valores em moeda corrente nacional;</w:t>
      </w:r>
    </w:p>
    <w:p w14:paraId="22F90880">
      <w:pPr>
        <w:spacing w:line="360" w:lineRule="auto"/>
        <w:jc w:val="both"/>
        <w:rPr>
          <w:rFonts w:ascii="Arial" w:hAnsi="Arial" w:cs="Arial"/>
          <w:sz w:val="24"/>
          <w:szCs w:val="24"/>
        </w:rPr>
      </w:pPr>
      <w:r>
        <w:rPr>
          <w:rFonts w:ascii="Arial" w:hAnsi="Arial" w:cs="Arial"/>
          <w:sz w:val="24"/>
          <w:szCs w:val="24"/>
        </w:rPr>
        <w:t xml:space="preserve">b) – </w:t>
      </w:r>
      <w:r>
        <w:rPr>
          <w:rFonts w:ascii="Arial" w:hAnsi="Arial" w:cs="Arial"/>
          <w:color w:val="000000" w:themeColor="text1"/>
          <w:sz w:val="24"/>
          <w:szCs w:val="24"/>
          <w14:textFill>
            <w14:solidFill>
              <w14:schemeClr w14:val="tx1"/>
            </w14:solidFill>
          </w14:textFill>
        </w:rPr>
        <w:t xml:space="preserve">colocar a </w:t>
      </w:r>
      <w:r>
        <w:rPr>
          <w:rFonts w:ascii="Arial" w:hAnsi="Arial" w:cs="Arial"/>
          <w:b/>
          <w:color w:val="000000" w:themeColor="text1"/>
          <w:sz w:val="24"/>
          <w:szCs w:val="24"/>
          <w14:textFill>
            <w14:solidFill>
              <w14:schemeClr w14:val="tx1"/>
            </w14:solidFill>
          </w14:textFill>
        </w:rPr>
        <w:t>marca</w:t>
      </w:r>
      <w:r>
        <w:rPr>
          <w:rFonts w:ascii="Arial" w:hAnsi="Arial" w:cs="Arial"/>
          <w:color w:val="000000" w:themeColor="text1"/>
          <w:sz w:val="24"/>
          <w:szCs w:val="24"/>
          <w14:textFill>
            <w14:solidFill>
              <w14:schemeClr w14:val="tx1"/>
            </w14:solidFill>
          </w14:textFill>
        </w:rPr>
        <w:t xml:space="preserve">, o valor unitário </w:t>
      </w:r>
      <w:r>
        <w:rPr>
          <w:rFonts w:ascii="Arial" w:hAnsi="Arial" w:cs="Arial"/>
          <w:sz w:val="24"/>
          <w:szCs w:val="24"/>
        </w:rPr>
        <w:t>e total com até duas casas decimais após a vírgula</w:t>
      </w:r>
      <w:r>
        <w:rPr>
          <w:rFonts w:ascii="Arial" w:hAnsi="Arial" w:cs="Arial"/>
          <w:b/>
          <w:sz w:val="24"/>
          <w:szCs w:val="24"/>
        </w:rPr>
        <w:t>.</w:t>
      </w:r>
    </w:p>
    <w:p w14:paraId="46C7E087">
      <w:pPr>
        <w:autoSpaceDE w:val="0"/>
        <w:spacing w:line="360" w:lineRule="auto"/>
        <w:jc w:val="both"/>
        <w:rPr>
          <w:rFonts w:ascii="Arial" w:hAnsi="Arial" w:eastAsia="Tahoma" w:cs="Arial"/>
          <w:sz w:val="24"/>
          <w:szCs w:val="24"/>
        </w:rPr>
      </w:pPr>
      <w:r>
        <w:rPr>
          <w:rFonts w:ascii="Arial" w:hAnsi="Arial" w:cs="Arial"/>
          <w:sz w:val="24"/>
          <w:szCs w:val="24"/>
        </w:rPr>
        <w:t xml:space="preserve">c) – incluir </w:t>
      </w:r>
      <w:r>
        <w:rPr>
          <w:rFonts w:ascii="Arial" w:hAnsi="Arial" w:eastAsia="Tahoma" w:cs="Arial"/>
          <w:sz w:val="24"/>
          <w:szCs w:val="24"/>
        </w:rPr>
        <w:t>todas as despesas com frete, tributos, seguros e todos os demais encargos necessários ao fornecimento do objeto licitado, como os trabalhistas e sociais, de acordo com a Súmula 10</w:t>
      </w:r>
      <w:r>
        <w:rPr>
          <w:rStyle w:val="5"/>
          <w:rFonts w:ascii="Arial" w:hAnsi="Arial" w:eastAsia="Tahoma" w:cs="Arial"/>
          <w:sz w:val="24"/>
          <w:szCs w:val="24"/>
        </w:rPr>
        <w:footnoteReference w:id="1"/>
      </w:r>
      <w:r>
        <w:rPr>
          <w:rFonts w:ascii="Arial" w:hAnsi="Arial" w:eastAsia="Tahoma" w:cs="Arial"/>
          <w:sz w:val="24"/>
          <w:szCs w:val="24"/>
        </w:rPr>
        <w:t xml:space="preserve"> do TCE/SP, sendo que o proponente será responsável por quaisquer ônus decorrente de: marcas, registros e patentes ao objeto cotado.</w:t>
      </w:r>
    </w:p>
    <w:p w14:paraId="7CFD8690">
      <w:pPr>
        <w:spacing w:line="360" w:lineRule="auto"/>
        <w:jc w:val="both"/>
        <w:rPr>
          <w:rFonts w:ascii="Arial" w:hAnsi="Arial" w:cs="Arial"/>
          <w:snapToGrid w:val="0"/>
          <w:sz w:val="24"/>
          <w:szCs w:val="24"/>
        </w:rPr>
      </w:pPr>
      <w:r>
        <w:rPr>
          <w:rFonts w:ascii="Arial" w:hAnsi="Arial" w:cs="Arial"/>
          <w:sz w:val="24"/>
          <w:szCs w:val="24"/>
        </w:rPr>
        <w:t>7.4 - É de inteira responsabilidade do ofertante o preço e demais condições apresentadas.</w:t>
      </w:r>
    </w:p>
    <w:p w14:paraId="25203541">
      <w:pPr>
        <w:pStyle w:val="22"/>
        <w:spacing w:line="360" w:lineRule="auto"/>
        <w:rPr>
          <w:rFonts w:cs="Arial"/>
          <w:sz w:val="24"/>
          <w:szCs w:val="24"/>
        </w:rPr>
      </w:pPr>
      <w:r>
        <w:rPr>
          <w:rFonts w:cs="Arial"/>
          <w:sz w:val="24"/>
          <w:szCs w:val="24"/>
        </w:rPr>
        <w:t>7.5 - Os documentos a serem apresentados/postados de habilitação, juntamente com a proposta, independente se a pessoa jurídica será vencedora ou não, são os seguem:</w:t>
      </w:r>
    </w:p>
    <w:p w14:paraId="41DADE4B">
      <w:pPr>
        <w:pStyle w:val="22"/>
        <w:spacing w:line="360" w:lineRule="auto"/>
        <w:rPr>
          <w:rFonts w:cs="Arial"/>
          <w:sz w:val="24"/>
          <w:szCs w:val="24"/>
        </w:rPr>
      </w:pPr>
    </w:p>
    <w:p w14:paraId="048EB11A">
      <w:pPr>
        <w:autoSpaceDE w:val="0"/>
        <w:spacing w:line="360" w:lineRule="auto"/>
        <w:jc w:val="both"/>
        <w:rPr>
          <w:rFonts w:ascii="Arial" w:hAnsi="Arial" w:eastAsia="Tahoma" w:cs="Arial"/>
          <w:b/>
          <w:bCs/>
          <w:sz w:val="24"/>
          <w:szCs w:val="24"/>
        </w:rPr>
      </w:pPr>
      <w:r>
        <w:rPr>
          <w:rFonts w:ascii="Arial" w:hAnsi="Arial" w:eastAsia="Tahoma" w:cs="Arial"/>
          <w:b/>
          <w:bCs/>
          <w:sz w:val="24"/>
          <w:szCs w:val="24"/>
        </w:rPr>
        <w:t>1. - HABILITAÇÃO JURÍDICA</w:t>
      </w:r>
    </w:p>
    <w:p w14:paraId="712CE6D1">
      <w:pPr>
        <w:autoSpaceDE w:val="0"/>
        <w:spacing w:line="360" w:lineRule="auto"/>
        <w:jc w:val="both"/>
        <w:rPr>
          <w:rFonts w:ascii="Arial" w:hAnsi="Arial" w:eastAsia="Tahoma" w:cs="Arial"/>
          <w:sz w:val="24"/>
          <w:szCs w:val="24"/>
        </w:rPr>
      </w:pPr>
      <w:r>
        <w:rPr>
          <w:rFonts w:ascii="Arial" w:hAnsi="Arial" w:eastAsia="Tahoma" w:cs="Arial"/>
          <w:sz w:val="24"/>
          <w:szCs w:val="24"/>
        </w:rPr>
        <w:t>a</w:t>
      </w:r>
      <w:r>
        <w:rPr>
          <w:rFonts w:ascii="Arial" w:hAnsi="Arial" w:eastAsia="Tahoma" w:cs="Arial"/>
          <w:b/>
          <w:bCs/>
          <w:sz w:val="24"/>
          <w:szCs w:val="24"/>
          <w:u w:val="single"/>
        </w:rPr>
        <w:t>) Em se tratando de empresário individua</w:t>
      </w:r>
      <w:r>
        <w:rPr>
          <w:rFonts w:ascii="Arial" w:hAnsi="Arial" w:eastAsia="Tahoma" w:cs="Arial"/>
          <w:sz w:val="24"/>
          <w:szCs w:val="24"/>
        </w:rPr>
        <w:t>l, registro na Junta Comercial;</w:t>
      </w:r>
    </w:p>
    <w:p w14:paraId="629FDEDA">
      <w:pPr>
        <w:autoSpaceDE w:val="0"/>
        <w:spacing w:line="360" w:lineRule="auto"/>
        <w:jc w:val="both"/>
        <w:rPr>
          <w:rFonts w:ascii="Arial" w:hAnsi="Arial" w:eastAsia="Tahoma" w:cs="Arial"/>
          <w:sz w:val="24"/>
          <w:szCs w:val="24"/>
        </w:rPr>
      </w:pPr>
      <w:r>
        <w:rPr>
          <w:rFonts w:ascii="Arial" w:hAnsi="Arial" w:eastAsia="Tahoma" w:cs="Arial"/>
          <w:sz w:val="24"/>
          <w:szCs w:val="24"/>
        </w:rPr>
        <w:t>b)</w:t>
      </w:r>
      <w:r>
        <w:rPr>
          <w:rFonts w:ascii="Arial" w:hAnsi="Arial" w:eastAsia="Tahoma" w:cs="Arial"/>
          <w:b/>
          <w:bCs/>
          <w:sz w:val="24"/>
          <w:szCs w:val="24"/>
          <w:u w:val="single"/>
        </w:rPr>
        <w:t xml:space="preserve"> Em caso de sociedade empresária</w:t>
      </w:r>
      <w:r>
        <w:rPr>
          <w:rFonts w:ascii="Arial" w:hAnsi="Arial" w:eastAsia="Tahoma" w:cs="Arial"/>
          <w:sz w:val="24"/>
          <w:szCs w:val="24"/>
        </w:rPr>
        <w:t>, ato constitutivo registrado na Junta Comercial, bem como alterações contratuais que constem o nome do administrador ou ato separado de sua designação e, em sendo sociedade anônima, acompanhada de documento de eleição de seus atuais administradores.</w:t>
      </w:r>
    </w:p>
    <w:p w14:paraId="2A354603">
      <w:pPr>
        <w:autoSpaceDE w:val="0"/>
        <w:spacing w:line="360" w:lineRule="auto"/>
        <w:jc w:val="both"/>
        <w:rPr>
          <w:rFonts w:ascii="Arial" w:hAnsi="Arial" w:eastAsia="Tahoma" w:cs="Arial"/>
          <w:sz w:val="24"/>
          <w:szCs w:val="24"/>
        </w:rPr>
      </w:pPr>
      <w:r>
        <w:rPr>
          <w:rFonts w:ascii="Arial" w:hAnsi="Arial" w:eastAsia="Tahoma" w:cs="Arial"/>
          <w:sz w:val="24"/>
          <w:szCs w:val="24"/>
        </w:rPr>
        <w:t xml:space="preserve">c) </w:t>
      </w:r>
      <w:r>
        <w:rPr>
          <w:rFonts w:ascii="Arial" w:hAnsi="Arial" w:eastAsia="Tahoma" w:cs="Arial"/>
          <w:b/>
          <w:bCs/>
          <w:sz w:val="24"/>
          <w:szCs w:val="24"/>
          <w:u w:val="single"/>
        </w:rPr>
        <w:t>Em caso de sociedade simples</w:t>
      </w:r>
      <w:r>
        <w:rPr>
          <w:rFonts w:ascii="Arial" w:hAnsi="Arial" w:eastAsia="Tahoma" w:cs="Arial"/>
          <w:sz w:val="24"/>
          <w:szCs w:val="24"/>
        </w:rPr>
        <w:t>, inscrição do ato constitutivo no Cartório de Registro de Títulos e Documentos, acompanhado da prova de quem exerce sua administração; e,</w:t>
      </w:r>
    </w:p>
    <w:p w14:paraId="58CB9B62">
      <w:pPr>
        <w:autoSpaceDE w:val="0"/>
        <w:spacing w:line="360" w:lineRule="auto"/>
        <w:jc w:val="both"/>
        <w:rPr>
          <w:rFonts w:ascii="Arial" w:hAnsi="Arial" w:eastAsia="Tahoma" w:cs="Arial"/>
          <w:bCs/>
          <w:sz w:val="24"/>
          <w:szCs w:val="24"/>
        </w:rPr>
      </w:pPr>
      <w:r>
        <w:rPr>
          <w:rFonts w:ascii="Arial" w:hAnsi="Arial" w:eastAsia="Tahoma" w:cs="Arial"/>
          <w:b/>
          <w:bCs/>
          <w:sz w:val="24"/>
          <w:szCs w:val="24"/>
          <w:u w:val="single"/>
        </w:rPr>
        <w:t>d) decreto de autorização, em se tratando de pessoa jurídica ou sociedade estrangeira em funcionamento no País</w:t>
      </w:r>
      <w:r>
        <w:rPr>
          <w:rFonts w:ascii="Arial" w:hAnsi="Arial" w:eastAsia="Tahoma" w:cs="Arial"/>
          <w:bCs/>
          <w:sz w:val="24"/>
          <w:szCs w:val="24"/>
        </w:rPr>
        <w:t>.</w:t>
      </w:r>
    </w:p>
    <w:p w14:paraId="1614E495">
      <w:pPr>
        <w:autoSpaceDE w:val="0"/>
        <w:spacing w:line="360" w:lineRule="auto"/>
        <w:jc w:val="both"/>
        <w:rPr>
          <w:rFonts w:ascii="Arial" w:hAnsi="Arial" w:eastAsia="Tahoma" w:cs="Arial"/>
          <w:bCs/>
          <w:sz w:val="24"/>
          <w:szCs w:val="24"/>
        </w:rPr>
      </w:pPr>
      <w:r>
        <w:rPr>
          <w:rFonts w:ascii="Arial" w:hAnsi="Arial" w:eastAsia="Tahoma" w:cs="Arial"/>
          <w:bCs/>
          <w:sz w:val="24"/>
          <w:szCs w:val="24"/>
        </w:rPr>
        <w:t xml:space="preserve">e) </w:t>
      </w:r>
      <w:r>
        <w:rPr>
          <w:rFonts w:ascii="Arial" w:hAnsi="Arial" w:eastAsia="Tahoma" w:cs="Arial"/>
          <w:b/>
          <w:bCs/>
          <w:sz w:val="24"/>
          <w:szCs w:val="24"/>
          <w:u w:val="single"/>
        </w:rPr>
        <w:t>MEI – Microempreendedor Individual</w:t>
      </w:r>
      <w:r>
        <w:rPr>
          <w:rFonts w:ascii="Arial" w:hAnsi="Arial" w:eastAsia="Tahoma" w:cs="Arial"/>
          <w:bCs/>
          <w:sz w:val="24"/>
          <w:szCs w:val="24"/>
        </w:rPr>
        <w:t>, comprovante de inscrição</w:t>
      </w:r>
    </w:p>
    <w:p w14:paraId="3A91E3C6">
      <w:pPr>
        <w:pStyle w:val="25"/>
        <w:spacing w:line="360" w:lineRule="auto"/>
        <w:jc w:val="both"/>
        <w:rPr>
          <w:rFonts w:eastAsia="Tahoma"/>
          <w:bCs/>
          <w:color w:val="auto"/>
        </w:rPr>
      </w:pPr>
    </w:p>
    <w:p w14:paraId="09DBECE3">
      <w:pPr>
        <w:autoSpaceDE w:val="0"/>
        <w:spacing w:line="360" w:lineRule="auto"/>
        <w:jc w:val="both"/>
        <w:rPr>
          <w:rFonts w:ascii="Arial" w:hAnsi="Arial" w:eastAsia="Tahoma" w:cs="Arial"/>
          <w:bCs/>
          <w:sz w:val="24"/>
          <w:szCs w:val="24"/>
        </w:rPr>
      </w:pPr>
    </w:p>
    <w:p w14:paraId="551B7EA8">
      <w:pPr>
        <w:autoSpaceDE w:val="0"/>
        <w:spacing w:line="360" w:lineRule="auto"/>
        <w:jc w:val="both"/>
        <w:rPr>
          <w:rFonts w:ascii="Arial" w:hAnsi="Arial" w:eastAsia="Tahoma" w:cs="Arial"/>
          <w:bCs/>
          <w:sz w:val="24"/>
          <w:szCs w:val="24"/>
        </w:rPr>
      </w:pPr>
      <w:r>
        <w:rPr>
          <w:rFonts w:ascii="Arial" w:hAnsi="Arial" w:eastAsia="Tahoma" w:cs="Arial"/>
          <w:bCs/>
          <w:sz w:val="24"/>
          <w:szCs w:val="24"/>
        </w:rPr>
        <w:t>1.1 - Os documentos acima citados deverão ser apresentados com todas as suas alterações, excluindo-se os casos de documentos expressamente consolidados.</w:t>
      </w:r>
    </w:p>
    <w:p w14:paraId="1AD6C3BB">
      <w:pPr>
        <w:autoSpaceDE w:val="0"/>
        <w:spacing w:line="360" w:lineRule="auto"/>
        <w:jc w:val="both"/>
        <w:rPr>
          <w:rFonts w:ascii="Arial" w:hAnsi="Arial" w:eastAsia="Tahoma" w:cs="Arial"/>
          <w:bCs/>
          <w:sz w:val="24"/>
          <w:szCs w:val="24"/>
        </w:rPr>
      </w:pPr>
    </w:p>
    <w:p w14:paraId="7DA5CAD8">
      <w:pPr>
        <w:autoSpaceDE w:val="0"/>
        <w:spacing w:line="360" w:lineRule="auto"/>
        <w:jc w:val="both"/>
        <w:rPr>
          <w:rFonts w:ascii="Arial" w:hAnsi="Arial" w:eastAsia="Tahoma" w:cs="Arial"/>
          <w:b/>
          <w:bCs/>
          <w:sz w:val="24"/>
          <w:szCs w:val="24"/>
        </w:rPr>
      </w:pPr>
      <w:r>
        <w:rPr>
          <w:rFonts w:ascii="Arial" w:hAnsi="Arial" w:eastAsia="Tahoma" w:cs="Arial"/>
          <w:b/>
          <w:bCs/>
          <w:sz w:val="24"/>
          <w:szCs w:val="24"/>
        </w:rPr>
        <w:t>2 -  HABILITAÇÃO FISCAL, SOCIAL E TRABALHISTA</w:t>
      </w:r>
    </w:p>
    <w:p w14:paraId="10925FDC">
      <w:pPr>
        <w:autoSpaceDE w:val="0"/>
        <w:spacing w:line="360" w:lineRule="auto"/>
        <w:jc w:val="both"/>
        <w:rPr>
          <w:rFonts w:ascii="Arial" w:hAnsi="Arial" w:eastAsia="Tahoma" w:cs="Arial"/>
          <w:sz w:val="24"/>
          <w:szCs w:val="24"/>
        </w:rPr>
      </w:pPr>
      <w:r>
        <w:rPr>
          <w:rFonts w:ascii="Arial" w:hAnsi="Arial" w:eastAsia="Tahoma" w:cs="Arial"/>
          <w:sz w:val="24"/>
          <w:szCs w:val="24"/>
        </w:rPr>
        <w:t>a) inscrição no Cadastro Nacional de Pessoa Jurídica – CNPJ;</w:t>
      </w:r>
    </w:p>
    <w:p w14:paraId="5A74319E">
      <w:pPr>
        <w:pStyle w:val="25"/>
        <w:spacing w:line="360" w:lineRule="auto"/>
        <w:jc w:val="both"/>
        <w:rPr>
          <w:rFonts w:eastAsia="Tahoma"/>
          <w:bCs/>
          <w:color w:val="auto"/>
        </w:rPr>
      </w:pPr>
      <w:r>
        <w:rPr>
          <w:rFonts w:eastAsia="Tahoma"/>
          <w:color w:val="auto"/>
        </w:rPr>
        <w:t xml:space="preserve">b) </w:t>
      </w:r>
      <w:r>
        <w:rPr>
          <w:color w:val="auto"/>
        </w:rPr>
        <w:t>inscrição no cadastro de contribuintes municipal, relativo ao domicílio ou sede do licitante, pertinente ao seu ramo de atividade e compatível com o objeto contratual,</w:t>
      </w:r>
    </w:p>
    <w:p w14:paraId="36A06B2B">
      <w:pPr>
        <w:autoSpaceDE w:val="0"/>
        <w:spacing w:line="360" w:lineRule="auto"/>
        <w:jc w:val="both"/>
        <w:rPr>
          <w:rFonts w:ascii="Arial" w:hAnsi="Arial" w:eastAsia="Tahoma" w:cs="Arial"/>
          <w:sz w:val="24"/>
          <w:szCs w:val="24"/>
        </w:rPr>
      </w:pPr>
      <w:r>
        <w:rPr>
          <w:rFonts w:ascii="Arial" w:hAnsi="Arial" w:eastAsia="Tahoma" w:cs="Arial"/>
          <w:sz w:val="24"/>
          <w:szCs w:val="24"/>
        </w:rPr>
        <w:t>c) regularidade com a Fazenda Federal e Seguridade Social (INSS);</w:t>
      </w:r>
    </w:p>
    <w:p w14:paraId="433C1242">
      <w:pPr>
        <w:autoSpaceDE w:val="0"/>
        <w:spacing w:line="360" w:lineRule="auto"/>
        <w:jc w:val="both"/>
        <w:rPr>
          <w:rFonts w:ascii="Arial" w:hAnsi="Arial" w:eastAsia="Tahoma" w:cs="Arial"/>
          <w:sz w:val="24"/>
          <w:szCs w:val="24"/>
        </w:rPr>
      </w:pPr>
      <w:r>
        <w:rPr>
          <w:rFonts w:ascii="Arial" w:hAnsi="Arial" w:eastAsia="Tahoma" w:cs="Arial"/>
          <w:sz w:val="24"/>
          <w:szCs w:val="24"/>
        </w:rPr>
        <w:t>d) regularidade com a Fazenda Estadual, referente ao I.C.M.S.;</w:t>
      </w:r>
    </w:p>
    <w:p w14:paraId="72954C4F">
      <w:pPr>
        <w:autoSpaceDE w:val="0"/>
        <w:spacing w:line="360" w:lineRule="auto"/>
        <w:jc w:val="both"/>
        <w:rPr>
          <w:rFonts w:ascii="Arial" w:hAnsi="Arial" w:eastAsia="Tahoma" w:cs="Arial"/>
          <w:sz w:val="24"/>
          <w:szCs w:val="24"/>
        </w:rPr>
      </w:pPr>
      <w:r>
        <w:rPr>
          <w:rFonts w:ascii="Arial" w:hAnsi="Arial" w:eastAsia="Tahoma" w:cs="Arial"/>
          <w:sz w:val="24"/>
          <w:szCs w:val="24"/>
        </w:rPr>
        <w:t>e) regularidade com a Fazenda Municipal do domicílio ou sede do licitante, ou outra equivalente, na forma da Lei, tributos mobiliários;</w:t>
      </w:r>
    </w:p>
    <w:p w14:paraId="649D66D6">
      <w:pPr>
        <w:autoSpaceDE w:val="0"/>
        <w:spacing w:line="360" w:lineRule="auto"/>
        <w:jc w:val="both"/>
        <w:rPr>
          <w:rFonts w:ascii="Arial" w:hAnsi="Arial" w:eastAsia="Tahoma" w:cs="Arial"/>
          <w:sz w:val="24"/>
          <w:szCs w:val="24"/>
        </w:rPr>
      </w:pPr>
      <w:r>
        <w:rPr>
          <w:rFonts w:ascii="Arial" w:hAnsi="Arial" w:eastAsia="Tahoma" w:cs="Arial"/>
          <w:sz w:val="24"/>
          <w:szCs w:val="24"/>
        </w:rPr>
        <w:t>f) regularidade relativa ao Fundo de Garantia por Tempo de Serviço (FGTS);</w:t>
      </w:r>
    </w:p>
    <w:p w14:paraId="057F0E91">
      <w:pPr>
        <w:autoSpaceDE w:val="0"/>
        <w:spacing w:line="360" w:lineRule="auto"/>
        <w:jc w:val="both"/>
        <w:rPr>
          <w:rFonts w:ascii="Arial" w:hAnsi="Arial" w:cs="Arial"/>
          <w:sz w:val="24"/>
          <w:szCs w:val="24"/>
        </w:rPr>
      </w:pPr>
      <w:r>
        <w:rPr>
          <w:rFonts w:ascii="Arial" w:hAnsi="Arial" w:eastAsia="Tahoma" w:cs="Arial"/>
          <w:sz w:val="24"/>
          <w:szCs w:val="24"/>
        </w:rPr>
        <w:t xml:space="preserve">g) </w:t>
      </w:r>
      <w:r>
        <w:rPr>
          <w:rFonts w:ascii="Arial" w:hAnsi="Arial" w:cs="Arial"/>
          <w:sz w:val="24"/>
          <w:szCs w:val="24"/>
        </w:rPr>
        <w:t>regularidade perante a Justiça do Trabalho; e</w:t>
      </w:r>
    </w:p>
    <w:p w14:paraId="765E7696">
      <w:pPr>
        <w:autoSpaceDE w:val="0"/>
        <w:spacing w:line="360" w:lineRule="auto"/>
        <w:jc w:val="both"/>
        <w:rPr>
          <w:rFonts w:ascii="Arial" w:hAnsi="Arial" w:cs="Arial"/>
          <w:sz w:val="24"/>
          <w:szCs w:val="24"/>
        </w:rPr>
      </w:pPr>
      <w:r>
        <w:rPr>
          <w:rFonts w:ascii="Arial" w:hAnsi="Arial" w:cs="Arial"/>
          <w:sz w:val="24"/>
          <w:szCs w:val="24"/>
        </w:rPr>
        <w:t xml:space="preserve">h) </w:t>
      </w:r>
      <w:r>
        <w:rPr>
          <w:rFonts w:ascii="Arial" w:hAnsi="Arial" w:cs="Arial"/>
          <w:sz w:val="24"/>
          <w:szCs w:val="24"/>
          <w:shd w:val="clear" w:color="auto" w:fill="FFFFFF"/>
        </w:rPr>
        <w:t xml:space="preserve">cumprimento do disposto no inciso XXXIII do artigo 7º da Constituição Federal, </w:t>
      </w:r>
      <w:r>
        <w:rPr>
          <w:rFonts w:ascii="Arial" w:hAnsi="Arial" w:cs="Arial"/>
          <w:b/>
          <w:sz w:val="24"/>
          <w:szCs w:val="24"/>
          <w:shd w:val="clear" w:color="auto" w:fill="FFFFFF"/>
        </w:rPr>
        <w:t>conforme Anexo II.</w:t>
      </w:r>
    </w:p>
    <w:p w14:paraId="0FE4DEF5">
      <w:pPr>
        <w:pStyle w:val="28"/>
        <w:widowControl w:val="0"/>
        <w:rPr>
          <w:rFonts w:ascii="Arial" w:hAnsi="Arial" w:cs="Arial"/>
          <w:szCs w:val="24"/>
        </w:rPr>
      </w:pPr>
      <w:r>
        <w:rPr>
          <w:rFonts w:ascii="Arial" w:hAnsi="Arial" w:cs="Arial"/>
          <w:szCs w:val="24"/>
        </w:rPr>
        <w:t>2.1 – Em todos os casos supra, será aceita certidão positiva com efeito de negativa, bem como a comprovação da regularidade fiscal deverá ser referente à atividade exercida pela licitante e aos tributos que a ela incidem.</w:t>
      </w:r>
    </w:p>
    <w:p w14:paraId="57BA5390">
      <w:pPr>
        <w:autoSpaceDE w:val="0"/>
        <w:spacing w:line="360" w:lineRule="auto"/>
        <w:jc w:val="both"/>
        <w:rPr>
          <w:rFonts w:ascii="Arial" w:hAnsi="Arial" w:cs="Arial"/>
          <w:sz w:val="24"/>
          <w:szCs w:val="24"/>
          <w:highlight w:val="yellow"/>
        </w:rPr>
      </w:pPr>
    </w:p>
    <w:p w14:paraId="0DD2087B">
      <w:pPr>
        <w:autoSpaceDE w:val="0"/>
        <w:spacing w:line="360" w:lineRule="auto"/>
        <w:jc w:val="both"/>
        <w:rPr>
          <w:rFonts w:ascii="Arial" w:hAnsi="Arial" w:eastAsia="Tahoma" w:cs="Arial"/>
          <w:b/>
          <w:bCs/>
          <w:sz w:val="24"/>
          <w:szCs w:val="24"/>
        </w:rPr>
      </w:pPr>
      <w:r>
        <w:rPr>
          <w:rFonts w:ascii="Arial" w:hAnsi="Arial" w:eastAsia="Tahoma" w:cs="Arial"/>
          <w:b/>
          <w:bCs/>
          <w:sz w:val="24"/>
          <w:szCs w:val="24"/>
        </w:rPr>
        <w:t>3 - HABILITAÇÃO ECONÔMICO – FINANCEIRA</w:t>
      </w:r>
    </w:p>
    <w:p w14:paraId="495900C0">
      <w:pPr>
        <w:autoSpaceDE w:val="0"/>
        <w:spacing w:line="360" w:lineRule="auto"/>
        <w:jc w:val="both"/>
        <w:rPr>
          <w:rFonts w:ascii="Arial" w:hAnsi="Arial" w:eastAsia="Batang" w:cs="Arial"/>
          <w:sz w:val="24"/>
          <w:szCs w:val="24"/>
        </w:rPr>
      </w:pPr>
      <w:r>
        <w:rPr>
          <w:rFonts w:ascii="Arial" w:hAnsi="Arial" w:eastAsia="Tahoma" w:cs="Arial"/>
          <w:sz w:val="24"/>
          <w:szCs w:val="24"/>
        </w:rPr>
        <w:t xml:space="preserve">a) Certidão Negativa de feitos sobre falência ou recuperação judicial </w:t>
      </w:r>
      <w:r>
        <w:rPr>
          <w:rStyle w:val="5"/>
          <w:rFonts w:ascii="Arial" w:hAnsi="Arial" w:cs="Arial"/>
          <w:sz w:val="24"/>
          <w:szCs w:val="24"/>
        </w:rPr>
        <w:footnoteReference w:id="2"/>
      </w:r>
      <w:r>
        <w:rPr>
          <w:rFonts w:ascii="Arial" w:hAnsi="Arial" w:cs="Arial"/>
          <w:sz w:val="24"/>
          <w:szCs w:val="24"/>
        </w:rPr>
        <w:t xml:space="preserve"> (</w:t>
      </w:r>
      <w:r>
        <w:rPr>
          <w:rFonts w:ascii="Arial" w:hAnsi="Arial" w:cs="Arial"/>
          <w:sz w:val="24"/>
          <w:szCs w:val="24"/>
          <w:highlight w:val="yellow"/>
        </w:rPr>
        <w:t>exceto as que apresentarem o plano de recuperação já homologado pelo juízo competente e em pleno vigor, conforme Súmula 50</w:t>
      </w:r>
      <w:r>
        <w:rPr>
          <w:rStyle w:val="5"/>
          <w:rFonts w:ascii="Arial" w:hAnsi="Arial" w:cs="Arial"/>
          <w:sz w:val="24"/>
          <w:szCs w:val="24"/>
          <w:highlight w:val="yellow"/>
        </w:rPr>
        <w:footnoteReference w:id="3"/>
      </w:r>
      <w:r>
        <w:rPr>
          <w:rFonts w:ascii="Arial" w:hAnsi="Arial" w:cs="Arial"/>
          <w:sz w:val="24"/>
          <w:szCs w:val="24"/>
          <w:highlight w:val="yellow"/>
        </w:rPr>
        <w:t xml:space="preserve"> do TCE SP)</w:t>
      </w:r>
      <w:r>
        <w:rPr>
          <w:rFonts w:ascii="Arial" w:hAnsi="Arial" w:eastAsia="Tahoma" w:cs="Arial"/>
          <w:sz w:val="24"/>
          <w:szCs w:val="24"/>
        </w:rPr>
        <w:t xml:space="preserve">, expedida pelo distribuidor da sede do licitante </w:t>
      </w:r>
      <w:r>
        <w:rPr>
          <w:rFonts w:ascii="Arial" w:hAnsi="Arial" w:eastAsia="Batang" w:cs="Arial"/>
          <w:sz w:val="24"/>
          <w:szCs w:val="24"/>
        </w:rPr>
        <w:t xml:space="preserve">com data não superior a </w:t>
      </w:r>
      <w:r>
        <w:rPr>
          <w:rFonts w:ascii="Arial" w:hAnsi="Arial" w:eastAsia="Batang" w:cs="Arial"/>
          <w:b/>
          <w:sz w:val="24"/>
          <w:szCs w:val="24"/>
          <w:highlight w:val="yellow"/>
          <w:u w:val="single"/>
        </w:rPr>
        <w:t>6 meses</w:t>
      </w:r>
      <w:r>
        <w:rPr>
          <w:rFonts w:ascii="Arial" w:hAnsi="Arial" w:eastAsia="Batang" w:cs="Arial"/>
          <w:sz w:val="24"/>
          <w:szCs w:val="24"/>
        </w:rPr>
        <w:t xml:space="preserve"> da data da convocação;</w:t>
      </w:r>
    </w:p>
    <w:p w14:paraId="39587190">
      <w:pPr>
        <w:autoSpaceDE w:val="0"/>
        <w:spacing w:line="360" w:lineRule="auto"/>
        <w:jc w:val="both"/>
        <w:rPr>
          <w:rFonts w:ascii="Arial" w:hAnsi="Arial" w:eastAsia="Batang" w:cs="Arial"/>
          <w:sz w:val="24"/>
          <w:szCs w:val="24"/>
        </w:rPr>
      </w:pPr>
    </w:p>
    <w:p w14:paraId="767E9805">
      <w:pPr>
        <w:autoSpaceDE w:val="0"/>
        <w:spacing w:line="360" w:lineRule="auto"/>
        <w:jc w:val="both"/>
        <w:rPr>
          <w:rFonts w:ascii="Arial" w:hAnsi="Arial" w:eastAsia="Tahoma" w:cs="Arial"/>
          <w:b/>
          <w:sz w:val="24"/>
          <w:szCs w:val="24"/>
        </w:rPr>
      </w:pPr>
      <w:r>
        <w:rPr>
          <w:rFonts w:ascii="Arial" w:hAnsi="Arial" w:eastAsia="Tahoma" w:cs="Arial"/>
          <w:b/>
          <w:sz w:val="24"/>
          <w:szCs w:val="24"/>
        </w:rPr>
        <w:t>4 – OUTROS DOCUMENTOS.</w:t>
      </w:r>
    </w:p>
    <w:p w14:paraId="2A82E988">
      <w:pPr>
        <w:autoSpaceDE w:val="0"/>
        <w:spacing w:line="360" w:lineRule="auto"/>
        <w:jc w:val="both"/>
        <w:rPr>
          <w:rFonts w:ascii="Arial" w:hAnsi="Arial" w:cs="Arial"/>
          <w:b/>
          <w:sz w:val="24"/>
          <w:szCs w:val="24"/>
          <w:u w:val="single"/>
          <w:lang w:eastAsia="pt-BR"/>
        </w:rPr>
      </w:pPr>
      <w:r>
        <w:rPr>
          <w:rFonts w:ascii="Arial" w:hAnsi="Arial" w:eastAsia="Batang" w:cs="Arial"/>
          <w:b/>
          <w:sz w:val="24"/>
          <w:szCs w:val="24"/>
          <w:u w:val="single"/>
        </w:rPr>
        <w:t xml:space="preserve">a) a declaração </w:t>
      </w:r>
      <w:r>
        <w:rPr>
          <w:rFonts w:ascii="Arial" w:hAnsi="Arial" w:cs="Arial"/>
          <w:b/>
          <w:sz w:val="24"/>
          <w:szCs w:val="24"/>
          <w:u w:val="single"/>
          <w:lang w:eastAsia="pt-BR"/>
        </w:rPr>
        <w:t xml:space="preserve">que cumpre as exigências de reserva de cargos para pessoa com deficiência e para reabilitado da Previdência Social, previstas em lei e em outras normas específicas, </w:t>
      </w:r>
      <w:r>
        <w:rPr>
          <w:rFonts w:ascii="Arial" w:hAnsi="Arial" w:cs="Arial"/>
          <w:b/>
          <w:sz w:val="24"/>
          <w:szCs w:val="24"/>
          <w:highlight w:val="yellow"/>
          <w:u w:val="single"/>
          <w:lang w:eastAsia="pt-BR"/>
        </w:rPr>
        <w:t>Anexo V</w:t>
      </w:r>
      <w:r>
        <w:rPr>
          <w:rFonts w:ascii="Arial" w:hAnsi="Arial" w:cs="Arial"/>
          <w:b/>
          <w:sz w:val="24"/>
          <w:szCs w:val="24"/>
          <w:u w:val="single"/>
          <w:lang w:eastAsia="pt-BR"/>
        </w:rPr>
        <w:t>.;</w:t>
      </w:r>
    </w:p>
    <w:p w14:paraId="73C2705A">
      <w:pPr>
        <w:autoSpaceDE w:val="0"/>
        <w:spacing w:line="360" w:lineRule="auto"/>
        <w:jc w:val="both"/>
        <w:rPr>
          <w:rFonts w:ascii="Arial" w:hAnsi="Arial" w:eastAsia="Batang" w:cs="Arial"/>
          <w:b/>
          <w:sz w:val="24"/>
          <w:szCs w:val="24"/>
          <w:u w:val="single"/>
        </w:rPr>
      </w:pPr>
      <w:r>
        <w:rPr>
          <w:rFonts w:ascii="Arial" w:hAnsi="Arial" w:eastAsia="Tahoma" w:cs="Arial"/>
          <w:sz w:val="24"/>
          <w:szCs w:val="24"/>
        </w:rPr>
        <w:t xml:space="preserve">b) – Declaração de que a partir da participação no certame a licitante </w:t>
      </w:r>
      <w:r>
        <w:rPr>
          <w:rFonts w:ascii="Arial" w:hAnsi="Arial" w:eastAsia="Tahoma" w:cs="Arial"/>
          <w:b/>
          <w:bCs/>
          <w:sz w:val="24"/>
          <w:szCs w:val="24"/>
          <w:u w:val="single"/>
        </w:rPr>
        <w:t xml:space="preserve">está </w:t>
      </w:r>
      <w:r>
        <w:rPr>
          <w:rFonts w:ascii="Arial" w:hAnsi="Arial" w:eastAsia="Tahoma" w:cs="Arial"/>
          <w:b/>
          <w:sz w:val="24"/>
          <w:szCs w:val="24"/>
          <w:u w:val="single"/>
        </w:rPr>
        <w:t>ciente</w:t>
      </w:r>
      <w:r>
        <w:rPr>
          <w:rFonts w:ascii="Arial" w:hAnsi="Arial" w:eastAsia="Tahoma" w:cs="Arial"/>
          <w:sz w:val="24"/>
          <w:szCs w:val="24"/>
        </w:rPr>
        <w:t xml:space="preserve"> de que na </w:t>
      </w:r>
      <w:r>
        <w:rPr>
          <w:rFonts w:ascii="Arial" w:hAnsi="Arial" w:cs="Arial"/>
          <w:sz w:val="24"/>
          <w:szCs w:val="24"/>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9AE296">
      <w:pPr>
        <w:spacing w:line="360" w:lineRule="auto"/>
        <w:jc w:val="both"/>
        <w:rPr>
          <w:rFonts w:ascii="Arial" w:hAnsi="Arial" w:eastAsia="Batang" w:cs="Arial"/>
          <w:sz w:val="24"/>
          <w:szCs w:val="24"/>
        </w:rPr>
      </w:pPr>
    </w:p>
    <w:p w14:paraId="5DF38E8D">
      <w:pPr>
        <w:spacing w:line="360" w:lineRule="auto"/>
        <w:jc w:val="both"/>
        <w:rPr>
          <w:rFonts w:ascii="Arial" w:hAnsi="Arial" w:eastAsia="Batang" w:cs="Arial"/>
          <w:sz w:val="24"/>
          <w:szCs w:val="24"/>
        </w:rPr>
      </w:pPr>
    </w:p>
    <w:p w14:paraId="63B08D04">
      <w:pPr>
        <w:spacing w:line="360" w:lineRule="auto"/>
        <w:jc w:val="both"/>
        <w:rPr>
          <w:rFonts w:ascii="Arial" w:hAnsi="Arial" w:cs="Arial"/>
          <w:b/>
          <w:sz w:val="24"/>
          <w:szCs w:val="24"/>
        </w:rPr>
      </w:pPr>
      <w:r>
        <w:rPr>
          <w:rFonts w:ascii="Arial" w:hAnsi="Arial" w:cs="Arial"/>
          <w:b/>
          <w:sz w:val="24"/>
          <w:szCs w:val="24"/>
        </w:rPr>
        <w:t>5 – QUANTO À APRESENTAÇÃO DOS DOCUMENTOS DE HABILITAÇÃO PELAS MICROEMPRESAS/EMPRESAS DE PEQUENO PORTE/MICROEMPREENDEDORES INDIVIDUAIS/SOCIEDADES COOPERATIVAS DE CONSUMO.</w:t>
      </w:r>
    </w:p>
    <w:p w14:paraId="071EAB79">
      <w:pPr>
        <w:spacing w:line="360" w:lineRule="auto"/>
        <w:jc w:val="both"/>
        <w:rPr>
          <w:rFonts w:ascii="Arial" w:hAnsi="Arial" w:cs="Arial"/>
          <w:b/>
          <w:sz w:val="24"/>
          <w:szCs w:val="24"/>
        </w:rPr>
      </w:pPr>
      <w:r>
        <w:rPr>
          <w:rFonts w:ascii="Arial" w:hAnsi="Arial" w:cs="Arial"/>
          <w:b/>
          <w:sz w:val="24"/>
          <w:szCs w:val="24"/>
        </w:rPr>
        <w:t>1 - Além dos documentos constantes exigidos acima, deverá ser apresentado:</w:t>
      </w:r>
    </w:p>
    <w:p w14:paraId="3EA4EC57">
      <w:pPr>
        <w:spacing w:line="360" w:lineRule="auto"/>
        <w:jc w:val="both"/>
        <w:rPr>
          <w:rFonts w:ascii="Arial" w:hAnsi="Arial" w:cs="Arial"/>
          <w:sz w:val="24"/>
          <w:szCs w:val="24"/>
        </w:rPr>
      </w:pPr>
      <w:r>
        <w:rPr>
          <w:rFonts w:ascii="Arial" w:hAnsi="Arial" w:cs="Arial"/>
          <w:sz w:val="24"/>
          <w:szCs w:val="24"/>
        </w:rPr>
        <w:t xml:space="preserve">a) – Declaração </w:t>
      </w:r>
      <w:r>
        <w:rPr>
          <w:rFonts w:ascii="Arial" w:hAnsi="Arial" w:cs="Arial"/>
          <w:color w:val="000000"/>
          <w:sz w:val="24"/>
          <w:szCs w:val="24"/>
        </w:rPr>
        <w:t xml:space="preserve">sob as penas da lei, de que cumpre os requisitos legais para a qualificação como microempresa ou empresa de pequeno porte, microempreendedor individual, produtor rural pessoa física, agricultor familiar ou sociedade cooperativa de consumo, estando apto a usufruir do tratamento favorecido estabelecido nos </w:t>
      </w:r>
      <w:r>
        <w:fldChar w:fldCharType="begin"/>
      </w:r>
      <w:r>
        <w:instrText xml:space="preserve"> HYPERLINK "http://www.planalto.gov.br/ccivil_03/LEIS/LCP/Lcp123.htm" \l "art42" \t "_blank" </w:instrText>
      </w:r>
      <w:r>
        <w:fldChar w:fldCharType="separate"/>
      </w:r>
      <w:r>
        <w:rPr>
          <w:rStyle w:val="6"/>
          <w:rFonts w:ascii="Arial" w:hAnsi="Arial" w:cs="Arial"/>
          <w:sz w:val="24"/>
          <w:szCs w:val="24"/>
        </w:rPr>
        <w:t>art. 42</w:t>
      </w:r>
      <w:r>
        <w:rPr>
          <w:rStyle w:val="6"/>
          <w:rFonts w:ascii="Arial" w:hAnsi="Arial" w:cs="Arial"/>
          <w:sz w:val="24"/>
          <w:szCs w:val="24"/>
        </w:rPr>
        <w:fldChar w:fldCharType="end"/>
      </w:r>
      <w:r>
        <w:rPr>
          <w:rFonts w:ascii="Arial" w:hAnsi="Arial" w:cs="Arial"/>
          <w:color w:val="000000"/>
          <w:sz w:val="24"/>
          <w:szCs w:val="24"/>
        </w:rPr>
        <w:t xml:space="preserve"> ao art. 49 da Lei Complementar n</w:t>
      </w:r>
      <w:r>
        <w:rPr>
          <w:rFonts w:ascii="Arial" w:hAnsi="Arial" w:cs="Arial"/>
          <w:strike/>
          <w:color w:val="000000"/>
          <w:sz w:val="24"/>
          <w:szCs w:val="24"/>
        </w:rPr>
        <w:t>º</w:t>
      </w:r>
      <w:r>
        <w:rPr>
          <w:rFonts w:ascii="Arial" w:hAnsi="Arial" w:cs="Arial"/>
          <w:color w:val="000000"/>
          <w:sz w:val="24"/>
          <w:szCs w:val="24"/>
        </w:rPr>
        <w:t xml:space="preserve"> 123, de 2006</w:t>
      </w:r>
      <w:r>
        <w:rPr>
          <w:rFonts w:ascii="Arial" w:hAnsi="Arial" w:cs="Arial"/>
          <w:sz w:val="24"/>
          <w:szCs w:val="24"/>
        </w:rPr>
        <w:t>, de acordo com o artigo 13, §2º do Decreto Federal nº 8.538, de 6 de outubro de 2015, que deverá ser assinada por seu representante legal.</w:t>
      </w:r>
    </w:p>
    <w:p w14:paraId="580BA5F6">
      <w:pPr>
        <w:spacing w:line="360" w:lineRule="auto"/>
        <w:jc w:val="both"/>
        <w:rPr>
          <w:rFonts w:ascii="Arial" w:hAnsi="Arial" w:cs="Arial"/>
          <w:sz w:val="24"/>
          <w:szCs w:val="24"/>
          <w:highlight w:val="yellow"/>
        </w:rPr>
      </w:pPr>
    </w:p>
    <w:p w14:paraId="25357209">
      <w:pPr>
        <w:spacing w:line="360" w:lineRule="auto"/>
        <w:jc w:val="both"/>
        <w:rPr>
          <w:rFonts w:ascii="Arial" w:hAnsi="Arial" w:cs="Arial"/>
          <w:sz w:val="24"/>
          <w:szCs w:val="24"/>
          <w:highlight w:val="yellow"/>
        </w:rPr>
      </w:pPr>
    </w:p>
    <w:p w14:paraId="266C3412">
      <w:pPr>
        <w:spacing w:line="360" w:lineRule="auto"/>
        <w:jc w:val="both"/>
        <w:rPr>
          <w:rFonts w:ascii="Arial" w:hAnsi="Arial" w:cs="Arial"/>
          <w:b/>
          <w:sz w:val="24"/>
          <w:szCs w:val="24"/>
          <w:u w:val="single"/>
        </w:rPr>
      </w:pPr>
      <w:r>
        <w:rPr>
          <w:rFonts w:ascii="Arial" w:hAnsi="Arial" w:cs="Arial"/>
          <w:b/>
          <w:sz w:val="24"/>
          <w:szCs w:val="24"/>
        </w:rPr>
        <w:t>6 – DA COMPROVAÇÃO DE REGULARIDADE FISCAL</w:t>
      </w:r>
      <w:r>
        <w:rPr>
          <w:rFonts w:ascii="Arial" w:hAnsi="Arial" w:cs="Arial"/>
          <w:b/>
          <w:sz w:val="24"/>
          <w:szCs w:val="24"/>
          <w:u w:val="single"/>
        </w:rPr>
        <w:t>.</w:t>
      </w:r>
    </w:p>
    <w:p w14:paraId="20165388">
      <w:pPr>
        <w:pStyle w:val="9"/>
        <w:spacing w:after="80" w:line="360" w:lineRule="auto"/>
        <w:jc w:val="both"/>
        <w:rPr>
          <w:rFonts w:ascii="Arial" w:hAnsi="Arial" w:cs="Arial"/>
          <w:color w:val="351C75"/>
        </w:rPr>
      </w:pPr>
      <w:r>
        <w:rPr>
          <w:rFonts w:ascii="Arial" w:hAnsi="Arial" w:cs="Arial"/>
          <w:color w:val="000000"/>
        </w:rPr>
        <w:t xml:space="preserve">a) - A comprovação de regularidade fiscal das microempresas e empresas de pequeno porte somente será exigida </w:t>
      </w:r>
      <w:r>
        <w:rPr>
          <w:rFonts w:ascii="Arial" w:hAnsi="Arial" w:cs="Arial"/>
          <w:b/>
          <w:color w:val="000000"/>
          <w:u w:val="single"/>
        </w:rPr>
        <w:t>para efeito assinatura de ata</w:t>
      </w:r>
      <w:r>
        <w:rPr>
          <w:rFonts w:ascii="Arial" w:hAnsi="Arial" w:cs="Arial"/>
          <w:color w:val="000000"/>
        </w:rPr>
        <w:t>, e não como condição para participação na licitação.</w:t>
      </w:r>
    </w:p>
    <w:p w14:paraId="138F5CB4">
      <w:pPr>
        <w:pStyle w:val="9"/>
        <w:spacing w:after="80" w:line="360" w:lineRule="auto"/>
        <w:jc w:val="both"/>
        <w:rPr>
          <w:rFonts w:ascii="Arial" w:hAnsi="Arial" w:cs="Arial"/>
          <w:color w:val="351C75"/>
        </w:rPr>
      </w:pPr>
      <w:r>
        <w:rPr>
          <w:rFonts w:ascii="Arial" w:hAnsi="Arial" w:cs="Arial"/>
          <w:color w:val="000000"/>
        </w:rPr>
        <w:t xml:space="preserve">b) - Na hipótese de haver alguma restrição relativa à regularidade fiscal, será assegurado </w:t>
      </w:r>
      <w:r>
        <w:rPr>
          <w:rFonts w:ascii="Arial" w:hAnsi="Arial" w:cs="Arial"/>
          <w:b/>
          <w:color w:val="000000"/>
          <w:u w:val="single"/>
        </w:rPr>
        <w:t>prazo de cinco dias úteis</w:t>
      </w:r>
      <w:r>
        <w:rPr>
          <w:rFonts w:ascii="Arial" w:hAnsi="Arial" w:cs="Arial"/>
          <w:color w:val="000000"/>
        </w:rPr>
        <w:t xml:space="preserve">, prorrogável por igual período, a critério da administração pública, quando requerida pelo licitante, mediante apresentação de justificativa para a regularização da documentação, para a realização do pagamento ou parcelamento do débito e a emissão de eventuais certidões negativas ou positivas com efeito de certidão negativa, </w:t>
      </w:r>
      <w:r>
        <w:rPr>
          <w:rFonts w:ascii="Arial" w:hAnsi="Arial" w:cs="Arial"/>
          <w:b/>
          <w:color w:val="000000"/>
          <w:u w:val="single"/>
        </w:rPr>
        <w:t>sendo que o prazo inicia-se da divulgação do resultado da fase de habilitação</w:t>
      </w:r>
      <w:r>
        <w:rPr>
          <w:rFonts w:ascii="Arial" w:hAnsi="Arial" w:cs="Arial"/>
          <w:color w:val="000000"/>
        </w:rPr>
        <w:t>, na licitação na modalidade pregão.</w:t>
      </w:r>
    </w:p>
    <w:p w14:paraId="7DE42620">
      <w:pPr>
        <w:pStyle w:val="9"/>
        <w:spacing w:after="80" w:line="360" w:lineRule="auto"/>
        <w:jc w:val="both"/>
        <w:rPr>
          <w:rFonts w:ascii="Arial" w:hAnsi="Arial" w:cs="Arial"/>
          <w:color w:val="351C75"/>
        </w:rPr>
      </w:pPr>
      <w:r>
        <w:rPr>
          <w:rFonts w:ascii="Arial" w:hAnsi="Arial" w:cs="Arial"/>
          <w:color w:val="000000"/>
        </w:rPr>
        <w:t>c) - A abertura da fase recursal em relação ao resultado do certame ocorrerá após os prazos de regularização fiscal.</w:t>
      </w:r>
    </w:p>
    <w:p w14:paraId="3497976E">
      <w:pPr>
        <w:pStyle w:val="9"/>
        <w:spacing w:line="360" w:lineRule="auto"/>
        <w:jc w:val="both"/>
        <w:rPr>
          <w:rFonts w:ascii="Arial" w:hAnsi="Arial" w:cs="Arial"/>
        </w:rPr>
      </w:pPr>
      <w:r>
        <w:rPr>
          <w:rFonts w:ascii="Arial" w:hAnsi="Arial" w:cs="Arial"/>
          <w:color w:val="000000"/>
        </w:rPr>
        <w:t xml:space="preserve">d) -  A </w:t>
      </w:r>
      <w:r>
        <w:rPr>
          <w:rFonts w:ascii="Arial" w:hAnsi="Arial" w:cs="Arial"/>
        </w:rPr>
        <w:t xml:space="preserve">não regularização da documentação no prazo, implicará decadência do direito à contratação, sem prejuízo das sanções previstas em  lei, sendo facultado à Administração convocar os licitantes remanescentes, na ordem de classificação, para a assinatura ou revogar a licitação. </w:t>
      </w:r>
    </w:p>
    <w:p w14:paraId="36992FE7">
      <w:pPr>
        <w:spacing w:line="360" w:lineRule="auto"/>
        <w:ind w:right="-2"/>
        <w:jc w:val="both"/>
        <w:rPr>
          <w:rFonts w:ascii="Arial" w:hAnsi="Arial" w:eastAsia="Tahoma" w:cs="Arial"/>
          <w:b/>
          <w:sz w:val="24"/>
          <w:szCs w:val="24"/>
        </w:rPr>
      </w:pPr>
    </w:p>
    <w:p w14:paraId="2DCF7BB3">
      <w:pPr>
        <w:spacing w:line="360" w:lineRule="auto"/>
        <w:ind w:right="-2"/>
        <w:jc w:val="both"/>
        <w:rPr>
          <w:rFonts w:ascii="Arial" w:hAnsi="Arial" w:eastAsia="Tahoma" w:cs="Arial"/>
          <w:sz w:val="24"/>
          <w:szCs w:val="24"/>
        </w:rPr>
      </w:pPr>
      <w:r>
        <w:rPr>
          <w:rFonts w:ascii="Arial" w:hAnsi="Arial" w:eastAsia="Tahoma" w:cs="Arial"/>
          <w:b/>
          <w:sz w:val="24"/>
          <w:szCs w:val="24"/>
        </w:rPr>
        <w:t>7 – OBSERVAÇÕES</w:t>
      </w:r>
    </w:p>
    <w:p w14:paraId="0BC94025">
      <w:pPr>
        <w:autoSpaceDE w:val="0"/>
        <w:spacing w:line="360" w:lineRule="auto"/>
        <w:jc w:val="both"/>
        <w:rPr>
          <w:rFonts w:ascii="Arial" w:hAnsi="Arial" w:cs="Arial"/>
          <w:b/>
          <w:sz w:val="24"/>
          <w:szCs w:val="24"/>
        </w:rPr>
      </w:pPr>
      <w:r>
        <w:rPr>
          <w:rFonts w:ascii="Arial" w:hAnsi="Arial" w:cs="Arial"/>
          <w:b/>
          <w:sz w:val="24"/>
          <w:szCs w:val="24"/>
        </w:rPr>
        <w:t>1 - Preferencialmente os licitantes deverão encaminhar documentos que tenham autenticação digital, e, caso os mesmos não tenham, se comprometem em apresentar cópia fiel dos originais, bem como que os documentos sejam atualizados e correspondam com a realidade, sob pena de sofrer as sanções cabíveis, de acordo com a legislação civil e penal.</w:t>
      </w:r>
    </w:p>
    <w:p w14:paraId="42AE952C">
      <w:pPr>
        <w:spacing w:line="360" w:lineRule="auto"/>
        <w:jc w:val="both"/>
        <w:rPr>
          <w:rFonts w:ascii="Arial" w:hAnsi="Arial" w:cs="Arial"/>
          <w:sz w:val="24"/>
          <w:szCs w:val="24"/>
        </w:rPr>
      </w:pPr>
      <w:r>
        <w:rPr>
          <w:rFonts w:ascii="Arial" w:hAnsi="Arial" w:eastAsia="Tahoma" w:cs="Arial"/>
          <w:sz w:val="24"/>
          <w:szCs w:val="24"/>
        </w:rPr>
        <w:t>2 -</w:t>
      </w:r>
      <w:r>
        <w:rPr>
          <w:rFonts w:ascii="Arial" w:hAnsi="Arial" w:cs="Arial"/>
          <w:sz w:val="24"/>
          <w:szCs w:val="24"/>
        </w:rPr>
        <w:t xml:space="preserve"> Os documentos apresentados deverão ser obrigatoriamente referentes ao mesmo CNPJ apresentado para a proposta, ou seja, se da matriz, todos da matriz, se de alguma filial, todos da mesma filial, com exceção dos documentos que são válidos para matriz e todas as filiais;</w:t>
      </w:r>
    </w:p>
    <w:p w14:paraId="3E9D88A2">
      <w:pPr>
        <w:spacing w:line="360" w:lineRule="auto"/>
        <w:jc w:val="both"/>
        <w:rPr>
          <w:rFonts w:ascii="Arial" w:hAnsi="Arial" w:cs="Arial"/>
          <w:sz w:val="24"/>
          <w:szCs w:val="24"/>
        </w:rPr>
      </w:pPr>
      <w:r>
        <w:rPr>
          <w:rFonts w:ascii="Arial" w:hAnsi="Arial" w:cs="Arial"/>
          <w:sz w:val="24"/>
          <w:szCs w:val="24"/>
        </w:rPr>
        <w:t xml:space="preserve">3 - As certidões deverão ser apresentadas dentro do respectivo prazo de validade. Caso não conste prazo de validade no corpo da certidão, considerar-se-á o prazo </w:t>
      </w:r>
      <w:r>
        <w:rPr>
          <w:rFonts w:ascii="Arial" w:hAnsi="Arial" w:cs="Arial"/>
          <w:b/>
          <w:sz w:val="24"/>
          <w:szCs w:val="24"/>
          <w:u w:val="single"/>
        </w:rPr>
        <w:t>6 meses</w:t>
      </w:r>
      <w:r>
        <w:rPr>
          <w:rFonts w:ascii="Arial" w:hAnsi="Arial" w:cs="Arial"/>
          <w:sz w:val="24"/>
          <w:szCs w:val="24"/>
        </w:rPr>
        <w:t xml:space="preserve"> da data de emissão; e,</w:t>
      </w:r>
    </w:p>
    <w:p w14:paraId="3C8F8BEA">
      <w:pPr>
        <w:spacing w:line="360" w:lineRule="auto"/>
        <w:jc w:val="both"/>
        <w:rPr>
          <w:rFonts w:ascii="Arial" w:hAnsi="Arial" w:cs="Arial"/>
          <w:sz w:val="24"/>
          <w:szCs w:val="24"/>
        </w:rPr>
      </w:pPr>
      <w:r>
        <w:rPr>
          <w:rFonts w:ascii="Arial" w:hAnsi="Arial" w:cs="Arial"/>
          <w:sz w:val="24"/>
          <w:szCs w:val="24"/>
        </w:rPr>
        <w:t>4 - Toda documentação deve estar assinada por pessoa devidamente habilitada, devendo haver comprovação da seguinte forma:</w:t>
      </w:r>
    </w:p>
    <w:p w14:paraId="69F75A69">
      <w:pPr>
        <w:spacing w:line="360" w:lineRule="auto"/>
        <w:jc w:val="both"/>
        <w:rPr>
          <w:rFonts w:ascii="Arial" w:hAnsi="Arial" w:cs="Arial"/>
          <w:sz w:val="24"/>
          <w:szCs w:val="24"/>
        </w:rPr>
      </w:pPr>
      <w:r>
        <w:rPr>
          <w:rFonts w:ascii="Arial" w:hAnsi="Arial" w:cs="Arial"/>
          <w:sz w:val="24"/>
          <w:szCs w:val="24"/>
        </w:rPr>
        <w:t xml:space="preserve">1 - </w:t>
      </w:r>
      <w:r>
        <w:rPr>
          <w:rFonts w:ascii="Arial" w:hAnsi="Arial" w:cs="Arial"/>
          <w:b/>
          <w:bCs/>
          <w:sz w:val="24"/>
          <w:szCs w:val="24"/>
        </w:rPr>
        <w:t>tratando-se de representante legal</w:t>
      </w:r>
      <w:r>
        <w:rPr>
          <w:rFonts w:ascii="Arial" w:hAnsi="Arial" w:cs="Arial"/>
          <w:sz w:val="24"/>
          <w:szCs w:val="24"/>
        </w:rPr>
        <w:t>: o estatuto social, contrato social ou outro instrumento de registro comercial, registrado na Junta Comercial, no qual estejam expressos seus poderes para exercer direitos e assumir obrigações em decorrência de tal investidura (que já integra a habilitação jurídica); e,</w:t>
      </w:r>
    </w:p>
    <w:p w14:paraId="51545625">
      <w:pPr>
        <w:spacing w:line="360" w:lineRule="auto"/>
        <w:jc w:val="both"/>
        <w:rPr>
          <w:rFonts w:ascii="Arial" w:hAnsi="Arial" w:cs="Arial"/>
          <w:sz w:val="24"/>
          <w:szCs w:val="24"/>
        </w:rPr>
      </w:pPr>
      <w:r>
        <w:rPr>
          <w:rFonts w:ascii="Arial" w:hAnsi="Arial" w:cs="Arial"/>
          <w:sz w:val="24"/>
          <w:szCs w:val="24"/>
        </w:rPr>
        <w:t xml:space="preserve">2 - </w:t>
      </w:r>
      <w:r>
        <w:rPr>
          <w:rFonts w:ascii="Arial" w:hAnsi="Arial" w:cs="Arial"/>
          <w:b/>
          <w:bCs/>
          <w:sz w:val="24"/>
          <w:szCs w:val="24"/>
        </w:rPr>
        <w:t xml:space="preserve">tratando-se de procurador: </w:t>
      </w:r>
      <w:r>
        <w:rPr>
          <w:rFonts w:ascii="Arial" w:hAnsi="Arial" w:cs="Arial"/>
          <w:sz w:val="24"/>
          <w:szCs w:val="24"/>
        </w:rPr>
        <w:t>a PROCURAÇÃO por instrumento público ou particular, com reconhecimento de firma do outorgante onde constam poderes para praticar atos pertinentes ao certame em nome da proponente.</w:t>
      </w:r>
    </w:p>
    <w:p w14:paraId="2B79A7C7">
      <w:pPr>
        <w:spacing w:line="360" w:lineRule="auto"/>
        <w:jc w:val="both"/>
        <w:rPr>
          <w:rFonts w:ascii="Arial" w:hAnsi="Arial" w:cs="Arial"/>
          <w:b/>
          <w:sz w:val="24"/>
          <w:szCs w:val="24"/>
        </w:rPr>
      </w:pPr>
    </w:p>
    <w:p w14:paraId="73ECC0E4">
      <w:pPr>
        <w:tabs>
          <w:tab w:val="left" w:pos="1560"/>
          <w:tab w:val="left" w:pos="2694"/>
        </w:tabs>
        <w:spacing w:line="360" w:lineRule="auto"/>
        <w:ind w:left="-426"/>
        <w:jc w:val="both"/>
        <w:rPr>
          <w:rFonts w:ascii="Arial" w:hAnsi="Arial" w:cs="Arial"/>
          <w:sz w:val="24"/>
          <w:szCs w:val="24"/>
        </w:rPr>
      </w:pPr>
      <w:r>
        <w:rPr>
          <w:rFonts w:ascii="Arial" w:hAnsi="Arial" w:eastAsia="Tahoma" w:cs="Arial"/>
          <w:b/>
          <w:sz w:val="24"/>
          <w:szCs w:val="24"/>
          <w:highlight w:val="yellow"/>
        </w:rPr>
        <w:t xml:space="preserve">         8 – AS EMPRESAS PARTICIPANTES EM CONSÓRCIO DEVERÃO APRESENTAR:</w:t>
      </w:r>
    </w:p>
    <w:p w14:paraId="5CB0EC14">
      <w:pPr>
        <w:shd w:val="clear" w:color="auto" w:fill="FFFFFF"/>
        <w:tabs>
          <w:tab w:val="left" w:pos="1560"/>
        </w:tabs>
        <w:spacing w:after="150" w:line="360" w:lineRule="auto"/>
        <w:jc w:val="both"/>
        <w:rPr>
          <w:rFonts w:ascii="Arial" w:hAnsi="Arial" w:cs="Arial"/>
          <w:sz w:val="24"/>
          <w:szCs w:val="24"/>
        </w:rPr>
      </w:pPr>
      <w:r>
        <w:rPr>
          <w:rFonts w:ascii="Arial" w:hAnsi="Arial" w:cs="Arial"/>
          <w:sz w:val="24"/>
          <w:szCs w:val="24"/>
        </w:rPr>
        <w:t>a) - comprovação de compromisso público ou particular de constituição de consórcio, subscrito pelos consorciados;</w:t>
      </w:r>
    </w:p>
    <w:p w14:paraId="0A5DA1D9">
      <w:pPr>
        <w:shd w:val="clear" w:color="auto" w:fill="FFFFFF"/>
        <w:tabs>
          <w:tab w:val="left" w:pos="1560"/>
        </w:tabs>
        <w:spacing w:after="150" w:line="360" w:lineRule="auto"/>
        <w:jc w:val="both"/>
        <w:rPr>
          <w:rFonts w:ascii="Arial" w:hAnsi="Arial" w:cs="Arial"/>
          <w:sz w:val="24"/>
          <w:szCs w:val="24"/>
        </w:rPr>
      </w:pPr>
      <w:r>
        <w:rPr>
          <w:rFonts w:ascii="Arial" w:hAnsi="Arial" w:cs="Arial"/>
          <w:sz w:val="24"/>
          <w:szCs w:val="24"/>
        </w:rPr>
        <w:t>b) - indicação da empresa líder do consórcio, que será responsável por sua representação perante a Administração;</w:t>
      </w:r>
    </w:p>
    <w:p w14:paraId="4516A87F">
      <w:pPr>
        <w:tabs>
          <w:tab w:val="left" w:pos="1560"/>
        </w:tabs>
        <w:autoSpaceDE w:val="0"/>
        <w:spacing w:line="360" w:lineRule="auto"/>
        <w:jc w:val="both"/>
        <w:rPr>
          <w:rFonts w:ascii="Arial" w:hAnsi="Arial" w:eastAsia="Tahoma" w:cs="Arial"/>
          <w:bCs/>
          <w:sz w:val="24"/>
          <w:szCs w:val="24"/>
        </w:rPr>
      </w:pPr>
      <w:r>
        <w:rPr>
          <w:rFonts w:ascii="Arial" w:hAnsi="Arial" w:cs="Arial"/>
          <w:sz w:val="24"/>
          <w:szCs w:val="24"/>
        </w:rPr>
        <w:t xml:space="preserve">c) - </w:t>
      </w:r>
      <w:r>
        <w:rPr>
          <w:rFonts w:ascii="Arial" w:hAnsi="Arial" w:eastAsia="Tahoma" w:cs="Arial"/>
          <w:bCs/>
          <w:sz w:val="24"/>
          <w:szCs w:val="24"/>
        </w:rPr>
        <w:t>HABILITAÇÃO JURÍDICA DE TODAS AS CONSORCIADAS</w:t>
      </w:r>
    </w:p>
    <w:p w14:paraId="114ADF7D">
      <w:pPr>
        <w:tabs>
          <w:tab w:val="left" w:pos="1560"/>
        </w:tabs>
        <w:spacing w:line="360" w:lineRule="auto"/>
        <w:jc w:val="both"/>
        <w:rPr>
          <w:rFonts w:ascii="Arial" w:hAnsi="Arial" w:cs="Arial"/>
          <w:sz w:val="24"/>
          <w:szCs w:val="24"/>
        </w:rPr>
      </w:pPr>
      <w:r>
        <w:rPr>
          <w:rFonts w:ascii="Arial" w:hAnsi="Arial" w:eastAsia="Tahoma" w:cs="Arial"/>
          <w:bCs/>
          <w:sz w:val="24"/>
          <w:szCs w:val="24"/>
        </w:rPr>
        <w:t xml:space="preserve">d) – </w:t>
      </w:r>
      <w:r>
        <w:rPr>
          <w:rFonts w:ascii="Arial" w:hAnsi="Arial" w:cs="Arial"/>
          <w:sz w:val="24"/>
          <w:szCs w:val="24"/>
        </w:rPr>
        <w:t>HABILITAÇÃO QUANTO À QUALIFICAÇÃO TÉCNICA, admitindo-se o somatório de atestado</w:t>
      </w:r>
    </w:p>
    <w:p w14:paraId="006C7F9A">
      <w:pPr>
        <w:tabs>
          <w:tab w:val="left" w:pos="1560"/>
        </w:tabs>
        <w:autoSpaceDE w:val="0"/>
        <w:spacing w:line="360" w:lineRule="auto"/>
        <w:jc w:val="both"/>
        <w:rPr>
          <w:rFonts w:ascii="Arial" w:hAnsi="Arial" w:eastAsia="Tahoma" w:cs="Arial"/>
          <w:bCs/>
          <w:sz w:val="24"/>
          <w:szCs w:val="24"/>
        </w:rPr>
      </w:pPr>
      <w:r>
        <w:rPr>
          <w:rFonts w:ascii="Arial" w:hAnsi="Arial" w:eastAsia="Tahoma" w:cs="Arial"/>
          <w:bCs/>
          <w:sz w:val="24"/>
          <w:szCs w:val="24"/>
        </w:rPr>
        <w:t>e) -  HABILITAÇÃO FISCAL, SOCIAL E TRABALHISTA, DE TODAS AS CONSORCIADAS</w:t>
      </w:r>
    </w:p>
    <w:p w14:paraId="5D67EB78">
      <w:pPr>
        <w:tabs>
          <w:tab w:val="left" w:pos="1560"/>
        </w:tabs>
        <w:autoSpaceDE w:val="0"/>
        <w:spacing w:line="360" w:lineRule="auto"/>
        <w:jc w:val="both"/>
        <w:rPr>
          <w:rFonts w:ascii="Arial" w:hAnsi="Arial" w:eastAsia="Tahoma" w:cs="Arial"/>
          <w:bCs/>
          <w:sz w:val="24"/>
          <w:szCs w:val="24"/>
        </w:rPr>
      </w:pPr>
      <w:r>
        <w:rPr>
          <w:rFonts w:ascii="Arial" w:hAnsi="Arial" w:eastAsia="Tahoma" w:cs="Arial"/>
          <w:bCs/>
          <w:sz w:val="24"/>
          <w:szCs w:val="24"/>
        </w:rPr>
        <w:t>f) - HABILITAÇÃO ECONÔMICO – FINANCEIRA, DE TODAS AS CONSORCIADAS</w:t>
      </w:r>
    </w:p>
    <w:p w14:paraId="76C14118">
      <w:pPr>
        <w:tabs>
          <w:tab w:val="left" w:pos="1560"/>
        </w:tabs>
        <w:autoSpaceDE w:val="0"/>
        <w:spacing w:line="360" w:lineRule="auto"/>
        <w:jc w:val="both"/>
        <w:rPr>
          <w:rFonts w:ascii="Arial" w:hAnsi="Arial" w:eastAsia="Tahoma" w:cs="Arial"/>
          <w:sz w:val="24"/>
          <w:szCs w:val="24"/>
        </w:rPr>
      </w:pPr>
      <w:r>
        <w:rPr>
          <w:rFonts w:ascii="Arial" w:hAnsi="Arial" w:eastAsia="Tahoma" w:cs="Arial"/>
          <w:sz w:val="24"/>
          <w:szCs w:val="24"/>
        </w:rPr>
        <w:t>g) – OUTROS DOCUMENTOS DE TODAS AS CONSORCIADAS</w:t>
      </w:r>
    </w:p>
    <w:p w14:paraId="6EEB2D9A">
      <w:pPr>
        <w:tabs>
          <w:tab w:val="left" w:pos="1560"/>
        </w:tabs>
        <w:autoSpaceDE w:val="0"/>
        <w:spacing w:line="360" w:lineRule="auto"/>
        <w:jc w:val="both"/>
        <w:rPr>
          <w:rFonts w:ascii="Arial" w:hAnsi="Arial" w:eastAsia="Tahoma" w:cs="Arial"/>
          <w:sz w:val="24"/>
          <w:szCs w:val="24"/>
        </w:rPr>
      </w:pPr>
    </w:p>
    <w:p w14:paraId="4F415EC3">
      <w:pPr>
        <w:tabs>
          <w:tab w:val="left" w:pos="1560"/>
        </w:tabs>
        <w:autoSpaceDE w:val="0"/>
        <w:spacing w:line="360" w:lineRule="auto"/>
        <w:jc w:val="both"/>
        <w:rPr>
          <w:rFonts w:ascii="Arial" w:hAnsi="Arial" w:eastAsia="Tahoma" w:cs="Arial"/>
          <w:sz w:val="24"/>
          <w:szCs w:val="24"/>
        </w:rPr>
      </w:pPr>
      <w:r>
        <w:rPr>
          <w:rFonts w:ascii="Arial" w:hAnsi="Arial" w:eastAsia="Tahoma" w:cs="Arial"/>
          <w:sz w:val="24"/>
          <w:szCs w:val="24"/>
        </w:rPr>
        <w:t>8.1 – As empresas consorciadas não poderão participar, na mesma licitação, de mais de um consórcio ou de forma isolada;</w:t>
      </w:r>
    </w:p>
    <w:p w14:paraId="19DD3562">
      <w:pPr>
        <w:tabs>
          <w:tab w:val="left" w:pos="1560"/>
        </w:tabs>
        <w:autoSpaceDE w:val="0"/>
        <w:spacing w:line="360" w:lineRule="auto"/>
        <w:jc w:val="both"/>
        <w:rPr>
          <w:rFonts w:ascii="Arial" w:hAnsi="Arial" w:eastAsia="Tahoma" w:cs="Arial"/>
          <w:sz w:val="24"/>
          <w:szCs w:val="24"/>
        </w:rPr>
      </w:pPr>
      <w:bookmarkStart w:id="0" w:name="art15v"/>
      <w:bookmarkEnd w:id="0"/>
      <w:r>
        <w:rPr>
          <w:rFonts w:ascii="Arial" w:hAnsi="Arial" w:eastAsia="Tahoma" w:cs="Arial"/>
          <w:sz w:val="24"/>
          <w:szCs w:val="24"/>
        </w:rPr>
        <w:t>8.2 – Há responsabilidade solidária dos integrantes pelos atos praticados em consórcio, tanto na fase de licitação quanto na de execução do contrato.</w:t>
      </w:r>
    </w:p>
    <w:p w14:paraId="5B33F938">
      <w:pPr>
        <w:spacing w:line="360" w:lineRule="auto"/>
        <w:jc w:val="both"/>
        <w:rPr>
          <w:rFonts w:ascii="Arial" w:hAnsi="Arial" w:cs="Arial"/>
          <w:b/>
          <w:sz w:val="24"/>
          <w:szCs w:val="24"/>
        </w:rPr>
      </w:pPr>
    </w:p>
    <w:p w14:paraId="1E5C1BB4">
      <w:pPr>
        <w:spacing w:line="360" w:lineRule="auto"/>
        <w:jc w:val="both"/>
        <w:rPr>
          <w:rFonts w:ascii="Arial" w:hAnsi="Arial" w:cs="Arial"/>
          <w:b/>
          <w:sz w:val="24"/>
          <w:szCs w:val="24"/>
        </w:rPr>
      </w:pPr>
    </w:p>
    <w:p w14:paraId="75264B11">
      <w:pPr>
        <w:spacing w:line="360" w:lineRule="auto"/>
        <w:jc w:val="both"/>
        <w:rPr>
          <w:rFonts w:ascii="Arial" w:hAnsi="Arial" w:cs="Arial"/>
          <w:b/>
          <w:sz w:val="24"/>
          <w:szCs w:val="24"/>
        </w:rPr>
      </w:pPr>
      <w:r>
        <w:rPr>
          <w:rFonts w:ascii="Arial" w:hAnsi="Arial" w:cs="Arial"/>
          <w:b/>
          <w:sz w:val="24"/>
          <w:szCs w:val="24"/>
        </w:rPr>
        <w:t>VIII - DA SESSÃO E DO CRITÉRIO DE JULGAMENTO</w:t>
      </w:r>
    </w:p>
    <w:p w14:paraId="591AB9D8">
      <w:pPr>
        <w:spacing w:line="360" w:lineRule="auto"/>
        <w:jc w:val="both"/>
        <w:rPr>
          <w:rFonts w:ascii="Arial" w:hAnsi="Arial" w:cs="Arial"/>
          <w:snapToGrid w:val="0"/>
          <w:sz w:val="24"/>
          <w:szCs w:val="24"/>
        </w:rPr>
      </w:pPr>
      <w:r>
        <w:rPr>
          <w:rFonts w:ascii="Arial" w:hAnsi="Arial" w:cs="Arial"/>
          <w:snapToGrid w:val="0"/>
          <w:sz w:val="24"/>
          <w:szCs w:val="24"/>
        </w:rPr>
        <w:t>8.1. - Aberta a etapa competitiva, os representantes dos fornecedores deverão estar conectados ao sistema para participar da sessão de lances, que serão feitos de forma simultânea para os itens. A cada lance ofertado o participante será imediatamente informado de seu recebimento e respectivo horário de registro e valor, devendo se atentar para as seguintes regras:</w:t>
      </w:r>
    </w:p>
    <w:p w14:paraId="7158783F">
      <w:pPr>
        <w:widowControl w:val="0"/>
        <w:numPr>
          <w:ilvl w:val="0"/>
          <w:numId w:val="2"/>
        </w:numPr>
        <w:spacing w:line="360" w:lineRule="auto"/>
        <w:jc w:val="both"/>
        <w:rPr>
          <w:rFonts w:ascii="Arial" w:hAnsi="Arial" w:cs="Arial"/>
          <w:b/>
          <w:sz w:val="24"/>
          <w:szCs w:val="24"/>
        </w:rPr>
      </w:pPr>
      <w:r>
        <w:rPr>
          <w:rFonts w:ascii="Arial" w:hAnsi="Arial" w:cs="Arial"/>
          <w:b/>
          <w:sz w:val="24"/>
          <w:szCs w:val="24"/>
        </w:rPr>
        <w:t>INTERVALO DE VALORES PARA LANCES: R$ 0,01</w:t>
      </w:r>
    </w:p>
    <w:p w14:paraId="6A09EE7D">
      <w:pPr>
        <w:widowControl w:val="0"/>
        <w:numPr>
          <w:ilvl w:val="0"/>
          <w:numId w:val="2"/>
        </w:numPr>
        <w:spacing w:line="360" w:lineRule="auto"/>
        <w:jc w:val="both"/>
        <w:rPr>
          <w:rFonts w:ascii="Arial" w:hAnsi="Arial" w:cs="Arial"/>
          <w:b/>
          <w:sz w:val="24"/>
          <w:szCs w:val="24"/>
        </w:rPr>
      </w:pPr>
      <w:r>
        <w:rPr>
          <w:rFonts w:ascii="Arial" w:hAnsi="Arial" w:cs="Arial"/>
          <w:b/>
          <w:sz w:val="24"/>
          <w:szCs w:val="24"/>
        </w:rPr>
        <w:t>INTERVALO DE TEMPO PARA LANCES: 5 SEGUNDOS</w:t>
      </w:r>
    </w:p>
    <w:p w14:paraId="1A0F16F1">
      <w:pPr>
        <w:spacing w:line="360" w:lineRule="auto"/>
        <w:jc w:val="both"/>
        <w:rPr>
          <w:rFonts w:ascii="Arial" w:hAnsi="Arial" w:eastAsia="Tahoma" w:cs="Arial"/>
          <w:sz w:val="24"/>
          <w:szCs w:val="24"/>
        </w:rPr>
      </w:pPr>
      <w:r>
        <w:rPr>
          <w:rFonts w:ascii="Arial" w:hAnsi="Arial" w:cs="Arial"/>
          <w:snapToGrid w:val="0"/>
          <w:sz w:val="24"/>
          <w:szCs w:val="24"/>
        </w:rPr>
        <w:t xml:space="preserve">8.2 - Os lances devem ser efetuados </w:t>
      </w:r>
      <w:r>
        <w:rPr>
          <w:rFonts w:ascii="Arial" w:hAnsi="Arial" w:cs="Arial"/>
          <w:b/>
          <w:snapToGrid w:val="0"/>
          <w:sz w:val="24"/>
          <w:szCs w:val="24"/>
          <w:highlight w:val="yellow"/>
          <w:u w:val="single"/>
        </w:rPr>
        <w:t>COM VALOR UNITÁRIO DO ITEM</w:t>
      </w:r>
      <w:r>
        <w:rPr>
          <w:rFonts w:ascii="Arial" w:hAnsi="Arial" w:cs="Arial"/>
          <w:snapToGrid w:val="0"/>
          <w:sz w:val="24"/>
          <w:szCs w:val="24"/>
        </w:rPr>
        <w:t xml:space="preserve">, devendo o licitante estar ciente que devem conter os seguintes critérios: </w:t>
      </w:r>
      <w:r>
        <w:rPr>
          <w:rFonts w:ascii="Arial" w:hAnsi="Arial" w:cs="Arial"/>
          <w:sz w:val="24"/>
          <w:szCs w:val="24"/>
        </w:rPr>
        <w:t xml:space="preserve">com até duas casas decimais após a vírgula e </w:t>
      </w:r>
      <w:r>
        <w:rPr>
          <w:rFonts w:ascii="Arial" w:hAnsi="Arial" w:eastAsia="Tahoma" w:cs="Arial"/>
          <w:sz w:val="24"/>
          <w:szCs w:val="24"/>
        </w:rPr>
        <w:t>todas as despesas com frete, tributos, seguros e todos os demais encargos necessários ao fornecimento do objeto licitado, incluídos os trabalhistas e sociais, de acordo com a Súmula 10</w:t>
      </w:r>
      <w:r>
        <w:rPr>
          <w:rStyle w:val="5"/>
          <w:rFonts w:ascii="Arial" w:hAnsi="Arial" w:eastAsia="Tahoma" w:cs="Arial"/>
          <w:sz w:val="24"/>
          <w:szCs w:val="24"/>
        </w:rPr>
        <w:footnoteReference w:id="4"/>
      </w:r>
      <w:r>
        <w:rPr>
          <w:rFonts w:ascii="Arial" w:hAnsi="Arial" w:eastAsia="Tahoma" w:cs="Arial"/>
          <w:sz w:val="24"/>
          <w:szCs w:val="24"/>
        </w:rPr>
        <w:t xml:space="preserve"> do TCE/SP, sendo que o proponente será responsável por quaisquer ônus decorrente de: marcas, registros e patentes ao objeto cotado.</w:t>
      </w:r>
    </w:p>
    <w:p w14:paraId="4FEFD3BF">
      <w:pPr>
        <w:spacing w:line="360" w:lineRule="auto"/>
        <w:jc w:val="both"/>
        <w:rPr>
          <w:rFonts w:ascii="Arial" w:hAnsi="Arial" w:cs="Arial"/>
          <w:snapToGrid w:val="0"/>
          <w:sz w:val="24"/>
          <w:szCs w:val="24"/>
        </w:rPr>
      </w:pPr>
      <w:r>
        <w:rPr>
          <w:rFonts w:ascii="Arial" w:hAnsi="Arial" w:cs="Arial"/>
          <w:sz w:val="24"/>
          <w:szCs w:val="24"/>
        </w:rPr>
        <w:t xml:space="preserve">8.3 - É de inteira responsabilidade do ofertante o preço e demais condições apresentadas, </w:t>
      </w:r>
    </w:p>
    <w:p w14:paraId="3E9B2911">
      <w:pPr>
        <w:spacing w:line="360" w:lineRule="auto"/>
        <w:jc w:val="both"/>
        <w:rPr>
          <w:rFonts w:ascii="Arial" w:hAnsi="Arial" w:cs="Arial"/>
          <w:snapToGrid w:val="0"/>
          <w:sz w:val="24"/>
          <w:szCs w:val="24"/>
        </w:rPr>
      </w:pPr>
      <w:r>
        <w:rPr>
          <w:rFonts w:ascii="Arial" w:hAnsi="Arial" w:cs="Arial"/>
          <w:snapToGrid w:val="0"/>
          <w:sz w:val="24"/>
          <w:szCs w:val="24"/>
        </w:rPr>
        <w:t>8.4 - Durante o transcurso da sessão pública, os participantes serão informados, em tempo real, do valor do menor lance registrado.</w:t>
      </w:r>
    </w:p>
    <w:p w14:paraId="6183537B">
      <w:pPr>
        <w:spacing w:line="360" w:lineRule="auto"/>
        <w:jc w:val="both"/>
        <w:rPr>
          <w:rFonts w:ascii="Arial" w:hAnsi="Arial" w:cs="Arial"/>
          <w:snapToGrid w:val="0"/>
          <w:sz w:val="24"/>
          <w:szCs w:val="24"/>
        </w:rPr>
      </w:pPr>
      <w:r>
        <w:rPr>
          <w:rFonts w:ascii="Arial" w:hAnsi="Arial" w:cs="Arial"/>
          <w:snapToGrid w:val="0"/>
          <w:sz w:val="24"/>
          <w:szCs w:val="24"/>
        </w:rPr>
        <w:t>8.5 - O sistema não identificará o autor dos lances aos demais participantes.</w:t>
      </w:r>
    </w:p>
    <w:p w14:paraId="06267B84">
      <w:pPr>
        <w:suppressAutoHyphens w:val="0"/>
        <w:autoSpaceDE w:val="0"/>
        <w:autoSpaceDN w:val="0"/>
        <w:adjustRightInd w:val="0"/>
        <w:spacing w:line="360" w:lineRule="auto"/>
        <w:jc w:val="both"/>
        <w:rPr>
          <w:rFonts w:ascii="Arial" w:hAnsi="Arial" w:cs="Arial"/>
          <w:b/>
          <w:bCs/>
          <w:sz w:val="24"/>
          <w:szCs w:val="24"/>
          <w:lang w:eastAsia="pt-BR"/>
        </w:rPr>
      </w:pPr>
      <w:r>
        <w:rPr>
          <w:rFonts w:ascii="Arial" w:hAnsi="Arial" w:cs="Arial"/>
          <w:sz w:val="24"/>
          <w:szCs w:val="24"/>
        </w:rPr>
        <w:t>8.6 -</w:t>
      </w:r>
      <w:r>
        <w:rPr>
          <w:rFonts w:ascii="Arial" w:hAnsi="Arial" w:cs="Arial"/>
          <w:b/>
          <w:bCs/>
          <w:sz w:val="24"/>
          <w:szCs w:val="24"/>
          <w:lang w:eastAsia="pt-BR"/>
        </w:rPr>
        <w:t xml:space="preserve"> Desconexão do sistema na etapa de lances</w:t>
      </w:r>
    </w:p>
    <w:p w14:paraId="0D5D24AA">
      <w:pPr>
        <w:suppressAutoHyphens w:val="0"/>
        <w:autoSpaceDE w:val="0"/>
        <w:autoSpaceDN w:val="0"/>
        <w:adjustRightInd w:val="0"/>
        <w:spacing w:line="360" w:lineRule="auto"/>
        <w:jc w:val="both"/>
        <w:rPr>
          <w:rFonts w:ascii="Arial" w:hAnsi="Arial" w:cs="Arial"/>
          <w:sz w:val="24"/>
          <w:szCs w:val="24"/>
          <w:lang w:eastAsia="pt-BR"/>
        </w:rPr>
      </w:pPr>
      <w:r>
        <w:rPr>
          <w:rFonts w:ascii="Arial" w:hAnsi="Arial" w:cs="Arial"/>
          <w:sz w:val="24"/>
          <w:szCs w:val="24"/>
          <w:lang w:eastAsia="pt-BR"/>
        </w:rPr>
        <w:t>1 - Na hipótese de o sistema eletrônico desconectar para o pregoeiro no decorrer da etapa de envio de lances da sessão pública e permanecer acessível aos licitantes, os lances continuarão sendo recebidos, sem prejuízo dos atos realizados.</w:t>
      </w:r>
    </w:p>
    <w:p w14:paraId="49543997">
      <w:pPr>
        <w:suppressAutoHyphens w:val="0"/>
        <w:autoSpaceDE w:val="0"/>
        <w:autoSpaceDN w:val="0"/>
        <w:adjustRightInd w:val="0"/>
        <w:spacing w:line="360" w:lineRule="auto"/>
        <w:jc w:val="both"/>
        <w:rPr>
          <w:rFonts w:ascii="Arial" w:hAnsi="Arial" w:cs="Arial"/>
          <w:snapToGrid w:val="0"/>
          <w:sz w:val="24"/>
          <w:szCs w:val="24"/>
        </w:rPr>
      </w:pPr>
      <w:r>
        <w:rPr>
          <w:rFonts w:ascii="Arial" w:hAnsi="Arial" w:cs="Arial"/>
          <w:sz w:val="24"/>
          <w:szCs w:val="24"/>
          <w:lang w:eastAsia="pt-BR"/>
        </w:rPr>
        <w:t xml:space="preserve">2 - Quando a desconexão do sistema eletrônico para o pregoeiro </w:t>
      </w:r>
      <w:r>
        <w:rPr>
          <w:rFonts w:ascii="Arial" w:hAnsi="Arial" w:cs="Arial"/>
          <w:b/>
          <w:sz w:val="24"/>
          <w:szCs w:val="24"/>
          <w:lang w:eastAsia="pt-BR"/>
        </w:rPr>
        <w:t>persistir por tempo superior a dez minutos</w:t>
      </w:r>
      <w:r>
        <w:rPr>
          <w:rFonts w:ascii="Arial" w:hAnsi="Arial" w:cs="Arial"/>
          <w:sz w:val="24"/>
          <w:szCs w:val="24"/>
          <w:lang w:eastAsia="pt-BR"/>
        </w:rPr>
        <w:t>, a sessão pública será suspensa e reiniciada somente decorridas vinte e quatro horas após a comunicação do fato aos participantes, no sítio eletrônico utilizado para divulgação.</w:t>
      </w:r>
    </w:p>
    <w:p w14:paraId="3F3239A9">
      <w:pPr>
        <w:spacing w:line="360" w:lineRule="auto"/>
        <w:jc w:val="both"/>
        <w:rPr>
          <w:rFonts w:ascii="Arial" w:hAnsi="Arial" w:cs="Arial"/>
          <w:snapToGrid w:val="0"/>
          <w:sz w:val="24"/>
          <w:szCs w:val="24"/>
        </w:rPr>
      </w:pPr>
      <w:r>
        <w:rPr>
          <w:rFonts w:ascii="Arial" w:hAnsi="Arial" w:cs="Arial"/>
          <w:snapToGrid w:val="0"/>
          <w:sz w:val="24"/>
          <w:szCs w:val="24"/>
        </w:rPr>
        <w:t>8.7  - O sistema informará a proposta de menor valor imediatamente após o encerramento da etapa de lances ou, quando for o caso, após negociação e decisão pelo pregoeiro acerca da aceitação do lance de menor valor.</w:t>
      </w:r>
    </w:p>
    <w:p w14:paraId="04DAE024">
      <w:pPr>
        <w:spacing w:line="360" w:lineRule="auto"/>
        <w:jc w:val="both"/>
        <w:rPr>
          <w:rFonts w:ascii="Arial" w:hAnsi="Arial" w:cs="Arial"/>
          <w:snapToGrid w:val="0"/>
          <w:sz w:val="24"/>
          <w:szCs w:val="24"/>
        </w:rPr>
      </w:pPr>
      <w:r>
        <w:rPr>
          <w:rFonts w:ascii="Arial" w:hAnsi="Arial" w:cs="Arial"/>
          <w:snapToGrid w:val="0"/>
          <w:sz w:val="24"/>
          <w:szCs w:val="24"/>
        </w:rPr>
        <w:t xml:space="preserve">8.8 - </w:t>
      </w:r>
      <w:r>
        <w:rPr>
          <w:rFonts w:ascii="Arial" w:hAnsi="Arial" w:cs="Arial"/>
          <w:sz w:val="24"/>
          <w:szCs w:val="24"/>
        </w:rPr>
        <w:t>Caso não haja etapa de lances, apenas ficarem as propostas postadas inicialmente e houver valores idênticos, prevalecerá a proposta postada primeiro, considerando-se dia e horário</w:t>
      </w:r>
      <w:r>
        <w:rPr>
          <w:rFonts w:ascii="Arial" w:hAnsi="Arial" w:cs="Arial"/>
          <w:snapToGrid w:val="0"/>
          <w:sz w:val="24"/>
          <w:szCs w:val="24"/>
        </w:rPr>
        <w:t>.</w:t>
      </w:r>
    </w:p>
    <w:p w14:paraId="5BD56D17">
      <w:pPr>
        <w:spacing w:line="360" w:lineRule="auto"/>
        <w:jc w:val="both"/>
        <w:rPr>
          <w:rFonts w:ascii="Arial" w:hAnsi="Arial" w:cs="Arial"/>
          <w:b/>
          <w:sz w:val="24"/>
          <w:szCs w:val="24"/>
          <w:u w:val="single"/>
        </w:rPr>
      </w:pPr>
      <w:r>
        <w:rPr>
          <w:rFonts w:ascii="Arial" w:hAnsi="Arial" w:cs="Arial"/>
          <w:b/>
          <w:sz w:val="24"/>
          <w:szCs w:val="24"/>
          <w:u w:val="single"/>
        </w:rPr>
        <w:t xml:space="preserve">8.9 - Para julgamento será adotado o critério </w:t>
      </w:r>
      <w:r>
        <w:rPr>
          <w:rFonts w:ascii="Arial" w:hAnsi="Arial" w:cs="Arial"/>
          <w:b/>
          <w:sz w:val="24"/>
          <w:szCs w:val="24"/>
          <w:highlight w:val="yellow"/>
          <w:u w:val="single"/>
        </w:rPr>
        <w:t>DE MENOR PREÇO POR ITEM</w:t>
      </w:r>
      <w:r>
        <w:rPr>
          <w:rFonts w:ascii="Arial" w:hAnsi="Arial" w:cs="Arial"/>
          <w:b/>
          <w:sz w:val="24"/>
          <w:szCs w:val="24"/>
          <w:u w:val="single"/>
        </w:rPr>
        <w:t>.</w:t>
      </w:r>
    </w:p>
    <w:p w14:paraId="25C6E50C">
      <w:pPr>
        <w:spacing w:line="360" w:lineRule="auto"/>
        <w:jc w:val="both"/>
        <w:rPr>
          <w:rFonts w:ascii="Arial" w:hAnsi="Arial" w:cs="Arial"/>
          <w:sz w:val="24"/>
          <w:szCs w:val="24"/>
        </w:rPr>
      </w:pPr>
      <w:r>
        <w:rPr>
          <w:rFonts w:ascii="Arial" w:hAnsi="Arial" w:cs="Arial"/>
          <w:sz w:val="24"/>
          <w:szCs w:val="24"/>
        </w:rPr>
        <w:t>8.10 - Se a proposta ou o lance de menor valor não for aceitável, o Pregoeiro examinará a proposta ou o lance subseqüente, na ordem de classificação, verificando a sua aceitabilidade e procedendo a sua habilitação. Se for necessário, repetirá esse procedimento, sucessivamente, até a apuração de uma proposta ou lance que atenda ao Edital.</w:t>
      </w:r>
    </w:p>
    <w:p w14:paraId="5A4DC118">
      <w:pPr>
        <w:pStyle w:val="23"/>
        <w:widowControl/>
        <w:spacing w:line="360" w:lineRule="auto"/>
        <w:jc w:val="both"/>
        <w:rPr>
          <w:rFonts w:ascii="Arial" w:hAnsi="Arial" w:cs="Arial"/>
          <w:szCs w:val="24"/>
          <w:lang w:val="pt-BR"/>
        </w:rPr>
      </w:pPr>
    </w:p>
    <w:p w14:paraId="1F7F1BEC">
      <w:pPr>
        <w:autoSpaceDE w:val="0"/>
        <w:spacing w:line="360" w:lineRule="auto"/>
        <w:jc w:val="both"/>
        <w:rPr>
          <w:rFonts w:ascii="Arial" w:hAnsi="Arial" w:eastAsia="Tahoma" w:cs="Arial"/>
          <w:b/>
          <w:bCs/>
          <w:sz w:val="24"/>
          <w:szCs w:val="24"/>
        </w:rPr>
      </w:pPr>
      <w:r>
        <w:rPr>
          <w:rFonts w:ascii="Arial" w:hAnsi="Arial" w:eastAsia="Tahoma" w:cs="Arial"/>
          <w:b/>
          <w:bCs/>
          <w:sz w:val="24"/>
          <w:szCs w:val="24"/>
        </w:rPr>
        <w:t xml:space="preserve">IX – DA MANIFESTAÇÃO PARA OFERTA DE VALORES E APRESENTAÇÃO DA </w:t>
      </w:r>
      <w:r>
        <w:rPr>
          <w:rFonts w:ascii="Arial" w:hAnsi="Arial" w:eastAsia="Tahoma" w:cs="Arial"/>
          <w:b/>
          <w:bCs/>
          <w:sz w:val="24"/>
          <w:szCs w:val="24"/>
          <w:highlight w:val="yellow"/>
          <w:u w:val="single"/>
        </w:rPr>
        <w:t>PROPOSTA ATUALIZADA</w:t>
      </w:r>
      <w:r>
        <w:rPr>
          <w:rFonts w:ascii="Arial" w:hAnsi="Arial" w:eastAsia="Tahoma" w:cs="Arial"/>
          <w:b/>
          <w:bCs/>
          <w:sz w:val="24"/>
          <w:szCs w:val="24"/>
        </w:rPr>
        <w:t xml:space="preserve"> APÓS OS LANCES </w:t>
      </w:r>
    </w:p>
    <w:p w14:paraId="6A5EF14B">
      <w:pPr>
        <w:autoSpaceDE w:val="0"/>
        <w:spacing w:line="360" w:lineRule="auto"/>
        <w:jc w:val="both"/>
        <w:rPr>
          <w:rFonts w:ascii="Arial" w:hAnsi="Arial" w:eastAsia="Tahoma" w:cs="Arial"/>
          <w:b/>
          <w:bCs/>
          <w:sz w:val="24"/>
          <w:szCs w:val="24"/>
        </w:rPr>
      </w:pPr>
    </w:p>
    <w:p w14:paraId="575BABCD">
      <w:pPr>
        <w:spacing w:line="360" w:lineRule="auto"/>
        <w:jc w:val="both"/>
        <w:rPr>
          <w:rFonts w:ascii="Arial" w:hAnsi="Arial" w:eastAsia="Batang" w:cs="Arial"/>
          <w:b/>
          <w:sz w:val="24"/>
          <w:szCs w:val="24"/>
          <w:u w:val="single"/>
        </w:rPr>
      </w:pPr>
      <w:r>
        <w:rPr>
          <w:rFonts w:ascii="Arial" w:hAnsi="Arial" w:eastAsia="Batang" w:cs="Arial"/>
          <w:sz w:val="24"/>
          <w:szCs w:val="24"/>
        </w:rPr>
        <w:t xml:space="preserve">9.1 - </w:t>
      </w:r>
      <w:r>
        <w:rPr>
          <w:rFonts w:ascii="Arial" w:hAnsi="Arial" w:eastAsia="Batang" w:cs="Arial"/>
          <w:b/>
          <w:bCs/>
          <w:sz w:val="24"/>
          <w:szCs w:val="24"/>
          <w:u w:val="single"/>
        </w:rPr>
        <w:t>Ao final da sessão, os licitantes interessados deverão manifestar no chat a aceitação em</w:t>
      </w:r>
      <w:r>
        <w:rPr>
          <w:rFonts w:ascii="Arial" w:hAnsi="Arial" w:eastAsia="Batang" w:cs="Arial"/>
          <w:b/>
          <w:sz w:val="24"/>
          <w:szCs w:val="24"/>
          <w:u w:val="single"/>
        </w:rPr>
        <w:t xml:space="preserve"> registrar o valor com preço igual ao do licitante vencedor, onde será assegurada a preferência de contratação de acordo com a ordem de classificação, considerando a necessidade da Administração, em caso de não assinatura de ata ou de cancelamento de itens/valores, fazendo as devidas convocações posteriores caso seja preciso.</w:t>
      </w:r>
    </w:p>
    <w:p w14:paraId="72DAC457">
      <w:pPr>
        <w:spacing w:line="360" w:lineRule="auto"/>
        <w:jc w:val="both"/>
        <w:rPr>
          <w:rFonts w:ascii="Arial" w:hAnsi="Arial" w:eastAsia="Batang" w:cs="Arial"/>
          <w:sz w:val="24"/>
          <w:szCs w:val="24"/>
        </w:rPr>
      </w:pPr>
    </w:p>
    <w:p w14:paraId="4DAB3AE3">
      <w:pPr>
        <w:spacing w:line="360" w:lineRule="auto"/>
        <w:jc w:val="both"/>
        <w:rPr>
          <w:rStyle w:val="6"/>
          <w:rFonts w:ascii="Arial" w:hAnsi="Arial" w:eastAsia="Batang" w:cs="Arial"/>
          <w:sz w:val="24"/>
          <w:szCs w:val="24"/>
          <w:u w:val="none"/>
        </w:rPr>
      </w:pPr>
      <w:r>
        <w:rPr>
          <w:rFonts w:ascii="Arial" w:hAnsi="Arial" w:eastAsia="Batang" w:cs="Arial"/>
          <w:sz w:val="24"/>
          <w:szCs w:val="24"/>
        </w:rPr>
        <w:t xml:space="preserve">9.2 - Após os lances, deverão ser encaminhados </w:t>
      </w:r>
      <w:r>
        <w:rPr>
          <w:rFonts w:ascii="Arial" w:hAnsi="Arial" w:eastAsia="Batang" w:cs="Arial"/>
          <w:b/>
          <w:sz w:val="24"/>
          <w:szCs w:val="24"/>
          <w:highlight w:val="yellow"/>
          <w:u w:val="single"/>
        </w:rPr>
        <w:t>em até 2 horas após ao término da sessão pública</w:t>
      </w:r>
      <w:r>
        <w:rPr>
          <w:rFonts w:ascii="Arial" w:hAnsi="Arial" w:eastAsia="Batang" w:cs="Arial"/>
          <w:b/>
          <w:sz w:val="24"/>
          <w:szCs w:val="24"/>
          <w:u w:val="single"/>
        </w:rPr>
        <w:t>,</w:t>
      </w:r>
      <w:r>
        <w:rPr>
          <w:rFonts w:ascii="Arial" w:hAnsi="Arial" w:eastAsia="Batang" w:cs="Arial"/>
          <w:sz w:val="24"/>
          <w:szCs w:val="24"/>
        </w:rPr>
        <w:t xml:space="preserve"> através do seguinte endereço eletrônico: </w:t>
      </w:r>
      <w:r>
        <w:fldChar w:fldCharType="begin"/>
      </w:r>
      <w:r>
        <w:instrText xml:space="preserve"> HYPERLINK "mailto:licitacao@cedral.sp.gov.br" </w:instrText>
      </w:r>
      <w:r>
        <w:fldChar w:fldCharType="separate"/>
      </w:r>
      <w:r>
        <w:rPr>
          <w:rStyle w:val="6"/>
          <w:rFonts w:ascii="Arial" w:hAnsi="Arial" w:eastAsia="Batang" w:cs="Arial"/>
          <w:b/>
          <w:sz w:val="24"/>
          <w:szCs w:val="24"/>
        </w:rPr>
        <w:t>licitacao@cedral.sp.gov.br</w:t>
      </w:r>
      <w:r>
        <w:rPr>
          <w:rStyle w:val="6"/>
          <w:rFonts w:ascii="Arial" w:hAnsi="Arial" w:eastAsia="Batang" w:cs="Arial"/>
          <w:b/>
          <w:sz w:val="24"/>
          <w:szCs w:val="24"/>
        </w:rPr>
        <w:fldChar w:fldCharType="end"/>
      </w:r>
      <w:r>
        <w:rPr>
          <w:rStyle w:val="6"/>
          <w:rFonts w:ascii="Arial" w:hAnsi="Arial" w:eastAsia="Batang" w:cs="Arial"/>
          <w:b/>
          <w:sz w:val="24"/>
          <w:szCs w:val="24"/>
        </w:rPr>
        <w:t>:</w:t>
      </w:r>
    </w:p>
    <w:p w14:paraId="3CFEE4EA">
      <w:pPr>
        <w:autoSpaceDE w:val="0"/>
        <w:spacing w:line="360" w:lineRule="auto"/>
        <w:jc w:val="both"/>
        <w:rPr>
          <w:rFonts w:ascii="Arial" w:hAnsi="Arial" w:eastAsia="Batang" w:cs="Arial"/>
          <w:sz w:val="24"/>
          <w:szCs w:val="24"/>
        </w:rPr>
      </w:pPr>
    </w:p>
    <w:p w14:paraId="19A0C5AB">
      <w:pPr>
        <w:pStyle w:val="17"/>
        <w:numPr>
          <w:ilvl w:val="1"/>
          <w:numId w:val="3"/>
        </w:numPr>
        <w:spacing w:line="360" w:lineRule="auto"/>
        <w:jc w:val="both"/>
      </w:pPr>
      <w:r>
        <w:rPr>
          <w:rFonts w:ascii="Arial" w:hAnsi="Arial" w:eastAsia="Batang" w:cs="Arial"/>
          <w:sz w:val="24"/>
          <w:szCs w:val="24"/>
        </w:rPr>
        <w:t xml:space="preserve">– </w:t>
      </w:r>
      <w:r>
        <w:rPr>
          <w:rFonts w:ascii="Arial" w:hAnsi="Arial" w:eastAsia="Batang" w:cs="Arial"/>
          <w:b/>
          <w:sz w:val="24"/>
          <w:szCs w:val="24"/>
          <w:u w:val="single"/>
        </w:rPr>
        <w:t>ENVIAR PROPOSTA ATUALIZADA</w:t>
      </w:r>
      <w:r>
        <w:rPr>
          <w:rFonts w:ascii="Arial" w:hAnsi="Arial" w:cs="Arial"/>
          <w:sz w:val="24"/>
          <w:szCs w:val="24"/>
        </w:rPr>
        <w:t>; considerando o valor do último lance ofertado.</w:t>
      </w:r>
    </w:p>
    <w:p w14:paraId="47CBF0BC">
      <w:pPr>
        <w:shd w:val="clear" w:color="auto" w:fill="FFFFFF"/>
        <w:rPr>
          <w:rFonts w:ascii="Arial" w:hAnsi="Arial" w:cs="Arial"/>
          <w:sz w:val="24"/>
          <w:szCs w:val="24"/>
          <w:lang w:eastAsia="pt-BR"/>
        </w:rPr>
      </w:pPr>
      <w:r>
        <w:rPr>
          <w:rFonts w:ascii="Arial" w:hAnsi="Arial" w:cs="Arial"/>
          <w:sz w:val="24"/>
          <w:szCs w:val="24"/>
          <w:lang w:eastAsia="pt-BR"/>
        </w:rPr>
        <w:t>9.2.1 – Os licitantes devem ser ciência, de que os valores ofertados são propostas e que as mesmas tem validade de até 6 meses.</w:t>
      </w:r>
    </w:p>
    <w:p w14:paraId="1270C1D2">
      <w:pPr>
        <w:shd w:val="clear" w:color="auto" w:fill="FFFFFF"/>
        <w:rPr>
          <w:rFonts w:ascii="Arial" w:hAnsi="Arial" w:cs="Arial"/>
          <w:sz w:val="24"/>
          <w:szCs w:val="24"/>
          <w:lang w:eastAsia="pt-BR"/>
        </w:rPr>
      </w:pPr>
    </w:p>
    <w:p w14:paraId="6E30C380">
      <w:pPr>
        <w:shd w:val="clear" w:color="auto" w:fill="FFFFFF"/>
        <w:rPr>
          <w:rFonts w:ascii="Arial" w:hAnsi="Arial" w:cs="Arial"/>
          <w:sz w:val="24"/>
          <w:szCs w:val="24"/>
          <w:lang w:eastAsia="pt-BR"/>
        </w:rPr>
      </w:pPr>
    </w:p>
    <w:p w14:paraId="75DF3E4D">
      <w:pPr>
        <w:suppressAutoHyphens w:val="0"/>
        <w:autoSpaceDE w:val="0"/>
        <w:spacing w:line="360" w:lineRule="auto"/>
        <w:jc w:val="both"/>
        <w:rPr>
          <w:rFonts w:ascii="Arial" w:hAnsi="Arial" w:cs="Arial"/>
          <w:b/>
          <w:bCs/>
          <w:sz w:val="24"/>
          <w:szCs w:val="24"/>
        </w:rPr>
      </w:pPr>
      <w:r>
        <w:rPr>
          <w:rFonts w:ascii="Arial" w:hAnsi="Arial" w:cs="Arial"/>
          <w:b/>
          <w:bCs/>
          <w:sz w:val="24"/>
          <w:szCs w:val="24"/>
        </w:rPr>
        <w:t>X - DOS RECURSOS</w:t>
      </w:r>
    </w:p>
    <w:p w14:paraId="1066004B">
      <w:pPr>
        <w:pStyle w:val="23"/>
        <w:widowControl/>
        <w:tabs>
          <w:tab w:val="left" w:pos="0"/>
        </w:tabs>
        <w:spacing w:line="360" w:lineRule="auto"/>
        <w:jc w:val="both"/>
        <w:rPr>
          <w:rFonts w:ascii="Arial" w:hAnsi="Arial" w:cs="Arial"/>
          <w:szCs w:val="24"/>
          <w:lang w:val="pt-BR"/>
        </w:rPr>
      </w:pPr>
      <w:r>
        <w:rPr>
          <w:rFonts w:ascii="Arial" w:hAnsi="Arial" w:cs="Arial"/>
          <w:szCs w:val="24"/>
          <w:lang w:val="pt-BR"/>
        </w:rPr>
        <w:t xml:space="preserve">10.1 – </w:t>
      </w:r>
      <w:r>
        <w:rPr>
          <w:rFonts w:ascii="Arial" w:hAnsi="Arial" w:cs="Arial"/>
          <w:b/>
          <w:szCs w:val="24"/>
          <w:highlight w:val="lightGray"/>
          <w:u w:val="single"/>
          <w:lang w:val="pt-BR"/>
        </w:rPr>
        <w:t>Após o término da fase de habilitação, será publicado em imprensa oficial, a relação de todos os licitantes/classificados declarados habilitados, quando então, será aberto prazo recursal de 3 (três) dias úteis; e, caso haja interposição de recurso, será aberta contrarrazões, no mesmo prazo, que começará a correr no dia útil seguinte  data da notificação/publicação na imprensa oficial</w:t>
      </w:r>
      <w:r>
        <w:rPr>
          <w:rFonts w:ascii="Arial" w:hAnsi="Arial" w:cs="Arial"/>
          <w:szCs w:val="24"/>
          <w:lang w:val="pt-BR"/>
        </w:rPr>
        <w:t>.</w:t>
      </w:r>
    </w:p>
    <w:p w14:paraId="3425FB83">
      <w:pPr>
        <w:pStyle w:val="23"/>
        <w:widowControl/>
        <w:tabs>
          <w:tab w:val="left" w:pos="0"/>
        </w:tabs>
        <w:spacing w:line="360" w:lineRule="auto"/>
        <w:jc w:val="both"/>
        <w:rPr>
          <w:rFonts w:ascii="Arial" w:hAnsi="Arial" w:cs="Arial"/>
          <w:szCs w:val="24"/>
          <w:lang w:val="pt-BR"/>
        </w:rPr>
      </w:pPr>
      <w:r>
        <w:rPr>
          <w:rFonts w:ascii="Arial" w:hAnsi="Arial" w:cs="Arial"/>
          <w:szCs w:val="24"/>
          <w:lang w:val="pt-BR"/>
        </w:rPr>
        <w:t>10.1.1 – O prazo acima exposto não interfere se ao final da sessão pública do dia da licitação, algum proponente quiser recorrer contra decisões do Pregoeiro.</w:t>
      </w:r>
    </w:p>
    <w:p w14:paraId="302EA842">
      <w:pPr>
        <w:pStyle w:val="23"/>
        <w:widowControl/>
        <w:tabs>
          <w:tab w:val="left" w:pos="0"/>
        </w:tabs>
        <w:spacing w:line="360" w:lineRule="auto"/>
        <w:jc w:val="both"/>
        <w:rPr>
          <w:rFonts w:ascii="Arial" w:hAnsi="Arial" w:cs="Arial"/>
          <w:szCs w:val="24"/>
          <w:lang w:val="pt-BR"/>
        </w:rPr>
      </w:pPr>
      <w:r>
        <w:rPr>
          <w:rFonts w:ascii="Arial" w:hAnsi="Arial" w:cs="Arial"/>
          <w:szCs w:val="24"/>
          <w:lang w:val="pt-BR"/>
        </w:rPr>
        <w:t xml:space="preserve">10.2 - As razões de recurso ficarão à disposição dos interessados na Seção de Licitação, podendo ser requerida também através do </w:t>
      </w:r>
      <w:r>
        <w:rPr>
          <w:rFonts w:ascii="Arial" w:hAnsi="Arial" w:cs="Arial"/>
          <w:b/>
          <w:szCs w:val="24"/>
          <w:u w:val="single"/>
          <w:lang w:val="pt-BR"/>
        </w:rPr>
        <w:t>e-mail: licitacao@cedral.sp.gov.br</w:t>
      </w:r>
      <w:r>
        <w:rPr>
          <w:rFonts w:ascii="Arial" w:hAnsi="Arial" w:cs="Arial"/>
          <w:szCs w:val="24"/>
          <w:lang w:val="pt-BR"/>
        </w:rPr>
        <w:t>.</w:t>
      </w:r>
    </w:p>
    <w:p w14:paraId="08F9B363">
      <w:pPr>
        <w:pStyle w:val="23"/>
        <w:widowControl/>
        <w:tabs>
          <w:tab w:val="left" w:pos="-284"/>
        </w:tabs>
        <w:spacing w:line="360" w:lineRule="auto"/>
        <w:jc w:val="both"/>
        <w:rPr>
          <w:rFonts w:ascii="Arial" w:hAnsi="Arial" w:cs="Arial"/>
          <w:szCs w:val="24"/>
          <w:lang w:val="pt-BR"/>
        </w:rPr>
      </w:pPr>
      <w:r>
        <w:rPr>
          <w:rFonts w:ascii="Arial" w:hAnsi="Arial" w:cs="Arial"/>
          <w:szCs w:val="24"/>
          <w:lang w:val="pt-BR"/>
        </w:rPr>
        <w:t>10.3 -</w:t>
      </w:r>
      <w:r>
        <w:rPr>
          <w:rFonts w:ascii="Arial" w:hAnsi="Arial" w:cs="Arial"/>
          <w:b/>
          <w:szCs w:val="24"/>
          <w:lang w:val="pt-BR"/>
        </w:rPr>
        <w:t xml:space="preserve"> </w:t>
      </w:r>
      <w:r>
        <w:rPr>
          <w:rFonts w:ascii="Arial" w:hAnsi="Arial" w:cs="Arial"/>
          <w:szCs w:val="24"/>
          <w:lang w:val="pt-BR"/>
        </w:rPr>
        <w:t>A falta de manifestação imediata e motivada do licitante importará a decadência do direito de recorrer e a adjudicação ao vencedor do certame.</w:t>
      </w:r>
    </w:p>
    <w:p w14:paraId="6E639469">
      <w:pPr>
        <w:pStyle w:val="23"/>
        <w:widowControl/>
        <w:tabs>
          <w:tab w:val="left" w:pos="-284"/>
        </w:tabs>
        <w:spacing w:line="360" w:lineRule="auto"/>
        <w:jc w:val="both"/>
        <w:rPr>
          <w:rFonts w:ascii="Arial" w:hAnsi="Arial" w:cs="Arial"/>
          <w:szCs w:val="24"/>
          <w:lang w:val="pt-BR"/>
        </w:rPr>
      </w:pPr>
      <w:r>
        <w:rPr>
          <w:rFonts w:ascii="Arial" w:hAnsi="Arial" w:cs="Arial"/>
          <w:szCs w:val="24"/>
          <w:lang w:val="pt-BR"/>
        </w:rPr>
        <w:t>10.4 -</w:t>
      </w:r>
      <w:r>
        <w:rPr>
          <w:rFonts w:ascii="Arial" w:hAnsi="Arial" w:cs="Arial"/>
          <w:b/>
          <w:szCs w:val="24"/>
          <w:lang w:val="pt-BR"/>
        </w:rPr>
        <w:t xml:space="preserve"> </w:t>
      </w:r>
      <w:r>
        <w:rPr>
          <w:rFonts w:ascii="Arial" w:hAnsi="Arial" w:cs="Arial"/>
          <w:szCs w:val="24"/>
          <w:lang w:val="pt-BR"/>
        </w:rPr>
        <w:t>Os recursos contra decisões do pregoeiro terão efeito suspensivo e deverão respeitar os ditames legais.</w:t>
      </w:r>
    </w:p>
    <w:p w14:paraId="7D4169DD">
      <w:pPr>
        <w:pStyle w:val="23"/>
        <w:widowControl/>
        <w:tabs>
          <w:tab w:val="left" w:pos="-284"/>
        </w:tabs>
        <w:spacing w:line="360" w:lineRule="auto"/>
        <w:jc w:val="both"/>
        <w:rPr>
          <w:rFonts w:ascii="Arial" w:hAnsi="Arial" w:cs="Arial"/>
          <w:szCs w:val="24"/>
          <w:lang w:val="pt-BR"/>
        </w:rPr>
      </w:pPr>
      <w:r>
        <w:rPr>
          <w:rFonts w:ascii="Arial" w:hAnsi="Arial" w:cs="Arial"/>
          <w:szCs w:val="24"/>
          <w:lang w:val="pt-BR"/>
        </w:rPr>
        <w:t>10.5 - O acolhimento de recurso importará a invalidação apenas dos atos insuscetíveis de aproveitamento.</w:t>
      </w:r>
    </w:p>
    <w:p w14:paraId="51874EE0">
      <w:pPr>
        <w:spacing w:line="360" w:lineRule="auto"/>
        <w:jc w:val="both"/>
        <w:rPr>
          <w:rFonts w:ascii="Arial" w:hAnsi="Arial" w:cs="Arial"/>
          <w:b/>
          <w:sz w:val="24"/>
          <w:szCs w:val="24"/>
        </w:rPr>
      </w:pPr>
      <w:r>
        <w:rPr>
          <w:rFonts w:ascii="Arial" w:hAnsi="Arial" w:cs="Arial"/>
          <w:sz w:val="24"/>
          <w:szCs w:val="24"/>
        </w:rPr>
        <w:t>10.6 - A decisão em grau de recurso será definitiva e dela dar-se-á conhecimento por meio eletrônico.</w:t>
      </w:r>
      <w:r>
        <w:rPr>
          <w:rFonts w:ascii="Arial" w:hAnsi="Arial" w:cs="Arial"/>
          <w:b/>
          <w:sz w:val="24"/>
          <w:szCs w:val="24"/>
        </w:rPr>
        <w:t xml:space="preserve"> </w:t>
      </w:r>
    </w:p>
    <w:p w14:paraId="4EE9D080">
      <w:pPr>
        <w:spacing w:line="360" w:lineRule="auto"/>
        <w:jc w:val="both"/>
        <w:rPr>
          <w:rFonts w:ascii="Arial" w:hAnsi="Arial" w:cs="Arial"/>
          <w:sz w:val="24"/>
          <w:szCs w:val="24"/>
        </w:rPr>
      </w:pPr>
      <w:r>
        <w:rPr>
          <w:rFonts w:ascii="Arial" w:hAnsi="Arial" w:cs="Arial"/>
          <w:sz w:val="24"/>
          <w:szCs w:val="24"/>
        </w:rPr>
        <w:t>10.7 - Não serão conhecidas as impugnações e recursos apresentados fora do prazo legal e subscrito por representante não habilitado legalmente, ou não identificado no processo para responder pelo proponente.</w:t>
      </w:r>
    </w:p>
    <w:p w14:paraId="7AF09244">
      <w:pPr>
        <w:spacing w:line="360" w:lineRule="auto"/>
        <w:jc w:val="both"/>
        <w:rPr>
          <w:rFonts w:ascii="Arial" w:hAnsi="Arial" w:cs="Arial"/>
          <w:sz w:val="24"/>
          <w:szCs w:val="24"/>
        </w:rPr>
      </w:pPr>
    </w:p>
    <w:p w14:paraId="7A283DC0">
      <w:pPr>
        <w:spacing w:line="360" w:lineRule="auto"/>
        <w:jc w:val="both"/>
        <w:rPr>
          <w:rFonts w:ascii="Arial" w:hAnsi="Arial" w:cs="Arial"/>
          <w:sz w:val="24"/>
          <w:szCs w:val="24"/>
        </w:rPr>
      </w:pPr>
    </w:p>
    <w:p w14:paraId="74D5E31C">
      <w:pPr>
        <w:spacing w:line="360" w:lineRule="auto"/>
        <w:ind w:right="-1"/>
        <w:jc w:val="both"/>
        <w:rPr>
          <w:rFonts w:ascii="Arial" w:hAnsi="Arial" w:cs="Arial"/>
          <w:b/>
          <w:sz w:val="24"/>
          <w:szCs w:val="24"/>
        </w:rPr>
      </w:pPr>
      <w:r>
        <w:rPr>
          <w:rFonts w:ascii="Arial" w:hAnsi="Arial" w:cs="Arial"/>
          <w:b/>
          <w:sz w:val="24"/>
          <w:szCs w:val="24"/>
        </w:rPr>
        <w:t xml:space="preserve">XI - DA ADJUDICAÇÃO; DA HOMOLOGAÇÃO; E DA ASSINATURA DA </w:t>
      </w:r>
      <w:r>
        <w:rPr>
          <w:rFonts w:ascii="Arial" w:hAnsi="Arial" w:cs="Arial"/>
          <w:b/>
          <w:sz w:val="24"/>
          <w:szCs w:val="24"/>
          <w:u w:val="single"/>
        </w:rPr>
        <w:t>ATA</w:t>
      </w:r>
      <w:r>
        <w:rPr>
          <w:rFonts w:ascii="Arial" w:hAnsi="Arial" w:cs="Arial"/>
          <w:b/>
          <w:sz w:val="24"/>
          <w:szCs w:val="24"/>
        </w:rPr>
        <w:t>/TERMO DE CIÊNCIA E NOTIFICAÇÃO DO TRIBUNAL DE CONTAS DO ESTADO DE SÃO PAULO.</w:t>
      </w:r>
    </w:p>
    <w:p w14:paraId="4C76ACD2">
      <w:pPr>
        <w:pStyle w:val="8"/>
        <w:spacing w:line="360" w:lineRule="auto"/>
        <w:ind w:left="0"/>
        <w:jc w:val="both"/>
        <w:rPr>
          <w:rFonts w:ascii="Arial" w:hAnsi="Arial" w:cs="Arial"/>
          <w:b/>
        </w:rPr>
      </w:pPr>
      <w:r>
        <w:rPr>
          <w:rFonts w:ascii="Arial" w:hAnsi="Arial" w:cs="Arial"/>
        </w:rPr>
        <w:t>11.1.</w:t>
      </w:r>
      <w:r>
        <w:rPr>
          <w:rFonts w:ascii="Arial" w:hAnsi="Arial" w:cs="Arial"/>
          <w:b/>
        </w:rPr>
        <w:t xml:space="preserve"> - </w:t>
      </w:r>
      <w:r>
        <w:rPr>
          <w:rFonts w:ascii="Arial" w:hAnsi="Arial" w:cs="Arial"/>
        </w:rPr>
        <w:t>Decididos os recursos e constatada a regularidade dos atos procedimentais, a autoridade competente homologará e adjudicará o objeto ao vencedor, podendo revogar a licitação</w:t>
      </w:r>
      <w:r>
        <w:rPr>
          <w:rFonts w:ascii="Arial" w:hAnsi="Arial" w:cs="Arial"/>
          <w:b/>
        </w:rPr>
        <w:t>.</w:t>
      </w:r>
    </w:p>
    <w:p w14:paraId="7FD0D3AB">
      <w:pPr>
        <w:pStyle w:val="8"/>
        <w:spacing w:line="360" w:lineRule="auto"/>
        <w:ind w:left="0"/>
        <w:jc w:val="both"/>
        <w:rPr>
          <w:rFonts w:ascii="Arial" w:hAnsi="Arial" w:cs="Arial"/>
        </w:rPr>
      </w:pPr>
      <w:r>
        <w:rPr>
          <w:rFonts w:ascii="Arial" w:hAnsi="Arial" w:cs="Arial"/>
        </w:rPr>
        <w:t>11.1.1 – O certame apenas será homologado/adjudicado para as pessoas jurídicas que atuarem no ramo de atividade compatível com o objeto da licitação.</w:t>
      </w:r>
    </w:p>
    <w:p w14:paraId="09555018">
      <w:pPr>
        <w:spacing w:line="360" w:lineRule="auto"/>
        <w:ind w:right="-1"/>
        <w:jc w:val="both"/>
        <w:rPr>
          <w:rFonts w:ascii="Arial" w:hAnsi="Arial" w:cs="Arial"/>
          <w:sz w:val="24"/>
          <w:szCs w:val="24"/>
        </w:rPr>
      </w:pPr>
      <w:r>
        <w:rPr>
          <w:rFonts w:ascii="Arial" w:hAnsi="Arial" w:cs="Arial"/>
          <w:sz w:val="24"/>
          <w:szCs w:val="24"/>
        </w:rPr>
        <w:t>11.2</w:t>
      </w:r>
      <w:r>
        <w:rPr>
          <w:rFonts w:ascii="Arial" w:hAnsi="Arial" w:cs="Arial"/>
          <w:b/>
          <w:sz w:val="24"/>
          <w:szCs w:val="24"/>
        </w:rPr>
        <w:t xml:space="preserve"> - </w:t>
      </w:r>
      <w:r>
        <w:rPr>
          <w:rFonts w:ascii="Arial" w:hAnsi="Arial" w:cs="Arial"/>
          <w:sz w:val="24"/>
          <w:szCs w:val="24"/>
        </w:rPr>
        <w:t>Como condição para o fornecimento, o licitante vencedor deverá manter as mesmas condições de habilitação, prestar as informações solicitadas pelo Município, dentro dos prazos estipulados, bem como não transferir a outrem as obrigações decorrentes deste edital.</w:t>
      </w:r>
    </w:p>
    <w:p w14:paraId="28EE5DB2">
      <w:pPr>
        <w:spacing w:line="360" w:lineRule="auto"/>
        <w:ind w:right="-1"/>
        <w:jc w:val="both"/>
        <w:rPr>
          <w:rFonts w:ascii="Arial" w:hAnsi="Arial" w:cs="Arial"/>
          <w:b/>
          <w:sz w:val="24"/>
          <w:szCs w:val="24"/>
          <w:u w:val="single"/>
        </w:rPr>
      </w:pPr>
      <w:r>
        <w:rPr>
          <w:rFonts w:ascii="Arial" w:hAnsi="Arial" w:cs="Arial"/>
          <w:b/>
          <w:sz w:val="24"/>
          <w:szCs w:val="24"/>
          <w:highlight w:val="lightGray"/>
          <w:u w:val="single"/>
        </w:rPr>
        <w:t>11.3 - O(s) vencedor(es) quando notificado(s), deverão assinar a Ata de Registro de preços/ termo de ciência e notificação do Tribunal de Contas do Estado de São Paulo, em um prazo de até 3 dias úteis.</w:t>
      </w:r>
    </w:p>
    <w:p w14:paraId="5B8D393F">
      <w:pPr>
        <w:spacing w:line="360" w:lineRule="auto"/>
        <w:ind w:right="-1"/>
        <w:jc w:val="both"/>
        <w:rPr>
          <w:rFonts w:ascii="Arial" w:hAnsi="Arial" w:cs="Arial"/>
          <w:sz w:val="24"/>
          <w:szCs w:val="24"/>
        </w:rPr>
      </w:pPr>
      <w:r>
        <w:rPr>
          <w:rFonts w:ascii="Arial" w:hAnsi="Arial" w:cs="Arial"/>
          <w:sz w:val="24"/>
          <w:szCs w:val="24"/>
        </w:rPr>
        <w:t>11.4 - Quando o proponente vencedor, convocado dentro do prazo de validade da sua proposta, não assinar a Ata no prazo de 3 dias úteis, contados da notificação, será convocado outro licitante, observada a ordem de classificação, e assim sucessivamente, sem prejuízo da aplicação das sanções cabíveis.</w:t>
      </w:r>
    </w:p>
    <w:p w14:paraId="53DA1FF2">
      <w:pPr>
        <w:suppressAutoHyphens w:val="0"/>
        <w:autoSpaceDE w:val="0"/>
        <w:autoSpaceDN w:val="0"/>
        <w:adjustRightInd w:val="0"/>
        <w:spacing w:line="360" w:lineRule="auto"/>
        <w:jc w:val="both"/>
        <w:rPr>
          <w:rFonts w:ascii="Arial" w:hAnsi="Arial" w:cs="Arial"/>
          <w:bCs/>
          <w:sz w:val="24"/>
          <w:szCs w:val="24"/>
        </w:rPr>
      </w:pPr>
      <w:r>
        <w:rPr>
          <w:rFonts w:ascii="Arial" w:hAnsi="Arial" w:cs="Arial"/>
          <w:bCs/>
          <w:sz w:val="24"/>
          <w:szCs w:val="24"/>
        </w:rPr>
        <w:t xml:space="preserve">11.5 – </w:t>
      </w:r>
      <w:r>
        <w:rPr>
          <w:rFonts w:ascii="Arial" w:hAnsi="Arial" w:cs="Arial"/>
          <w:sz w:val="24"/>
          <w:szCs w:val="24"/>
        </w:rPr>
        <w:t xml:space="preserve"> A recusa injustificada em </w:t>
      </w:r>
      <w:r>
        <w:rPr>
          <w:rFonts w:ascii="Arial" w:hAnsi="Arial" w:cs="Arial"/>
          <w:b/>
          <w:sz w:val="24"/>
          <w:szCs w:val="24"/>
          <w:u w:val="single"/>
        </w:rPr>
        <w:t>assinar a ata de registro de preços</w:t>
      </w:r>
      <w:r>
        <w:rPr>
          <w:rFonts w:ascii="Arial" w:hAnsi="Arial" w:cs="Arial"/>
          <w:sz w:val="24"/>
          <w:szCs w:val="24"/>
        </w:rPr>
        <w:t xml:space="preserve">, aceitar ou retirar o instrumento equivalente, dentro do prazo estabelecido pela Administração, caracteriza o descumprimento total da obrigação assumida, sujeitando-o às penalidades legalmente estabelecidas, </w:t>
      </w:r>
      <w:r>
        <w:rPr>
          <w:rFonts w:ascii="Arial" w:hAnsi="Arial" w:cs="Arial"/>
          <w:b/>
          <w:sz w:val="24"/>
          <w:szCs w:val="24"/>
          <w:highlight w:val="lightGray"/>
          <w:u w:val="single"/>
        </w:rPr>
        <w:t>sendo que este disposto</w:t>
      </w:r>
      <w:bookmarkStart w:id="1" w:name="art81p"/>
      <w:bookmarkEnd w:id="1"/>
      <w:r>
        <w:rPr>
          <w:rFonts w:ascii="Arial" w:hAnsi="Arial" w:cs="Arial"/>
          <w:b/>
          <w:sz w:val="24"/>
          <w:szCs w:val="24"/>
          <w:highlight w:val="lightGray"/>
          <w:u w:val="single"/>
        </w:rPr>
        <w:t xml:space="preserve"> se aplica inclusive aos licitantes remanescentes</w:t>
      </w:r>
      <w:r>
        <w:rPr>
          <w:rFonts w:ascii="Arial" w:hAnsi="Arial" w:cs="Arial"/>
          <w:sz w:val="24"/>
          <w:szCs w:val="24"/>
        </w:rPr>
        <w:t xml:space="preserve">, que não aceitarem a convocação, </w:t>
      </w:r>
      <w:r>
        <w:rPr>
          <w:rFonts w:ascii="Arial" w:hAnsi="Arial" w:cs="Arial"/>
          <w:sz w:val="24"/>
          <w:szCs w:val="24"/>
          <w:lang w:eastAsia="pt-BR"/>
        </w:rPr>
        <w:t>sem justificativa ou com justificativa recusada pela administração pública.</w:t>
      </w:r>
    </w:p>
    <w:p w14:paraId="72085CA1">
      <w:pPr>
        <w:suppressAutoHyphens w:val="0"/>
        <w:autoSpaceDE w:val="0"/>
        <w:spacing w:line="360" w:lineRule="auto"/>
        <w:jc w:val="both"/>
        <w:rPr>
          <w:rFonts w:ascii="Arial" w:hAnsi="Arial" w:cs="Arial"/>
          <w:bCs/>
          <w:sz w:val="24"/>
          <w:szCs w:val="24"/>
        </w:rPr>
      </w:pPr>
    </w:p>
    <w:p w14:paraId="45D684E6">
      <w:pPr>
        <w:suppressAutoHyphens w:val="0"/>
        <w:autoSpaceDE w:val="0"/>
        <w:spacing w:line="360" w:lineRule="auto"/>
        <w:jc w:val="both"/>
        <w:rPr>
          <w:rFonts w:ascii="Arial" w:hAnsi="Arial" w:cs="Arial"/>
          <w:b/>
          <w:bCs/>
          <w:sz w:val="24"/>
          <w:szCs w:val="24"/>
        </w:rPr>
      </w:pPr>
      <w:r>
        <w:rPr>
          <w:rFonts w:ascii="Arial" w:hAnsi="Arial" w:cs="Arial"/>
          <w:b/>
          <w:bCs/>
          <w:sz w:val="24"/>
          <w:szCs w:val="24"/>
        </w:rPr>
        <w:t>XII – DO SISTEMA DE REGISTRO DE PREÇOS</w:t>
      </w:r>
    </w:p>
    <w:p w14:paraId="51B5417F">
      <w:pPr>
        <w:suppressAutoHyphens w:val="0"/>
        <w:autoSpaceDE w:val="0"/>
        <w:spacing w:line="360" w:lineRule="auto"/>
        <w:jc w:val="both"/>
        <w:rPr>
          <w:rFonts w:ascii="Arial" w:hAnsi="Arial" w:cs="Arial"/>
          <w:sz w:val="24"/>
          <w:szCs w:val="24"/>
        </w:rPr>
      </w:pPr>
      <w:r>
        <w:rPr>
          <w:rFonts w:ascii="Arial" w:hAnsi="Arial" w:cs="Arial"/>
          <w:sz w:val="24"/>
          <w:szCs w:val="24"/>
        </w:rPr>
        <w:t xml:space="preserve">12.1 – O Sistema de Registro de Preços regula-se pela </w:t>
      </w:r>
      <w:r>
        <w:rPr>
          <w:rFonts w:ascii="Arial" w:hAnsi="Arial" w:cs="Arial"/>
          <w:b/>
          <w:sz w:val="24"/>
          <w:szCs w:val="24"/>
          <w:highlight w:val="yellow"/>
          <w:u w:val="single"/>
        </w:rPr>
        <w:t>Lei Federal nº 14.133/2021 e Decreto Municipal nº 3.500/2022</w:t>
      </w:r>
      <w:r>
        <w:rPr>
          <w:rFonts w:ascii="Arial" w:hAnsi="Arial" w:cs="Arial"/>
          <w:sz w:val="24"/>
          <w:szCs w:val="24"/>
        </w:rPr>
        <w:t xml:space="preserve">. </w:t>
      </w:r>
    </w:p>
    <w:p w14:paraId="319E8C17">
      <w:pPr>
        <w:suppressAutoHyphens w:val="0"/>
        <w:autoSpaceDE w:val="0"/>
        <w:spacing w:line="360" w:lineRule="auto"/>
        <w:jc w:val="both"/>
        <w:rPr>
          <w:rFonts w:ascii="Arial" w:hAnsi="Arial" w:cs="Arial"/>
          <w:sz w:val="24"/>
          <w:szCs w:val="24"/>
        </w:rPr>
      </w:pPr>
      <w:r>
        <w:rPr>
          <w:rFonts w:ascii="Arial" w:hAnsi="Arial" w:cs="Arial"/>
          <w:sz w:val="24"/>
          <w:szCs w:val="24"/>
        </w:rPr>
        <w:t>12.2 – A existência do Registro não obriga a Administração a efetivar as contratações por esse meio, ficando-lhe facultada a aquisição por outras modalidades, respeitada a legislação relativa às licitações, sendo assegurado à detentora da Ata o direito de preferência em igualdade de condições.</w:t>
      </w:r>
    </w:p>
    <w:p w14:paraId="2A7117DD">
      <w:pPr>
        <w:suppressAutoHyphens w:val="0"/>
        <w:autoSpaceDE w:val="0"/>
        <w:spacing w:line="360" w:lineRule="auto"/>
        <w:jc w:val="both"/>
        <w:rPr>
          <w:rFonts w:ascii="Arial" w:hAnsi="Arial" w:cs="Arial"/>
          <w:sz w:val="24"/>
          <w:szCs w:val="24"/>
        </w:rPr>
      </w:pPr>
      <w:r>
        <w:rPr>
          <w:rFonts w:ascii="Arial" w:hAnsi="Arial" w:cs="Arial"/>
          <w:sz w:val="24"/>
          <w:szCs w:val="24"/>
        </w:rPr>
        <w:t>12.3 – É vedada a aquisição do produto por valor igual ou superior ao obtido da detentora do Registro de Preços, a menos que este se recuse a fornecer.</w:t>
      </w:r>
    </w:p>
    <w:p w14:paraId="4FAD3407">
      <w:pPr>
        <w:suppressAutoHyphens w:val="0"/>
        <w:autoSpaceDE w:val="0"/>
        <w:spacing w:line="360" w:lineRule="auto"/>
        <w:jc w:val="both"/>
        <w:rPr>
          <w:rFonts w:ascii="Arial" w:hAnsi="Arial" w:cs="Arial"/>
          <w:sz w:val="24"/>
          <w:szCs w:val="24"/>
        </w:rPr>
      </w:pPr>
      <w:r>
        <w:rPr>
          <w:rFonts w:ascii="Arial" w:hAnsi="Arial" w:cs="Arial"/>
          <w:sz w:val="24"/>
          <w:szCs w:val="24"/>
        </w:rPr>
        <w:t>12.4 - Uma vez registrados os preços, a Administração poderá convocar a detentora do Registro a fornecer os bens respectivos, na forma e condições fixadas no presente Edital e na Ata de Registro de Preços.</w:t>
      </w:r>
    </w:p>
    <w:p w14:paraId="42B1D9F8">
      <w:pPr>
        <w:suppressAutoHyphens w:val="0"/>
        <w:autoSpaceDE w:val="0"/>
        <w:spacing w:line="360" w:lineRule="auto"/>
        <w:jc w:val="both"/>
        <w:rPr>
          <w:rFonts w:ascii="Arial" w:hAnsi="Arial" w:cs="Arial"/>
          <w:sz w:val="24"/>
          <w:szCs w:val="24"/>
        </w:rPr>
      </w:pPr>
    </w:p>
    <w:p w14:paraId="3C03C860">
      <w:pPr>
        <w:suppressAutoHyphens w:val="0"/>
        <w:autoSpaceDE w:val="0"/>
        <w:spacing w:line="360" w:lineRule="auto"/>
        <w:jc w:val="both"/>
        <w:rPr>
          <w:rFonts w:ascii="Arial" w:hAnsi="Arial" w:cs="Arial"/>
          <w:b/>
          <w:bCs/>
          <w:sz w:val="24"/>
          <w:szCs w:val="24"/>
        </w:rPr>
      </w:pPr>
      <w:r>
        <w:rPr>
          <w:rFonts w:ascii="Arial" w:hAnsi="Arial" w:cs="Arial"/>
          <w:b/>
          <w:bCs/>
          <w:sz w:val="24"/>
          <w:szCs w:val="24"/>
        </w:rPr>
        <w:t>XIII – DA REVISÃO DOS VALORES REGISTRADOS.</w:t>
      </w:r>
    </w:p>
    <w:p w14:paraId="782AD713">
      <w:pPr>
        <w:suppressAutoHyphens w:val="0"/>
        <w:autoSpaceDE w:val="0"/>
        <w:spacing w:line="360" w:lineRule="auto"/>
        <w:jc w:val="both"/>
        <w:rPr>
          <w:rFonts w:ascii="Arial" w:hAnsi="Arial" w:cs="Arial"/>
          <w:sz w:val="24"/>
          <w:szCs w:val="24"/>
        </w:rPr>
      </w:pPr>
      <w:r>
        <w:rPr>
          <w:rFonts w:ascii="Arial" w:hAnsi="Arial" w:cs="Arial"/>
          <w:sz w:val="24"/>
          <w:szCs w:val="24"/>
        </w:rPr>
        <w:t>13.1 – Não haverá revisão dos valores registrados via de regra, podendo haver análise de caso pontual pela Administração, alterando ou diminuindo valor.</w:t>
      </w:r>
    </w:p>
    <w:p w14:paraId="1E89E9B1">
      <w:pPr>
        <w:suppressAutoHyphens w:val="0"/>
        <w:autoSpaceDE w:val="0"/>
        <w:spacing w:line="360" w:lineRule="auto"/>
        <w:jc w:val="both"/>
        <w:rPr>
          <w:rFonts w:ascii="Arial" w:hAnsi="Arial" w:cs="Arial"/>
          <w:sz w:val="24"/>
          <w:szCs w:val="24"/>
        </w:rPr>
      </w:pPr>
    </w:p>
    <w:p w14:paraId="2BD6F375">
      <w:pPr>
        <w:suppressAutoHyphens w:val="0"/>
        <w:autoSpaceDE w:val="0"/>
        <w:spacing w:line="360" w:lineRule="auto"/>
        <w:jc w:val="both"/>
        <w:rPr>
          <w:rFonts w:ascii="Arial" w:hAnsi="Arial" w:cs="Arial"/>
          <w:sz w:val="24"/>
          <w:szCs w:val="24"/>
        </w:rPr>
      </w:pPr>
    </w:p>
    <w:p w14:paraId="7046A645">
      <w:pPr>
        <w:suppressAutoHyphens w:val="0"/>
        <w:autoSpaceDE w:val="0"/>
        <w:spacing w:line="360" w:lineRule="auto"/>
        <w:jc w:val="both"/>
        <w:rPr>
          <w:rFonts w:ascii="Arial" w:hAnsi="Arial" w:cs="Arial"/>
          <w:b/>
          <w:bCs/>
          <w:sz w:val="24"/>
          <w:szCs w:val="24"/>
        </w:rPr>
      </w:pPr>
      <w:r>
        <w:rPr>
          <w:rFonts w:ascii="Arial" w:hAnsi="Arial" w:cs="Arial"/>
          <w:b/>
          <w:bCs/>
          <w:sz w:val="24"/>
          <w:szCs w:val="24"/>
        </w:rPr>
        <w:t>XIV – DO FORNECIMENTO DO OBJETO</w:t>
      </w:r>
    </w:p>
    <w:p w14:paraId="61658BF1">
      <w:pPr>
        <w:suppressAutoHyphens w:val="0"/>
        <w:autoSpaceDE w:val="0"/>
        <w:spacing w:line="360" w:lineRule="auto"/>
        <w:rPr>
          <w:rFonts w:ascii="Arial" w:hAnsi="Arial" w:cs="Arial"/>
          <w:sz w:val="24"/>
          <w:szCs w:val="24"/>
        </w:rPr>
      </w:pPr>
      <w:r>
        <w:rPr>
          <w:rFonts w:ascii="Arial" w:hAnsi="Arial" w:eastAsia="Tahoma" w:cs="Arial"/>
          <w:sz w:val="24"/>
          <w:szCs w:val="24"/>
        </w:rPr>
        <w:t xml:space="preserve">14.1 - </w:t>
      </w:r>
      <w:r>
        <w:rPr>
          <w:rFonts w:ascii="Arial" w:hAnsi="Arial" w:cs="Arial"/>
          <w:sz w:val="24"/>
          <w:szCs w:val="24"/>
        </w:rPr>
        <w:t xml:space="preserve"> Os produtos deverão ser entregues da seguinte forma:</w:t>
      </w:r>
    </w:p>
    <w:p w14:paraId="0FB68587">
      <w:pPr>
        <w:suppressAutoHyphens w:val="0"/>
        <w:autoSpaceDE w:val="0"/>
        <w:spacing w:line="360" w:lineRule="auto"/>
        <w:rPr>
          <w:rFonts w:ascii="Arial" w:hAnsi="Arial" w:eastAsia="Tahoma" w:cs="Arial"/>
          <w:b/>
          <w:bCs/>
          <w:sz w:val="24"/>
          <w:szCs w:val="24"/>
        </w:rPr>
      </w:pPr>
      <w:r>
        <w:rPr>
          <w:rFonts w:ascii="Arial" w:hAnsi="Arial" w:cs="Arial"/>
          <w:sz w:val="24"/>
          <w:szCs w:val="24"/>
        </w:rPr>
        <w:t>1 -</w:t>
      </w:r>
      <w:r>
        <w:rPr>
          <w:rFonts w:ascii="Arial" w:hAnsi="Arial" w:eastAsia="Tahoma" w:cs="Arial"/>
          <w:b/>
          <w:bCs/>
          <w:sz w:val="24"/>
          <w:szCs w:val="24"/>
        </w:rPr>
        <w:t xml:space="preserve"> LOCAL DE ENTREGA, PRAZOS E FORMA DE FORNECIMENTO</w:t>
      </w:r>
    </w:p>
    <w:p w14:paraId="682D51E0">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1.1 objeto desta licitação deverá ser fornecido de forma parcelada, por um período de 12 (doze) meses, de acordo com as necessidades da Administração Municipal, mediante solicitação, por escrito, do Departamento requisitante, devendo ser entregue no prazo máximo de 05 (cinco) dias úteis;</w:t>
      </w:r>
    </w:p>
    <w:p w14:paraId="2DAAE34E">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1.1 - Os medicamentos solicitados deverão ser entregues com data de validade mínima de 12 (doze meses), contados a partir da data de entrega;</w:t>
      </w:r>
    </w:p>
    <w:p w14:paraId="0FDEF484">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1.2 - Não serão aceitas embalagens violadas, amassadas ou com marcas diferentes das ofertadas na proposta de preços;</w:t>
      </w:r>
    </w:p>
    <w:p w14:paraId="775722DF">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1.3 - A Administração Municipal não receberá os produtos entregues em desacordo com as especificações descritas neste Termo de Referência</w:t>
      </w:r>
    </w:p>
    <w:p w14:paraId="64E1CAAF">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1.4 - As entregas serão realizadas em dias úteis e horário comercial, das 7h30 às 11:00, e das 13h às 16h00;</w:t>
      </w:r>
    </w:p>
    <w:p w14:paraId="45297736">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1.5 - As entregas deverão ocorrer na farmácia municipal de Cedral / end. Avenida Cel. Silvério da Cunha lacerda,77, centro/, Cedral- SP, CEP 15895-000, cabendo ao responsável conferi-lo e lavrar termo de recebimento para efeito de posterior verificação da conformidade do mesmo com as exigências do edital;, cabendo ao responsável conferi-lo e lavrar termo de recebimento para efeito de posterior verificação da conformidade do mesmo com as exigências do edital;</w:t>
      </w:r>
    </w:p>
    <w:p w14:paraId="62CF3213">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1.6 - As despesas de frete e transporte, carga e descarga, para entrega dos produtos no</w:t>
      </w:r>
    </w:p>
    <w:p w14:paraId="41C0EC7A">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almoxarifado da Prefeitura recairão sobre a contratada, sem quaisquer ônus para a Administração Municipal.</w:t>
      </w:r>
    </w:p>
    <w:p w14:paraId="213CDB8A">
      <w:pPr>
        <w:suppressAutoHyphens w:val="0"/>
        <w:autoSpaceDE w:val="0"/>
        <w:spacing w:line="360" w:lineRule="auto"/>
        <w:rPr>
          <w:rFonts w:ascii="Arial" w:hAnsi="Arial" w:eastAsia="Tahoma" w:cs="Arial"/>
          <w:b/>
          <w:bCs/>
          <w:sz w:val="24"/>
          <w:szCs w:val="24"/>
        </w:rPr>
      </w:pPr>
    </w:p>
    <w:p w14:paraId="36BF0118">
      <w:pPr>
        <w:suppressAutoHyphens w:val="0"/>
        <w:autoSpaceDE w:val="0"/>
        <w:spacing w:line="360" w:lineRule="auto"/>
        <w:rPr>
          <w:rFonts w:ascii="Arial" w:hAnsi="Arial" w:eastAsia="Tahoma" w:cs="Arial"/>
          <w:b/>
          <w:bCs/>
          <w:sz w:val="24"/>
          <w:szCs w:val="24"/>
        </w:rPr>
      </w:pPr>
      <w:r>
        <w:rPr>
          <w:rFonts w:ascii="Arial" w:hAnsi="Arial" w:eastAsia="Tahoma" w:cs="Arial"/>
          <w:b/>
          <w:bCs/>
          <w:sz w:val="24"/>
          <w:szCs w:val="24"/>
        </w:rPr>
        <w:t>2. FORMA DE ACOMPANHAMENTO E FISCALIZAÇÃO</w:t>
      </w:r>
    </w:p>
    <w:p w14:paraId="5899C5E4">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2.1 A Administração tem o dever de acompanhar e fiscalizar buscando o cumprimento dos termos pactuados, ficando a cargo do Município, através de funcionários designados pela autoridade competente. Caberá à fiscalização o recebimento, análise dos produtos e ateste dos serviços executados.</w:t>
      </w:r>
    </w:p>
    <w:p w14:paraId="1E49A34E">
      <w:pPr>
        <w:suppressAutoHyphens w:val="0"/>
        <w:autoSpaceDE w:val="0"/>
        <w:spacing w:line="360" w:lineRule="auto"/>
        <w:rPr>
          <w:rFonts w:ascii="Arial" w:hAnsi="Arial" w:eastAsia="Tahoma" w:cs="Arial"/>
          <w:bCs/>
          <w:sz w:val="24"/>
          <w:szCs w:val="24"/>
        </w:rPr>
      </w:pPr>
    </w:p>
    <w:p w14:paraId="7EABDE2E">
      <w:pPr>
        <w:suppressAutoHyphens w:val="0"/>
        <w:autoSpaceDE w:val="0"/>
        <w:spacing w:line="360" w:lineRule="auto"/>
        <w:jc w:val="both"/>
        <w:rPr>
          <w:rFonts w:ascii="Arial" w:hAnsi="Arial" w:eastAsia="Tahoma" w:cs="Arial"/>
          <w:b/>
          <w:bCs/>
          <w:sz w:val="24"/>
          <w:szCs w:val="24"/>
        </w:rPr>
      </w:pPr>
      <w:r>
        <w:rPr>
          <w:rFonts w:ascii="Arial" w:hAnsi="Arial" w:eastAsia="Tahoma" w:cs="Arial"/>
          <w:b/>
          <w:bCs/>
          <w:sz w:val="24"/>
          <w:szCs w:val="24"/>
        </w:rPr>
        <w:t>3. DAS CONDIÇÕES DE RECEBIMENTO DOS MEDICAMENTOS:</w:t>
      </w:r>
    </w:p>
    <w:p w14:paraId="22779974">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3.1 - Fica condicionado o recebimento e a aceitação dos medicamentos à fiscalização do farmacêutico responsável no ato da entrega, cabendo a este verificar se os medicamentos correspondem aos descrito na Autorização de Fornecimento e se na embalagem do medicamento entregue está expresso o prazo de validade.</w:t>
      </w:r>
    </w:p>
    <w:p w14:paraId="6146ABAA">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3.2 - Caso o medicamento não corresponda às especificações constantes da Autorização de Fornecimento ou que esteja danificado pelo manuseio e estocagem, o mesmo será devolvido e substituído pela LICITANTE VENCEDORA no prazo máximo de 5 (cinco) dias, contados do recebimento da notificação, sob pena de aplicação das medidas coercitivas.</w:t>
      </w:r>
    </w:p>
    <w:p w14:paraId="6F347F42">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3.3 - A inspeção e fiscalização pela PREFEITURA não isenta, tampouco diminui, a responsabilidade da LICITANTE vencedora quanto à garantia dos medicamentos.</w:t>
      </w:r>
    </w:p>
    <w:p w14:paraId="4C02F366">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3.4 - Ocorrendo a falta de qualquer medicamento, a LICITANTE vencedora deverá comunicar imediatamente por escrito à PREFEITURA, para que sejam tomadas as devidas providências para não paralisação do fornecimento.</w:t>
      </w:r>
    </w:p>
    <w:p w14:paraId="2840639A">
      <w:pPr>
        <w:tabs>
          <w:tab w:val="left" w:pos="9639"/>
        </w:tabs>
        <w:spacing w:line="360" w:lineRule="auto"/>
        <w:ind w:right="140"/>
        <w:jc w:val="both"/>
        <w:rPr>
          <w:rFonts w:ascii="Arial" w:hAnsi="Arial" w:cs="Arial"/>
          <w:b/>
          <w:i/>
          <w:sz w:val="24"/>
          <w:szCs w:val="24"/>
          <w:u w:val="single"/>
        </w:rPr>
      </w:pPr>
      <w:r>
        <w:rPr>
          <w:rFonts w:ascii="Arial" w:hAnsi="Arial" w:cs="Arial"/>
          <w:b/>
          <w:i/>
          <w:sz w:val="24"/>
          <w:szCs w:val="24"/>
          <w:u w:val="single"/>
        </w:rPr>
        <w:t>3.5 – A cada primeira entrega de item, deverá apresentar os seguintes documentos:</w:t>
      </w:r>
    </w:p>
    <w:p w14:paraId="4939D2BA">
      <w:pPr>
        <w:pStyle w:val="25"/>
        <w:spacing w:line="360" w:lineRule="auto"/>
        <w:jc w:val="both"/>
        <w:rPr>
          <w:rFonts w:eastAsia="Batang"/>
          <w:b/>
          <w:i/>
          <w:color w:val="auto"/>
          <w:u w:val="single"/>
        </w:rPr>
      </w:pPr>
      <w:r>
        <w:rPr>
          <w:rFonts w:eastAsia="Batang"/>
          <w:b/>
          <w:i/>
          <w:color w:val="auto"/>
          <w:u w:val="single"/>
        </w:rPr>
        <w:t>1 - Certificado de Regularidade Técnica do ano em exercício, expedida pelo Conselho Regional de</w:t>
      </w:r>
    </w:p>
    <w:p w14:paraId="4A5603DC">
      <w:pPr>
        <w:pStyle w:val="25"/>
        <w:spacing w:line="360" w:lineRule="auto"/>
        <w:rPr>
          <w:rFonts w:eastAsia="Batang"/>
          <w:b/>
          <w:i/>
          <w:color w:val="auto"/>
          <w:u w:val="single"/>
        </w:rPr>
      </w:pPr>
      <w:r>
        <w:rPr>
          <w:rFonts w:eastAsia="Batang"/>
          <w:b/>
          <w:i/>
          <w:color w:val="auto"/>
          <w:u w:val="single"/>
        </w:rPr>
        <w:t>Farmácia de sua jurisdição (Resolução CFF n o 464 de 23/07/2007).</w:t>
      </w:r>
    </w:p>
    <w:p w14:paraId="60DEE40A">
      <w:pPr>
        <w:pStyle w:val="25"/>
        <w:spacing w:line="360" w:lineRule="auto"/>
        <w:jc w:val="both"/>
        <w:rPr>
          <w:rFonts w:eastAsia="Batang"/>
          <w:b/>
          <w:i/>
          <w:color w:val="auto"/>
          <w:u w:val="single"/>
        </w:rPr>
      </w:pPr>
      <w:r>
        <w:rPr>
          <w:rFonts w:eastAsia="Batang"/>
          <w:b/>
          <w:i/>
          <w:color w:val="auto"/>
          <w:u w:val="single"/>
        </w:rPr>
        <w:t>2 - Certificado de Registro do Produto emitido pela Agência Nacional de Vigilância Sanitária – ANVISA, ou cópia da publicação do DOU, não sendo aceitos protocolos de solicitação inicial de registro. Caso o prazo de registro esteja vencido, apresentar pedido de revalidação datado do semestre anterior ao do vencimento (protocolo + formulário petição no 01 e n o 02); e,</w:t>
      </w:r>
    </w:p>
    <w:p w14:paraId="61DF3AA8">
      <w:pPr>
        <w:pStyle w:val="25"/>
        <w:spacing w:line="360" w:lineRule="auto"/>
        <w:jc w:val="both"/>
        <w:rPr>
          <w:rFonts w:eastAsia="Batang"/>
          <w:b/>
          <w:i/>
          <w:color w:val="auto"/>
          <w:u w:val="single"/>
        </w:rPr>
      </w:pPr>
      <w:r>
        <w:rPr>
          <w:rFonts w:eastAsia="Batang"/>
          <w:b/>
          <w:i/>
          <w:color w:val="auto"/>
          <w:u w:val="single"/>
        </w:rPr>
        <w:t>3 - Para os medicamentos da RDC 199/06 isentos de Registro do medicamento no MS, apresentar a respectiva bula e comprovante de isento RDC 199/06.</w:t>
      </w:r>
    </w:p>
    <w:p w14:paraId="050F5325">
      <w:pPr>
        <w:spacing w:line="360" w:lineRule="auto"/>
        <w:jc w:val="both"/>
        <w:rPr>
          <w:rFonts w:ascii="Arial" w:hAnsi="Arial" w:cs="Arial"/>
          <w:sz w:val="24"/>
          <w:szCs w:val="24"/>
        </w:rPr>
      </w:pPr>
      <w:r>
        <w:rPr>
          <w:rFonts w:ascii="Arial" w:hAnsi="Arial" w:cs="Arial"/>
          <w:sz w:val="24"/>
          <w:szCs w:val="24"/>
        </w:rPr>
        <w:t>3.6 - Os medicamentos devem estar com as especificações técnicas em conformidade com o que foi solicitado: forma farmacêutica, concentração e condições de conservação;</w:t>
      </w:r>
    </w:p>
    <w:p w14:paraId="37F554AF">
      <w:pPr>
        <w:spacing w:line="360" w:lineRule="auto"/>
        <w:jc w:val="both"/>
        <w:rPr>
          <w:rFonts w:ascii="Arial" w:hAnsi="Arial" w:cs="Arial"/>
          <w:sz w:val="24"/>
          <w:szCs w:val="24"/>
        </w:rPr>
      </w:pPr>
      <w:r>
        <w:rPr>
          <w:rFonts w:ascii="Arial" w:hAnsi="Arial" w:cs="Arial"/>
          <w:sz w:val="24"/>
          <w:szCs w:val="24"/>
        </w:rPr>
        <w:t>3.7 O medicamento deve ser entregue na embalagem original, em perfeito estado, sem sinais de violação, sem aderência ao produto, umidade, sem inadequação de conteúdo, identificadas, nas condições de temperatura exigida em rótulo, e com o nº de registro emitido pela ANVISA/Ministério da Saúde;</w:t>
      </w:r>
    </w:p>
    <w:p w14:paraId="59BE97C9">
      <w:pPr>
        <w:spacing w:line="360" w:lineRule="auto"/>
        <w:jc w:val="both"/>
        <w:rPr>
          <w:rFonts w:ascii="Arial" w:hAnsi="Arial" w:cs="Arial"/>
          <w:sz w:val="24"/>
          <w:szCs w:val="24"/>
        </w:rPr>
      </w:pPr>
      <w:r>
        <w:rPr>
          <w:rFonts w:ascii="Arial" w:hAnsi="Arial" w:cs="Arial"/>
          <w:sz w:val="24"/>
          <w:szCs w:val="24"/>
        </w:rPr>
        <w:t>3.8 Todos os medicamentos deverão trazer nos rótulos e bulas, grafados em língua portuguesa: número do lote, data de fabricação ou validade, nome do responsável técnico, número de registro, nome genérico e concentração de acordo com a Legislação Sanitária e nos termos do artigo 31 do Código de Defesa do Consumidor, entre outros;</w:t>
      </w:r>
    </w:p>
    <w:p w14:paraId="7FD1EE88">
      <w:pPr>
        <w:spacing w:line="360" w:lineRule="auto"/>
        <w:jc w:val="both"/>
        <w:rPr>
          <w:rFonts w:ascii="Arial" w:hAnsi="Arial" w:cs="Arial"/>
          <w:sz w:val="24"/>
          <w:szCs w:val="24"/>
        </w:rPr>
      </w:pPr>
      <w:r>
        <w:rPr>
          <w:rFonts w:ascii="Arial" w:hAnsi="Arial" w:cs="Arial"/>
          <w:sz w:val="24"/>
          <w:szCs w:val="24"/>
        </w:rPr>
        <w:t>3.9 Os produtos fornecidos pelas empresas vencedoras do certame deverão apresentar na embalagem a expressão “ PROIBIDA A VENDA NO COMÉRCIO”, nos termos da Portaria n º 2.814/GM DE 29 de maio de 1998, do Ministério da Saúde.</w:t>
      </w:r>
    </w:p>
    <w:p w14:paraId="3337A5E4">
      <w:p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 xml:space="preserve">14.1.1 - </w:t>
      </w:r>
      <w:r>
        <w:rPr>
          <w:rFonts w:ascii="Arial" w:hAnsi="Arial" w:cs="Arial"/>
          <w:b/>
          <w:sz w:val="24"/>
          <w:szCs w:val="24"/>
          <w:u w:val="single"/>
        </w:rPr>
        <w:t>A Ata de Registro de Preços terá vigência/validade de 1 ano, podendo ser prorrogada por igual período, a critério da Administração, desde que comprovado o preço vantajoso</w:t>
      </w:r>
    </w:p>
    <w:p w14:paraId="4E36CBF2">
      <w:pPr>
        <w:pStyle w:val="17"/>
        <w:spacing w:line="360" w:lineRule="auto"/>
        <w:ind w:left="0"/>
        <w:jc w:val="both"/>
        <w:rPr>
          <w:rFonts w:ascii="Arial" w:hAnsi="Arial" w:cs="Arial"/>
          <w:sz w:val="24"/>
          <w:szCs w:val="24"/>
        </w:rPr>
      </w:pPr>
      <w:r>
        <w:rPr>
          <w:rFonts w:ascii="Arial" w:hAnsi="Arial" w:cs="Arial"/>
          <w:sz w:val="24"/>
          <w:szCs w:val="24"/>
        </w:rPr>
        <w:t>14.2 - Qualquer falha que ocorrer no fornecimento do objeto fica sob total responsabilidade da licitante vencedora, sendo que será recusada a entrega que não estiver de acordo com o termo de referência da licitação.</w:t>
      </w:r>
    </w:p>
    <w:p w14:paraId="273AE12D">
      <w:pPr>
        <w:spacing w:line="360" w:lineRule="auto"/>
        <w:jc w:val="both"/>
        <w:rPr>
          <w:rFonts w:ascii="Arial" w:hAnsi="Arial" w:cs="Arial"/>
          <w:sz w:val="24"/>
          <w:szCs w:val="24"/>
        </w:rPr>
      </w:pPr>
      <w:r>
        <w:rPr>
          <w:rFonts w:ascii="Arial" w:hAnsi="Arial" w:eastAsia="Batang" w:cs="Arial"/>
          <w:sz w:val="24"/>
          <w:szCs w:val="24"/>
        </w:rPr>
        <w:t xml:space="preserve">14.3 - Caso a pessoa jurídica não cumprir com as especificações do edital, a mesma estará deixando de cumprir o objeto, devendo sofrer as sanções cabíveis, bem como </w:t>
      </w:r>
      <w:r>
        <w:rPr>
          <w:rFonts w:ascii="Arial" w:hAnsi="Arial" w:cs="Arial"/>
          <w:sz w:val="24"/>
          <w:szCs w:val="24"/>
        </w:rPr>
        <w:t>implicará na decadência do direito do licitante à inclusão dos seus preços no sistema de registro.</w:t>
      </w:r>
    </w:p>
    <w:p w14:paraId="18DD4228">
      <w:pPr>
        <w:suppressAutoHyphens w:val="0"/>
        <w:autoSpaceDE w:val="0"/>
        <w:spacing w:line="360" w:lineRule="auto"/>
        <w:jc w:val="both"/>
        <w:rPr>
          <w:rFonts w:ascii="Arial" w:hAnsi="Arial" w:cs="Arial"/>
          <w:sz w:val="24"/>
          <w:szCs w:val="24"/>
        </w:rPr>
      </w:pPr>
      <w:r>
        <w:rPr>
          <w:rFonts w:ascii="Arial" w:hAnsi="Arial" w:cs="Arial"/>
          <w:sz w:val="24"/>
          <w:szCs w:val="24"/>
        </w:rPr>
        <w:t>14.4 – O fornecimento do objeto da licitação será efetuado independentemente de contrato formal, reconhecendo desde já o licitante que a Ata de Registro de Preços, as Solicitações de Fornecimento e empenhos representam compromisso entre as partes.</w:t>
      </w:r>
    </w:p>
    <w:p w14:paraId="7B3FC4F4">
      <w:pPr>
        <w:suppressAutoHyphens w:val="0"/>
        <w:autoSpaceDE w:val="0"/>
        <w:spacing w:line="360" w:lineRule="auto"/>
        <w:jc w:val="both"/>
        <w:rPr>
          <w:rFonts w:ascii="Arial" w:hAnsi="Arial" w:cs="Arial"/>
          <w:sz w:val="24"/>
          <w:szCs w:val="24"/>
        </w:rPr>
      </w:pPr>
      <w:r>
        <w:rPr>
          <w:rFonts w:ascii="Arial" w:hAnsi="Arial" w:cs="Arial"/>
          <w:sz w:val="24"/>
          <w:szCs w:val="24"/>
        </w:rPr>
        <w:t>14.5 - Apurada, em qualquer tempo, divergência entre as especificações pré-fixadas e o fornecimento efetuado, serão aplicados as sanções previstas neste edital e na legislação vigente.</w:t>
      </w:r>
    </w:p>
    <w:p w14:paraId="78F9BA05">
      <w:pPr>
        <w:suppressAutoHyphens w:val="0"/>
        <w:autoSpaceDE w:val="0"/>
        <w:spacing w:line="360" w:lineRule="auto"/>
        <w:jc w:val="both"/>
        <w:rPr>
          <w:rFonts w:ascii="Arial" w:hAnsi="Arial" w:cs="Arial"/>
          <w:sz w:val="24"/>
          <w:szCs w:val="24"/>
        </w:rPr>
      </w:pPr>
    </w:p>
    <w:p w14:paraId="173F7A9B">
      <w:pPr>
        <w:suppressAutoHyphens w:val="0"/>
        <w:autoSpaceDE w:val="0"/>
        <w:spacing w:line="360" w:lineRule="auto"/>
        <w:jc w:val="both"/>
        <w:rPr>
          <w:rFonts w:ascii="Arial" w:hAnsi="Arial" w:cs="Arial"/>
          <w:b/>
          <w:bCs/>
          <w:sz w:val="24"/>
          <w:szCs w:val="24"/>
        </w:rPr>
      </w:pPr>
      <w:r>
        <w:rPr>
          <w:rFonts w:ascii="Arial" w:hAnsi="Arial" w:cs="Arial"/>
          <w:b/>
          <w:bCs/>
          <w:sz w:val="24"/>
          <w:szCs w:val="24"/>
        </w:rPr>
        <w:t>XV - CONDIÇÕES DE PAGAMENTO</w:t>
      </w:r>
    </w:p>
    <w:p w14:paraId="5A92AA5E">
      <w:pPr>
        <w:autoSpaceDE w:val="0"/>
        <w:spacing w:line="360" w:lineRule="auto"/>
        <w:jc w:val="both"/>
        <w:rPr>
          <w:rFonts w:ascii="Arial" w:hAnsi="Arial" w:eastAsia="Arial" w:cs="Arial"/>
          <w:sz w:val="24"/>
          <w:szCs w:val="24"/>
        </w:rPr>
      </w:pPr>
      <w:r>
        <w:rPr>
          <w:rFonts w:ascii="Arial" w:hAnsi="Arial" w:cs="Arial"/>
          <w:sz w:val="24"/>
          <w:szCs w:val="24"/>
        </w:rPr>
        <w:t xml:space="preserve">15.1 - </w:t>
      </w:r>
      <w:r>
        <w:rPr>
          <w:rFonts w:ascii="Arial" w:hAnsi="Arial" w:eastAsia="Arial" w:cs="Arial"/>
          <w:sz w:val="24"/>
          <w:szCs w:val="24"/>
        </w:rPr>
        <w:t xml:space="preserve">O pagamento será efetuado em até 28 (vinte e oito) dias, após emissão de nota fiscal/documento equivalente, que deverá conter o </w:t>
      </w:r>
      <w:r>
        <w:rPr>
          <w:rFonts w:ascii="Arial" w:hAnsi="Arial" w:eastAsia="Arial" w:cs="Arial"/>
          <w:b/>
          <w:sz w:val="24"/>
          <w:szCs w:val="24"/>
          <w:u w:val="single"/>
        </w:rPr>
        <w:t>número da licitação</w:t>
      </w:r>
      <w:r>
        <w:rPr>
          <w:rFonts w:ascii="Arial" w:hAnsi="Arial" w:eastAsia="Arial" w:cs="Arial"/>
          <w:sz w:val="24"/>
          <w:szCs w:val="24"/>
        </w:rPr>
        <w:t>, devendo a Administração certificar que a pessoa jurídica esta regular com suas obrigações tributárias, encargos trabalhistas e sociais.</w:t>
      </w:r>
    </w:p>
    <w:p w14:paraId="479EAC5E">
      <w:pPr>
        <w:autoSpaceDE w:val="0"/>
        <w:spacing w:line="360" w:lineRule="auto"/>
        <w:jc w:val="both"/>
        <w:rPr>
          <w:rFonts w:ascii="Arial" w:hAnsi="Arial" w:eastAsia="Arial" w:cs="Arial"/>
          <w:sz w:val="24"/>
          <w:szCs w:val="24"/>
        </w:rPr>
      </w:pPr>
      <w:r>
        <w:rPr>
          <w:rFonts w:ascii="Arial" w:hAnsi="Arial" w:eastAsia="Arial" w:cs="Arial"/>
          <w:sz w:val="24"/>
          <w:szCs w:val="24"/>
        </w:rPr>
        <w:t xml:space="preserve">15.2 – As notas fiscais/documento equivalente deverão ser encaminhados para o </w:t>
      </w:r>
      <w:r>
        <w:rPr>
          <w:rFonts w:ascii="Arial" w:hAnsi="Arial" w:eastAsia="Arial" w:cs="Arial"/>
          <w:b/>
          <w:color w:val="002060"/>
          <w:sz w:val="24"/>
          <w:szCs w:val="24"/>
          <w:u w:val="single"/>
        </w:rPr>
        <w:t xml:space="preserve">e-mail </w:t>
      </w:r>
      <w:r>
        <w:fldChar w:fldCharType="begin"/>
      </w:r>
      <w:r>
        <w:instrText xml:space="preserve"> HYPERLINK "mailto:compras@cedral.sp.gov.br" </w:instrText>
      </w:r>
      <w:r>
        <w:fldChar w:fldCharType="separate"/>
      </w:r>
      <w:r>
        <w:rPr>
          <w:rStyle w:val="6"/>
          <w:rFonts w:ascii="Arial" w:hAnsi="Arial" w:eastAsia="Arial" w:cs="Arial"/>
          <w:b/>
          <w:color w:val="002060"/>
          <w:sz w:val="24"/>
          <w:szCs w:val="24"/>
        </w:rPr>
        <w:t>compras@cedral.sp.gov.br</w:t>
      </w:r>
      <w:r>
        <w:rPr>
          <w:rStyle w:val="6"/>
          <w:rFonts w:ascii="Arial" w:hAnsi="Arial" w:eastAsia="Arial" w:cs="Arial"/>
          <w:b/>
          <w:color w:val="002060"/>
          <w:sz w:val="24"/>
          <w:szCs w:val="24"/>
        </w:rPr>
        <w:fldChar w:fldCharType="end"/>
      </w:r>
      <w:r>
        <w:rPr>
          <w:rFonts w:ascii="Arial" w:hAnsi="Arial" w:eastAsia="Arial" w:cs="Arial"/>
          <w:sz w:val="24"/>
          <w:szCs w:val="24"/>
        </w:rPr>
        <w:t>.</w:t>
      </w:r>
    </w:p>
    <w:p w14:paraId="2D477248">
      <w:pPr>
        <w:pStyle w:val="9"/>
        <w:spacing w:line="360" w:lineRule="auto"/>
        <w:jc w:val="both"/>
        <w:rPr>
          <w:rFonts w:ascii="Arial" w:hAnsi="Arial" w:cs="Arial"/>
        </w:rPr>
      </w:pPr>
      <w:r>
        <w:rPr>
          <w:rFonts w:ascii="Arial" w:hAnsi="Arial" w:eastAsia="Arial" w:cs="Arial"/>
        </w:rPr>
        <w:t xml:space="preserve">15.3 – Será considerado </w:t>
      </w:r>
      <w:r>
        <w:rPr>
          <w:rFonts w:ascii="Arial" w:hAnsi="Arial" w:cs="Arial"/>
        </w:rPr>
        <w:t xml:space="preserve">atraso no pagamento, se </w:t>
      </w:r>
      <w:r>
        <w:rPr>
          <w:rFonts w:ascii="Arial" w:hAnsi="Arial" w:cs="Arial"/>
          <w:b/>
          <w:u w:val="single"/>
        </w:rPr>
        <w:t>decorrido 2 (dois) meses</w:t>
      </w:r>
      <w:r>
        <w:rPr>
          <w:rFonts w:ascii="Arial" w:hAnsi="Arial" w:cs="Arial"/>
        </w:rPr>
        <w:t xml:space="preserve">, contados da emissão da nota fiscal, dos pagamentos ou de parcelas de pagamentos devidos pela Administração por despesas de obras, serviços ou fornecimentos, não houve adimplemento da obrigação pela Administração, o que incidirá </w:t>
      </w:r>
      <w:r>
        <w:rPr>
          <w:rFonts w:ascii="Arial" w:hAnsi="Arial" w:eastAsia="Calibri" w:cs="Arial"/>
          <w:lang w:eastAsia="en-US"/>
        </w:rPr>
        <w:t>correção monetária sobre o valor devido utilizando-se o IPCA; juros moratórios, a razão de 0,5% (meio por cento) ao mês, e multa no valor de 10% da nota fiscal.</w:t>
      </w:r>
    </w:p>
    <w:p w14:paraId="28F80FB8">
      <w:pPr>
        <w:pStyle w:val="9"/>
        <w:spacing w:line="360" w:lineRule="auto"/>
        <w:jc w:val="both"/>
        <w:rPr>
          <w:rFonts w:ascii="Arial" w:hAnsi="Arial" w:cs="Arial"/>
        </w:rPr>
      </w:pPr>
      <w:r>
        <w:rPr>
          <w:rFonts w:ascii="Arial" w:hAnsi="Arial" w:cs="Arial"/>
        </w:rPr>
        <w:t>15.4 – O disposto no item 1</w:t>
      </w:r>
      <w:r>
        <w:rPr>
          <w:rFonts w:ascii="Arial" w:hAnsi="Arial" w:cs="Arial"/>
          <w:b/>
        </w:rPr>
        <w:t>5.3</w:t>
      </w:r>
      <w:r>
        <w:rPr>
          <w:rFonts w:ascii="Arial" w:hAnsi="Arial" w:cs="Arial"/>
        </w:rPr>
        <w:t>, não se aplica em caso de calamidade pública, de grave perturbação da ordem interna ou de guerra, bem como quando decorrerem de ato ou fato que o contratado tenha praticado, do qual tenha participado ou para o qual tenha, assegurado à contratada o direito de optar pela suspensão do cumprimento de suas obrigações até que seja normalizada a situação.</w:t>
      </w:r>
    </w:p>
    <w:p w14:paraId="625701F8">
      <w:pPr>
        <w:suppressAutoHyphens w:val="0"/>
        <w:autoSpaceDE w:val="0"/>
        <w:spacing w:line="360" w:lineRule="auto"/>
        <w:jc w:val="both"/>
        <w:rPr>
          <w:rFonts w:ascii="Arial" w:hAnsi="Arial" w:cs="Arial"/>
          <w:sz w:val="24"/>
          <w:szCs w:val="24"/>
        </w:rPr>
      </w:pPr>
    </w:p>
    <w:p w14:paraId="4A8F4F19">
      <w:pPr>
        <w:spacing w:line="360" w:lineRule="auto"/>
        <w:rPr>
          <w:rFonts w:ascii="Arial" w:hAnsi="Arial" w:eastAsia="Batang" w:cs="Arial"/>
          <w:b/>
          <w:color w:val="000000"/>
          <w:sz w:val="24"/>
          <w:szCs w:val="24"/>
        </w:rPr>
      </w:pPr>
      <w:r>
        <w:rPr>
          <w:rFonts w:ascii="Arial" w:hAnsi="Arial" w:cs="Arial"/>
          <w:b/>
          <w:bCs/>
          <w:sz w:val="24"/>
          <w:szCs w:val="24"/>
        </w:rPr>
        <w:t xml:space="preserve">XVI - </w:t>
      </w:r>
      <w:r>
        <w:rPr>
          <w:rFonts w:ascii="Arial" w:hAnsi="Arial" w:eastAsia="Batang" w:cs="Arial"/>
          <w:b/>
          <w:color w:val="000000"/>
          <w:sz w:val="24"/>
          <w:szCs w:val="24"/>
        </w:rPr>
        <w:t>DAS INFRAÇÕES E SANÇÕES ADMINISTRATIVAS</w:t>
      </w:r>
    </w:p>
    <w:p w14:paraId="76DA5EF3">
      <w:pPr>
        <w:spacing w:line="360" w:lineRule="auto"/>
        <w:jc w:val="both"/>
        <w:rPr>
          <w:rFonts w:ascii="Arial" w:hAnsi="Arial" w:eastAsia="Batang" w:cs="Arial"/>
          <w:color w:val="000000"/>
          <w:sz w:val="24"/>
          <w:szCs w:val="24"/>
        </w:rPr>
      </w:pPr>
      <w:r>
        <w:rPr>
          <w:rFonts w:ascii="Arial" w:hAnsi="Arial" w:eastAsia="Batang" w:cs="Arial"/>
          <w:color w:val="000000"/>
          <w:sz w:val="24"/>
          <w:szCs w:val="24"/>
        </w:rPr>
        <w:t>16.1 – O detentor do registro será responsabilizado administrativamente se cometer as seguintes infrações, assegurado o contraditório/ampla defesa:</w:t>
      </w:r>
    </w:p>
    <w:p w14:paraId="32798D8F">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1 - dar causa à inexecução parcial da ata;</w:t>
      </w:r>
    </w:p>
    <w:p w14:paraId="7C387565">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2 - dar causa à inexecução parcial da ata que cause grave dano à Administração, ao funcionamento dos serviços públicos ou ao interesse coletivo;</w:t>
      </w:r>
    </w:p>
    <w:p w14:paraId="1CFCAAB7">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3 - dar causa à inexecução total da ata;</w:t>
      </w:r>
    </w:p>
    <w:p w14:paraId="242DEE3F">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4 - não manter a proposta, salvo em decorrência de fato superveniente devidamente justificado;</w:t>
      </w:r>
    </w:p>
    <w:p w14:paraId="1119B078">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5 - ensejar o retardamento da execução ou da entrega do objeto da licitação sem motivo justificado;</w:t>
      </w:r>
    </w:p>
    <w:p w14:paraId="2193AD4F">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 xml:space="preserve"> 6 - apresentar declaração ou documentação falsa exigida;</w:t>
      </w:r>
    </w:p>
    <w:p w14:paraId="396C6EA4">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7 - fraudar ou praticar ato fraudulento na execução;</w:t>
      </w:r>
    </w:p>
    <w:p w14:paraId="0FDD533C">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8 - comportar-se de modo inidôneo ou cometer fraude de qualquer natureza;</w:t>
      </w:r>
    </w:p>
    <w:p w14:paraId="38CEED7A">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9 - praticar atos ilícitos com vistas a frustrar os objetivos;</w:t>
      </w:r>
    </w:p>
    <w:p w14:paraId="75794280">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10 - praticar ato lesivo previsto no art. 5º da Lei nº 12.846, de 1º de agosto de 2013.</w:t>
      </w:r>
    </w:p>
    <w:p w14:paraId="47F918E4">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16.2 – Caso cometa alguma infração, poderá ser aplicada ao responsável as seguintes sanções:</w:t>
      </w:r>
    </w:p>
    <w:p w14:paraId="3A3CCE5A">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1 - advertência;</w:t>
      </w:r>
    </w:p>
    <w:p w14:paraId="49C51F46">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2 – multa,</w:t>
      </w:r>
      <w:r>
        <w:rPr>
          <w:rFonts w:ascii="Arial" w:hAnsi="Arial" w:eastAsia="Batang" w:cs="Arial"/>
          <w:color w:val="000000"/>
          <w:sz w:val="24"/>
          <w:szCs w:val="24"/>
        </w:rPr>
        <w:t xml:space="preserve"> de até 20% (vinte por cento) sobre o valor total do preço registrado em caso de inadimplência total ou parcial do Contrato</w:t>
      </w:r>
    </w:p>
    <w:p w14:paraId="2A4D8C55">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3 - impedimento de licitar e contratar;</w:t>
      </w:r>
    </w:p>
    <w:p w14:paraId="7C0D72CA">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4 - declaração de inidoneidade para licitar ou contratar.</w:t>
      </w:r>
    </w:p>
    <w:p w14:paraId="2AF9AE63">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16.3 - Na aplicação das sanções serão considerados:</w:t>
      </w:r>
    </w:p>
    <w:p w14:paraId="47A3E14F">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1 - a natureza e a gravidade da infração cometida;</w:t>
      </w:r>
    </w:p>
    <w:p w14:paraId="75076944">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2 - as peculiaridades do caso concreto;</w:t>
      </w:r>
    </w:p>
    <w:p w14:paraId="385E402D">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3 - as circunstâncias agravantes ou atenuantes;</w:t>
      </w:r>
    </w:p>
    <w:p w14:paraId="12D0DC89">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4 - os danos que dela provierem para a Administração Pública;</w:t>
      </w:r>
    </w:p>
    <w:p w14:paraId="71A9339B">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5 - a implantação ou o aperfeiçoamento de programa de integridade, conforme normas e orientações dos órgãos de controle; e,</w:t>
      </w:r>
    </w:p>
    <w:p w14:paraId="032DB839">
      <w:pPr>
        <w:spacing w:line="360" w:lineRule="auto"/>
        <w:jc w:val="both"/>
        <w:rPr>
          <w:rFonts w:ascii="Arial" w:hAnsi="Arial" w:eastAsia="Batang" w:cs="Arial"/>
          <w:color w:val="000000"/>
          <w:sz w:val="24"/>
          <w:szCs w:val="24"/>
        </w:rPr>
      </w:pPr>
      <w:r>
        <w:rPr>
          <w:rFonts w:ascii="Arial" w:hAnsi="Arial" w:eastAsia="Batang" w:cs="Arial"/>
          <w:color w:val="000000"/>
          <w:sz w:val="24"/>
          <w:szCs w:val="24"/>
        </w:rPr>
        <w:t>16.4 – O atraso injustificado para executar o objeto contratual, ensejará em multa de mora de 1% do valor contratual por dia.</w:t>
      </w:r>
    </w:p>
    <w:p w14:paraId="0C012060">
      <w:pPr>
        <w:spacing w:line="360" w:lineRule="auto"/>
        <w:jc w:val="both"/>
        <w:rPr>
          <w:rFonts w:ascii="Arial" w:hAnsi="Arial" w:eastAsia="Batang" w:cs="Arial"/>
          <w:color w:val="000000"/>
          <w:sz w:val="24"/>
          <w:szCs w:val="24"/>
        </w:rPr>
      </w:pPr>
    </w:p>
    <w:p w14:paraId="2243C92A">
      <w:pPr>
        <w:spacing w:line="360" w:lineRule="auto"/>
        <w:jc w:val="both"/>
        <w:rPr>
          <w:rFonts w:ascii="Arial" w:hAnsi="Arial" w:eastAsia="Batang" w:cs="Arial"/>
          <w:color w:val="000000"/>
          <w:sz w:val="24"/>
          <w:szCs w:val="24"/>
        </w:rPr>
      </w:pPr>
      <w:r>
        <w:rPr>
          <w:rFonts w:ascii="Arial" w:hAnsi="Arial" w:eastAsia="Batang" w:cs="Arial"/>
          <w:color w:val="000000"/>
          <w:sz w:val="24"/>
          <w:szCs w:val="24"/>
        </w:rPr>
        <w:t>16.5 - As penalidades acima mencionadas não excluem quaisquer outras previstas em Lei, nem o direito que assiste o Município de ressarcir-se das perdas e danos que vier a sofrer.</w:t>
      </w:r>
    </w:p>
    <w:p w14:paraId="3EFB6210">
      <w:pPr>
        <w:suppressAutoHyphens w:val="0"/>
        <w:autoSpaceDE w:val="0"/>
        <w:spacing w:line="360" w:lineRule="auto"/>
        <w:jc w:val="both"/>
        <w:rPr>
          <w:rFonts w:ascii="Arial" w:hAnsi="Arial" w:eastAsia="Batang" w:cs="Arial"/>
          <w:sz w:val="24"/>
          <w:szCs w:val="24"/>
        </w:rPr>
      </w:pPr>
    </w:p>
    <w:p w14:paraId="4CEDE185">
      <w:pPr>
        <w:pStyle w:val="7"/>
        <w:spacing w:line="360" w:lineRule="auto"/>
        <w:jc w:val="both"/>
        <w:rPr>
          <w:rFonts w:ascii="Arial" w:hAnsi="Arial" w:eastAsia="Times New Roman" w:cs="Arial"/>
          <w:b/>
          <w:bCs/>
        </w:rPr>
      </w:pPr>
      <w:r>
        <w:rPr>
          <w:rFonts w:ascii="Arial" w:hAnsi="Arial" w:eastAsia="Times New Roman" w:cs="Arial"/>
          <w:b/>
          <w:bCs/>
        </w:rPr>
        <w:t>XVII – FORO</w:t>
      </w:r>
    </w:p>
    <w:p w14:paraId="5CF17FC2">
      <w:pPr>
        <w:suppressAutoHyphens w:val="0"/>
        <w:autoSpaceDE w:val="0"/>
        <w:spacing w:line="360" w:lineRule="auto"/>
        <w:jc w:val="both"/>
        <w:rPr>
          <w:rFonts w:ascii="Arial" w:hAnsi="Arial" w:cs="Arial"/>
          <w:sz w:val="24"/>
          <w:szCs w:val="24"/>
        </w:rPr>
      </w:pPr>
      <w:r>
        <w:rPr>
          <w:rFonts w:ascii="Arial" w:hAnsi="Arial" w:cs="Arial"/>
          <w:sz w:val="24"/>
          <w:szCs w:val="24"/>
        </w:rPr>
        <w:t>17.1 - Fica eleito o Foro da Comarca de São José do Rio Preto, para dirimir todas as questões desta licitação, que não forem resolvidas por via administrativa ou por arbitramento, na forma do Código Civil.</w:t>
      </w:r>
    </w:p>
    <w:p w14:paraId="37BF2A84">
      <w:pPr>
        <w:suppressAutoHyphens w:val="0"/>
        <w:autoSpaceDE w:val="0"/>
        <w:spacing w:line="360" w:lineRule="auto"/>
        <w:jc w:val="both"/>
        <w:rPr>
          <w:rFonts w:ascii="Arial" w:hAnsi="Arial" w:cs="Arial"/>
          <w:sz w:val="24"/>
          <w:szCs w:val="24"/>
        </w:rPr>
      </w:pPr>
    </w:p>
    <w:p w14:paraId="3BCED927">
      <w:pPr>
        <w:suppressAutoHyphens w:val="0"/>
        <w:autoSpaceDE w:val="0"/>
        <w:spacing w:line="360" w:lineRule="auto"/>
        <w:jc w:val="both"/>
        <w:rPr>
          <w:rFonts w:ascii="Arial" w:hAnsi="Arial" w:cs="Arial"/>
          <w:b/>
          <w:bCs/>
          <w:sz w:val="24"/>
          <w:szCs w:val="24"/>
        </w:rPr>
      </w:pPr>
      <w:r>
        <w:rPr>
          <w:rFonts w:ascii="Arial" w:hAnsi="Arial" w:cs="Arial"/>
          <w:b/>
          <w:bCs/>
          <w:sz w:val="24"/>
          <w:szCs w:val="24"/>
        </w:rPr>
        <w:t>XVIII – ANEXOS DO EDITAL</w:t>
      </w:r>
    </w:p>
    <w:p w14:paraId="096D86C9">
      <w:pPr>
        <w:suppressAutoHyphens w:val="0"/>
        <w:autoSpaceDE w:val="0"/>
        <w:spacing w:line="360" w:lineRule="auto"/>
        <w:jc w:val="both"/>
        <w:rPr>
          <w:rFonts w:ascii="Arial" w:hAnsi="Arial" w:cs="Arial"/>
          <w:sz w:val="24"/>
          <w:szCs w:val="24"/>
        </w:rPr>
      </w:pPr>
      <w:r>
        <w:rPr>
          <w:rFonts w:ascii="Arial" w:hAnsi="Arial" w:cs="Arial"/>
          <w:sz w:val="24"/>
          <w:szCs w:val="24"/>
        </w:rPr>
        <w:t>I – Descrição do Objeto da Licitação;</w:t>
      </w:r>
    </w:p>
    <w:p w14:paraId="49D889C9">
      <w:pPr>
        <w:suppressAutoHyphens w:val="0"/>
        <w:autoSpaceDE w:val="0"/>
        <w:spacing w:line="360" w:lineRule="auto"/>
        <w:jc w:val="both"/>
        <w:rPr>
          <w:rFonts w:ascii="Arial" w:hAnsi="Arial" w:cs="Arial"/>
          <w:sz w:val="24"/>
          <w:szCs w:val="24"/>
        </w:rPr>
      </w:pPr>
      <w:r>
        <w:rPr>
          <w:rFonts w:ascii="Arial" w:hAnsi="Arial" w:cs="Arial"/>
          <w:sz w:val="24"/>
          <w:szCs w:val="24"/>
        </w:rPr>
        <w:t>II – Declaração (inciso XXXIII do art. 7° da Constituição Federal);</w:t>
      </w:r>
    </w:p>
    <w:p w14:paraId="132AC9C6">
      <w:pPr>
        <w:suppressAutoHyphens w:val="0"/>
        <w:autoSpaceDE w:val="0"/>
        <w:spacing w:line="360" w:lineRule="auto"/>
        <w:jc w:val="both"/>
        <w:rPr>
          <w:rFonts w:ascii="Arial" w:hAnsi="Arial" w:cs="Arial"/>
          <w:sz w:val="24"/>
          <w:szCs w:val="24"/>
        </w:rPr>
      </w:pPr>
      <w:r>
        <w:rPr>
          <w:rFonts w:ascii="Arial" w:hAnsi="Arial" w:cs="Arial"/>
          <w:sz w:val="24"/>
          <w:szCs w:val="24"/>
        </w:rPr>
        <w:t>III – Forma de elaboração da proposta;</w:t>
      </w:r>
    </w:p>
    <w:p w14:paraId="6B8B7E07">
      <w:pPr>
        <w:suppressAutoHyphens w:val="0"/>
        <w:autoSpaceDE w:val="0"/>
        <w:spacing w:line="360" w:lineRule="auto"/>
        <w:jc w:val="both"/>
        <w:rPr>
          <w:rFonts w:ascii="Arial" w:hAnsi="Arial" w:cs="Arial"/>
          <w:sz w:val="24"/>
          <w:szCs w:val="24"/>
        </w:rPr>
      </w:pPr>
      <w:r>
        <w:rPr>
          <w:rFonts w:ascii="Arial" w:hAnsi="Arial" w:cs="Arial"/>
          <w:sz w:val="24"/>
          <w:szCs w:val="24"/>
        </w:rPr>
        <w:t>IV – Modelo referencial de declaração de enquadramento na situação de microempresas/empresas de pequeno porte/microempreendedores individuais/sociedades cooperativas de consumo;</w:t>
      </w:r>
    </w:p>
    <w:p w14:paraId="2E20DBFE">
      <w:pPr>
        <w:suppressAutoHyphens w:val="0"/>
        <w:autoSpaceDE w:val="0"/>
        <w:spacing w:line="360" w:lineRule="auto"/>
        <w:jc w:val="both"/>
        <w:rPr>
          <w:rFonts w:ascii="Arial" w:hAnsi="Arial" w:cs="Arial"/>
          <w:sz w:val="24"/>
          <w:szCs w:val="24"/>
        </w:rPr>
      </w:pPr>
      <w:r>
        <w:rPr>
          <w:rFonts w:ascii="Arial" w:hAnsi="Arial" w:cs="Arial"/>
          <w:sz w:val="24"/>
          <w:szCs w:val="24"/>
        </w:rPr>
        <w:t xml:space="preserve">V – Modelo referencial de </w:t>
      </w:r>
      <w:r>
        <w:rPr>
          <w:rFonts w:ascii="Arial" w:hAnsi="Arial" w:eastAsia="Batang" w:cs="Arial"/>
          <w:sz w:val="24"/>
          <w:szCs w:val="24"/>
        </w:rPr>
        <w:t xml:space="preserve">declaração </w:t>
      </w:r>
      <w:r>
        <w:rPr>
          <w:rFonts w:ascii="Arial" w:hAnsi="Arial" w:cs="Arial"/>
          <w:sz w:val="24"/>
          <w:szCs w:val="24"/>
          <w:lang w:eastAsia="pt-BR"/>
        </w:rPr>
        <w:t>que cumpre as exigências de reserva de cargos para pessoa com deficiência e para reabilitado da Previdência Social, previstas em lei e em outras normas específicas; e,</w:t>
      </w:r>
    </w:p>
    <w:p w14:paraId="3DA46DCC">
      <w:pPr>
        <w:suppressAutoHyphens w:val="0"/>
        <w:autoSpaceDE w:val="0"/>
        <w:spacing w:line="360" w:lineRule="auto"/>
        <w:jc w:val="both"/>
        <w:rPr>
          <w:rFonts w:ascii="Arial" w:hAnsi="Arial" w:cs="Arial"/>
          <w:sz w:val="24"/>
          <w:szCs w:val="24"/>
        </w:rPr>
      </w:pPr>
      <w:r>
        <w:rPr>
          <w:rFonts w:ascii="Arial" w:hAnsi="Arial" w:cs="Arial"/>
          <w:sz w:val="24"/>
          <w:szCs w:val="24"/>
        </w:rPr>
        <w:t>VI - Ata de Registro de Preços.</w:t>
      </w:r>
    </w:p>
    <w:p w14:paraId="7AB2C37F">
      <w:pPr>
        <w:spacing w:line="360" w:lineRule="auto"/>
        <w:jc w:val="both"/>
        <w:rPr>
          <w:rFonts w:ascii="Arial" w:hAnsi="Arial" w:cs="Arial"/>
          <w:sz w:val="24"/>
          <w:szCs w:val="24"/>
        </w:rPr>
      </w:pPr>
      <w:r>
        <w:rPr>
          <w:rFonts w:ascii="Arial" w:hAnsi="Arial" w:cs="Arial"/>
          <w:sz w:val="24"/>
          <w:szCs w:val="24"/>
        </w:rPr>
        <w:t xml:space="preserve">VII – </w:t>
      </w:r>
      <w:r>
        <w:rPr>
          <w:rFonts w:ascii="Arial" w:hAnsi="Arial" w:cs="Arial"/>
          <w:b/>
          <w:sz w:val="24"/>
          <w:szCs w:val="24"/>
          <w:highlight w:val="yellow"/>
          <w:u w:val="single"/>
        </w:rPr>
        <w:t>Decreto Municipal nº 3.500/2022</w:t>
      </w:r>
      <w:r>
        <w:rPr>
          <w:rFonts w:ascii="Arial" w:hAnsi="Arial" w:cs="Arial"/>
          <w:b/>
          <w:sz w:val="24"/>
          <w:szCs w:val="24"/>
          <w:u w:val="single"/>
        </w:rPr>
        <w:t xml:space="preserve"> publicado, que regulamenta a Lei de Licitações nº 14.133/2021, no Município,</w:t>
      </w:r>
      <w:r>
        <w:rPr>
          <w:rFonts w:ascii="Arial" w:hAnsi="Arial" w:cs="Arial"/>
          <w:b/>
          <w:highlight w:val="yellow"/>
          <w:u w:val="single"/>
        </w:rPr>
        <w:t xml:space="preserve"> conforme Comunicado GP 03/2024 – TCE/SP)</w:t>
      </w:r>
    </w:p>
    <w:p w14:paraId="1C52DBCD">
      <w:pPr>
        <w:suppressAutoHyphens w:val="0"/>
        <w:autoSpaceDE w:val="0"/>
        <w:spacing w:line="360" w:lineRule="auto"/>
        <w:jc w:val="both"/>
        <w:rPr>
          <w:rFonts w:ascii="Arial" w:hAnsi="Arial" w:cs="Arial"/>
          <w:sz w:val="24"/>
          <w:szCs w:val="24"/>
        </w:rPr>
      </w:pPr>
    </w:p>
    <w:p w14:paraId="616ECF39">
      <w:pPr>
        <w:suppressAutoHyphens w:val="0"/>
        <w:autoSpaceDE w:val="0"/>
        <w:spacing w:line="360" w:lineRule="auto"/>
        <w:jc w:val="both"/>
        <w:rPr>
          <w:rFonts w:ascii="Arial" w:hAnsi="Arial" w:cs="Arial"/>
          <w:sz w:val="24"/>
          <w:szCs w:val="24"/>
        </w:rPr>
      </w:pPr>
    </w:p>
    <w:p w14:paraId="7310A122">
      <w:pPr>
        <w:suppressAutoHyphens w:val="0"/>
        <w:autoSpaceDE w:val="0"/>
        <w:spacing w:line="360" w:lineRule="auto"/>
        <w:jc w:val="both"/>
        <w:rPr>
          <w:rFonts w:ascii="Arial" w:hAnsi="Arial" w:cs="Arial"/>
          <w:sz w:val="24"/>
          <w:szCs w:val="24"/>
        </w:rPr>
      </w:pPr>
    </w:p>
    <w:p w14:paraId="49CB8526">
      <w:pPr>
        <w:suppressAutoHyphens w:val="0"/>
        <w:autoSpaceDE w:val="0"/>
        <w:spacing w:line="360" w:lineRule="auto"/>
        <w:jc w:val="both"/>
        <w:rPr>
          <w:rFonts w:ascii="Arial" w:hAnsi="Arial" w:cs="Arial"/>
          <w:sz w:val="24"/>
          <w:szCs w:val="24"/>
        </w:rPr>
      </w:pPr>
    </w:p>
    <w:p w14:paraId="600296FA">
      <w:pPr>
        <w:suppressAutoHyphens w:val="0"/>
        <w:autoSpaceDE w:val="0"/>
        <w:spacing w:line="360" w:lineRule="auto"/>
        <w:jc w:val="both"/>
        <w:rPr>
          <w:rFonts w:ascii="Arial" w:hAnsi="Arial" w:cs="Arial"/>
          <w:b/>
          <w:bCs/>
          <w:sz w:val="24"/>
          <w:szCs w:val="24"/>
        </w:rPr>
      </w:pPr>
      <w:r>
        <w:rPr>
          <w:rFonts w:ascii="Arial" w:hAnsi="Arial" w:cs="Arial"/>
          <w:b/>
          <w:bCs/>
          <w:sz w:val="24"/>
          <w:szCs w:val="24"/>
        </w:rPr>
        <w:t>XIX - DISPOSIÇÕES FINAIS</w:t>
      </w:r>
    </w:p>
    <w:p w14:paraId="5E66D7F3">
      <w:pPr>
        <w:suppressAutoHyphens w:val="0"/>
        <w:autoSpaceDE w:val="0"/>
        <w:spacing w:line="360" w:lineRule="auto"/>
        <w:jc w:val="both"/>
        <w:rPr>
          <w:rFonts w:ascii="Arial" w:hAnsi="Arial" w:cs="Arial"/>
          <w:sz w:val="24"/>
          <w:szCs w:val="24"/>
        </w:rPr>
      </w:pPr>
      <w:r>
        <w:rPr>
          <w:rFonts w:ascii="Arial" w:hAnsi="Arial" w:cs="Arial"/>
          <w:sz w:val="24"/>
          <w:szCs w:val="24"/>
        </w:rPr>
        <w:t>19.1 – Estabelece-se ao participar do certame implicará a aceitação de todas as disposições editalícias;</w:t>
      </w:r>
    </w:p>
    <w:p w14:paraId="2A776B08">
      <w:pPr>
        <w:suppressAutoHyphens w:val="0"/>
        <w:autoSpaceDE w:val="0"/>
        <w:spacing w:line="360" w:lineRule="auto"/>
        <w:jc w:val="both"/>
        <w:rPr>
          <w:rFonts w:ascii="Arial" w:hAnsi="Arial" w:cs="Arial"/>
          <w:sz w:val="24"/>
          <w:szCs w:val="24"/>
        </w:rPr>
      </w:pPr>
      <w:r>
        <w:rPr>
          <w:rFonts w:ascii="Arial" w:hAnsi="Arial" w:cs="Arial"/>
          <w:sz w:val="24"/>
          <w:szCs w:val="24"/>
        </w:rPr>
        <w:t xml:space="preserve">19.2 – Assegura-se ao </w:t>
      </w:r>
      <w:r>
        <w:rPr>
          <w:rFonts w:ascii="Arial" w:hAnsi="Arial" w:cs="Arial"/>
          <w:b/>
          <w:sz w:val="24"/>
          <w:szCs w:val="24"/>
          <w:u w:val="single"/>
        </w:rPr>
        <w:t>Município</w:t>
      </w:r>
      <w:r>
        <w:rPr>
          <w:rFonts w:ascii="Arial" w:hAnsi="Arial" w:cs="Arial"/>
          <w:b/>
          <w:sz w:val="24"/>
          <w:szCs w:val="24"/>
        </w:rPr>
        <w:t xml:space="preserve"> </w:t>
      </w:r>
      <w:r>
        <w:rPr>
          <w:rFonts w:ascii="Arial" w:hAnsi="Arial" w:cs="Arial"/>
          <w:sz w:val="24"/>
          <w:szCs w:val="24"/>
        </w:rPr>
        <w:t>o direito de:</w:t>
      </w:r>
    </w:p>
    <w:p w14:paraId="4251DF02">
      <w:pPr>
        <w:suppressAutoHyphens w:val="0"/>
        <w:autoSpaceDE w:val="0"/>
        <w:spacing w:line="360" w:lineRule="auto"/>
        <w:jc w:val="both"/>
        <w:rPr>
          <w:rFonts w:ascii="Arial" w:hAnsi="Arial" w:cs="Arial"/>
          <w:sz w:val="24"/>
          <w:szCs w:val="24"/>
        </w:rPr>
      </w:pPr>
      <w:r>
        <w:rPr>
          <w:rFonts w:ascii="Arial" w:hAnsi="Arial" w:cs="Arial"/>
          <w:sz w:val="24"/>
          <w:szCs w:val="24"/>
        </w:rPr>
        <w:t>1 - promover, em qualquer fase da licitação, diligência destinada a esclarecer ou a complementar a instrução do processo;</w:t>
      </w:r>
    </w:p>
    <w:p w14:paraId="59E5260B">
      <w:pPr>
        <w:suppressAutoHyphens w:val="0"/>
        <w:autoSpaceDE w:val="0"/>
        <w:spacing w:line="360" w:lineRule="auto"/>
        <w:jc w:val="both"/>
        <w:rPr>
          <w:rFonts w:ascii="Arial" w:hAnsi="Arial" w:cs="Arial"/>
          <w:sz w:val="24"/>
          <w:szCs w:val="24"/>
        </w:rPr>
      </w:pPr>
      <w:r>
        <w:rPr>
          <w:rFonts w:ascii="Arial" w:hAnsi="Arial" w:cs="Arial"/>
          <w:sz w:val="24"/>
          <w:szCs w:val="24"/>
        </w:rPr>
        <w:t>2 - revogar a presente licitação por razões de interesse público decorrente de fato superveniente devidamente comprovado;</w:t>
      </w:r>
    </w:p>
    <w:p w14:paraId="46F1576D">
      <w:pPr>
        <w:suppressAutoHyphens w:val="0"/>
        <w:autoSpaceDE w:val="0"/>
        <w:spacing w:line="360" w:lineRule="auto"/>
        <w:jc w:val="both"/>
        <w:rPr>
          <w:rFonts w:ascii="Arial" w:hAnsi="Arial" w:cs="Arial"/>
          <w:sz w:val="24"/>
          <w:szCs w:val="24"/>
        </w:rPr>
      </w:pPr>
      <w:r>
        <w:rPr>
          <w:rFonts w:ascii="Arial" w:hAnsi="Arial" w:cs="Arial"/>
          <w:sz w:val="24"/>
          <w:szCs w:val="24"/>
        </w:rPr>
        <w:t>3 - adiar a data da sessão pública;</w:t>
      </w:r>
    </w:p>
    <w:p w14:paraId="13A099E8">
      <w:pPr>
        <w:suppressAutoHyphens w:val="0"/>
        <w:autoSpaceDE w:val="0"/>
        <w:spacing w:line="360" w:lineRule="auto"/>
        <w:jc w:val="both"/>
        <w:rPr>
          <w:rFonts w:ascii="Arial" w:hAnsi="Arial" w:cs="Arial"/>
          <w:sz w:val="24"/>
          <w:szCs w:val="24"/>
        </w:rPr>
      </w:pPr>
      <w:r>
        <w:rPr>
          <w:rFonts w:ascii="Arial" w:hAnsi="Arial" w:cs="Arial"/>
          <w:sz w:val="24"/>
          <w:szCs w:val="24"/>
        </w:rPr>
        <w:t>4 - adquirir ou não os itens objeto da licitação;</w:t>
      </w:r>
    </w:p>
    <w:p w14:paraId="133D0ABD">
      <w:pPr>
        <w:suppressAutoHyphens w:val="0"/>
        <w:autoSpaceDE w:val="0"/>
        <w:spacing w:line="360" w:lineRule="auto"/>
        <w:jc w:val="both"/>
        <w:rPr>
          <w:rFonts w:ascii="Arial" w:hAnsi="Arial" w:cs="Arial"/>
          <w:b/>
          <w:sz w:val="24"/>
          <w:szCs w:val="24"/>
          <w:u w:val="single"/>
        </w:rPr>
      </w:pPr>
      <w:r>
        <w:rPr>
          <w:rFonts w:ascii="Arial" w:hAnsi="Arial" w:cs="Arial"/>
          <w:b/>
          <w:sz w:val="24"/>
          <w:szCs w:val="24"/>
          <w:u w:val="single"/>
        </w:rPr>
        <w:t>19.3 – As licitantes serão responsáveis pela fidelidade e legitimidade das informações e dos documentos apresentados, em qualquer época ou fase do processo licitatório.</w:t>
      </w:r>
    </w:p>
    <w:p w14:paraId="27D1A3A4">
      <w:pPr>
        <w:pStyle w:val="9"/>
        <w:spacing w:line="360" w:lineRule="auto"/>
        <w:jc w:val="both"/>
        <w:rPr>
          <w:rFonts w:ascii="Arial" w:hAnsi="Arial" w:cs="Arial"/>
        </w:rPr>
      </w:pPr>
      <w:r>
        <w:rPr>
          <w:rFonts w:ascii="Arial" w:hAnsi="Arial" w:cs="Arial"/>
        </w:rPr>
        <w:t xml:space="preserve">19.4 – </w:t>
      </w:r>
      <w:r>
        <w:rPr>
          <w:rFonts w:ascii="Arial" w:hAnsi="Arial" w:cs="Arial"/>
          <w:color w:val="000000"/>
        </w:rPr>
        <w:t xml:space="preserve">Na </w:t>
      </w:r>
      <w:r>
        <w:rPr>
          <w:rFonts w:ascii="Arial" w:hAnsi="Arial" w:cs="Arial"/>
          <w:b/>
          <w:color w:val="000000"/>
          <w:highlight w:val="lightGray"/>
          <w:u w:val="single"/>
        </w:rPr>
        <w:t>contagem dos prazos</w:t>
      </w:r>
      <w:r>
        <w:rPr>
          <w:rFonts w:ascii="Arial" w:hAnsi="Arial" w:cs="Arial"/>
          <w:color w:val="000000"/>
        </w:rPr>
        <w:t xml:space="preserve"> excluir-se-á o dia do início e incluir-se-á o do vencimento, e considerar-se-ão os dias úteis, exceto quando for explicitamente disposto em contrário, sendo que só se iniciam e vencem os prazos em dia de expediente no órgão ou na entidade</w:t>
      </w:r>
      <w:r>
        <w:rPr>
          <w:rFonts w:ascii="Arial" w:hAnsi="Arial" w:cs="Arial"/>
        </w:rPr>
        <w:t>.</w:t>
      </w:r>
    </w:p>
    <w:p w14:paraId="307FA026">
      <w:pPr>
        <w:suppressAutoHyphens w:val="0"/>
        <w:autoSpaceDE w:val="0"/>
        <w:spacing w:line="360" w:lineRule="auto"/>
        <w:jc w:val="both"/>
        <w:rPr>
          <w:rFonts w:ascii="Arial" w:hAnsi="Arial" w:cs="Arial"/>
          <w:sz w:val="24"/>
          <w:szCs w:val="24"/>
        </w:rPr>
      </w:pPr>
      <w:r>
        <w:rPr>
          <w:rFonts w:ascii="Arial" w:hAnsi="Arial" w:cs="Arial"/>
          <w:sz w:val="24"/>
          <w:szCs w:val="24"/>
        </w:rPr>
        <w:t xml:space="preserve">19.5 - Cópias deste edital poderão ser obtidas </w:t>
      </w:r>
      <w:r>
        <w:rPr>
          <w:rFonts w:ascii="Arial" w:hAnsi="Arial" w:cs="Arial"/>
          <w:b/>
          <w:sz w:val="24"/>
          <w:szCs w:val="24"/>
        </w:rPr>
        <w:t xml:space="preserve">  </w:t>
      </w:r>
      <w:r>
        <w:fldChar w:fldCharType="begin"/>
      </w:r>
      <w:r>
        <w:instrText xml:space="preserve"> HYPERLINK "https://cedral.sp.gov.br/licitacoes" </w:instrText>
      </w:r>
      <w:r>
        <w:fldChar w:fldCharType="separate"/>
      </w:r>
      <w:r>
        <w:rPr>
          <w:rFonts w:ascii="Arial" w:hAnsi="Arial" w:cs="Arial"/>
          <w:b/>
          <w:sz w:val="24"/>
          <w:szCs w:val="24"/>
          <w:highlight w:val="lightGray"/>
          <w:u w:val="single"/>
        </w:rPr>
        <w:t>https://cedral.sp.gov.br/licitacoes</w:t>
      </w:r>
      <w:r>
        <w:rPr>
          <w:rFonts w:ascii="Arial" w:hAnsi="Arial" w:cs="Arial"/>
          <w:b/>
          <w:sz w:val="24"/>
          <w:szCs w:val="24"/>
          <w:highlight w:val="lightGray"/>
          <w:u w:val="single"/>
        </w:rPr>
        <w:fldChar w:fldCharType="end"/>
      </w:r>
      <w:r>
        <w:rPr>
          <w:rFonts w:ascii="Arial" w:hAnsi="Arial" w:cs="Arial"/>
          <w:b/>
          <w:sz w:val="24"/>
          <w:szCs w:val="24"/>
          <w:u w:val="single"/>
        </w:rPr>
        <w:t>.</w:t>
      </w:r>
    </w:p>
    <w:p w14:paraId="2B2F95EB">
      <w:pPr>
        <w:suppressAutoHyphens w:val="0"/>
        <w:autoSpaceDE w:val="0"/>
        <w:spacing w:line="360" w:lineRule="auto"/>
        <w:jc w:val="both"/>
        <w:rPr>
          <w:rFonts w:ascii="Arial" w:hAnsi="Arial" w:cs="Arial"/>
          <w:sz w:val="24"/>
          <w:szCs w:val="24"/>
        </w:rPr>
      </w:pPr>
      <w:r>
        <w:rPr>
          <w:rFonts w:ascii="Arial" w:hAnsi="Arial" w:cs="Arial"/>
          <w:sz w:val="24"/>
          <w:szCs w:val="24"/>
        </w:rPr>
        <w:t>19.6 - Reserva-se ao pregoeiro o direito de solicitar, em qualquer época ou oportunidade, informações complementares.</w:t>
      </w:r>
    </w:p>
    <w:p w14:paraId="5B97101E">
      <w:pPr>
        <w:suppressAutoHyphens w:val="0"/>
        <w:autoSpaceDE w:val="0"/>
        <w:spacing w:line="360" w:lineRule="auto"/>
        <w:jc w:val="both"/>
        <w:rPr>
          <w:rFonts w:ascii="Arial" w:hAnsi="Arial" w:cs="Arial"/>
          <w:sz w:val="24"/>
          <w:szCs w:val="24"/>
        </w:rPr>
      </w:pPr>
      <w:r>
        <w:rPr>
          <w:rFonts w:ascii="Arial" w:hAnsi="Arial" w:cs="Arial"/>
          <w:sz w:val="24"/>
          <w:szCs w:val="24"/>
        </w:rPr>
        <w:t>19.7 - No interesse da Administração, sem que caiba aos participantes qualquer reclamação ou indenização, poderá ser:</w:t>
      </w:r>
    </w:p>
    <w:p w14:paraId="4D522E22">
      <w:pPr>
        <w:suppressAutoHyphens w:val="0"/>
        <w:autoSpaceDE w:val="0"/>
        <w:spacing w:line="360" w:lineRule="auto"/>
        <w:jc w:val="both"/>
        <w:rPr>
          <w:rFonts w:ascii="Arial" w:hAnsi="Arial" w:cs="Arial"/>
          <w:sz w:val="24"/>
          <w:szCs w:val="24"/>
        </w:rPr>
      </w:pPr>
      <w:r>
        <w:rPr>
          <w:rFonts w:ascii="Arial" w:hAnsi="Arial" w:cs="Arial"/>
          <w:sz w:val="24"/>
          <w:szCs w:val="24"/>
        </w:rPr>
        <w:t>a) adiada a data da abertura desta licitação;</w:t>
      </w:r>
    </w:p>
    <w:p w14:paraId="64C0A305">
      <w:pPr>
        <w:suppressAutoHyphens w:val="0"/>
        <w:autoSpaceDE w:val="0"/>
        <w:spacing w:line="360" w:lineRule="auto"/>
        <w:jc w:val="both"/>
        <w:rPr>
          <w:rFonts w:ascii="Arial" w:hAnsi="Arial" w:cs="Arial"/>
          <w:sz w:val="24"/>
          <w:szCs w:val="24"/>
        </w:rPr>
      </w:pPr>
      <w:r>
        <w:rPr>
          <w:rFonts w:ascii="Arial" w:hAnsi="Arial" w:cs="Arial"/>
          <w:sz w:val="24"/>
          <w:szCs w:val="24"/>
        </w:rPr>
        <w:t>b) alterada as condições do presente edital, com fixação de novo prazo para a sua realização.</w:t>
      </w:r>
    </w:p>
    <w:p w14:paraId="4D3ADA65">
      <w:pPr>
        <w:suppressAutoHyphens w:val="0"/>
        <w:autoSpaceDE w:val="0"/>
        <w:spacing w:line="360" w:lineRule="auto"/>
        <w:jc w:val="both"/>
        <w:rPr>
          <w:rFonts w:ascii="Arial" w:hAnsi="Arial" w:cs="Arial"/>
          <w:sz w:val="24"/>
          <w:szCs w:val="24"/>
        </w:rPr>
      </w:pPr>
      <w:r>
        <w:rPr>
          <w:rFonts w:ascii="Arial" w:hAnsi="Arial" w:cs="Arial"/>
          <w:sz w:val="24"/>
          <w:szCs w:val="24"/>
        </w:rPr>
        <w:t>19.8 - O desatendimento de exigências formais não essenciais não importará no afastamento do licitante, desde que sejam possíveis a aferição da sua qualificação e a exata compreensão da sua proposta, durante a realização da sessão pública de Pregão, assim como casos análogos serão tratados da mesma forma.</w:t>
      </w:r>
    </w:p>
    <w:p w14:paraId="65D93DE4">
      <w:pPr>
        <w:suppressAutoHyphens w:val="0"/>
        <w:autoSpaceDE w:val="0"/>
        <w:spacing w:line="360" w:lineRule="auto"/>
        <w:jc w:val="both"/>
        <w:rPr>
          <w:rFonts w:ascii="Arial" w:hAnsi="Arial" w:cs="Arial"/>
          <w:sz w:val="24"/>
          <w:szCs w:val="24"/>
        </w:rPr>
      </w:pPr>
      <w:r>
        <w:rPr>
          <w:rFonts w:ascii="Arial" w:hAnsi="Arial" w:cs="Arial"/>
          <w:sz w:val="24"/>
          <w:szCs w:val="24"/>
        </w:rPr>
        <w:t>19.9 - As normas que disciplinam este pregão serão sempre interpretadas em favor da ampliação da disputa entre os interessados, desde que não comprometam o interesse da Administração, a finalidade e a segurança do registro de preços.</w:t>
      </w:r>
    </w:p>
    <w:p w14:paraId="5A282E91">
      <w:pPr>
        <w:suppressAutoHyphens w:val="0"/>
        <w:autoSpaceDE w:val="0"/>
        <w:spacing w:line="360" w:lineRule="auto"/>
        <w:jc w:val="both"/>
        <w:rPr>
          <w:rFonts w:ascii="Arial" w:hAnsi="Arial" w:cs="Arial"/>
          <w:sz w:val="24"/>
          <w:szCs w:val="24"/>
        </w:rPr>
      </w:pPr>
      <w:r>
        <w:rPr>
          <w:rFonts w:ascii="Arial" w:hAnsi="Arial" w:cs="Arial"/>
          <w:sz w:val="24"/>
          <w:szCs w:val="24"/>
        </w:rPr>
        <w:t>19.10 - Sempre que o Fornecedor não atender à convocação, é facultado à Administração, dentro do prazo e condições estabelecidas, convocar os remanescentes, observada a ordem de registro, para fazê-lo em igual prazo e nas mesmas condições, ou cancelar o item ou revogar a licitação.</w:t>
      </w:r>
    </w:p>
    <w:p w14:paraId="528F493D">
      <w:pPr>
        <w:suppressAutoHyphens w:val="0"/>
        <w:autoSpaceDE w:val="0"/>
        <w:spacing w:line="360" w:lineRule="auto"/>
        <w:jc w:val="both"/>
        <w:rPr>
          <w:rFonts w:ascii="Arial" w:hAnsi="Arial" w:cs="Arial"/>
          <w:sz w:val="24"/>
          <w:szCs w:val="24"/>
        </w:rPr>
      </w:pPr>
      <w:r>
        <w:rPr>
          <w:rFonts w:ascii="Arial" w:hAnsi="Arial" w:cs="Arial"/>
          <w:sz w:val="24"/>
          <w:szCs w:val="24"/>
        </w:rPr>
        <w:t>19.11 - Quaisquer danos ou prejuízos ocasionados ao patrimônio da Administração por empregados ou prepostos do licitante vencedor, serão de exclusiva responsabilidade deste último.</w:t>
      </w:r>
    </w:p>
    <w:p w14:paraId="5DF99DD2">
      <w:pPr>
        <w:suppressAutoHyphens w:val="0"/>
        <w:autoSpaceDE w:val="0"/>
        <w:spacing w:line="360" w:lineRule="auto"/>
        <w:jc w:val="both"/>
        <w:rPr>
          <w:rFonts w:ascii="Arial" w:hAnsi="Arial" w:cs="Arial"/>
          <w:sz w:val="24"/>
          <w:szCs w:val="24"/>
        </w:rPr>
      </w:pPr>
      <w:r>
        <w:rPr>
          <w:rFonts w:ascii="Arial" w:hAnsi="Arial" w:cs="Arial"/>
          <w:sz w:val="24"/>
          <w:szCs w:val="24"/>
        </w:rPr>
        <w:t>19.12 - À critério da Administração o item poderá ter seu registro cancelado por ser considerado economicamente desequilibrado, em função de significativa variação de mercado.</w:t>
      </w:r>
    </w:p>
    <w:p w14:paraId="4C287A5F">
      <w:pPr>
        <w:suppressAutoHyphens w:val="0"/>
        <w:autoSpaceDE w:val="0"/>
        <w:spacing w:line="360" w:lineRule="auto"/>
        <w:jc w:val="both"/>
        <w:rPr>
          <w:rFonts w:ascii="Arial" w:hAnsi="Arial" w:cs="Arial"/>
          <w:sz w:val="24"/>
          <w:szCs w:val="24"/>
        </w:rPr>
      </w:pPr>
      <w:r>
        <w:rPr>
          <w:rFonts w:ascii="Arial" w:hAnsi="Arial" w:cs="Arial"/>
          <w:sz w:val="24"/>
          <w:szCs w:val="24"/>
        </w:rPr>
        <w:t>19.13 – Eventuais notificações e publicações serão publicadas em imprensa oficial.</w:t>
      </w:r>
    </w:p>
    <w:p w14:paraId="47EB7CBB">
      <w:pPr>
        <w:suppressAutoHyphens w:val="0"/>
        <w:autoSpaceDE w:val="0"/>
        <w:spacing w:line="360" w:lineRule="auto"/>
        <w:jc w:val="both"/>
        <w:rPr>
          <w:rFonts w:ascii="Arial" w:hAnsi="Arial" w:cs="Arial"/>
          <w:sz w:val="24"/>
          <w:szCs w:val="24"/>
        </w:rPr>
      </w:pPr>
      <w:r>
        <w:rPr>
          <w:rFonts w:ascii="Arial" w:hAnsi="Arial" w:cs="Arial"/>
          <w:sz w:val="24"/>
          <w:szCs w:val="24"/>
        </w:rPr>
        <w:t>19.14 - Expede-se o presente edital cumprindo-se o princípio da publicidade.</w:t>
      </w:r>
    </w:p>
    <w:p w14:paraId="301CF331">
      <w:pPr>
        <w:suppressAutoHyphens w:val="0"/>
        <w:autoSpaceDE w:val="0"/>
        <w:spacing w:line="360" w:lineRule="auto"/>
        <w:jc w:val="both"/>
        <w:rPr>
          <w:rFonts w:ascii="Arial" w:hAnsi="Arial" w:cs="Arial"/>
          <w:sz w:val="24"/>
          <w:szCs w:val="24"/>
        </w:rPr>
      </w:pPr>
    </w:p>
    <w:p w14:paraId="61AA6FCC">
      <w:pPr>
        <w:suppressAutoHyphens w:val="0"/>
        <w:autoSpaceDE w:val="0"/>
        <w:spacing w:line="360" w:lineRule="auto"/>
        <w:jc w:val="center"/>
        <w:rPr>
          <w:rFonts w:ascii="Arial" w:hAnsi="Arial" w:cs="Arial"/>
          <w:b/>
          <w:color w:val="FF0000"/>
          <w:sz w:val="24"/>
          <w:szCs w:val="24"/>
        </w:rPr>
      </w:pPr>
      <w:r>
        <w:rPr>
          <w:rFonts w:ascii="Arial" w:hAnsi="Arial" w:cs="Arial"/>
          <w:b/>
          <w:color w:val="FF0000"/>
          <w:sz w:val="24"/>
          <w:szCs w:val="24"/>
        </w:rPr>
        <w:t>Cedral, xx/xx/xxxx.</w:t>
      </w:r>
    </w:p>
    <w:p w14:paraId="628FCC82">
      <w:pPr>
        <w:suppressAutoHyphens w:val="0"/>
        <w:autoSpaceDE w:val="0"/>
        <w:spacing w:line="360" w:lineRule="auto"/>
        <w:jc w:val="center"/>
        <w:rPr>
          <w:rFonts w:ascii="Arial" w:hAnsi="Arial" w:cs="Arial"/>
          <w:b/>
          <w:color w:val="FF0000"/>
          <w:sz w:val="24"/>
          <w:szCs w:val="24"/>
        </w:rPr>
      </w:pPr>
    </w:p>
    <w:p w14:paraId="41A58A8B">
      <w:pPr>
        <w:spacing w:after="5"/>
        <w:ind w:left="1611" w:right="1565"/>
        <w:jc w:val="center"/>
        <w:rPr>
          <w:rFonts w:ascii="Arial" w:hAnsi="Arial" w:cs="Arial"/>
          <w:sz w:val="24"/>
          <w:szCs w:val="24"/>
        </w:rPr>
      </w:pPr>
      <w:r>
        <w:rPr>
          <w:rFonts w:ascii="Arial" w:hAnsi="Arial" w:cs="Arial"/>
          <w:sz w:val="24"/>
          <w:szCs w:val="24"/>
        </w:rPr>
        <w:t>____________________________________________</w:t>
      </w:r>
      <w:r>
        <w:rPr>
          <w:rFonts w:ascii="Arial" w:hAnsi="Arial" w:eastAsia="Arial" w:cs="Arial"/>
          <w:b/>
          <w:sz w:val="24"/>
          <w:szCs w:val="24"/>
        </w:rPr>
        <w:t xml:space="preserve"> </w:t>
      </w:r>
    </w:p>
    <w:p w14:paraId="3243993F">
      <w:pPr>
        <w:ind w:right="4"/>
        <w:jc w:val="center"/>
        <w:rPr>
          <w:rFonts w:ascii="Arial" w:hAnsi="Arial" w:eastAsia="Arial" w:cs="Arial"/>
          <w:b/>
          <w:sz w:val="24"/>
          <w:szCs w:val="24"/>
        </w:rPr>
      </w:pPr>
      <w:r>
        <w:rPr>
          <w:rFonts w:ascii="Arial" w:hAnsi="Arial" w:cs="Arial"/>
          <w:b/>
          <w:sz w:val="24"/>
          <w:szCs w:val="24"/>
          <w:highlight w:val="yellow"/>
        </w:rPr>
        <w:t>IRINEO BEOLCHI JÚNIOR</w:t>
      </w:r>
    </w:p>
    <w:p w14:paraId="2B67830C">
      <w:pPr>
        <w:suppressAutoHyphens w:val="0"/>
        <w:autoSpaceDE w:val="0"/>
        <w:jc w:val="center"/>
        <w:rPr>
          <w:rFonts w:ascii="Arial" w:hAnsi="Arial" w:cs="Arial"/>
          <w:b/>
          <w:sz w:val="24"/>
          <w:szCs w:val="24"/>
        </w:rPr>
      </w:pPr>
      <w:r>
        <w:rPr>
          <w:rFonts w:ascii="Arial" w:hAnsi="Arial" w:eastAsia="Arial" w:cs="Arial"/>
          <w:b/>
          <w:sz w:val="24"/>
          <w:szCs w:val="24"/>
        </w:rPr>
        <w:t>PREFEITO</w:t>
      </w:r>
    </w:p>
    <w:p w14:paraId="5FEAEB57">
      <w:pPr>
        <w:jc w:val="center"/>
        <w:rPr>
          <w:rFonts w:ascii="Arial" w:hAnsi="Arial" w:cs="Arial"/>
          <w:b/>
          <w:sz w:val="24"/>
          <w:szCs w:val="24"/>
          <w:u w:val="single"/>
        </w:rPr>
      </w:pPr>
    </w:p>
    <w:p w14:paraId="4D78D777">
      <w:pPr>
        <w:jc w:val="center"/>
        <w:rPr>
          <w:rFonts w:ascii="Arial" w:hAnsi="Arial" w:cs="Arial"/>
          <w:b/>
          <w:sz w:val="24"/>
          <w:szCs w:val="24"/>
          <w:u w:val="single"/>
        </w:rPr>
      </w:pPr>
    </w:p>
    <w:p w14:paraId="6EDA2D40">
      <w:pPr>
        <w:autoSpaceDE w:val="0"/>
        <w:spacing w:line="360" w:lineRule="auto"/>
        <w:jc w:val="center"/>
        <w:rPr>
          <w:rFonts w:ascii="Arial" w:hAnsi="Arial" w:eastAsia="Tahoma" w:cs="Arial"/>
          <w:b/>
          <w:bCs/>
          <w:sz w:val="24"/>
          <w:szCs w:val="24"/>
        </w:rPr>
      </w:pPr>
    </w:p>
    <w:p w14:paraId="26467A30">
      <w:pPr>
        <w:autoSpaceDE w:val="0"/>
        <w:spacing w:line="360" w:lineRule="auto"/>
        <w:jc w:val="center"/>
        <w:rPr>
          <w:rFonts w:ascii="Arial" w:hAnsi="Arial" w:eastAsia="Tahoma" w:cs="Arial"/>
          <w:b/>
          <w:bCs/>
          <w:sz w:val="24"/>
          <w:szCs w:val="24"/>
        </w:rPr>
      </w:pPr>
    </w:p>
    <w:p w14:paraId="3DC100BA">
      <w:pPr>
        <w:autoSpaceDE w:val="0"/>
        <w:spacing w:line="360" w:lineRule="auto"/>
        <w:jc w:val="center"/>
        <w:rPr>
          <w:rFonts w:ascii="Arial" w:hAnsi="Arial" w:eastAsia="Tahoma" w:cs="Arial"/>
          <w:b/>
          <w:bCs/>
          <w:sz w:val="24"/>
          <w:szCs w:val="24"/>
        </w:rPr>
      </w:pPr>
    </w:p>
    <w:p w14:paraId="0EE9961D">
      <w:pPr>
        <w:autoSpaceDE w:val="0"/>
        <w:spacing w:line="360" w:lineRule="auto"/>
        <w:jc w:val="center"/>
        <w:rPr>
          <w:rFonts w:ascii="Arial" w:hAnsi="Arial" w:eastAsia="Tahoma" w:cs="Arial"/>
          <w:b/>
          <w:bCs/>
          <w:sz w:val="24"/>
          <w:szCs w:val="24"/>
        </w:rPr>
      </w:pPr>
    </w:p>
    <w:p w14:paraId="0B53A4F4">
      <w:pPr>
        <w:autoSpaceDE w:val="0"/>
        <w:spacing w:line="360" w:lineRule="auto"/>
        <w:jc w:val="center"/>
        <w:rPr>
          <w:rFonts w:ascii="Arial" w:hAnsi="Arial" w:eastAsia="Tahoma" w:cs="Arial"/>
          <w:b/>
          <w:bCs/>
          <w:sz w:val="24"/>
          <w:szCs w:val="24"/>
        </w:rPr>
      </w:pPr>
    </w:p>
    <w:p w14:paraId="27666B51">
      <w:pPr>
        <w:autoSpaceDE w:val="0"/>
        <w:spacing w:line="360" w:lineRule="auto"/>
        <w:jc w:val="center"/>
        <w:rPr>
          <w:rFonts w:ascii="Arial" w:hAnsi="Arial" w:eastAsia="Tahoma" w:cs="Arial"/>
          <w:b/>
          <w:bCs/>
          <w:sz w:val="24"/>
          <w:szCs w:val="24"/>
        </w:rPr>
      </w:pPr>
    </w:p>
    <w:p w14:paraId="053F86A3">
      <w:pPr>
        <w:autoSpaceDE w:val="0"/>
        <w:spacing w:line="360" w:lineRule="auto"/>
        <w:jc w:val="center"/>
        <w:rPr>
          <w:rFonts w:ascii="Arial" w:hAnsi="Arial" w:eastAsia="Tahoma" w:cs="Arial"/>
          <w:b/>
          <w:bCs/>
          <w:sz w:val="24"/>
          <w:szCs w:val="24"/>
        </w:rPr>
      </w:pPr>
    </w:p>
    <w:p w14:paraId="44666285">
      <w:pPr>
        <w:autoSpaceDE w:val="0"/>
        <w:spacing w:line="360" w:lineRule="auto"/>
        <w:jc w:val="center"/>
        <w:rPr>
          <w:rFonts w:ascii="Arial" w:hAnsi="Arial" w:eastAsia="Tahoma" w:cs="Arial"/>
          <w:b/>
          <w:bCs/>
          <w:sz w:val="24"/>
          <w:szCs w:val="24"/>
        </w:rPr>
      </w:pPr>
      <w:r>
        <w:rPr>
          <w:rFonts w:ascii="Arial" w:hAnsi="Arial" w:eastAsia="Tahoma" w:cs="Arial"/>
          <w:b/>
          <w:bCs/>
          <w:sz w:val="24"/>
          <w:szCs w:val="24"/>
        </w:rPr>
        <w:t>EDITAL DE LICITAÇÃO</w:t>
      </w:r>
    </w:p>
    <w:p w14:paraId="26DE72A4">
      <w:pPr>
        <w:suppressAutoHyphens w:val="0"/>
        <w:autoSpaceDE w:val="0"/>
        <w:spacing w:line="360" w:lineRule="auto"/>
        <w:jc w:val="center"/>
        <w:rPr>
          <w:rFonts w:ascii="Arial" w:hAnsi="Arial" w:cs="Arial"/>
          <w:b/>
          <w:bCs/>
          <w:sz w:val="24"/>
          <w:szCs w:val="24"/>
        </w:rPr>
      </w:pPr>
      <w:r>
        <w:rPr>
          <w:rFonts w:ascii="Arial" w:hAnsi="Arial" w:cs="Arial"/>
          <w:b/>
          <w:bCs/>
          <w:sz w:val="24"/>
          <w:szCs w:val="24"/>
        </w:rPr>
        <w:t>ANEXO I</w:t>
      </w:r>
    </w:p>
    <w:p w14:paraId="7D84FDD2">
      <w:pPr>
        <w:suppressAutoHyphens w:val="0"/>
        <w:autoSpaceDE w:val="0"/>
        <w:spacing w:line="360" w:lineRule="auto"/>
        <w:jc w:val="center"/>
        <w:rPr>
          <w:rFonts w:ascii="Arial" w:hAnsi="Arial" w:cs="Arial"/>
          <w:b/>
          <w:bCs/>
          <w:sz w:val="24"/>
          <w:szCs w:val="24"/>
        </w:rPr>
      </w:pPr>
      <w:r>
        <w:rPr>
          <w:rFonts w:ascii="Arial" w:hAnsi="Arial" w:cs="Arial"/>
          <w:b/>
          <w:bCs/>
          <w:sz w:val="24"/>
          <w:szCs w:val="24"/>
        </w:rPr>
        <w:t xml:space="preserve">MEMORIAL DESCRITIVO DO OBJETO DA LICITAÇÃO/ PREÇO UNITÁRIO MÁXIMO QUE A ADMINISTRAÇÃO SE PROPÕE A PAGAR </w:t>
      </w:r>
    </w:p>
    <w:p w14:paraId="21AA90D8">
      <w:pPr>
        <w:suppressAutoHyphens w:val="0"/>
        <w:autoSpaceDE w:val="0"/>
        <w:spacing w:line="360" w:lineRule="auto"/>
        <w:jc w:val="center"/>
        <w:rPr>
          <w:rFonts w:ascii="Arial" w:hAnsi="Arial" w:cs="Arial"/>
          <w:b/>
          <w:bCs/>
          <w:sz w:val="24"/>
          <w:szCs w:val="24"/>
        </w:rPr>
      </w:pPr>
      <w:r>
        <w:rPr>
          <w:rFonts w:ascii="Arial" w:hAnsi="Arial" w:cs="Arial"/>
          <w:b/>
          <w:bCs/>
          <w:sz w:val="24"/>
          <w:szCs w:val="24"/>
          <w:highlight w:val="yellow"/>
        </w:rPr>
        <w:t>SEGUE EM ARQUIVO SEPARADO</w:t>
      </w:r>
    </w:p>
    <w:p w14:paraId="5D61D6B3">
      <w:pPr>
        <w:suppressAutoHyphens w:val="0"/>
        <w:autoSpaceDE w:val="0"/>
        <w:spacing w:line="360" w:lineRule="auto"/>
        <w:jc w:val="center"/>
        <w:rPr>
          <w:rFonts w:ascii="Arial" w:hAnsi="Arial" w:cs="Arial"/>
          <w:b/>
          <w:bCs/>
          <w:i/>
          <w:sz w:val="24"/>
          <w:szCs w:val="24"/>
        </w:rPr>
      </w:pPr>
    </w:p>
    <w:p w14:paraId="5B742A25">
      <w:pPr>
        <w:autoSpaceDE w:val="0"/>
        <w:spacing w:line="360" w:lineRule="auto"/>
        <w:jc w:val="center"/>
        <w:rPr>
          <w:rFonts w:ascii="Arial" w:hAnsi="Arial" w:eastAsia="Tahoma" w:cs="Arial"/>
          <w:b/>
          <w:bCs/>
          <w:i/>
          <w:sz w:val="24"/>
          <w:szCs w:val="24"/>
          <w:highlight w:val="yellow"/>
        </w:rPr>
      </w:pPr>
      <w:r>
        <w:rPr>
          <w:rFonts w:ascii="Arial" w:hAnsi="Arial" w:eastAsia="Tahoma" w:cs="Arial"/>
          <w:b/>
          <w:bCs/>
          <w:i/>
          <w:sz w:val="24"/>
          <w:szCs w:val="24"/>
          <w:highlight w:val="yellow"/>
        </w:rPr>
        <w:t>ITENS DESTINADO PARA ME/EPP: 7/10/22/54/61/6894</w:t>
      </w:r>
    </w:p>
    <w:p w14:paraId="05F91A04">
      <w:pPr>
        <w:autoSpaceDE w:val="0"/>
        <w:spacing w:line="360" w:lineRule="auto"/>
        <w:jc w:val="center"/>
        <w:rPr>
          <w:rFonts w:ascii="Arial" w:hAnsi="Arial" w:eastAsia="Tahoma" w:cs="Arial"/>
          <w:b/>
          <w:bCs/>
        </w:rPr>
      </w:pPr>
    </w:p>
    <w:p w14:paraId="650679CC">
      <w:pPr>
        <w:autoSpaceDE w:val="0"/>
        <w:spacing w:line="360" w:lineRule="auto"/>
        <w:jc w:val="center"/>
        <w:rPr>
          <w:rFonts w:ascii="Arial" w:hAnsi="Arial" w:eastAsia="Tahoma" w:cs="Arial"/>
          <w:b/>
          <w:bCs/>
        </w:rPr>
      </w:pPr>
    </w:p>
    <w:p w14:paraId="586AD599">
      <w:pPr>
        <w:autoSpaceDE w:val="0"/>
        <w:spacing w:line="360" w:lineRule="auto"/>
        <w:jc w:val="center"/>
        <w:rPr>
          <w:rFonts w:ascii="Arial" w:hAnsi="Arial" w:eastAsia="Tahoma" w:cs="Arial"/>
          <w:b/>
          <w:bCs/>
        </w:rPr>
      </w:pPr>
    </w:p>
    <w:p w14:paraId="11E2CDF2">
      <w:pPr>
        <w:autoSpaceDE w:val="0"/>
        <w:spacing w:line="360" w:lineRule="auto"/>
        <w:jc w:val="center"/>
        <w:rPr>
          <w:rFonts w:ascii="Arial" w:hAnsi="Arial" w:eastAsia="Tahoma" w:cs="Arial"/>
          <w:b/>
          <w:bCs/>
        </w:rPr>
      </w:pPr>
    </w:p>
    <w:p w14:paraId="3B986D7B">
      <w:pPr>
        <w:suppressAutoHyphens w:val="0"/>
        <w:autoSpaceDE w:val="0"/>
        <w:autoSpaceDN w:val="0"/>
        <w:adjustRightInd w:val="0"/>
        <w:spacing w:line="360" w:lineRule="auto"/>
        <w:ind w:left="360"/>
        <w:jc w:val="both"/>
        <w:rPr>
          <w:rFonts w:ascii="Arial" w:hAnsi="Arial" w:cs="Arial"/>
          <w:b/>
          <w:bCs/>
          <w:sz w:val="24"/>
          <w:szCs w:val="24"/>
          <w:highlight w:val="yellow"/>
          <w:u w:val="single"/>
          <w:lang w:eastAsia="pt-BR"/>
        </w:rPr>
      </w:pPr>
      <w:r>
        <w:rPr>
          <w:rFonts w:ascii="Arial" w:hAnsi="Arial" w:cs="Arial"/>
          <w:b/>
          <w:bCs/>
          <w:sz w:val="24"/>
          <w:szCs w:val="24"/>
          <w:highlight w:val="yellow"/>
          <w:u w:val="single"/>
          <w:lang w:eastAsia="pt-BR"/>
        </w:rPr>
        <w:t xml:space="preserve">ADVERTÊNCIA: O Município de CEDRAL – SP ADVERTE a todos os Licitantes que penalizará Empresas que descumprirem o pactuado inscrevendo nos devidos cadastros de apenados. Solicitamos que as Empresas apresentem suas Propostas e Lances de forma consciente, com a certeza de que poderão cumprir com o fornecimento do objeto da forma como foi pedido no Edital e dentro dos prazos, preços e padrões de qualidade exigidos, a fim de evitar pedido de reequilíbrio. </w:t>
      </w:r>
    </w:p>
    <w:p w14:paraId="426B1DD0">
      <w:pPr>
        <w:autoSpaceDE w:val="0"/>
        <w:spacing w:line="360" w:lineRule="auto"/>
        <w:jc w:val="center"/>
        <w:rPr>
          <w:rFonts w:ascii="Arial" w:hAnsi="Arial" w:eastAsia="Tahoma" w:cs="Arial"/>
          <w:b/>
          <w:bCs/>
        </w:rPr>
      </w:pPr>
    </w:p>
    <w:p w14:paraId="117A0550">
      <w:pPr>
        <w:autoSpaceDE w:val="0"/>
        <w:spacing w:line="360" w:lineRule="auto"/>
        <w:jc w:val="center"/>
        <w:rPr>
          <w:rFonts w:ascii="Arial" w:hAnsi="Arial" w:eastAsia="Tahoma" w:cs="Arial"/>
          <w:b/>
          <w:bCs/>
        </w:rPr>
      </w:pPr>
    </w:p>
    <w:p w14:paraId="56D05750">
      <w:pPr>
        <w:autoSpaceDE w:val="0"/>
        <w:spacing w:line="360" w:lineRule="auto"/>
        <w:jc w:val="center"/>
        <w:rPr>
          <w:rFonts w:ascii="Arial" w:hAnsi="Arial" w:eastAsia="Tahoma" w:cs="Arial"/>
          <w:b/>
          <w:bCs/>
        </w:rPr>
      </w:pPr>
    </w:p>
    <w:p w14:paraId="48F32C56">
      <w:pPr>
        <w:autoSpaceDE w:val="0"/>
        <w:spacing w:line="360" w:lineRule="auto"/>
        <w:jc w:val="center"/>
        <w:rPr>
          <w:rFonts w:ascii="Arial" w:hAnsi="Arial" w:eastAsia="Tahoma" w:cs="Arial"/>
          <w:b/>
          <w:bCs/>
        </w:rPr>
      </w:pPr>
    </w:p>
    <w:p w14:paraId="78A7D483">
      <w:pPr>
        <w:autoSpaceDE w:val="0"/>
        <w:spacing w:line="360" w:lineRule="auto"/>
        <w:jc w:val="center"/>
        <w:rPr>
          <w:rFonts w:ascii="Arial" w:hAnsi="Arial" w:eastAsia="Tahoma" w:cs="Arial"/>
          <w:b/>
          <w:bCs/>
        </w:rPr>
      </w:pPr>
    </w:p>
    <w:p w14:paraId="2DC8D37D">
      <w:pPr>
        <w:autoSpaceDE w:val="0"/>
        <w:spacing w:line="360" w:lineRule="auto"/>
        <w:jc w:val="center"/>
        <w:rPr>
          <w:rFonts w:ascii="Arial" w:hAnsi="Arial" w:eastAsia="Tahoma" w:cs="Arial"/>
          <w:b/>
          <w:bCs/>
        </w:rPr>
      </w:pPr>
    </w:p>
    <w:p w14:paraId="1A1DC121">
      <w:pPr>
        <w:autoSpaceDE w:val="0"/>
        <w:spacing w:line="360" w:lineRule="auto"/>
        <w:jc w:val="center"/>
        <w:rPr>
          <w:rFonts w:ascii="Arial" w:hAnsi="Arial" w:eastAsia="Tahoma" w:cs="Arial"/>
          <w:b/>
          <w:bCs/>
        </w:rPr>
      </w:pPr>
    </w:p>
    <w:p w14:paraId="7CC0EDA5">
      <w:pPr>
        <w:autoSpaceDE w:val="0"/>
        <w:spacing w:line="360" w:lineRule="auto"/>
        <w:jc w:val="center"/>
        <w:rPr>
          <w:rFonts w:ascii="Arial" w:hAnsi="Arial" w:eastAsia="Tahoma" w:cs="Arial"/>
          <w:b/>
          <w:bCs/>
        </w:rPr>
      </w:pPr>
    </w:p>
    <w:p w14:paraId="05E37611">
      <w:pPr>
        <w:autoSpaceDE w:val="0"/>
        <w:spacing w:line="360" w:lineRule="auto"/>
        <w:jc w:val="center"/>
        <w:rPr>
          <w:rFonts w:ascii="Arial" w:hAnsi="Arial" w:eastAsia="Tahoma" w:cs="Arial"/>
          <w:b/>
          <w:bCs/>
        </w:rPr>
      </w:pPr>
    </w:p>
    <w:p w14:paraId="180056B8">
      <w:pPr>
        <w:autoSpaceDE w:val="0"/>
        <w:spacing w:line="360" w:lineRule="auto"/>
        <w:jc w:val="center"/>
        <w:rPr>
          <w:rFonts w:ascii="Arial" w:hAnsi="Arial" w:eastAsia="Tahoma" w:cs="Arial"/>
          <w:b/>
          <w:bCs/>
        </w:rPr>
      </w:pPr>
    </w:p>
    <w:p w14:paraId="63B4AC9C">
      <w:pPr>
        <w:autoSpaceDE w:val="0"/>
        <w:spacing w:line="360" w:lineRule="auto"/>
        <w:jc w:val="center"/>
        <w:rPr>
          <w:rFonts w:ascii="Arial" w:hAnsi="Arial" w:eastAsia="Tahoma" w:cs="Arial"/>
          <w:b/>
          <w:bCs/>
        </w:rPr>
      </w:pPr>
    </w:p>
    <w:p w14:paraId="557C59DF">
      <w:pPr>
        <w:autoSpaceDE w:val="0"/>
        <w:spacing w:line="360" w:lineRule="auto"/>
        <w:jc w:val="center"/>
        <w:rPr>
          <w:rFonts w:ascii="Arial" w:hAnsi="Arial" w:eastAsia="Tahoma" w:cs="Arial"/>
          <w:b/>
          <w:bCs/>
        </w:rPr>
      </w:pPr>
    </w:p>
    <w:p w14:paraId="2030CC01">
      <w:pPr>
        <w:autoSpaceDE w:val="0"/>
        <w:spacing w:line="360" w:lineRule="auto"/>
        <w:jc w:val="center"/>
        <w:rPr>
          <w:rFonts w:ascii="Arial" w:hAnsi="Arial" w:eastAsia="Tahoma" w:cs="Arial"/>
          <w:b/>
          <w:bCs/>
        </w:rPr>
      </w:pPr>
    </w:p>
    <w:p w14:paraId="407D077A">
      <w:pPr>
        <w:autoSpaceDE w:val="0"/>
        <w:spacing w:line="360" w:lineRule="auto"/>
        <w:jc w:val="center"/>
        <w:rPr>
          <w:rFonts w:ascii="Arial" w:hAnsi="Arial" w:eastAsia="Tahoma" w:cs="Arial"/>
          <w:b/>
          <w:bCs/>
          <w:sz w:val="24"/>
          <w:szCs w:val="24"/>
        </w:rPr>
      </w:pPr>
      <w:r>
        <w:rPr>
          <w:rFonts w:ascii="Arial" w:hAnsi="Arial" w:eastAsia="Tahoma" w:cs="Arial"/>
          <w:b/>
          <w:bCs/>
          <w:sz w:val="24"/>
          <w:szCs w:val="24"/>
        </w:rPr>
        <w:t>EDITAL DE LICITAÇÃO</w:t>
      </w:r>
    </w:p>
    <w:p w14:paraId="1794999B">
      <w:pPr>
        <w:suppressAutoHyphens w:val="0"/>
        <w:autoSpaceDE w:val="0"/>
        <w:spacing w:line="360" w:lineRule="auto"/>
        <w:jc w:val="center"/>
        <w:rPr>
          <w:rFonts w:ascii="Arial" w:hAnsi="Arial" w:cs="Arial"/>
          <w:b/>
          <w:bCs/>
          <w:sz w:val="24"/>
          <w:szCs w:val="24"/>
        </w:rPr>
      </w:pPr>
      <w:r>
        <w:rPr>
          <w:rFonts w:ascii="Arial" w:hAnsi="Arial" w:cs="Arial"/>
          <w:b/>
          <w:bCs/>
          <w:sz w:val="24"/>
          <w:szCs w:val="24"/>
        </w:rPr>
        <w:t>ANEXO II</w:t>
      </w:r>
    </w:p>
    <w:p w14:paraId="3AD59152">
      <w:pPr>
        <w:pStyle w:val="9"/>
        <w:spacing w:line="360" w:lineRule="auto"/>
        <w:jc w:val="center"/>
        <w:rPr>
          <w:rFonts w:ascii="Arial" w:hAnsi="Arial" w:cs="Arial"/>
          <w:b/>
          <w:u w:val="single"/>
        </w:rPr>
      </w:pPr>
      <w:r>
        <w:rPr>
          <w:rFonts w:ascii="Arial" w:hAnsi="Arial" w:cs="Arial"/>
          <w:b/>
          <w:u w:val="single"/>
        </w:rPr>
        <w:t>MODELO DE DECLARAÇÃO DE CUMPRIMENTO DO DISPOSTO NO INCISO XXXIII DO ARTIGO 7º DA CONSTITUIÇÃO FEDERAL</w:t>
      </w:r>
    </w:p>
    <w:p w14:paraId="7A52D4A7">
      <w:pPr>
        <w:pStyle w:val="9"/>
        <w:spacing w:line="360" w:lineRule="auto"/>
        <w:jc w:val="center"/>
        <w:rPr>
          <w:rFonts w:ascii="Arial" w:hAnsi="Arial" w:cs="Arial"/>
          <w:b/>
          <w:u w:val="single"/>
        </w:rPr>
      </w:pPr>
    </w:p>
    <w:p w14:paraId="2E34D19B">
      <w:pPr>
        <w:autoSpaceDE w:val="0"/>
        <w:spacing w:line="360" w:lineRule="auto"/>
        <w:jc w:val="both"/>
        <w:rPr>
          <w:rFonts w:ascii="Arial" w:hAnsi="Arial" w:eastAsia="Tahoma" w:cs="Arial"/>
          <w:sz w:val="24"/>
          <w:szCs w:val="24"/>
        </w:rPr>
      </w:pPr>
    </w:p>
    <w:p w14:paraId="3B59E07B">
      <w:pPr>
        <w:autoSpaceDE w:val="0"/>
        <w:spacing w:line="360" w:lineRule="auto"/>
        <w:jc w:val="both"/>
        <w:rPr>
          <w:rFonts w:ascii="Arial" w:hAnsi="Arial" w:eastAsia="Tahoma" w:cs="Arial"/>
          <w:sz w:val="24"/>
          <w:szCs w:val="24"/>
        </w:rPr>
      </w:pPr>
      <w:r>
        <w:rPr>
          <w:rFonts w:ascii="Arial" w:hAnsi="Arial" w:eastAsia="Tahoma" w:cs="Arial"/>
          <w:sz w:val="24"/>
          <w:szCs w:val="24"/>
        </w:rPr>
        <w:t>Ao</w:t>
      </w:r>
    </w:p>
    <w:p w14:paraId="020598DE">
      <w:pPr>
        <w:autoSpaceDE w:val="0"/>
        <w:spacing w:line="360" w:lineRule="auto"/>
        <w:jc w:val="both"/>
        <w:rPr>
          <w:rFonts w:ascii="Arial" w:hAnsi="Arial" w:eastAsia="Tahoma" w:cs="Arial"/>
          <w:sz w:val="24"/>
          <w:szCs w:val="24"/>
        </w:rPr>
      </w:pPr>
      <w:r>
        <w:rPr>
          <w:rFonts w:ascii="Arial" w:hAnsi="Arial" w:eastAsia="Tahoma" w:cs="Arial"/>
          <w:sz w:val="24"/>
          <w:szCs w:val="24"/>
        </w:rPr>
        <w:t xml:space="preserve">PREGOEIRO </w:t>
      </w:r>
    </w:p>
    <w:p w14:paraId="2BC62962">
      <w:pPr>
        <w:autoSpaceDE w:val="0"/>
        <w:spacing w:line="360" w:lineRule="auto"/>
        <w:jc w:val="both"/>
        <w:rPr>
          <w:rFonts w:ascii="Arial" w:hAnsi="Arial" w:eastAsia="Tahoma" w:cs="Arial"/>
          <w:b/>
          <w:bCs/>
          <w:sz w:val="24"/>
          <w:szCs w:val="24"/>
        </w:rPr>
      </w:pPr>
    </w:p>
    <w:p w14:paraId="6C2E58F0">
      <w:pPr>
        <w:autoSpaceDE w:val="0"/>
        <w:spacing w:line="360" w:lineRule="auto"/>
        <w:jc w:val="both"/>
        <w:rPr>
          <w:rFonts w:ascii="Arial" w:hAnsi="Arial" w:eastAsia="Tahoma" w:cs="Arial"/>
          <w:b/>
          <w:bCs/>
          <w:sz w:val="24"/>
          <w:szCs w:val="24"/>
        </w:rPr>
      </w:pPr>
    </w:p>
    <w:p w14:paraId="4916D2D8">
      <w:pPr>
        <w:autoSpaceDE w:val="0"/>
        <w:spacing w:line="360" w:lineRule="auto"/>
        <w:jc w:val="both"/>
        <w:rPr>
          <w:rFonts w:ascii="Arial" w:hAnsi="Arial" w:eastAsia="Tahoma" w:cs="Arial"/>
          <w:b/>
          <w:bCs/>
          <w:sz w:val="24"/>
          <w:szCs w:val="24"/>
        </w:rPr>
      </w:pPr>
    </w:p>
    <w:p w14:paraId="0BA3726D">
      <w:pPr>
        <w:autoSpaceDE w:val="0"/>
        <w:spacing w:line="360" w:lineRule="auto"/>
        <w:jc w:val="both"/>
        <w:rPr>
          <w:rFonts w:ascii="Arial" w:hAnsi="Arial" w:eastAsia="Tahoma" w:cs="Arial"/>
          <w:sz w:val="24"/>
          <w:szCs w:val="24"/>
        </w:rPr>
      </w:pPr>
      <w:r>
        <w:rPr>
          <w:rFonts w:ascii="Arial" w:hAnsi="Arial" w:eastAsia="Tahoma" w:cs="Arial"/>
          <w:sz w:val="24"/>
          <w:szCs w:val="24"/>
        </w:rPr>
        <w:t>____________________________________________________, inscrita no CNPJ sob o nº ____________________, sediada na ____________________________________, declara, sob as penas da Lei, para os fins requeridos no inciso XXXIII, do artigo 7° da Constituição Federal, consoante o que se estabeleceu no artigo 1°, da Lei n° 9.854, de 27 de outubro de 1999, que não tem em seu quadro de empregados, menores de 18 anos em trabalho noturno, perigoso ou insalubre, bem como em qualquer trabalho, menores de 16 anos.</w:t>
      </w:r>
    </w:p>
    <w:p w14:paraId="18697DCA">
      <w:pPr>
        <w:autoSpaceDE w:val="0"/>
        <w:spacing w:line="360" w:lineRule="auto"/>
        <w:jc w:val="both"/>
        <w:rPr>
          <w:rFonts w:ascii="Arial" w:hAnsi="Arial" w:eastAsia="Tahoma" w:cs="Arial"/>
          <w:sz w:val="24"/>
          <w:szCs w:val="24"/>
        </w:rPr>
      </w:pPr>
      <w:r>
        <w:rPr>
          <w:rFonts w:ascii="Arial" w:hAnsi="Arial" w:eastAsia="Tahoma" w:cs="Arial"/>
          <w:sz w:val="24"/>
          <w:szCs w:val="24"/>
        </w:rPr>
        <w:t>Ressalva: emprega menor, a partir de 14 anos, na condição de aprendiz ( ).</w:t>
      </w:r>
    </w:p>
    <w:p w14:paraId="220B7F15">
      <w:pPr>
        <w:autoSpaceDE w:val="0"/>
        <w:spacing w:line="360" w:lineRule="auto"/>
        <w:jc w:val="both"/>
        <w:rPr>
          <w:rFonts w:ascii="Arial" w:hAnsi="Arial" w:eastAsia="Tahoma" w:cs="Arial"/>
          <w:sz w:val="24"/>
          <w:szCs w:val="24"/>
        </w:rPr>
      </w:pPr>
    </w:p>
    <w:p w14:paraId="2E171428">
      <w:pPr>
        <w:autoSpaceDE w:val="0"/>
        <w:spacing w:line="360" w:lineRule="auto"/>
        <w:jc w:val="both"/>
        <w:rPr>
          <w:rFonts w:ascii="Arial" w:hAnsi="Arial" w:eastAsia="Tahoma" w:cs="Arial"/>
          <w:sz w:val="24"/>
          <w:szCs w:val="24"/>
        </w:rPr>
      </w:pPr>
    </w:p>
    <w:p w14:paraId="466D1FF7">
      <w:pPr>
        <w:autoSpaceDE w:val="0"/>
        <w:spacing w:line="360" w:lineRule="auto"/>
        <w:jc w:val="both"/>
        <w:rPr>
          <w:rFonts w:ascii="Arial" w:hAnsi="Arial" w:eastAsia="Tahoma" w:cs="Arial"/>
          <w:sz w:val="24"/>
          <w:szCs w:val="24"/>
        </w:rPr>
      </w:pPr>
      <w:r>
        <w:rPr>
          <w:rFonts w:ascii="Arial" w:hAnsi="Arial" w:eastAsia="Tahoma" w:cs="Arial"/>
          <w:sz w:val="24"/>
          <w:szCs w:val="24"/>
        </w:rPr>
        <w:t>__________________________, de ________ de ______________ de ________.</w:t>
      </w:r>
    </w:p>
    <w:p w14:paraId="637033F9">
      <w:pPr>
        <w:autoSpaceDE w:val="0"/>
        <w:spacing w:line="360" w:lineRule="auto"/>
        <w:jc w:val="both"/>
        <w:rPr>
          <w:rFonts w:ascii="Arial" w:hAnsi="Arial" w:eastAsia="Tahoma" w:cs="Arial"/>
          <w:sz w:val="24"/>
          <w:szCs w:val="24"/>
        </w:rPr>
      </w:pPr>
    </w:p>
    <w:p w14:paraId="6286D137">
      <w:pPr>
        <w:autoSpaceDE w:val="0"/>
        <w:spacing w:line="360" w:lineRule="auto"/>
        <w:jc w:val="both"/>
        <w:rPr>
          <w:rFonts w:ascii="Arial" w:hAnsi="Arial" w:eastAsia="Tahoma" w:cs="Arial"/>
          <w:sz w:val="24"/>
          <w:szCs w:val="24"/>
        </w:rPr>
      </w:pPr>
      <w:r>
        <w:rPr>
          <w:rFonts w:ascii="Arial" w:hAnsi="Arial" w:eastAsia="Tahoma" w:cs="Arial"/>
          <w:sz w:val="24"/>
          <w:szCs w:val="24"/>
        </w:rPr>
        <w:t>(NOME E ASSINATURA DO REPRESENTANTE DA PROPONENTE)</w:t>
      </w:r>
    </w:p>
    <w:p w14:paraId="69150B30">
      <w:pPr>
        <w:suppressAutoHyphens w:val="0"/>
        <w:autoSpaceDE w:val="0"/>
        <w:spacing w:line="360" w:lineRule="auto"/>
        <w:jc w:val="both"/>
        <w:rPr>
          <w:rFonts w:ascii="Arial" w:hAnsi="Arial" w:cs="Arial"/>
          <w:b/>
          <w:bCs/>
          <w:sz w:val="24"/>
          <w:szCs w:val="24"/>
        </w:rPr>
      </w:pPr>
    </w:p>
    <w:p w14:paraId="1FBFDA79">
      <w:pPr>
        <w:suppressAutoHyphens w:val="0"/>
        <w:autoSpaceDE w:val="0"/>
        <w:spacing w:line="360" w:lineRule="auto"/>
        <w:jc w:val="both"/>
        <w:rPr>
          <w:rFonts w:ascii="Arial" w:hAnsi="Arial" w:cs="Arial"/>
          <w:b/>
          <w:bCs/>
          <w:sz w:val="24"/>
          <w:szCs w:val="24"/>
        </w:rPr>
      </w:pPr>
    </w:p>
    <w:p w14:paraId="1E2D26D5">
      <w:pPr>
        <w:suppressAutoHyphens w:val="0"/>
        <w:autoSpaceDE w:val="0"/>
        <w:spacing w:line="360" w:lineRule="auto"/>
        <w:jc w:val="both"/>
        <w:rPr>
          <w:rFonts w:ascii="Arial" w:hAnsi="Arial" w:cs="Arial"/>
          <w:b/>
          <w:bCs/>
          <w:sz w:val="24"/>
          <w:szCs w:val="24"/>
        </w:rPr>
      </w:pPr>
    </w:p>
    <w:p w14:paraId="6C5ACB18">
      <w:pPr>
        <w:suppressAutoHyphens w:val="0"/>
        <w:autoSpaceDE w:val="0"/>
        <w:spacing w:line="360" w:lineRule="auto"/>
        <w:jc w:val="center"/>
        <w:rPr>
          <w:rFonts w:ascii="Arial" w:hAnsi="Arial" w:cs="Arial"/>
          <w:b/>
          <w:bCs/>
          <w:sz w:val="24"/>
          <w:szCs w:val="24"/>
        </w:rPr>
      </w:pPr>
    </w:p>
    <w:p w14:paraId="653BDA0B">
      <w:pPr>
        <w:autoSpaceDE w:val="0"/>
        <w:spacing w:line="360" w:lineRule="auto"/>
        <w:jc w:val="center"/>
        <w:rPr>
          <w:rFonts w:ascii="Arial" w:hAnsi="Arial" w:eastAsia="Tahoma" w:cs="Arial"/>
          <w:b/>
          <w:bCs/>
          <w:sz w:val="24"/>
          <w:szCs w:val="24"/>
        </w:rPr>
      </w:pPr>
      <w:r>
        <w:rPr>
          <w:rFonts w:ascii="Arial" w:hAnsi="Arial" w:eastAsia="Tahoma" w:cs="Arial"/>
          <w:b/>
          <w:bCs/>
          <w:sz w:val="24"/>
          <w:szCs w:val="24"/>
        </w:rPr>
        <w:t>EDITAL DE LICITAÇÃO</w:t>
      </w:r>
    </w:p>
    <w:p w14:paraId="4428BA9A">
      <w:pPr>
        <w:suppressAutoHyphens w:val="0"/>
        <w:autoSpaceDE w:val="0"/>
        <w:spacing w:line="360" w:lineRule="auto"/>
        <w:jc w:val="center"/>
        <w:rPr>
          <w:rFonts w:ascii="Arial" w:hAnsi="Arial" w:cs="Arial"/>
          <w:b/>
          <w:bCs/>
          <w:sz w:val="24"/>
          <w:szCs w:val="24"/>
          <w:highlight w:val="lightGray"/>
          <w:u w:val="single"/>
        </w:rPr>
      </w:pPr>
      <w:r>
        <w:rPr>
          <w:rFonts w:ascii="Arial" w:hAnsi="Arial" w:cs="Arial"/>
          <w:b/>
          <w:bCs/>
          <w:sz w:val="24"/>
          <w:szCs w:val="24"/>
          <w:highlight w:val="lightGray"/>
          <w:u w:val="single"/>
        </w:rPr>
        <w:t>ANEXO III – MODELO DE PROPOSTA PARA:</w:t>
      </w:r>
    </w:p>
    <w:p w14:paraId="698B8148">
      <w:pPr>
        <w:suppressAutoHyphens w:val="0"/>
        <w:autoSpaceDE w:val="0"/>
        <w:spacing w:line="360" w:lineRule="auto"/>
        <w:jc w:val="center"/>
        <w:rPr>
          <w:rFonts w:ascii="Arial" w:hAnsi="Arial" w:cs="Arial"/>
          <w:b/>
          <w:bCs/>
          <w:sz w:val="24"/>
          <w:szCs w:val="24"/>
          <w:highlight w:val="lightGray"/>
          <w:u w:val="single"/>
        </w:rPr>
      </w:pPr>
      <w:r>
        <w:rPr>
          <w:rFonts w:ascii="Arial" w:hAnsi="Arial" w:cs="Arial"/>
          <w:b/>
          <w:bCs/>
          <w:sz w:val="24"/>
          <w:szCs w:val="24"/>
          <w:highlight w:val="lightGray"/>
          <w:u w:val="single"/>
        </w:rPr>
        <w:t>PROPOSTA INICIAL (POSTADA COM OS DOCUMENTOS DE HABILITAÇÃO)</w:t>
      </w:r>
    </w:p>
    <w:p w14:paraId="27EB911B">
      <w:pPr>
        <w:suppressAutoHyphens w:val="0"/>
        <w:autoSpaceDE w:val="0"/>
        <w:spacing w:line="360" w:lineRule="auto"/>
        <w:jc w:val="center"/>
        <w:rPr>
          <w:rFonts w:ascii="Arial" w:hAnsi="Arial" w:cs="Arial"/>
          <w:b/>
          <w:bCs/>
          <w:sz w:val="24"/>
          <w:szCs w:val="24"/>
          <w:highlight w:val="lightGray"/>
          <w:u w:val="single"/>
        </w:rPr>
      </w:pPr>
      <w:r>
        <w:rPr>
          <w:rFonts w:ascii="Arial" w:hAnsi="Arial" w:cs="Arial"/>
          <w:b/>
          <w:bCs/>
          <w:sz w:val="24"/>
          <w:szCs w:val="24"/>
          <w:highlight w:val="lightGray"/>
          <w:u w:val="single"/>
        </w:rPr>
        <w:t>E</w:t>
      </w:r>
    </w:p>
    <w:p w14:paraId="132A8C82">
      <w:pPr>
        <w:suppressAutoHyphens w:val="0"/>
        <w:autoSpaceDE w:val="0"/>
        <w:spacing w:line="360" w:lineRule="auto"/>
        <w:jc w:val="center"/>
        <w:rPr>
          <w:rFonts w:ascii="Arial" w:hAnsi="Arial" w:cs="Arial"/>
          <w:b/>
          <w:bCs/>
          <w:sz w:val="24"/>
          <w:szCs w:val="24"/>
          <w:u w:val="single"/>
        </w:rPr>
      </w:pPr>
      <w:r>
        <w:rPr>
          <w:rFonts w:ascii="Arial" w:hAnsi="Arial" w:cs="Arial"/>
          <w:b/>
          <w:bCs/>
          <w:sz w:val="24"/>
          <w:szCs w:val="24"/>
          <w:highlight w:val="lightGray"/>
          <w:u w:val="single"/>
        </w:rPr>
        <w:t xml:space="preserve"> PROPOSTA APÓS OS LANCES</w:t>
      </w:r>
    </w:p>
    <w:p w14:paraId="625D0694">
      <w:pPr>
        <w:spacing w:line="360" w:lineRule="auto"/>
        <w:ind w:right="91"/>
        <w:rPr>
          <w:rFonts w:ascii="Arial" w:hAnsi="Arial" w:cs="Arial"/>
          <w:b/>
          <w:bCs/>
          <w:iCs/>
          <w:color w:val="000000"/>
          <w:sz w:val="24"/>
          <w:szCs w:val="24"/>
        </w:rPr>
      </w:pPr>
    </w:p>
    <w:p w14:paraId="25D2542D">
      <w:pPr>
        <w:spacing w:line="360" w:lineRule="auto"/>
        <w:ind w:right="91"/>
        <w:rPr>
          <w:rFonts w:ascii="Arial" w:hAnsi="Arial" w:cs="Arial"/>
          <w:b/>
          <w:bCs/>
          <w:iCs/>
          <w:color w:val="000000"/>
          <w:sz w:val="24"/>
          <w:szCs w:val="24"/>
        </w:rPr>
      </w:pPr>
      <w:r>
        <w:rPr>
          <w:rFonts w:ascii="Arial" w:hAnsi="Arial" w:cs="Arial"/>
          <w:b/>
          <w:bCs/>
          <w:iCs/>
          <w:color w:val="000000"/>
          <w:sz w:val="24"/>
          <w:szCs w:val="24"/>
        </w:rPr>
        <w:t>1 - A proposta deverá conter as informações abaixo:</w:t>
      </w:r>
    </w:p>
    <w:p w14:paraId="10F41838">
      <w:pPr>
        <w:spacing w:line="360" w:lineRule="auto"/>
        <w:ind w:right="91"/>
        <w:rPr>
          <w:rFonts w:ascii="Arial" w:hAnsi="Arial" w:cs="Arial"/>
          <w:b/>
          <w:bCs/>
          <w:iCs/>
          <w:color w:val="000000"/>
          <w:sz w:val="24"/>
          <w:szCs w:val="24"/>
        </w:rPr>
      </w:pPr>
      <w:r>
        <w:rPr>
          <w:rFonts w:ascii="Arial" w:hAnsi="Arial" w:cs="Arial"/>
          <w:b/>
          <w:bCs/>
          <w:iCs/>
          <w:color w:val="000000"/>
          <w:sz w:val="24"/>
          <w:szCs w:val="24"/>
        </w:rPr>
        <w:t>Proponente:</w:t>
      </w:r>
    </w:p>
    <w:p w14:paraId="7F51D5F6">
      <w:pPr>
        <w:spacing w:line="360" w:lineRule="auto"/>
        <w:ind w:right="91"/>
        <w:rPr>
          <w:rFonts w:ascii="Arial" w:hAnsi="Arial" w:cs="Arial"/>
          <w:bCs/>
          <w:iCs/>
          <w:color w:val="000000"/>
          <w:sz w:val="24"/>
          <w:szCs w:val="24"/>
        </w:rPr>
      </w:pPr>
      <w:r>
        <w:rPr>
          <w:rFonts w:ascii="Arial" w:hAnsi="Arial" w:cs="Arial"/>
          <w:bCs/>
          <w:iCs/>
          <w:color w:val="000000"/>
          <w:sz w:val="24"/>
          <w:szCs w:val="24"/>
        </w:rPr>
        <w:t>CNPJ:</w:t>
      </w:r>
    </w:p>
    <w:p w14:paraId="018A325C">
      <w:pPr>
        <w:spacing w:line="360" w:lineRule="auto"/>
        <w:ind w:right="91"/>
        <w:rPr>
          <w:rFonts w:ascii="Arial" w:hAnsi="Arial" w:cs="Arial"/>
          <w:bCs/>
          <w:iCs/>
          <w:color w:val="000000"/>
          <w:sz w:val="24"/>
          <w:szCs w:val="24"/>
        </w:rPr>
      </w:pPr>
      <w:r>
        <w:rPr>
          <w:rFonts w:ascii="Arial" w:hAnsi="Arial" w:cs="Arial"/>
          <w:bCs/>
          <w:iCs/>
          <w:color w:val="000000"/>
          <w:sz w:val="24"/>
          <w:szCs w:val="24"/>
        </w:rPr>
        <w:t>Endereço Completo:</w:t>
      </w:r>
    </w:p>
    <w:p w14:paraId="2DBAADCB">
      <w:pPr>
        <w:spacing w:line="360" w:lineRule="auto"/>
        <w:ind w:right="91"/>
        <w:rPr>
          <w:rFonts w:ascii="Arial" w:hAnsi="Arial" w:cs="Arial"/>
          <w:bCs/>
          <w:iCs/>
          <w:color w:val="000000"/>
          <w:sz w:val="24"/>
          <w:szCs w:val="24"/>
        </w:rPr>
      </w:pPr>
      <w:r>
        <w:rPr>
          <w:rFonts w:ascii="Arial" w:hAnsi="Arial" w:cs="Arial"/>
          <w:bCs/>
          <w:iCs/>
          <w:color w:val="000000"/>
          <w:sz w:val="24"/>
          <w:szCs w:val="24"/>
        </w:rPr>
        <w:t>Fone:</w:t>
      </w:r>
    </w:p>
    <w:p w14:paraId="6DAA0B54">
      <w:pPr>
        <w:spacing w:line="360" w:lineRule="auto"/>
        <w:ind w:right="91"/>
        <w:rPr>
          <w:rFonts w:ascii="Arial" w:hAnsi="Arial" w:cs="Arial"/>
          <w:bCs/>
          <w:iCs/>
          <w:color w:val="000000"/>
          <w:sz w:val="24"/>
          <w:szCs w:val="24"/>
        </w:rPr>
      </w:pPr>
      <w:r>
        <w:rPr>
          <w:rFonts w:ascii="Arial" w:hAnsi="Arial" w:cs="Arial"/>
          <w:bCs/>
          <w:iCs/>
          <w:color w:val="000000"/>
          <w:sz w:val="24"/>
          <w:szCs w:val="24"/>
        </w:rPr>
        <w:t>E-mail:</w:t>
      </w:r>
    </w:p>
    <w:p w14:paraId="2F817EE7">
      <w:pPr>
        <w:pStyle w:val="25"/>
        <w:widowControl w:val="0"/>
        <w:suppressAutoHyphens/>
        <w:spacing w:line="360" w:lineRule="auto"/>
        <w:jc w:val="both"/>
        <w:rPr>
          <w:b/>
          <w:bCs/>
        </w:rPr>
      </w:pPr>
      <w:r>
        <w:rPr>
          <w:b/>
          <w:bCs/>
        </w:rPr>
        <w:t>Dados Bancário da pessoa jurídica</w:t>
      </w:r>
    </w:p>
    <w:p w14:paraId="15EE3D03">
      <w:pPr>
        <w:pStyle w:val="25"/>
        <w:widowControl w:val="0"/>
        <w:suppressAutoHyphens/>
        <w:spacing w:line="360" w:lineRule="auto"/>
        <w:jc w:val="both"/>
        <w:rPr>
          <w:bCs/>
        </w:rPr>
      </w:pPr>
      <w:r>
        <w:rPr>
          <w:bCs/>
        </w:rPr>
        <w:t>Banco:</w:t>
      </w:r>
    </w:p>
    <w:p w14:paraId="6FA74E70">
      <w:pPr>
        <w:pStyle w:val="25"/>
        <w:widowControl w:val="0"/>
        <w:suppressAutoHyphens/>
        <w:spacing w:line="360" w:lineRule="auto"/>
        <w:jc w:val="both"/>
        <w:rPr>
          <w:bCs/>
        </w:rPr>
      </w:pPr>
      <w:r>
        <w:rPr>
          <w:bCs/>
        </w:rPr>
        <w:t xml:space="preserve">Agência: </w:t>
      </w:r>
    </w:p>
    <w:p w14:paraId="0079214B">
      <w:pPr>
        <w:spacing w:line="360" w:lineRule="auto"/>
        <w:ind w:right="91"/>
        <w:rPr>
          <w:rFonts w:ascii="Arial" w:hAnsi="Arial" w:cs="Arial"/>
          <w:bCs/>
          <w:iCs/>
          <w:color w:val="000000"/>
          <w:sz w:val="24"/>
          <w:szCs w:val="24"/>
        </w:rPr>
      </w:pPr>
      <w:r>
        <w:rPr>
          <w:rFonts w:ascii="Arial" w:hAnsi="Arial" w:cs="Arial"/>
          <w:bCs/>
          <w:sz w:val="24"/>
          <w:szCs w:val="24"/>
        </w:rPr>
        <w:t>Conta:</w:t>
      </w:r>
    </w:p>
    <w:p w14:paraId="41FEDE70">
      <w:pPr>
        <w:pStyle w:val="25"/>
        <w:widowControl w:val="0"/>
        <w:suppressAutoHyphens/>
        <w:spacing w:line="360" w:lineRule="auto"/>
        <w:jc w:val="both"/>
        <w:rPr>
          <w:b/>
          <w:bCs/>
        </w:rPr>
      </w:pPr>
      <w:r>
        <w:rPr>
          <w:b/>
          <w:bCs/>
        </w:rPr>
        <w:t>- Responsável para assinatura da Ata:</w:t>
      </w:r>
    </w:p>
    <w:p w14:paraId="69A83E43">
      <w:pPr>
        <w:pStyle w:val="25"/>
        <w:widowControl w:val="0"/>
        <w:suppressAutoHyphens/>
        <w:spacing w:line="360" w:lineRule="auto"/>
        <w:jc w:val="both"/>
        <w:rPr>
          <w:bCs/>
        </w:rPr>
      </w:pPr>
      <w:r>
        <w:rPr>
          <w:bCs/>
        </w:rPr>
        <w:t>Nome:</w:t>
      </w:r>
    </w:p>
    <w:p w14:paraId="766971E5">
      <w:pPr>
        <w:pStyle w:val="25"/>
        <w:widowControl w:val="0"/>
        <w:suppressAutoHyphens/>
        <w:spacing w:line="360" w:lineRule="auto"/>
        <w:jc w:val="both"/>
        <w:rPr>
          <w:bCs/>
        </w:rPr>
      </w:pPr>
      <w:r>
        <w:rPr>
          <w:bCs/>
        </w:rPr>
        <w:t>Nacionalidade:</w:t>
      </w:r>
    </w:p>
    <w:p w14:paraId="46434B10">
      <w:pPr>
        <w:pStyle w:val="25"/>
        <w:widowControl w:val="0"/>
        <w:suppressAutoHyphens/>
        <w:spacing w:line="360" w:lineRule="auto"/>
        <w:jc w:val="both"/>
        <w:rPr>
          <w:bCs/>
        </w:rPr>
      </w:pPr>
      <w:r>
        <w:rPr>
          <w:bCs/>
        </w:rPr>
        <w:t>Estado Civil:</w:t>
      </w:r>
    </w:p>
    <w:p w14:paraId="1EA37BCE">
      <w:pPr>
        <w:pStyle w:val="25"/>
        <w:widowControl w:val="0"/>
        <w:suppressAutoHyphens/>
        <w:spacing w:line="360" w:lineRule="auto"/>
        <w:jc w:val="both"/>
        <w:rPr>
          <w:bCs/>
        </w:rPr>
      </w:pPr>
      <w:r>
        <w:rPr>
          <w:bCs/>
        </w:rPr>
        <w:t>Naturalidade:</w:t>
      </w:r>
    </w:p>
    <w:p w14:paraId="00D16342">
      <w:pPr>
        <w:pStyle w:val="25"/>
        <w:widowControl w:val="0"/>
        <w:suppressAutoHyphens/>
        <w:spacing w:line="360" w:lineRule="auto"/>
        <w:jc w:val="both"/>
        <w:rPr>
          <w:bCs/>
        </w:rPr>
      </w:pPr>
      <w:r>
        <w:rPr>
          <w:bCs/>
        </w:rPr>
        <w:t>Profissão:</w:t>
      </w:r>
    </w:p>
    <w:p w14:paraId="7BD99125">
      <w:pPr>
        <w:pStyle w:val="25"/>
        <w:widowControl w:val="0"/>
        <w:suppressAutoHyphens/>
        <w:spacing w:line="360" w:lineRule="auto"/>
        <w:jc w:val="both"/>
        <w:rPr>
          <w:bCs/>
        </w:rPr>
      </w:pPr>
      <w:r>
        <w:rPr>
          <w:bCs/>
        </w:rPr>
        <w:t>Data de Nascimento:</w:t>
      </w:r>
    </w:p>
    <w:p w14:paraId="64A24528">
      <w:pPr>
        <w:pStyle w:val="25"/>
        <w:widowControl w:val="0"/>
        <w:suppressAutoHyphens/>
        <w:spacing w:line="360" w:lineRule="auto"/>
        <w:jc w:val="both"/>
        <w:rPr>
          <w:bCs/>
        </w:rPr>
      </w:pPr>
      <w:r>
        <w:rPr>
          <w:bCs/>
        </w:rPr>
        <w:t>RG:</w:t>
      </w:r>
    </w:p>
    <w:p w14:paraId="4043F98E">
      <w:pPr>
        <w:pStyle w:val="25"/>
        <w:widowControl w:val="0"/>
        <w:suppressAutoHyphens/>
        <w:spacing w:line="360" w:lineRule="auto"/>
        <w:jc w:val="both"/>
        <w:rPr>
          <w:bCs/>
        </w:rPr>
      </w:pPr>
      <w:r>
        <w:rPr>
          <w:bCs/>
        </w:rPr>
        <w:t>CPF:</w:t>
      </w:r>
    </w:p>
    <w:p w14:paraId="0AC99741">
      <w:pPr>
        <w:suppressAutoHyphens w:val="0"/>
        <w:autoSpaceDE w:val="0"/>
        <w:spacing w:line="360" w:lineRule="auto"/>
        <w:jc w:val="both"/>
        <w:rPr>
          <w:rFonts w:ascii="Arial" w:hAnsi="Arial" w:cs="Arial"/>
          <w:sz w:val="24"/>
          <w:szCs w:val="24"/>
        </w:rPr>
      </w:pPr>
      <w:r>
        <w:rPr>
          <w:rFonts w:ascii="Arial" w:hAnsi="Arial" w:cs="Arial"/>
          <w:sz w:val="24"/>
          <w:szCs w:val="24"/>
        </w:rPr>
        <w:t>2 – O licitante deverá apresentar sua proposta e deverá apresentar em tabela, conforme especificações do Anexo I do edital, e obedecer os seguintes critérios:</w:t>
      </w:r>
    </w:p>
    <w:p w14:paraId="72BC43D8">
      <w:pPr>
        <w:suppressAutoHyphens w:val="0"/>
        <w:autoSpaceDE w:val="0"/>
        <w:spacing w:line="360" w:lineRule="auto"/>
        <w:jc w:val="both"/>
        <w:rPr>
          <w:rFonts w:ascii="Arial" w:hAnsi="Arial" w:cs="Arial"/>
          <w:sz w:val="24"/>
          <w:szCs w:val="24"/>
        </w:rPr>
      </w:pPr>
      <w:r>
        <w:rPr>
          <w:rFonts w:ascii="Arial" w:hAnsi="Arial" w:cs="Arial"/>
          <w:sz w:val="24"/>
          <w:szCs w:val="24"/>
        </w:rPr>
        <w:t>a) – valor cotado e/ou observar o valor do último lance (para o licitante vencedor);</w:t>
      </w:r>
    </w:p>
    <w:p w14:paraId="3B83AE41">
      <w:pPr>
        <w:spacing w:line="360" w:lineRule="auto"/>
        <w:jc w:val="both"/>
        <w:rPr>
          <w:rFonts w:ascii="Arial" w:hAnsi="Arial" w:cs="Arial"/>
          <w:sz w:val="24"/>
          <w:szCs w:val="24"/>
        </w:rPr>
      </w:pPr>
      <w:r>
        <w:rPr>
          <w:rFonts w:ascii="Arial" w:hAnsi="Arial" w:cs="Arial"/>
          <w:snapToGrid w:val="0"/>
          <w:sz w:val="24"/>
          <w:szCs w:val="24"/>
        </w:rPr>
        <w:t xml:space="preserve">b) - </w:t>
      </w:r>
      <w:r>
        <w:rPr>
          <w:rFonts w:ascii="Arial" w:hAnsi="Arial" w:cs="Arial"/>
          <w:sz w:val="24"/>
          <w:szCs w:val="24"/>
        </w:rPr>
        <w:t>cotados em moeda corrente nacional;</w:t>
      </w:r>
    </w:p>
    <w:p w14:paraId="45C0C5F6">
      <w:pPr>
        <w:spacing w:line="360" w:lineRule="auto"/>
        <w:jc w:val="both"/>
        <w:rPr>
          <w:rFonts w:ascii="Arial" w:hAnsi="Arial" w:cs="Arial"/>
          <w:sz w:val="24"/>
          <w:szCs w:val="24"/>
        </w:rPr>
      </w:pPr>
      <w:r>
        <w:rPr>
          <w:rFonts w:ascii="Arial" w:hAnsi="Arial" w:cs="Arial"/>
          <w:sz w:val="24"/>
          <w:szCs w:val="24"/>
          <w:highlight w:val="lightGray"/>
        </w:rPr>
        <w:t>c) – colocar a marca o valor unitário e total com até duas casas decimais após a vírgula; e,</w:t>
      </w:r>
    </w:p>
    <w:p w14:paraId="0F7739C0">
      <w:pPr>
        <w:autoSpaceDE w:val="0"/>
        <w:spacing w:line="360" w:lineRule="auto"/>
        <w:jc w:val="both"/>
        <w:rPr>
          <w:rFonts w:ascii="Arial" w:hAnsi="Arial" w:eastAsia="Tahoma" w:cs="Arial"/>
          <w:sz w:val="24"/>
          <w:szCs w:val="24"/>
        </w:rPr>
      </w:pPr>
      <w:r>
        <w:rPr>
          <w:rFonts w:ascii="Arial" w:hAnsi="Arial" w:cs="Arial"/>
          <w:sz w:val="24"/>
          <w:szCs w:val="24"/>
        </w:rPr>
        <w:t xml:space="preserve">d) - </w:t>
      </w:r>
      <w:r>
        <w:rPr>
          <w:rFonts w:ascii="Arial" w:hAnsi="Arial" w:eastAsia="Tahoma" w:cs="Arial"/>
          <w:sz w:val="24"/>
          <w:szCs w:val="24"/>
        </w:rPr>
        <w:t>todas as despesas com frete, tributos, seguros e todos os demais encargos necessários ao fornecimento do objeto licitado, incluídos os trabalhistas e sociais, de acordo com a Súmula 10</w:t>
      </w:r>
      <w:r>
        <w:rPr>
          <w:rStyle w:val="5"/>
          <w:rFonts w:ascii="Arial" w:hAnsi="Arial" w:eastAsia="Tahoma" w:cs="Arial"/>
          <w:sz w:val="24"/>
          <w:szCs w:val="24"/>
        </w:rPr>
        <w:footnoteReference w:id="5"/>
      </w:r>
      <w:r>
        <w:rPr>
          <w:rFonts w:ascii="Arial" w:hAnsi="Arial" w:eastAsia="Tahoma" w:cs="Arial"/>
          <w:sz w:val="24"/>
          <w:szCs w:val="24"/>
        </w:rPr>
        <w:t xml:space="preserve"> do TCE/SP, sendo que o proponente será responsável por quaisquer ônus decorrente de: marcas, registros e patentes ao objeto cotado.</w:t>
      </w:r>
    </w:p>
    <w:p w14:paraId="6BEF23E2">
      <w:pPr>
        <w:spacing w:line="360" w:lineRule="auto"/>
        <w:jc w:val="both"/>
        <w:rPr>
          <w:rFonts w:ascii="Arial" w:hAnsi="Arial" w:cs="Arial"/>
          <w:sz w:val="24"/>
          <w:szCs w:val="24"/>
        </w:rPr>
      </w:pPr>
      <w:r>
        <w:rPr>
          <w:rFonts w:ascii="Arial" w:hAnsi="Arial" w:cs="Arial"/>
          <w:sz w:val="24"/>
          <w:szCs w:val="24"/>
        </w:rPr>
        <w:t>3 -</w:t>
      </w:r>
      <w:r>
        <w:rPr>
          <w:rFonts w:ascii="Arial" w:hAnsi="Arial" w:cs="Arial"/>
          <w:b/>
          <w:sz w:val="24"/>
          <w:szCs w:val="24"/>
        </w:rPr>
        <w:t xml:space="preserve"> </w:t>
      </w:r>
      <w:r>
        <w:rPr>
          <w:rFonts w:ascii="Arial" w:hAnsi="Arial" w:cs="Arial"/>
          <w:sz w:val="24"/>
          <w:szCs w:val="24"/>
        </w:rPr>
        <w:t xml:space="preserve">É de inteira responsabilidade do ofertante o preço e demais condições apresentadas. </w:t>
      </w:r>
    </w:p>
    <w:p w14:paraId="50408A97">
      <w:pPr>
        <w:spacing w:line="360" w:lineRule="auto"/>
        <w:jc w:val="both"/>
        <w:rPr>
          <w:rFonts w:ascii="Arial" w:hAnsi="Arial" w:cs="Arial"/>
          <w:sz w:val="24"/>
          <w:szCs w:val="24"/>
        </w:rPr>
      </w:pPr>
      <w:r>
        <w:rPr>
          <w:rFonts w:ascii="Arial" w:hAnsi="Arial" w:cs="Arial"/>
          <w:sz w:val="24"/>
          <w:szCs w:val="24"/>
        </w:rPr>
        <w:t>4</w:t>
      </w:r>
      <w:r>
        <w:rPr>
          <w:rFonts w:ascii="Arial" w:hAnsi="Arial" w:cs="Arial"/>
          <w:b/>
          <w:sz w:val="24"/>
          <w:szCs w:val="24"/>
        </w:rPr>
        <w:t xml:space="preserve"> - </w:t>
      </w:r>
      <w:r>
        <w:rPr>
          <w:rFonts w:ascii="Arial" w:hAnsi="Arial" w:cs="Arial"/>
          <w:sz w:val="24"/>
          <w:szCs w:val="24"/>
        </w:rPr>
        <w:t>No caso de discordância entre valores numéricos e por extenso, prevalecerão estes últimos e, entre preços unitários e totais, os primeiros.</w:t>
      </w:r>
    </w:p>
    <w:p w14:paraId="57119580">
      <w:pPr>
        <w:tabs>
          <w:tab w:val="left" w:pos="0"/>
        </w:tabs>
        <w:spacing w:line="360" w:lineRule="auto"/>
        <w:jc w:val="both"/>
        <w:rPr>
          <w:rFonts w:ascii="Arial" w:hAnsi="Arial" w:cs="Arial"/>
          <w:sz w:val="24"/>
          <w:szCs w:val="24"/>
        </w:rPr>
      </w:pPr>
      <w:r>
        <w:rPr>
          <w:rFonts w:ascii="Arial" w:hAnsi="Arial" w:cs="Arial"/>
          <w:sz w:val="24"/>
          <w:szCs w:val="24"/>
        </w:rPr>
        <w:t xml:space="preserve">5 - O prazo de validade da proposta é </w:t>
      </w:r>
      <w:r>
        <w:rPr>
          <w:rFonts w:ascii="Arial" w:hAnsi="Arial" w:cs="Arial"/>
          <w:b/>
          <w:sz w:val="24"/>
          <w:szCs w:val="24"/>
          <w:highlight w:val="cyan"/>
          <w:u w:val="single"/>
        </w:rPr>
        <w:t>6 meses</w:t>
      </w:r>
      <w:r>
        <w:rPr>
          <w:rFonts w:ascii="Arial" w:hAnsi="Arial" w:cs="Arial"/>
          <w:sz w:val="24"/>
          <w:szCs w:val="24"/>
        </w:rPr>
        <w:t xml:space="preserve"> a contar da data de sua apresentação.</w:t>
      </w:r>
    </w:p>
    <w:p w14:paraId="58A136C0">
      <w:pPr>
        <w:spacing w:line="360" w:lineRule="auto"/>
        <w:jc w:val="both"/>
        <w:rPr>
          <w:rFonts w:ascii="Arial" w:hAnsi="Arial" w:cs="Arial"/>
          <w:sz w:val="24"/>
          <w:szCs w:val="24"/>
        </w:rPr>
      </w:pPr>
      <w:r>
        <w:rPr>
          <w:rFonts w:ascii="Arial" w:hAnsi="Arial" w:cs="Arial"/>
          <w:sz w:val="24"/>
          <w:szCs w:val="24"/>
        </w:rPr>
        <w:t>6 - Serão desclassificadas as propostas:</w:t>
      </w:r>
    </w:p>
    <w:p w14:paraId="3BBE4921">
      <w:pPr>
        <w:spacing w:line="360" w:lineRule="auto"/>
        <w:jc w:val="both"/>
        <w:rPr>
          <w:rFonts w:ascii="Arial" w:hAnsi="Arial" w:cs="Arial"/>
          <w:sz w:val="24"/>
          <w:szCs w:val="24"/>
        </w:rPr>
      </w:pPr>
      <w:r>
        <w:rPr>
          <w:rFonts w:ascii="Arial" w:hAnsi="Arial" w:cs="Arial"/>
          <w:sz w:val="24"/>
          <w:szCs w:val="24"/>
        </w:rPr>
        <w:t>a) - que conflitem com as normas deste Edital ou da legislação em vigor;</w:t>
      </w:r>
    </w:p>
    <w:p w14:paraId="0E08479D">
      <w:pPr>
        <w:spacing w:line="360" w:lineRule="auto"/>
        <w:jc w:val="both"/>
        <w:rPr>
          <w:rFonts w:ascii="Arial" w:hAnsi="Arial" w:cs="Arial"/>
          <w:sz w:val="24"/>
          <w:szCs w:val="24"/>
        </w:rPr>
      </w:pPr>
      <w:r>
        <w:rPr>
          <w:rFonts w:ascii="Arial" w:hAnsi="Arial" w:cs="Arial"/>
          <w:sz w:val="24"/>
          <w:szCs w:val="24"/>
        </w:rPr>
        <w:t xml:space="preserve">b) - sejam incompletas, </w:t>
      </w:r>
      <w:r>
        <w:rPr>
          <w:rFonts w:ascii="Arial" w:hAnsi="Arial" w:cs="Arial"/>
          <w:color w:val="000000"/>
          <w:sz w:val="24"/>
          <w:szCs w:val="24"/>
        </w:rPr>
        <w:t>omissas, vagas ou apresentem irregularidades ou defeitos capazes de impedir o julgamento</w:t>
      </w:r>
      <w:r>
        <w:rPr>
          <w:rFonts w:ascii="Arial" w:hAnsi="Arial" w:cs="Arial"/>
          <w:sz w:val="24"/>
          <w:szCs w:val="24"/>
        </w:rPr>
        <w:t>; e,</w:t>
      </w:r>
    </w:p>
    <w:p w14:paraId="6EB01698">
      <w:pPr>
        <w:suppressAutoHyphens w:val="0"/>
        <w:autoSpaceDE w:val="0"/>
        <w:spacing w:line="360" w:lineRule="auto"/>
        <w:jc w:val="both"/>
        <w:rPr>
          <w:rFonts w:ascii="Arial" w:hAnsi="Arial" w:cs="Arial"/>
          <w:color w:val="000000"/>
          <w:sz w:val="24"/>
          <w:szCs w:val="24"/>
        </w:rPr>
      </w:pPr>
      <w:r>
        <w:rPr>
          <w:rFonts w:ascii="Arial" w:hAnsi="Arial" w:cs="Arial"/>
          <w:color w:val="000000"/>
          <w:sz w:val="24"/>
          <w:szCs w:val="24"/>
        </w:rPr>
        <w:t>c) apresentem valores superiores ao esperado pelo Município ou manifestamente inexeqüíveis.</w:t>
      </w:r>
    </w:p>
    <w:p w14:paraId="7B7B9368">
      <w:pPr>
        <w:autoSpaceDE w:val="0"/>
        <w:spacing w:line="360" w:lineRule="auto"/>
        <w:jc w:val="center"/>
        <w:rPr>
          <w:rFonts w:ascii="Arial" w:hAnsi="Arial" w:eastAsia="Tahoma" w:cs="Arial"/>
          <w:b/>
          <w:bCs/>
          <w:sz w:val="24"/>
          <w:szCs w:val="24"/>
        </w:rPr>
      </w:pPr>
    </w:p>
    <w:p w14:paraId="5EF07C1D">
      <w:pPr>
        <w:autoSpaceDE w:val="0"/>
        <w:spacing w:line="360" w:lineRule="auto"/>
        <w:jc w:val="center"/>
        <w:rPr>
          <w:rFonts w:ascii="Arial" w:hAnsi="Arial" w:eastAsia="Tahoma" w:cs="Arial"/>
          <w:b/>
          <w:bCs/>
          <w:sz w:val="24"/>
          <w:szCs w:val="24"/>
        </w:rPr>
      </w:pPr>
    </w:p>
    <w:p w14:paraId="5C7E08E7">
      <w:pPr>
        <w:autoSpaceDE w:val="0"/>
        <w:spacing w:line="360" w:lineRule="auto"/>
        <w:jc w:val="center"/>
        <w:rPr>
          <w:rFonts w:ascii="Arial" w:hAnsi="Arial" w:eastAsia="Tahoma" w:cs="Arial"/>
          <w:b/>
          <w:bCs/>
          <w:sz w:val="24"/>
          <w:szCs w:val="24"/>
        </w:rPr>
      </w:pPr>
    </w:p>
    <w:p w14:paraId="60E69ABA">
      <w:pPr>
        <w:autoSpaceDE w:val="0"/>
        <w:spacing w:line="360" w:lineRule="auto"/>
        <w:jc w:val="center"/>
        <w:rPr>
          <w:rFonts w:ascii="Arial" w:hAnsi="Arial" w:eastAsia="Tahoma" w:cs="Arial"/>
          <w:b/>
          <w:bCs/>
          <w:sz w:val="24"/>
          <w:szCs w:val="24"/>
        </w:rPr>
      </w:pPr>
    </w:p>
    <w:p w14:paraId="64BA1773">
      <w:pPr>
        <w:autoSpaceDE w:val="0"/>
        <w:spacing w:line="360" w:lineRule="auto"/>
        <w:jc w:val="center"/>
        <w:rPr>
          <w:rFonts w:ascii="Arial" w:hAnsi="Arial" w:eastAsia="Tahoma" w:cs="Arial"/>
          <w:b/>
          <w:bCs/>
          <w:sz w:val="24"/>
          <w:szCs w:val="24"/>
        </w:rPr>
      </w:pPr>
    </w:p>
    <w:p w14:paraId="2561DF60">
      <w:pPr>
        <w:autoSpaceDE w:val="0"/>
        <w:spacing w:line="360" w:lineRule="auto"/>
        <w:jc w:val="center"/>
        <w:rPr>
          <w:rFonts w:ascii="Arial" w:hAnsi="Arial" w:eastAsia="Tahoma" w:cs="Arial"/>
          <w:b/>
          <w:bCs/>
          <w:sz w:val="24"/>
          <w:szCs w:val="24"/>
        </w:rPr>
      </w:pPr>
    </w:p>
    <w:p w14:paraId="12E2A118">
      <w:pPr>
        <w:autoSpaceDE w:val="0"/>
        <w:spacing w:line="360" w:lineRule="auto"/>
        <w:jc w:val="center"/>
        <w:rPr>
          <w:rFonts w:ascii="Arial" w:hAnsi="Arial" w:eastAsia="Tahoma" w:cs="Arial"/>
          <w:b/>
          <w:bCs/>
          <w:sz w:val="24"/>
          <w:szCs w:val="24"/>
        </w:rPr>
      </w:pPr>
    </w:p>
    <w:p w14:paraId="334BC976">
      <w:pPr>
        <w:autoSpaceDE w:val="0"/>
        <w:spacing w:line="360" w:lineRule="auto"/>
        <w:jc w:val="center"/>
        <w:rPr>
          <w:rFonts w:ascii="Arial" w:hAnsi="Arial" w:eastAsia="Tahoma" w:cs="Arial"/>
          <w:b/>
          <w:bCs/>
          <w:sz w:val="24"/>
          <w:szCs w:val="24"/>
        </w:rPr>
      </w:pPr>
    </w:p>
    <w:p w14:paraId="7A9FCD40">
      <w:pPr>
        <w:autoSpaceDE w:val="0"/>
        <w:spacing w:line="360" w:lineRule="auto"/>
        <w:jc w:val="center"/>
        <w:rPr>
          <w:rFonts w:ascii="Arial" w:hAnsi="Arial" w:eastAsia="Tahoma" w:cs="Arial"/>
          <w:b/>
          <w:bCs/>
          <w:sz w:val="24"/>
          <w:szCs w:val="24"/>
        </w:rPr>
      </w:pPr>
    </w:p>
    <w:p w14:paraId="4BD77219">
      <w:pPr>
        <w:autoSpaceDE w:val="0"/>
        <w:spacing w:line="360" w:lineRule="auto"/>
        <w:jc w:val="center"/>
        <w:rPr>
          <w:rFonts w:ascii="Arial" w:hAnsi="Arial" w:eastAsia="Tahoma" w:cs="Arial"/>
          <w:b/>
          <w:bCs/>
          <w:sz w:val="24"/>
          <w:szCs w:val="24"/>
        </w:rPr>
      </w:pPr>
    </w:p>
    <w:p w14:paraId="4FBEBE1D">
      <w:pPr>
        <w:autoSpaceDE w:val="0"/>
        <w:spacing w:line="360" w:lineRule="auto"/>
        <w:jc w:val="center"/>
        <w:rPr>
          <w:rFonts w:ascii="Arial" w:hAnsi="Arial" w:eastAsia="Tahoma" w:cs="Arial"/>
          <w:b/>
          <w:bCs/>
          <w:sz w:val="24"/>
          <w:szCs w:val="24"/>
        </w:rPr>
      </w:pPr>
    </w:p>
    <w:p w14:paraId="53DF84B1">
      <w:pPr>
        <w:autoSpaceDE w:val="0"/>
        <w:spacing w:line="360" w:lineRule="auto"/>
        <w:jc w:val="center"/>
        <w:rPr>
          <w:rFonts w:ascii="Arial" w:hAnsi="Arial" w:eastAsia="Tahoma" w:cs="Arial"/>
          <w:b/>
          <w:bCs/>
          <w:sz w:val="24"/>
          <w:szCs w:val="24"/>
        </w:rPr>
      </w:pPr>
    </w:p>
    <w:p w14:paraId="174E74B0">
      <w:pPr>
        <w:autoSpaceDE w:val="0"/>
        <w:spacing w:line="360" w:lineRule="auto"/>
        <w:jc w:val="center"/>
        <w:rPr>
          <w:rFonts w:ascii="Arial" w:hAnsi="Arial" w:eastAsia="Tahoma" w:cs="Arial"/>
          <w:b/>
          <w:bCs/>
          <w:sz w:val="24"/>
          <w:szCs w:val="24"/>
        </w:rPr>
      </w:pPr>
    </w:p>
    <w:p w14:paraId="0C59E440">
      <w:pPr>
        <w:autoSpaceDE w:val="0"/>
        <w:spacing w:line="360" w:lineRule="auto"/>
        <w:jc w:val="center"/>
        <w:rPr>
          <w:rFonts w:ascii="Arial" w:hAnsi="Arial" w:eastAsia="Tahoma" w:cs="Arial"/>
          <w:b/>
          <w:bCs/>
          <w:sz w:val="24"/>
          <w:szCs w:val="24"/>
        </w:rPr>
      </w:pPr>
      <w:r>
        <w:rPr>
          <w:rFonts w:ascii="Arial" w:hAnsi="Arial" w:eastAsia="Tahoma" w:cs="Arial"/>
          <w:b/>
          <w:bCs/>
          <w:sz w:val="24"/>
          <w:szCs w:val="24"/>
        </w:rPr>
        <w:t>EDITAL DE LICITAÇÃO</w:t>
      </w:r>
    </w:p>
    <w:p w14:paraId="6F962431">
      <w:pPr>
        <w:suppressAutoHyphens w:val="0"/>
        <w:autoSpaceDE w:val="0"/>
        <w:spacing w:line="360" w:lineRule="auto"/>
        <w:jc w:val="center"/>
        <w:rPr>
          <w:rFonts w:ascii="Arial" w:hAnsi="Arial" w:eastAsia="Sylfaen" w:cs="Arial"/>
          <w:b/>
          <w:bCs/>
          <w:sz w:val="24"/>
          <w:szCs w:val="24"/>
        </w:rPr>
      </w:pPr>
      <w:r>
        <w:rPr>
          <w:rFonts w:ascii="Arial" w:hAnsi="Arial" w:eastAsia="Sylfaen" w:cs="Arial"/>
          <w:b/>
          <w:bCs/>
          <w:sz w:val="24"/>
          <w:szCs w:val="24"/>
        </w:rPr>
        <w:t>ANEXO IV</w:t>
      </w:r>
    </w:p>
    <w:p w14:paraId="6DF76DCD">
      <w:pPr>
        <w:spacing w:line="360" w:lineRule="auto"/>
        <w:jc w:val="center"/>
        <w:rPr>
          <w:rFonts w:ascii="Arial" w:hAnsi="Arial" w:cs="Arial"/>
          <w:b/>
          <w:sz w:val="24"/>
          <w:szCs w:val="24"/>
          <w:u w:val="single"/>
        </w:rPr>
      </w:pPr>
      <w:r>
        <w:rPr>
          <w:rFonts w:ascii="Arial" w:hAnsi="Arial" w:cs="Arial"/>
          <w:b/>
          <w:sz w:val="24"/>
          <w:szCs w:val="24"/>
          <w:u w:val="single"/>
        </w:rPr>
        <w:t>MODELO REFERENCIAL DE DECLARAÇÃO DE ENQUADRAMENTO NA SITUAÇÃO DE MICROEMPRESAS/EMPRESAS DE PEQUENO PORTE/MICROEMPREENDEDORES INDIVIDUAIS/SOCIEDADES COOPERATIVAS DE CONSUMO</w:t>
      </w:r>
    </w:p>
    <w:p w14:paraId="483C3102">
      <w:pPr>
        <w:spacing w:line="360" w:lineRule="auto"/>
        <w:jc w:val="center"/>
        <w:rPr>
          <w:rFonts w:ascii="Arial" w:hAnsi="Arial" w:cs="Arial"/>
          <w:b/>
          <w:sz w:val="24"/>
          <w:szCs w:val="24"/>
        </w:rPr>
      </w:pPr>
    </w:p>
    <w:p w14:paraId="4830E3FB">
      <w:pPr>
        <w:autoSpaceDE w:val="0"/>
        <w:autoSpaceDN w:val="0"/>
        <w:adjustRightInd w:val="0"/>
        <w:spacing w:line="360" w:lineRule="auto"/>
        <w:ind w:firstLine="1440"/>
        <w:jc w:val="both"/>
        <w:rPr>
          <w:rFonts w:ascii="Arial" w:hAnsi="Arial" w:cs="Arial"/>
          <w:sz w:val="24"/>
          <w:szCs w:val="24"/>
        </w:rPr>
      </w:pPr>
      <w:r>
        <w:rPr>
          <w:rFonts w:ascii="Arial" w:hAnsi="Arial" w:cs="Arial"/>
          <w:sz w:val="24"/>
          <w:szCs w:val="24"/>
        </w:rPr>
        <w:t xml:space="preserve">A ___, pessoa jurídica de direito privado, inscrita no CNPJ sob nº_____, com sede na (endereço completo), por intermédio de seu representante legal ___, nacionalidade, estado civil, profissão, portador(a) da cédula de identidade RG nº  e inscrito no CPF sob nº __, Declara </w:t>
      </w:r>
      <w:r>
        <w:rPr>
          <w:rFonts w:ascii="Arial" w:hAnsi="Arial" w:cs="Arial"/>
          <w:color w:val="000000"/>
          <w:sz w:val="24"/>
          <w:szCs w:val="24"/>
        </w:rPr>
        <w:t xml:space="preserve">sob as penas da lei, de que cumpre os requisitos legais para a qualificação como microempresa ou empresa de pequeno porte, microempreendedor individual ou sociedade cooperativa de consumo, estando apto a usufruir do tratamento favorecido estabelecido nos </w:t>
      </w:r>
      <w:r>
        <w:fldChar w:fldCharType="begin"/>
      </w:r>
      <w:r>
        <w:instrText xml:space="preserve"> HYPERLINK "http://www.planalto.gov.br/ccivil_03/LEIS/LCP/Lcp123.htm" \l "art42" \t "_blank" </w:instrText>
      </w:r>
      <w:r>
        <w:fldChar w:fldCharType="separate"/>
      </w:r>
      <w:r>
        <w:rPr>
          <w:rStyle w:val="6"/>
          <w:rFonts w:ascii="Arial" w:hAnsi="Arial" w:cs="Arial"/>
          <w:sz w:val="24"/>
          <w:szCs w:val="24"/>
        </w:rPr>
        <w:t>art. 42</w:t>
      </w:r>
      <w:r>
        <w:rPr>
          <w:rStyle w:val="6"/>
          <w:rFonts w:ascii="Arial" w:hAnsi="Arial" w:cs="Arial"/>
          <w:sz w:val="24"/>
          <w:szCs w:val="24"/>
        </w:rPr>
        <w:fldChar w:fldCharType="end"/>
      </w:r>
      <w:r>
        <w:rPr>
          <w:rFonts w:ascii="Arial" w:hAnsi="Arial" w:cs="Arial"/>
          <w:color w:val="000000"/>
          <w:sz w:val="24"/>
          <w:szCs w:val="24"/>
        </w:rPr>
        <w:t xml:space="preserve"> ao art. 49 da Lei Complementar n</w:t>
      </w:r>
      <w:r>
        <w:rPr>
          <w:rFonts w:ascii="Arial" w:hAnsi="Arial" w:cs="Arial"/>
          <w:strike/>
          <w:color w:val="000000"/>
          <w:sz w:val="24"/>
          <w:szCs w:val="24"/>
        </w:rPr>
        <w:t>º</w:t>
      </w:r>
      <w:r>
        <w:rPr>
          <w:rFonts w:ascii="Arial" w:hAnsi="Arial" w:cs="Arial"/>
          <w:color w:val="000000"/>
          <w:sz w:val="24"/>
          <w:szCs w:val="24"/>
        </w:rPr>
        <w:t xml:space="preserve"> 123, de 2006</w:t>
      </w:r>
      <w:r>
        <w:rPr>
          <w:rFonts w:ascii="Arial" w:hAnsi="Arial" w:cs="Arial"/>
          <w:sz w:val="24"/>
          <w:szCs w:val="24"/>
        </w:rPr>
        <w:t>, de acordo com o artigo 13, §2º do Decreto Federal nº 8.538, de 6 de outubro de 2015.</w:t>
      </w:r>
    </w:p>
    <w:p w14:paraId="16A6EE40">
      <w:pPr>
        <w:autoSpaceDE w:val="0"/>
        <w:spacing w:line="360" w:lineRule="auto"/>
        <w:jc w:val="both"/>
        <w:rPr>
          <w:rFonts w:ascii="Arial" w:hAnsi="Arial" w:eastAsia="Tahoma" w:cs="Arial"/>
          <w:sz w:val="24"/>
          <w:szCs w:val="24"/>
        </w:rPr>
      </w:pPr>
    </w:p>
    <w:p w14:paraId="1D0ECD77">
      <w:pPr>
        <w:autoSpaceDE w:val="0"/>
        <w:spacing w:line="360" w:lineRule="auto"/>
        <w:jc w:val="center"/>
        <w:rPr>
          <w:rFonts w:ascii="Arial" w:hAnsi="Arial" w:eastAsia="Tahoma" w:cs="Arial"/>
          <w:sz w:val="24"/>
          <w:szCs w:val="24"/>
        </w:rPr>
      </w:pPr>
      <w:r>
        <w:rPr>
          <w:rFonts w:ascii="Arial" w:hAnsi="Arial" w:eastAsia="Tahoma" w:cs="Arial"/>
          <w:sz w:val="24"/>
          <w:szCs w:val="24"/>
        </w:rPr>
        <w:t>__________________________,  ________ de ______________ de ________.</w:t>
      </w:r>
    </w:p>
    <w:p w14:paraId="5BED1B41">
      <w:pPr>
        <w:autoSpaceDE w:val="0"/>
        <w:spacing w:line="360" w:lineRule="auto"/>
        <w:jc w:val="center"/>
        <w:rPr>
          <w:rFonts w:ascii="Arial" w:hAnsi="Arial" w:eastAsia="Tahoma" w:cs="Arial"/>
          <w:sz w:val="24"/>
          <w:szCs w:val="24"/>
        </w:rPr>
      </w:pPr>
    </w:p>
    <w:p w14:paraId="323B8254">
      <w:pPr>
        <w:suppressAutoHyphens w:val="0"/>
        <w:autoSpaceDE w:val="0"/>
        <w:spacing w:line="360" w:lineRule="auto"/>
        <w:jc w:val="center"/>
        <w:rPr>
          <w:rFonts w:ascii="Arial" w:hAnsi="Arial" w:cs="Arial"/>
          <w:sz w:val="24"/>
          <w:szCs w:val="24"/>
        </w:rPr>
      </w:pPr>
      <w:r>
        <w:rPr>
          <w:rFonts w:ascii="Arial" w:hAnsi="Arial" w:eastAsia="Tahoma" w:cs="Arial"/>
          <w:sz w:val="24"/>
          <w:szCs w:val="24"/>
        </w:rPr>
        <w:t>(NOME E ASSINATURA DO REPRESENTANTE DA PESSOA JURÍDICA)</w:t>
      </w:r>
    </w:p>
    <w:p w14:paraId="300391B4">
      <w:pPr>
        <w:suppressAutoHyphens w:val="0"/>
        <w:autoSpaceDE w:val="0"/>
        <w:spacing w:line="360" w:lineRule="auto"/>
        <w:jc w:val="both"/>
        <w:rPr>
          <w:rFonts w:ascii="Arial" w:hAnsi="Arial" w:cs="Arial"/>
          <w:b/>
          <w:bCs/>
          <w:sz w:val="24"/>
          <w:szCs w:val="24"/>
        </w:rPr>
      </w:pPr>
    </w:p>
    <w:p w14:paraId="13F98148">
      <w:pPr>
        <w:autoSpaceDE w:val="0"/>
        <w:spacing w:line="360" w:lineRule="auto"/>
        <w:jc w:val="center"/>
        <w:rPr>
          <w:rFonts w:ascii="Arial" w:hAnsi="Arial" w:eastAsia="Sylfaen" w:cs="Arial"/>
          <w:b/>
          <w:bCs/>
          <w:sz w:val="24"/>
          <w:szCs w:val="24"/>
        </w:rPr>
      </w:pPr>
    </w:p>
    <w:p w14:paraId="65E1674B">
      <w:pPr>
        <w:autoSpaceDE w:val="0"/>
        <w:spacing w:line="360" w:lineRule="auto"/>
        <w:jc w:val="center"/>
        <w:rPr>
          <w:rFonts w:ascii="Arial" w:hAnsi="Arial" w:eastAsia="Sylfaen" w:cs="Arial"/>
          <w:b/>
          <w:bCs/>
          <w:sz w:val="24"/>
          <w:szCs w:val="24"/>
        </w:rPr>
      </w:pPr>
    </w:p>
    <w:p w14:paraId="134494AC">
      <w:pPr>
        <w:autoSpaceDE w:val="0"/>
        <w:spacing w:line="360" w:lineRule="auto"/>
        <w:jc w:val="center"/>
        <w:rPr>
          <w:rFonts w:ascii="Arial" w:hAnsi="Arial" w:eastAsia="Tahoma" w:cs="Arial"/>
          <w:b/>
          <w:bCs/>
          <w:sz w:val="24"/>
          <w:szCs w:val="24"/>
        </w:rPr>
      </w:pPr>
    </w:p>
    <w:p w14:paraId="49083797">
      <w:pPr>
        <w:autoSpaceDE w:val="0"/>
        <w:spacing w:line="360" w:lineRule="auto"/>
        <w:jc w:val="center"/>
        <w:rPr>
          <w:rFonts w:ascii="Arial" w:hAnsi="Arial" w:eastAsia="Tahoma" w:cs="Arial"/>
          <w:b/>
          <w:bCs/>
          <w:sz w:val="24"/>
          <w:szCs w:val="24"/>
        </w:rPr>
      </w:pPr>
    </w:p>
    <w:p w14:paraId="5B498308">
      <w:pPr>
        <w:autoSpaceDE w:val="0"/>
        <w:spacing w:line="360" w:lineRule="auto"/>
        <w:jc w:val="center"/>
        <w:rPr>
          <w:rFonts w:ascii="Arial" w:hAnsi="Arial" w:eastAsia="Tahoma" w:cs="Arial"/>
          <w:b/>
          <w:bCs/>
          <w:sz w:val="24"/>
          <w:szCs w:val="24"/>
        </w:rPr>
      </w:pPr>
    </w:p>
    <w:p w14:paraId="2E34A851">
      <w:pPr>
        <w:autoSpaceDE w:val="0"/>
        <w:spacing w:line="360" w:lineRule="auto"/>
        <w:jc w:val="center"/>
        <w:rPr>
          <w:rFonts w:ascii="Arial" w:hAnsi="Arial" w:eastAsia="Tahoma" w:cs="Arial"/>
          <w:b/>
          <w:bCs/>
          <w:sz w:val="24"/>
          <w:szCs w:val="24"/>
        </w:rPr>
      </w:pPr>
    </w:p>
    <w:p w14:paraId="0E2EFF53">
      <w:pPr>
        <w:autoSpaceDE w:val="0"/>
        <w:spacing w:line="360" w:lineRule="auto"/>
        <w:jc w:val="center"/>
        <w:rPr>
          <w:rFonts w:ascii="Arial" w:hAnsi="Arial" w:eastAsia="Tahoma" w:cs="Arial"/>
          <w:b/>
          <w:bCs/>
          <w:sz w:val="24"/>
          <w:szCs w:val="24"/>
        </w:rPr>
      </w:pPr>
    </w:p>
    <w:p w14:paraId="2C533802">
      <w:pPr>
        <w:autoSpaceDE w:val="0"/>
        <w:spacing w:line="360" w:lineRule="auto"/>
        <w:jc w:val="center"/>
        <w:rPr>
          <w:rFonts w:ascii="Arial" w:hAnsi="Arial" w:eastAsia="Tahoma" w:cs="Arial"/>
          <w:b/>
          <w:bCs/>
          <w:sz w:val="24"/>
          <w:szCs w:val="24"/>
        </w:rPr>
      </w:pPr>
    </w:p>
    <w:p w14:paraId="0E2502D8">
      <w:pPr>
        <w:autoSpaceDE w:val="0"/>
        <w:spacing w:line="360" w:lineRule="auto"/>
        <w:jc w:val="center"/>
        <w:rPr>
          <w:rFonts w:ascii="Arial" w:hAnsi="Arial" w:eastAsia="Tahoma" w:cs="Arial"/>
          <w:b/>
          <w:bCs/>
          <w:sz w:val="24"/>
          <w:szCs w:val="24"/>
        </w:rPr>
      </w:pPr>
      <w:r>
        <w:rPr>
          <w:rFonts w:ascii="Arial" w:hAnsi="Arial" w:eastAsia="Tahoma" w:cs="Arial"/>
          <w:b/>
          <w:bCs/>
          <w:sz w:val="24"/>
          <w:szCs w:val="24"/>
        </w:rPr>
        <w:t>ANEXO V</w:t>
      </w:r>
    </w:p>
    <w:p w14:paraId="3CEAD922">
      <w:pPr>
        <w:autoSpaceDE w:val="0"/>
        <w:spacing w:line="360" w:lineRule="auto"/>
        <w:rPr>
          <w:rFonts w:ascii="Arial" w:hAnsi="Arial" w:eastAsia="Tahoma" w:cs="Arial"/>
          <w:b/>
          <w:bCs/>
          <w:sz w:val="24"/>
          <w:szCs w:val="24"/>
        </w:rPr>
      </w:pPr>
      <w:r>
        <w:rPr>
          <w:rFonts w:ascii="Arial" w:hAnsi="Arial" w:eastAsia="Tahoma" w:cs="Arial"/>
          <w:b/>
          <w:bCs/>
          <w:sz w:val="24"/>
          <w:szCs w:val="24"/>
        </w:rPr>
        <w:t>Ao pregoeiro:</w:t>
      </w:r>
    </w:p>
    <w:p w14:paraId="1898BDD4">
      <w:pPr>
        <w:autoSpaceDE w:val="0"/>
        <w:spacing w:line="360" w:lineRule="auto"/>
        <w:jc w:val="center"/>
        <w:rPr>
          <w:rFonts w:ascii="Arial" w:hAnsi="Arial" w:eastAsia="Tahoma" w:cs="Arial"/>
          <w:b/>
          <w:bCs/>
          <w:sz w:val="24"/>
          <w:szCs w:val="24"/>
        </w:rPr>
      </w:pPr>
    </w:p>
    <w:p w14:paraId="36B724A4">
      <w:pPr>
        <w:autoSpaceDE w:val="0"/>
        <w:spacing w:line="360" w:lineRule="auto"/>
        <w:jc w:val="center"/>
        <w:rPr>
          <w:rFonts w:ascii="Arial" w:hAnsi="Arial" w:eastAsia="Tahoma" w:cs="Arial"/>
          <w:b/>
          <w:bCs/>
          <w:sz w:val="24"/>
          <w:szCs w:val="24"/>
        </w:rPr>
      </w:pPr>
      <w:r>
        <w:rPr>
          <w:rFonts w:ascii="Arial" w:hAnsi="Arial" w:eastAsia="Tahoma" w:cs="Arial"/>
          <w:b/>
          <w:bCs/>
          <w:sz w:val="24"/>
          <w:szCs w:val="24"/>
        </w:rPr>
        <w:t>MODELO REFERENCIAL DE</w:t>
      </w:r>
      <w:r>
        <w:rPr>
          <w:rFonts w:ascii="Arial" w:hAnsi="Arial" w:eastAsia="Batang" w:cs="Arial"/>
          <w:b/>
          <w:sz w:val="24"/>
          <w:szCs w:val="24"/>
        </w:rPr>
        <w:t xml:space="preserve"> DECLARAÇÃO </w:t>
      </w:r>
      <w:r>
        <w:rPr>
          <w:rFonts w:ascii="Arial" w:hAnsi="Arial" w:cs="Arial"/>
          <w:b/>
          <w:sz w:val="24"/>
          <w:szCs w:val="24"/>
          <w:lang w:eastAsia="pt-BR"/>
        </w:rPr>
        <w:t>QUE CUMPRE AS EXIGÊNCIAS DE RESERVA DE CARGOS PARA PESSOA COM DEFICIÊNCIA E PARA REABILITADO DA PREVIDÊNCIA SOCIAL, PREVISTAS EM LEI E EM OUTRAS NORMAS ESPECÍFICAS</w:t>
      </w:r>
    </w:p>
    <w:p w14:paraId="2B056B04">
      <w:pPr>
        <w:suppressAutoHyphens w:val="0"/>
        <w:autoSpaceDE w:val="0"/>
        <w:autoSpaceDN w:val="0"/>
        <w:adjustRightInd w:val="0"/>
        <w:spacing w:line="360" w:lineRule="auto"/>
        <w:jc w:val="center"/>
        <w:rPr>
          <w:rFonts w:ascii="Arial" w:hAnsi="Arial" w:cs="Arial"/>
          <w:b/>
          <w:bCs/>
          <w:sz w:val="24"/>
          <w:szCs w:val="24"/>
          <w:lang w:eastAsia="pt-BR"/>
        </w:rPr>
      </w:pPr>
    </w:p>
    <w:p w14:paraId="09E73E37">
      <w:pPr>
        <w:suppressAutoHyphens w:val="0"/>
        <w:autoSpaceDE w:val="0"/>
        <w:autoSpaceDN w:val="0"/>
        <w:adjustRightInd w:val="0"/>
        <w:spacing w:line="360" w:lineRule="auto"/>
        <w:jc w:val="center"/>
        <w:rPr>
          <w:rFonts w:ascii="Arial" w:hAnsi="Arial" w:cs="Arial"/>
          <w:b/>
          <w:bCs/>
          <w:sz w:val="24"/>
          <w:szCs w:val="24"/>
          <w:lang w:eastAsia="pt-BR"/>
        </w:rPr>
      </w:pPr>
    </w:p>
    <w:p w14:paraId="074A7B95">
      <w:pPr>
        <w:suppressAutoHyphens w:val="0"/>
        <w:autoSpaceDE w:val="0"/>
        <w:autoSpaceDN w:val="0"/>
        <w:adjustRightInd w:val="0"/>
        <w:spacing w:line="360" w:lineRule="auto"/>
        <w:jc w:val="center"/>
        <w:rPr>
          <w:rFonts w:ascii="Arial" w:hAnsi="Arial" w:cs="Arial"/>
          <w:b/>
          <w:bCs/>
          <w:sz w:val="24"/>
          <w:szCs w:val="24"/>
          <w:lang w:eastAsia="pt-BR"/>
        </w:rPr>
      </w:pPr>
    </w:p>
    <w:p w14:paraId="4F73AE10">
      <w:pPr>
        <w:autoSpaceDE w:val="0"/>
        <w:autoSpaceDN w:val="0"/>
        <w:adjustRightInd w:val="0"/>
        <w:spacing w:line="360" w:lineRule="auto"/>
        <w:ind w:firstLine="1440"/>
        <w:jc w:val="both"/>
        <w:rPr>
          <w:rFonts w:ascii="Arial" w:hAnsi="Arial" w:cs="Arial"/>
          <w:sz w:val="24"/>
          <w:szCs w:val="24"/>
        </w:rPr>
      </w:pPr>
      <w:r>
        <w:rPr>
          <w:rFonts w:ascii="Arial" w:hAnsi="Arial" w:cs="Arial"/>
          <w:sz w:val="24"/>
          <w:szCs w:val="24"/>
        </w:rPr>
        <w:t xml:space="preserve">A ___, pessoa jurídica de direito privado, inscrita no CNPJ sob nº_____, com sede na (endereço completo), por intermédio de seu representante legal ___, nacionalidade, estado civil, profissão, portador(a) da cédula de identidade RG nº  e inscrito no CPF sob nº __, Declara </w:t>
      </w:r>
      <w:r>
        <w:rPr>
          <w:rFonts w:ascii="Arial" w:hAnsi="Arial" w:cs="Arial"/>
          <w:color w:val="000000"/>
          <w:sz w:val="24"/>
          <w:szCs w:val="24"/>
        </w:rPr>
        <w:t xml:space="preserve">sob as penas da lei, de que cumpre </w:t>
      </w:r>
      <w:r>
        <w:rPr>
          <w:rFonts w:ascii="Arial" w:hAnsi="Arial" w:cs="Arial"/>
          <w:b/>
          <w:sz w:val="24"/>
          <w:szCs w:val="24"/>
          <w:u w:val="single"/>
          <w:lang w:eastAsia="pt-BR"/>
        </w:rPr>
        <w:t xml:space="preserve">as </w:t>
      </w:r>
      <w:r>
        <w:rPr>
          <w:rFonts w:ascii="Arial" w:hAnsi="Arial" w:cs="Arial"/>
          <w:sz w:val="24"/>
          <w:szCs w:val="24"/>
          <w:lang w:eastAsia="pt-BR"/>
        </w:rPr>
        <w:t>exigências de reserva de cargos para pessoa com deficiência e para reabilitado da Previdência Social, previstas em lei e em outras normas específicas.</w:t>
      </w:r>
    </w:p>
    <w:p w14:paraId="23E978BA">
      <w:pPr>
        <w:autoSpaceDE w:val="0"/>
        <w:spacing w:line="360" w:lineRule="auto"/>
        <w:jc w:val="both"/>
        <w:rPr>
          <w:rFonts w:ascii="Arial" w:hAnsi="Arial" w:eastAsia="Tahoma" w:cs="Arial"/>
          <w:sz w:val="24"/>
          <w:szCs w:val="24"/>
        </w:rPr>
      </w:pPr>
    </w:p>
    <w:p w14:paraId="4EC93409">
      <w:pPr>
        <w:autoSpaceDE w:val="0"/>
        <w:spacing w:line="360" w:lineRule="auto"/>
        <w:jc w:val="center"/>
        <w:rPr>
          <w:rFonts w:ascii="Arial" w:hAnsi="Arial" w:eastAsia="Tahoma" w:cs="Arial"/>
          <w:sz w:val="24"/>
          <w:szCs w:val="24"/>
        </w:rPr>
      </w:pPr>
      <w:r>
        <w:rPr>
          <w:rFonts w:ascii="Arial" w:hAnsi="Arial" w:eastAsia="Tahoma" w:cs="Arial"/>
          <w:sz w:val="24"/>
          <w:szCs w:val="24"/>
        </w:rPr>
        <w:t>__________________________,  ________ de ______________ de ________.</w:t>
      </w:r>
    </w:p>
    <w:p w14:paraId="17DE2D84">
      <w:pPr>
        <w:autoSpaceDE w:val="0"/>
        <w:spacing w:line="360" w:lineRule="auto"/>
        <w:jc w:val="center"/>
        <w:rPr>
          <w:rFonts w:ascii="Arial" w:hAnsi="Arial" w:eastAsia="Tahoma" w:cs="Arial"/>
          <w:sz w:val="24"/>
          <w:szCs w:val="24"/>
        </w:rPr>
      </w:pPr>
    </w:p>
    <w:p w14:paraId="4184D82D">
      <w:pPr>
        <w:suppressAutoHyphens w:val="0"/>
        <w:autoSpaceDE w:val="0"/>
        <w:spacing w:line="360" w:lineRule="auto"/>
        <w:jc w:val="center"/>
        <w:rPr>
          <w:rFonts w:ascii="Arial" w:hAnsi="Arial" w:cs="Arial"/>
          <w:sz w:val="24"/>
          <w:szCs w:val="24"/>
        </w:rPr>
      </w:pPr>
      <w:r>
        <w:rPr>
          <w:rFonts w:ascii="Arial" w:hAnsi="Arial" w:eastAsia="Tahoma" w:cs="Arial"/>
          <w:sz w:val="24"/>
          <w:szCs w:val="24"/>
        </w:rPr>
        <w:t>(NOME E ASSINATURA DO REPRESENTANTE DA PESSOA JURÍDICA)</w:t>
      </w:r>
    </w:p>
    <w:p w14:paraId="20660B2B">
      <w:pPr>
        <w:suppressAutoHyphens w:val="0"/>
        <w:autoSpaceDE w:val="0"/>
        <w:autoSpaceDN w:val="0"/>
        <w:adjustRightInd w:val="0"/>
        <w:spacing w:line="360" w:lineRule="auto"/>
        <w:jc w:val="center"/>
        <w:rPr>
          <w:rFonts w:ascii="Arial" w:hAnsi="Arial" w:cs="Arial"/>
          <w:b/>
          <w:bCs/>
          <w:sz w:val="24"/>
          <w:szCs w:val="24"/>
          <w:lang w:eastAsia="pt-BR"/>
        </w:rPr>
      </w:pPr>
    </w:p>
    <w:p w14:paraId="05C73BC7">
      <w:pPr>
        <w:suppressAutoHyphens w:val="0"/>
        <w:autoSpaceDE w:val="0"/>
        <w:autoSpaceDN w:val="0"/>
        <w:adjustRightInd w:val="0"/>
        <w:spacing w:line="360" w:lineRule="auto"/>
        <w:jc w:val="center"/>
        <w:rPr>
          <w:rFonts w:ascii="Arial" w:hAnsi="Arial" w:cs="Arial"/>
          <w:b/>
          <w:bCs/>
          <w:sz w:val="24"/>
          <w:szCs w:val="24"/>
          <w:lang w:eastAsia="pt-BR"/>
        </w:rPr>
      </w:pPr>
    </w:p>
    <w:p w14:paraId="474CFBE3">
      <w:pPr>
        <w:suppressAutoHyphens w:val="0"/>
        <w:autoSpaceDE w:val="0"/>
        <w:autoSpaceDN w:val="0"/>
        <w:adjustRightInd w:val="0"/>
        <w:spacing w:line="360" w:lineRule="auto"/>
        <w:jc w:val="center"/>
        <w:rPr>
          <w:rFonts w:ascii="Arial" w:hAnsi="Arial" w:cs="Arial"/>
          <w:b/>
          <w:bCs/>
          <w:sz w:val="24"/>
          <w:szCs w:val="24"/>
          <w:lang w:eastAsia="pt-BR"/>
        </w:rPr>
      </w:pPr>
    </w:p>
    <w:p w14:paraId="6F680EF3">
      <w:pPr>
        <w:suppressAutoHyphens w:val="0"/>
        <w:autoSpaceDE w:val="0"/>
        <w:autoSpaceDN w:val="0"/>
        <w:adjustRightInd w:val="0"/>
        <w:spacing w:line="360" w:lineRule="auto"/>
        <w:jc w:val="center"/>
        <w:rPr>
          <w:rFonts w:ascii="Arial" w:hAnsi="Arial" w:cs="Arial"/>
          <w:b/>
          <w:bCs/>
          <w:sz w:val="24"/>
          <w:szCs w:val="24"/>
          <w:lang w:eastAsia="pt-BR"/>
        </w:rPr>
      </w:pPr>
    </w:p>
    <w:p w14:paraId="0612782B">
      <w:pPr>
        <w:suppressAutoHyphens w:val="0"/>
        <w:autoSpaceDE w:val="0"/>
        <w:autoSpaceDN w:val="0"/>
        <w:adjustRightInd w:val="0"/>
        <w:spacing w:line="360" w:lineRule="auto"/>
        <w:jc w:val="center"/>
        <w:rPr>
          <w:rFonts w:ascii="Arial" w:hAnsi="Arial" w:cs="Arial"/>
          <w:b/>
          <w:bCs/>
          <w:sz w:val="24"/>
          <w:szCs w:val="24"/>
          <w:lang w:eastAsia="pt-BR"/>
        </w:rPr>
      </w:pPr>
    </w:p>
    <w:p w14:paraId="0D98AEB7">
      <w:pPr>
        <w:suppressAutoHyphens w:val="0"/>
        <w:autoSpaceDE w:val="0"/>
        <w:autoSpaceDN w:val="0"/>
        <w:adjustRightInd w:val="0"/>
        <w:spacing w:line="360" w:lineRule="auto"/>
        <w:jc w:val="center"/>
        <w:rPr>
          <w:rFonts w:ascii="Arial" w:hAnsi="Arial" w:cs="Arial"/>
          <w:b/>
          <w:bCs/>
          <w:sz w:val="24"/>
          <w:szCs w:val="24"/>
          <w:lang w:eastAsia="pt-BR"/>
        </w:rPr>
      </w:pPr>
    </w:p>
    <w:p w14:paraId="35735296">
      <w:pPr>
        <w:suppressAutoHyphens w:val="0"/>
        <w:autoSpaceDE w:val="0"/>
        <w:autoSpaceDN w:val="0"/>
        <w:adjustRightInd w:val="0"/>
        <w:spacing w:line="360" w:lineRule="auto"/>
        <w:jc w:val="center"/>
        <w:rPr>
          <w:rFonts w:ascii="Arial" w:hAnsi="Arial" w:cs="Arial"/>
          <w:b/>
          <w:bCs/>
          <w:sz w:val="24"/>
          <w:szCs w:val="24"/>
          <w:lang w:eastAsia="pt-BR"/>
        </w:rPr>
      </w:pPr>
    </w:p>
    <w:p w14:paraId="37D72CB7">
      <w:pPr>
        <w:suppressAutoHyphens w:val="0"/>
        <w:autoSpaceDE w:val="0"/>
        <w:autoSpaceDN w:val="0"/>
        <w:adjustRightInd w:val="0"/>
        <w:spacing w:line="360" w:lineRule="auto"/>
        <w:jc w:val="center"/>
        <w:rPr>
          <w:rFonts w:ascii="Arial" w:hAnsi="Arial" w:cs="Arial"/>
          <w:b/>
          <w:bCs/>
          <w:sz w:val="24"/>
          <w:szCs w:val="24"/>
          <w:lang w:eastAsia="pt-BR"/>
        </w:rPr>
      </w:pPr>
    </w:p>
    <w:p w14:paraId="65A91955">
      <w:pPr>
        <w:suppressAutoHyphens w:val="0"/>
        <w:autoSpaceDE w:val="0"/>
        <w:autoSpaceDN w:val="0"/>
        <w:adjustRightInd w:val="0"/>
        <w:spacing w:line="360" w:lineRule="auto"/>
        <w:jc w:val="center"/>
        <w:rPr>
          <w:rFonts w:ascii="Arial" w:hAnsi="Arial" w:cs="Arial"/>
          <w:b/>
          <w:bCs/>
          <w:sz w:val="24"/>
          <w:szCs w:val="24"/>
          <w:lang w:eastAsia="pt-BR"/>
        </w:rPr>
      </w:pPr>
    </w:p>
    <w:p w14:paraId="55CDE664">
      <w:pPr>
        <w:suppressAutoHyphens w:val="0"/>
        <w:autoSpaceDE w:val="0"/>
        <w:autoSpaceDN w:val="0"/>
        <w:adjustRightInd w:val="0"/>
        <w:spacing w:line="360" w:lineRule="auto"/>
        <w:jc w:val="center"/>
        <w:rPr>
          <w:rFonts w:ascii="Arial" w:hAnsi="Arial" w:cs="Arial"/>
          <w:b/>
          <w:bCs/>
          <w:sz w:val="24"/>
          <w:szCs w:val="24"/>
          <w:lang w:eastAsia="pt-BR"/>
        </w:rPr>
      </w:pPr>
    </w:p>
    <w:p w14:paraId="34D03F93">
      <w:pPr>
        <w:suppressAutoHyphens w:val="0"/>
        <w:autoSpaceDE w:val="0"/>
        <w:autoSpaceDN w:val="0"/>
        <w:adjustRightInd w:val="0"/>
        <w:spacing w:line="360" w:lineRule="auto"/>
        <w:jc w:val="center"/>
        <w:rPr>
          <w:rFonts w:ascii="Arial" w:hAnsi="Arial" w:cs="Arial"/>
          <w:b/>
          <w:bCs/>
          <w:sz w:val="24"/>
          <w:szCs w:val="24"/>
          <w:lang w:eastAsia="pt-BR"/>
        </w:rPr>
      </w:pPr>
      <w:r>
        <w:rPr>
          <w:rFonts w:ascii="Arial" w:hAnsi="Arial" w:cs="Arial"/>
          <w:b/>
          <w:bCs/>
          <w:sz w:val="24"/>
          <w:szCs w:val="24"/>
          <w:lang w:eastAsia="pt-BR"/>
        </w:rPr>
        <w:t>EDITAL DE LICITAÇÃO</w:t>
      </w:r>
    </w:p>
    <w:p w14:paraId="79D6D2AA">
      <w:pPr>
        <w:suppressAutoHyphens w:val="0"/>
        <w:autoSpaceDE w:val="0"/>
        <w:autoSpaceDN w:val="0"/>
        <w:adjustRightInd w:val="0"/>
        <w:spacing w:line="360" w:lineRule="auto"/>
        <w:jc w:val="center"/>
        <w:rPr>
          <w:rFonts w:ascii="Arial" w:hAnsi="Arial" w:cs="Arial"/>
          <w:b/>
          <w:bCs/>
          <w:color w:val="FF0000"/>
          <w:sz w:val="24"/>
          <w:szCs w:val="24"/>
          <w:lang w:eastAsia="pt-BR"/>
        </w:rPr>
      </w:pPr>
      <w:r>
        <w:rPr>
          <w:rFonts w:ascii="Arial" w:hAnsi="Arial" w:cs="Arial"/>
          <w:b/>
          <w:bCs/>
          <w:color w:val="FF0000"/>
          <w:sz w:val="24"/>
          <w:szCs w:val="24"/>
          <w:lang w:eastAsia="pt-BR"/>
        </w:rPr>
        <w:t>PREGÃO ELETRÔNICO N.º _/2025</w:t>
      </w:r>
    </w:p>
    <w:p w14:paraId="415CCE86">
      <w:pPr>
        <w:autoSpaceDE w:val="0"/>
        <w:spacing w:line="360" w:lineRule="auto"/>
        <w:jc w:val="center"/>
        <w:rPr>
          <w:rFonts w:ascii="Arial" w:hAnsi="Arial" w:eastAsia="Sylfaen" w:cs="Arial"/>
          <w:b/>
          <w:bCs/>
          <w:sz w:val="24"/>
          <w:szCs w:val="24"/>
        </w:rPr>
      </w:pPr>
      <w:r>
        <w:rPr>
          <w:rFonts w:ascii="Arial" w:hAnsi="Arial" w:eastAsia="Sylfaen" w:cs="Arial"/>
          <w:b/>
          <w:bCs/>
          <w:sz w:val="24"/>
          <w:szCs w:val="24"/>
        </w:rPr>
        <w:t>ANEXO VI</w:t>
      </w:r>
    </w:p>
    <w:p w14:paraId="206BD3CE">
      <w:pPr>
        <w:suppressAutoHyphens w:val="0"/>
        <w:autoSpaceDE w:val="0"/>
        <w:spacing w:line="360" w:lineRule="auto"/>
        <w:jc w:val="center"/>
        <w:rPr>
          <w:rFonts w:ascii="Arial" w:hAnsi="Arial" w:cs="Arial"/>
          <w:b/>
          <w:bCs/>
          <w:sz w:val="24"/>
          <w:szCs w:val="24"/>
        </w:rPr>
      </w:pPr>
      <w:r>
        <w:rPr>
          <w:rFonts w:ascii="Arial" w:hAnsi="Arial" w:cs="Arial"/>
          <w:b/>
          <w:bCs/>
          <w:sz w:val="24"/>
          <w:szCs w:val="24"/>
        </w:rPr>
        <w:t>ATA DE REGISTRO _/2025</w:t>
      </w:r>
    </w:p>
    <w:p w14:paraId="64C8F660">
      <w:pPr>
        <w:suppressAutoHyphens w:val="0"/>
        <w:autoSpaceDE w:val="0"/>
        <w:spacing w:line="360" w:lineRule="auto"/>
        <w:jc w:val="center"/>
        <w:rPr>
          <w:rFonts w:ascii="Arial" w:hAnsi="Arial" w:cs="Arial"/>
          <w:b/>
          <w:bCs/>
          <w:sz w:val="24"/>
          <w:szCs w:val="24"/>
        </w:rPr>
      </w:pPr>
    </w:p>
    <w:p w14:paraId="0DC891B1">
      <w:pPr>
        <w:suppressAutoHyphens w:val="0"/>
        <w:autoSpaceDE w:val="0"/>
        <w:spacing w:line="360" w:lineRule="auto"/>
        <w:jc w:val="center"/>
        <w:rPr>
          <w:rFonts w:ascii="Arial" w:hAnsi="Arial" w:cs="Arial"/>
          <w:b/>
          <w:bCs/>
          <w:sz w:val="24"/>
          <w:szCs w:val="24"/>
        </w:rPr>
      </w:pPr>
      <w:r>
        <w:rPr>
          <w:rFonts w:ascii="Arial" w:hAnsi="Arial" w:cs="Arial"/>
          <w:b/>
          <w:sz w:val="24"/>
          <w:szCs w:val="24"/>
          <w:u w:val="single"/>
        </w:rPr>
        <w:t>REGISTRO DE PREÇOS DE MEDICAMENTOS DIVERSOS 2.</w:t>
      </w:r>
    </w:p>
    <w:p w14:paraId="19DFF605">
      <w:pPr>
        <w:suppressAutoHyphens w:val="0"/>
        <w:autoSpaceDE w:val="0"/>
        <w:spacing w:line="360" w:lineRule="auto"/>
        <w:jc w:val="center"/>
        <w:rPr>
          <w:rFonts w:ascii="Arial" w:hAnsi="Arial" w:cs="Arial"/>
          <w:b/>
          <w:bCs/>
          <w:sz w:val="24"/>
          <w:szCs w:val="24"/>
        </w:rPr>
      </w:pPr>
    </w:p>
    <w:p w14:paraId="1E707647">
      <w:pPr>
        <w:suppressAutoHyphens w:val="0"/>
        <w:autoSpaceDE w:val="0"/>
        <w:spacing w:line="360" w:lineRule="auto"/>
        <w:jc w:val="center"/>
        <w:rPr>
          <w:rFonts w:ascii="Arial" w:hAnsi="Arial" w:cs="Arial"/>
          <w:b/>
          <w:bCs/>
          <w:sz w:val="24"/>
          <w:szCs w:val="24"/>
        </w:rPr>
      </w:pPr>
    </w:p>
    <w:p w14:paraId="6289EABF">
      <w:pPr>
        <w:suppressAutoHyphens w:val="0"/>
        <w:autoSpaceDE w:val="0"/>
        <w:spacing w:line="360" w:lineRule="auto"/>
        <w:jc w:val="center"/>
        <w:rPr>
          <w:rFonts w:ascii="Arial" w:hAnsi="Arial" w:cs="Arial"/>
          <w:b/>
          <w:bCs/>
          <w:sz w:val="24"/>
          <w:szCs w:val="24"/>
        </w:rPr>
      </w:pPr>
      <w:r>
        <w:rPr>
          <w:rFonts w:ascii="Arial" w:hAnsi="Arial" w:cs="Arial"/>
          <w:b/>
          <w:bCs/>
          <w:sz w:val="24"/>
          <w:szCs w:val="24"/>
        </w:rPr>
        <w:t>IDENTIFICAÇÃO DAS PARTES</w:t>
      </w:r>
    </w:p>
    <w:p w14:paraId="5FFF8B1C">
      <w:pPr>
        <w:spacing w:line="360" w:lineRule="auto"/>
        <w:jc w:val="both"/>
        <w:rPr>
          <w:rFonts w:ascii="Arial" w:hAnsi="Arial" w:cs="Arial"/>
          <w:sz w:val="24"/>
          <w:szCs w:val="24"/>
        </w:rPr>
      </w:pPr>
      <w:r>
        <w:rPr>
          <w:rFonts w:ascii="Arial" w:hAnsi="Arial" w:cs="Arial"/>
          <w:sz w:val="24"/>
          <w:szCs w:val="24"/>
        </w:rPr>
        <w:t xml:space="preserve">Ata de Registro de Preços que entre si celebram, O </w:t>
      </w:r>
      <w:r>
        <w:rPr>
          <w:rFonts w:ascii="Arial" w:hAnsi="Arial" w:cs="Arial"/>
          <w:b/>
          <w:sz w:val="24"/>
          <w:szCs w:val="24"/>
        </w:rPr>
        <w:t>MUNICÍPIO DE CEDRAL</w:t>
      </w:r>
      <w:r>
        <w:rPr>
          <w:rFonts w:ascii="Arial" w:hAnsi="Arial" w:cs="Arial"/>
          <w:sz w:val="24"/>
          <w:szCs w:val="24"/>
        </w:rPr>
        <w:t xml:space="preserve">, pessoa jurídica de direito público interno, inscrito no CNPJ nº 45.093.663/0001-36, com sede à Avenida Antônio dos Santos Galante n.º 429, Centro, neste ato representado pelo Prefeito Municipal </w:t>
      </w:r>
      <w:r>
        <w:rPr>
          <w:rFonts w:ascii="Arial" w:hAnsi="Arial" w:cs="Arial"/>
          <w:b/>
          <w:sz w:val="24"/>
          <w:szCs w:val="24"/>
        </w:rPr>
        <w:t>IRINEO BEOLCHI JUNIOR</w:t>
      </w:r>
      <w:r>
        <w:rPr>
          <w:rFonts w:ascii="Arial" w:hAnsi="Arial" w:cs="Arial"/>
          <w:sz w:val="24"/>
          <w:szCs w:val="24"/>
        </w:rPr>
        <w:t>, brasileiro, casado, portador do RG nº 9.757.788 - 1SSP/SP e inscrito no CPF n.º 077.491.148-40, residente e domiciliado na Rua João Gonçalves Leite, n.º 156, Jardim Santa Lúcia Helena, Cedral/SP, CEP 15.896-204,</w:t>
      </w:r>
      <w:r>
        <w:rPr>
          <w:rFonts w:ascii="Arial" w:hAnsi="Arial" w:cs="Arial"/>
          <w:b/>
          <w:sz w:val="24"/>
          <w:szCs w:val="24"/>
        </w:rPr>
        <w:t xml:space="preserve"> </w:t>
      </w:r>
      <w:r>
        <w:rPr>
          <w:rFonts w:ascii="Arial" w:hAnsi="Arial" w:cs="Arial"/>
          <w:sz w:val="24"/>
          <w:szCs w:val="24"/>
        </w:rPr>
        <w:t xml:space="preserve">CEP 15.895-000, </w:t>
      </w:r>
      <w:r>
        <w:rPr>
          <w:rFonts w:ascii="Arial" w:hAnsi="Arial" w:cs="Arial"/>
          <w:b/>
          <w:sz w:val="24"/>
          <w:szCs w:val="24"/>
        </w:rPr>
        <w:t xml:space="preserve">ÓRGÃO GERENCIADOR DO REGISTRO DE PREÇOS, </w:t>
      </w:r>
      <w:r>
        <w:rPr>
          <w:rFonts w:ascii="Arial" w:hAnsi="Arial" w:cs="Arial"/>
          <w:sz w:val="24"/>
          <w:szCs w:val="24"/>
        </w:rPr>
        <w:t xml:space="preserve">e (nome da pessoa jurídica com qualificação completa e representante legal com qualificação completa ), </w:t>
      </w:r>
      <w:r>
        <w:rPr>
          <w:rFonts w:ascii="Arial" w:hAnsi="Arial" w:cs="Arial"/>
          <w:b/>
          <w:sz w:val="24"/>
          <w:szCs w:val="24"/>
        </w:rPr>
        <w:t>DETENTORA DO REGISTRO DE PREÇOS,</w:t>
      </w:r>
      <w:r>
        <w:rPr>
          <w:rFonts w:ascii="Arial" w:hAnsi="Arial" w:cs="Arial"/>
          <w:sz w:val="24"/>
          <w:szCs w:val="24"/>
        </w:rPr>
        <w:t xml:space="preserve"> resolvem REGISTRAR OS PREÇOS de acordo com tabela em anexo a esta ata, que é parte integrante e indissociável.</w:t>
      </w:r>
    </w:p>
    <w:p w14:paraId="69889653">
      <w:pPr>
        <w:spacing w:line="360" w:lineRule="auto"/>
        <w:ind w:firstLine="1418"/>
        <w:jc w:val="both"/>
        <w:rPr>
          <w:rFonts w:ascii="Arial" w:hAnsi="Arial" w:cs="Arial"/>
          <w:sz w:val="24"/>
          <w:szCs w:val="24"/>
        </w:rPr>
      </w:pPr>
    </w:p>
    <w:p w14:paraId="37FBD03C">
      <w:pPr>
        <w:suppressAutoHyphens w:val="0"/>
        <w:autoSpaceDE w:val="0"/>
        <w:spacing w:line="360" w:lineRule="auto"/>
        <w:jc w:val="both"/>
        <w:rPr>
          <w:rFonts w:ascii="Arial" w:hAnsi="Arial" w:cs="Arial"/>
          <w:b/>
          <w:sz w:val="24"/>
          <w:szCs w:val="24"/>
        </w:rPr>
      </w:pPr>
      <w:r>
        <w:rPr>
          <w:rFonts w:ascii="Arial" w:hAnsi="Arial" w:cs="Arial"/>
          <w:b/>
          <w:sz w:val="24"/>
          <w:szCs w:val="24"/>
        </w:rPr>
        <w:t>CLÁUSULA PRIMEIRA - DO OBJETO</w:t>
      </w:r>
    </w:p>
    <w:p w14:paraId="52705EB8">
      <w:pPr>
        <w:suppressAutoHyphens w:val="0"/>
        <w:autoSpaceDE w:val="0"/>
        <w:spacing w:line="360" w:lineRule="auto"/>
        <w:jc w:val="both"/>
        <w:rPr>
          <w:rFonts w:ascii="Arial" w:hAnsi="Arial" w:cs="Arial"/>
          <w:sz w:val="24"/>
          <w:szCs w:val="24"/>
        </w:rPr>
      </w:pPr>
      <w:r>
        <w:rPr>
          <w:rFonts w:ascii="Arial" w:hAnsi="Arial" w:cs="Arial"/>
          <w:sz w:val="24"/>
          <w:szCs w:val="24"/>
        </w:rPr>
        <w:t xml:space="preserve">1.1 - A presente Ata tem por objeto </w:t>
      </w:r>
      <w:r>
        <w:rPr>
          <w:rFonts w:ascii="Arial" w:hAnsi="Arial" w:cs="Arial"/>
          <w:b/>
          <w:sz w:val="24"/>
          <w:szCs w:val="24"/>
          <w:u w:val="single"/>
        </w:rPr>
        <w:t>REGISTRO DE PREÇOS DE MEDICAMENTOS DIVERSOS</w:t>
      </w:r>
      <w:r>
        <w:rPr>
          <w:rFonts w:ascii="Arial" w:hAnsi="Arial" w:cs="Arial"/>
          <w:sz w:val="24"/>
          <w:szCs w:val="24"/>
        </w:rPr>
        <w:t>, conforme especificações constantes no Anexo I do edital.</w:t>
      </w:r>
    </w:p>
    <w:p w14:paraId="3BEE9947">
      <w:pPr>
        <w:suppressAutoHyphens w:val="0"/>
        <w:autoSpaceDE w:val="0"/>
        <w:spacing w:line="360" w:lineRule="auto"/>
        <w:jc w:val="both"/>
        <w:rPr>
          <w:rFonts w:ascii="Arial" w:hAnsi="Arial" w:cs="Arial"/>
          <w:sz w:val="24"/>
          <w:szCs w:val="24"/>
        </w:rPr>
      </w:pPr>
      <w:r>
        <w:rPr>
          <w:rFonts w:ascii="Arial" w:hAnsi="Arial" w:cs="Arial"/>
          <w:sz w:val="24"/>
          <w:szCs w:val="24"/>
        </w:rPr>
        <w:t>1.2 – Este instrumento não obriga o Município a solicitar o produto contido na ata, sendo facultada a realização de licitação específica para a aquisição pretendida, assegurando ao beneficiário do registro a preferência de fornecimento em igualdade de condições.</w:t>
      </w:r>
    </w:p>
    <w:p w14:paraId="4B7B09DD">
      <w:pPr>
        <w:suppressAutoHyphens w:val="0"/>
        <w:autoSpaceDE w:val="0"/>
        <w:spacing w:line="360" w:lineRule="auto"/>
        <w:jc w:val="both"/>
        <w:rPr>
          <w:rFonts w:ascii="Arial" w:hAnsi="Arial" w:cs="Arial"/>
          <w:sz w:val="24"/>
          <w:szCs w:val="24"/>
        </w:rPr>
      </w:pPr>
    </w:p>
    <w:p w14:paraId="4A3651A7">
      <w:pPr>
        <w:suppressAutoHyphens w:val="0"/>
        <w:autoSpaceDE w:val="0"/>
        <w:spacing w:line="360" w:lineRule="auto"/>
        <w:jc w:val="both"/>
        <w:rPr>
          <w:rFonts w:ascii="Arial" w:hAnsi="Arial" w:cs="Arial"/>
          <w:b/>
          <w:sz w:val="24"/>
          <w:szCs w:val="24"/>
        </w:rPr>
      </w:pPr>
      <w:r>
        <w:rPr>
          <w:rFonts w:ascii="Arial" w:hAnsi="Arial" w:cs="Arial"/>
          <w:b/>
          <w:sz w:val="24"/>
          <w:szCs w:val="24"/>
        </w:rPr>
        <w:t>CLÁUSULA SEGUNDA - DA VIGÊNCIA DA ATA DE REGISTRO DE PREÇOS</w:t>
      </w:r>
    </w:p>
    <w:p w14:paraId="20E762DD">
      <w:pPr>
        <w:suppressAutoHyphens w:val="0"/>
        <w:autoSpaceDE w:val="0"/>
        <w:spacing w:line="360" w:lineRule="auto"/>
        <w:jc w:val="both"/>
        <w:rPr>
          <w:rFonts w:ascii="Arial" w:hAnsi="Arial" w:cs="Arial"/>
          <w:sz w:val="24"/>
          <w:szCs w:val="24"/>
        </w:rPr>
      </w:pPr>
      <w:r>
        <w:rPr>
          <w:rFonts w:ascii="Arial" w:hAnsi="Arial" w:cs="Arial"/>
          <w:b/>
          <w:sz w:val="24"/>
          <w:szCs w:val="24"/>
          <w:u w:val="single"/>
        </w:rPr>
        <w:t>2.1 – A presente Ata de Registro de Preços terá vigência/validade de 1 ano, podendo ser prorrogada por igual período, a critério da Administração, desde que comprovado o preço vantajoso</w:t>
      </w:r>
      <w:r>
        <w:rPr>
          <w:rFonts w:ascii="Arial" w:hAnsi="Arial" w:cs="Arial"/>
          <w:sz w:val="24"/>
          <w:szCs w:val="24"/>
        </w:rPr>
        <w:t>.</w:t>
      </w:r>
    </w:p>
    <w:p w14:paraId="67C8810A">
      <w:pPr>
        <w:suppressAutoHyphens w:val="0"/>
        <w:autoSpaceDE w:val="0"/>
        <w:spacing w:line="360" w:lineRule="auto"/>
        <w:jc w:val="both"/>
        <w:rPr>
          <w:rFonts w:ascii="Arial" w:hAnsi="Arial" w:cs="Arial"/>
          <w:sz w:val="24"/>
          <w:szCs w:val="24"/>
        </w:rPr>
      </w:pPr>
      <w:r>
        <w:rPr>
          <w:rFonts w:ascii="Arial" w:hAnsi="Arial" w:cs="Arial"/>
          <w:sz w:val="24"/>
          <w:szCs w:val="24"/>
        </w:rPr>
        <w:t>2.2 – A vigência da Ata de Registro de Preços iniciar-se-á após a sua publicação.</w:t>
      </w:r>
    </w:p>
    <w:p w14:paraId="555A98ED">
      <w:pPr>
        <w:suppressAutoHyphens w:val="0"/>
        <w:autoSpaceDE w:val="0"/>
        <w:spacing w:line="360" w:lineRule="auto"/>
        <w:jc w:val="both"/>
        <w:rPr>
          <w:rFonts w:ascii="Arial" w:hAnsi="Arial" w:cs="Arial"/>
          <w:sz w:val="24"/>
          <w:szCs w:val="24"/>
        </w:rPr>
      </w:pPr>
    </w:p>
    <w:p w14:paraId="0FA9A7FF">
      <w:pPr>
        <w:suppressAutoHyphens w:val="0"/>
        <w:autoSpaceDE w:val="0"/>
        <w:spacing w:line="360" w:lineRule="auto"/>
        <w:jc w:val="both"/>
        <w:rPr>
          <w:rFonts w:ascii="Arial" w:hAnsi="Arial" w:cs="Arial"/>
          <w:b/>
          <w:bCs/>
          <w:sz w:val="24"/>
          <w:szCs w:val="24"/>
        </w:rPr>
      </w:pPr>
      <w:r>
        <w:rPr>
          <w:rFonts w:ascii="Arial" w:hAnsi="Arial" w:cs="Arial"/>
          <w:b/>
          <w:sz w:val="24"/>
          <w:szCs w:val="24"/>
        </w:rPr>
        <w:t>CLÁUSULA TERCEIRA</w:t>
      </w:r>
      <w:r>
        <w:rPr>
          <w:rFonts w:ascii="Arial" w:hAnsi="Arial" w:cs="Arial"/>
          <w:sz w:val="24"/>
          <w:szCs w:val="24"/>
        </w:rPr>
        <w:t xml:space="preserve"> - </w:t>
      </w:r>
      <w:r>
        <w:rPr>
          <w:rFonts w:ascii="Arial" w:hAnsi="Arial" w:cs="Arial"/>
          <w:b/>
          <w:bCs/>
          <w:sz w:val="24"/>
          <w:szCs w:val="24"/>
        </w:rPr>
        <w:t>DA EXPECTATIVA DO FORNECIMENTO</w:t>
      </w:r>
    </w:p>
    <w:p w14:paraId="7A9EAAB0">
      <w:pPr>
        <w:suppressAutoHyphens w:val="0"/>
        <w:autoSpaceDE w:val="0"/>
        <w:spacing w:line="360" w:lineRule="auto"/>
        <w:jc w:val="both"/>
        <w:rPr>
          <w:rFonts w:ascii="Arial" w:hAnsi="Arial" w:cs="Arial"/>
          <w:sz w:val="24"/>
          <w:szCs w:val="24"/>
        </w:rPr>
      </w:pPr>
      <w:r>
        <w:rPr>
          <w:rFonts w:ascii="Arial" w:hAnsi="Arial" w:cs="Arial"/>
          <w:sz w:val="24"/>
          <w:szCs w:val="24"/>
        </w:rPr>
        <w:t>3.1 - O ajuste com o fornecedor registrado será formalizado pelo MUNICIPIO mediante emissão da Solicitação de Fornecimento, observadas as disposições contidas no Edital.</w:t>
      </w:r>
    </w:p>
    <w:p w14:paraId="340725F6">
      <w:pPr>
        <w:suppressAutoHyphens w:val="0"/>
        <w:autoSpaceDE w:val="0"/>
        <w:spacing w:line="360" w:lineRule="auto"/>
        <w:jc w:val="both"/>
        <w:rPr>
          <w:rFonts w:ascii="Arial" w:hAnsi="Arial" w:cs="Arial"/>
          <w:sz w:val="24"/>
          <w:szCs w:val="24"/>
        </w:rPr>
      </w:pPr>
      <w:r>
        <w:rPr>
          <w:rFonts w:ascii="Arial" w:hAnsi="Arial" w:cs="Arial"/>
          <w:sz w:val="24"/>
          <w:szCs w:val="24"/>
        </w:rPr>
        <w:t>3.2 - O compromisso de entrega só estará caracterizado mediante o comprovado recebimento, pelo Fornecedor da Solicitação de Fornecimento, decorrente desta Ata de Registro de Preços.</w:t>
      </w:r>
    </w:p>
    <w:p w14:paraId="11482A4F">
      <w:pPr>
        <w:suppressAutoHyphens w:val="0"/>
        <w:autoSpaceDE w:val="0"/>
        <w:spacing w:line="360" w:lineRule="auto"/>
        <w:jc w:val="both"/>
        <w:rPr>
          <w:rFonts w:ascii="Arial" w:hAnsi="Arial" w:cs="Arial"/>
          <w:sz w:val="24"/>
          <w:szCs w:val="24"/>
        </w:rPr>
      </w:pPr>
      <w:r>
        <w:rPr>
          <w:rFonts w:ascii="Arial" w:hAnsi="Arial" w:cs="Arial"/>
          <w:sz w:val="24"/>
          <w:szCs w:val="24"/>
        </w:rPr>
        <w:t>3.3 - O fornecedor registrado fica obrigado a atender todos os pedidos efetuados durante a validade desta Ata de Registro de Preços.</w:t>
      </w:r>
    </w:p>
    <w:p w14:paraId="188BC74F">
      <w:pPr>
        <w:suppressAutoHyphens w:val="0"/>
        <w:autoSpaceDE w:val="0"/>
        <w:spacing w:line="360" w:lineRule="auto"/>
        <w:jc w:val="both"/>
        <w:rPr>
          <w:rFonts w:ascii="Arial" w:hAnsi="Arial" w:cs="Arial"/>
          <w:sz w:val="24"/>
          <w:szCs w:val="24"/>
        </w:rPr>
      </w:pPr>
    </w:p>
    <w:p w14:paraId="1722034D">
      <w:pPr>
        <w:suppressAutoHyphens w:val="0"/>
        <w:autoSpaceDE w:val="0"/>
        <w:spacing w:line="360" w:lineRule="auto"/>
        <w:jc w:val="both"/>
        <w:rPr>
          <w:rFonts w:ascii="Arial" w:hAnsi="Arial" w:cs="Arial"/>
          <w:b/>
          <w:bCs/>
          <w:sz w:val="24"/>
          <w:szCs w:val="24"/>
        </w:rPr>
      </w:pPr>
      <w:r>
        <w:rPr>
          <w:rFonts w:ascii="Arial" w:hAnsi="Arial" w:cs="Arial"/>
          <w:b/>
          <w:sz w:val="24"/>
          <w:szCs w:val="24"/>
        </w:rPr>
        <w:t>CLÁUSULA QUARTA – DO FORNECIMENTO DO OBJETO</w:t>
      </w:r>
    </w:p>
    <w:p w14:paraId="6C3163CF">
      <w:pPr>
        <w:suppressAutoHyphens w:val="0"/>
        <w:autoSpaceDE w:val="0"/>
        <w:spacing w:line="360" w:lineRule="auto"/>
        <w:rPr>
          <w:rFonts w:ascii="Arial" w:hAnsi="Arial" w:cs="Arial"/>
          <w:sz w:val="24"/>
          <w:szCs w:val="24"/>
        </w:rPr>
      </w:pPr>
      <w:r>
        <w:rPr>
          <w:rFonts w:ascii="Arial" w:hAnsi="Arial" w:cs="Arial"/>
          <w:sz w:val="24"/>
          <w:szCs w:val="24"/>
        </w:rPr>
        <w:t>4.1 - Os produtos deverão ser entregues da seguinte forma:</w:t>
      </w:r>
    </w:p>
    <w:p w14:paraId="3DCEF788">
      <w:pPr>
        <w:suppressAutoHyphens w:val="0"/>
        <w:autoSpaceDE w:val="0"/>
        <w:spacing w:line="360" w:lineRule="auto"/>
        <w:rPr>
          <w:rFonts w:ascii="Arial" w:hAnsi="Arial" w:eastAsia="Tahoma" w:cs="Arial"/>
          <w:b/>
          <w:bCs/>
          <w:sz w:val="24"/>
          <w:szCs w:val="24"/>
        </w:rPr>
      </w:pPr>
      <w:r>
        <w:rPr>
          <w:rFonts w:ascii="Arial" w:hAnsi="Arial" w:cs="Arial"/>
          <w:sz w:val="24"/>
          <w:szCs w:val="24"/>
        </w:rPr>
        <w:t>1 -</w:t>
      </w:r>
      <w:r>
        <w:rPr>
          <w:rFonts w:ascii="Arial" w:hAnsi="Arial" w:eastAsia="Tahoma" w:cs="Arial"/>
          <w:b/>
          <w:bCs/>
          <w:sz w:val="24"/>
          <w:szCs w:val="24"/>
        </w:rPr>
        <w:t xml:space="preserve"> LOCAL DE ENTREGA, PRAZOS E FORMA DE FORNECIMENTO</w:t>
      </w:r>
    </w:p>
    <w:p w14:paraId="47FAF5A5">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1.1 objeto desta licitação deverá ser fornecido de forma parcelada, por um período de 12 (doze) meses, de acordo com as necessidades da Administração Municipal, mediante solicitação, por escrito, do Departamento requisitante, devendo ser entregue no prazo máximo de 05 (cinco) dias úteis;</w:t>
      </w:r>
    </w:p>
    <w:p w14:paraId="01AEA199">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1.1 - Os medicamentos solicitados deverão ser entregues com data de validade mínima de 12 (doze meses), contados a partir da data de entrega;</w:t>
      </w:r>
    </w:p>
    <w:p w14:paraId="237A1837">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1.2 - Não serão aceitas embalagens violadas, amassadas ou com marcas diferentes das ofertadas na proposta de preços;</w:t>
      </w:r>
    </w:p>
    <w:p w14:paraId="1DFFC137">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1.3 - A Administração Municipal não receberá os produtos entregues em desacordo com as especificações descritas neste Termo de Referência</w:t>
      </w:r>
    </w:p>
    <w:p w14:paraId="77A40D2E">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1.4 - As entregas serão realizadas em dias úteis e horário comercial, das 7h30 às 11:00, e das 13h às 16h00;</w:t>
      </w:r>
    </w:p>
    <w:p w14:paraId="6B9A925F">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1.5 - As entregas deverão ocorrer na farmácia municipal de Cedral / end. Avenida Cel. Silvério da Cunha lacerda,77, centro/, Cedral- SP, CEP 15895-000, cabendo ao responsável conferi-lo e lavrar termo de recebimento para efeito de posterior verificação da conformidade do mesmo com as exigências do edital;, cabendo ao responsável conferi-lo e lavrar termo de recebimento para efeito de posterior verificação da conformidade do mesmo com as exigências do edital;</w:t>
      </w:r>
    </w:p>
    <w:p w14:paraId="23EE3FAC">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1.6 - As despesas de frete e transporte, carga e descarga, para entrega dos produtos no</w:t>
      </w:r>
    </w:p>
    <w:p w14:paraId="060D7863">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almoxarifado da Prefeitura recairão sobre a contratada, sem quaisquer ônus para a Administração Municipal.</w:t>
      </w:r>
    </w:p>
    <w:p w14:paraId="4DD02BB5">
      <w:pPr>
        <w:suppressAutoHyphens w:val="0"/>
        <w:autoSpaceDE w:val="0"/>
        <w:spacing w:line="360" w:lineRule="auto"/>
        <w:rPr>
          <w:rFonts w:ascii="Arial" w:hAnsi="Arial" w:eastAsia="Tahoma" w:cs="Arial"/>
          <w:b/>
          <w:bCs/>
          <w:sz w:val="24"/>
          <w:szCs w:val="24"/>
        </w:rPr>
      </w:pPr>
    </w:p>
    <w:p w14:paraId="46298C01">
      <w:pPr>
        <w:suppressAutoHyphens w:val="0"/>
        <w:autoSpaceDE w:val="0"/>
        <w:spacing w:line="360" w:lineRule="auto"/>
        <w:rPr>
          <w:rFonts w:ascii="Arial" w:hAnsi="Arial" w:eastAsia="Tahoma" w:cs="Arial"/>
          <w:b/>
          <w:bCs/>
          <w:sz w:val="24"/>
          <w:szCs w:val="24"/>
        </w:rPr>
      </w:pPr>
      <w:r>
        <w:rPr>
          <w:rFonts w:ascii="Arial" w:hAnsi="Arial" w:eastAsia="Tahoma" w:cs="Arial"/>
          <w:b/>
          <w:bCs/>
          <w:sz w:val="24"/>
          <w:szCs w:val="24"/>
        </w:rPr>
        <w:t>2. FORMA DE ACOMPANHAMENTO E FISCALIZAÇÃO</w:t>
      </w:r>
    </w:p>
    <w:p w14:paraId="42ECE69E">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2.1 A Administração tem o dever de acompanhar e fiscalizar buscando o cumprimento dos termos pactuados, ficando a cargo do Município, através de funcionários designados pela autoridade competente. Caberá à fiscalização o recebimento, análise dos produtos e ateste dos serviços executados.</w:t>
      </w:r>
    </w:p>
    <w:p w14:paraId="15581697">
      <w:pPr>
        <w:suppressAutoHyphens w:val="0"/>
        <w:autoSpaceDE w:val="0"/>
        <w:spacing w:line="360" w:lineRule="auto"/>
        <w:rPr>
          <w:rFonts w:ascii="Arial" w:hAnsi="Arial" w:eastAsia="Tahoma" w:cs="Arial"/>
          <w:bCs/>
          <w:sz w:val="24"/>
          <w:szCs w:val="24"/>
        </w:rPr>
      </w:pPr>
    </w:p>
    <w:p w14:paraId="6F675480">
      <w:pPr>
        <w:suppressAutoHyphens w:val="0"/>
        <w:autoSpaceDE w:val="0"/>
        <w:spacing w:line="360" w:lineRule="auto"/>
        <w:jc w:val="both"/>
        <w:rPr>
          <w:rFonts w:ascii="Arial" w:hAnsi="Arial" w:eastAsia="Tahoma" w:cs="Arial"/>
          <w:b/>
          <w:bCs/>
          <w:sz w:val="24"/>
          <w:szCs w:val="24"/>
        </w:rPr>
      </w:pPr>
      <w:r>
        <w:rPr>
          <w:rFonts w:ascii="Arial" w:hAnsi="Arial" w:eastAsia="Tahoma" w:cs="Arial"/>
          <w:b/>
          <w:bCs/>
          <w:sz w:val="24"/>
          <w:szCs w:val="24"/>
        </w:rPr>
        <w:t>3. DAS CONDIÇÕES DE RECEBIMENTO DOS MEDICAMENTOS:</w:t>
      </w:r>
    </w:p>
    <w:p w14:paraId="6A21B4CC">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3.1 - Fica condicionado o recebimento e a aceitação dos medicamentos à fiscalização do farmacêutico responsável no ato da entrega, cabendo a este verificar se os medicamentos correspondem aos descrito na Autorização de Fornecimento e se na embalagem do medicamento entregue está expresso o prazo de validade.</w:t>
      </w:r>
    </w:p>
    <w:p w14:paraId="2A21F185">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3.2 - Caso o medicamento não corresponda às especificações constantes da Autorização de Fornecimento ou que esteja danificado pelo manuseio e estocagem, o mesmo será devolvido e substituído pela LICITANTE VENCEDORA no prazo máximo de 5 (cinco) dias, contados do recebimento da notificação, sob pena de aplicação das medidas coercitivas.</w:t>
      </w:r>
    </w:p>
    <w:p w14:paraId="733B3502">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3.3 - A inspeção e fiscalização pela PREFEITURA não isenta, tampouco diminui, a responsabilidade da LICITANTE vencedora quanto à garantia dos medicamentos.</w:t>
      </w:r>
    </w:p>
    <w:p w14:paraId="416D88AF">
      <w:pPr>
        <w:suppressAutoHyphens w:val="0"/>
        <w:autoSpaceDE w:val="0"/>
        <w:spacing w:line="360" w:lineRule="auto"/>
        <w:jc w:val="both"/>
        <w:rPr>
          <w:rFonts w:ascii="Arial" w:hAnsi="Arial" w:eastAsia="Tahoma" w:cs="Arial"/>
          <w:bCs/>
          <w:sz w:val="24"/>
          <w:szCs w:val="24"/>
        </w:rPr>
      </w:pPr>
      <w:r>
        <w:rPr>
          <w:rFonts w:ascii="Arial" w:hAnsi="Arial" w:eastAsia="Tahoma" w:cs="Arial"/>
          <w:bCs/>
          <w:sz w:val="24"/>
          <w:szCs w:val="24"/>
        </w:rPr>
        <w:t>3.4 - Ocorrendo a falta de qualquer medicamento, a LICITANTE vencedora deverá comunicar imediatamente por escrito à PREFEITURA, para que sejam tomadas as devidas providências para não paralisação do fornecimento.</w:t>
      </w:r>
    </w:p>
    <w:p w14:paraId="22217E43">
      <w:pPr>
        <w:tabs>
          <w:tab w:val="left" w:pos="9639"/>
        </w:tabs>
        <w:spacing w:line="360" w:lineRule="auto"/>
        <w:ind w:right="140"/>
        <w:jc w:val="both"/>
        <w:rPr>
          <w:rFonts w:ascii="Arial" w:hAnsi="Arial" w:cs="Arial"/>
          <w:b/>
          <w:i/>
          <w:sz w:val="24"/>
          <w:szCs w:val="24"/>
          <w:u w:val="single"/>
        </w:rPr>
      </w:pPr>
      <w:r>
        <w:rPr>
          <w:rFonts w:ascii="Arial" w:hAnsi="Arial" w:cs="Arial"/>
          <w:b/>
          <w:i/>
          <w:sz w:val="24"/>
          <w:szCs w:val="24"/>
          <w:u w:val="single"/>
        </w:rPr>
        <w:t>3.5 – A cada primeira entrega de item, deverá apresentar os seguintes documentos:</w:t>
      </w:r>
    </w:p>
    <w:p w14:paraId="79F59E43">
      <w:pPr>
        <w:pStyle w:val="25"/>
        <w:spacing w:line="360" w:lineRule="auto"/>
        <w:jc w:val="both"/>
        <w:rPr>
          <w:rFonts w:eastAsia="Batang"/>
          <w:b/>
          <w:i/>
          <w:color w:val="auto"/>
          <w:u w:val="single"/>
        </w:rPr>
      </w:pPr>
      <w:r>
        <w:rPr>
          <w:rFonts w:eastAsia="Batang"/>
          <w:b/>
          <w:i/>
          <w:color w:val="auto"/>
          <w:u w:val="single"/>
        </w:rPr>
        <w:t>1 - Certificado de Regularidade Técnica do ano em exercício, expedida pelo Conselho Regional de</w:t>
      </w:r>
    </w:p>
    <w:p w14:paraId="5EC56CF2">
      <w:pPr>
        <w:pStyle w:val="25"/>
        <w:spacing w:line="360" w:lineRule="auto"/>
        <w:rPr>
          <w:rFonts w:eastAsia="Batang"/>
          <w:b/>
          <w:i/>
          <w:color w:val="auto"/>
          <w:u w:val="single"/>
        </w:rPr>
      </w:pPr>
      <w:r>
        <w:rPr>
          <w:rFonts w:eastAsia="Batang"/>
          <w:b/>
          <w:i/>
          <w:color w:val="auto"/>
          <w:u w:val="single"/>
        </w:rPr>
        <w:t>Farmácia de sua jurisdição (Resolução CFF n o 464 de 23/07/2007).</w:t>
      </w:r>
    </w:p>
    <w:p w14:paraId="56F15C73">
      <w:pPr>
        <w:pStyle w:val="25"/>
        <w:spacing w:line="360" w:lineRule="auto"/>
        <w:jc w:val="both"/>
        <w:rPr>
          <w:rFonts w:eastAsia="Batang"/>
          <w:b/>
          <w:i/>
          <w:color w:val="auto"/>
          <w:u w:val="single"/>
        </w:rPr>
      </w:pPr>
      <w:r>
        <w:rPr>
          <w:rFonts w:eastAsia="Batang"/>
          <w:b/>
          <w:i/>
          <w:color w:val="auto"/>
          <w:u w:val="single"/>
        </w:rPr>
        <w:t>2 - Certificado de Registro do Produto emitido pela Agência Nacional de Vigilância Sanitária – ANVISA, ou cópia da publicação do DOU, não sendo aceitos protocolos de solicitação inicial de registro. Caso o prazo de registro esteja vencido, apresentar pedido de revalidação datado do semestre anterior ao do vencimento (protocolo + formulário petição no 01 e n o 02); e,</w:t>
      </w:r>
    </w:p>
    <w:p w14:paraId="04748E22">
      <w:pPr>
        <w:pStyle w:val="25"/>
        <w:spacing w:line="360" w:lineRule="auto"/>
        <w:jc w:val="both"/>
        <w:rPr>
          <w:rFonts w:eastAsia="Batang"/>
          <w:b/>
          <w:i/>
          <w:color w:val="auto"/>
          <w:u w:val="single"/>
        </w:rPr>
      </w:pPr>
      <w:r>
        <w:rPr>
          <w:rFonts w:eastAsia="Batang"/>
          <w:b/>
          <w:i/>
          <w:color w:val="auto"/>
          <w:u w:val="single"/>
        </w:rPr>
        <w:t>3 - Para os medicamentos da RDC 199/06 isentos de Registro do medicamento no MS, apresentar a respectiva bula e comprovante de isento RDC 199/06.</w:t>
      </w:r>
    </w:p>
    <w:p w14:paraId="067D667A">
      <w:pPr>
        <w:spacing w:line="360" w:lineRule="auto"/>
        <w:jc w:val="both"/>
        <w:rPr>
          <w:rFonts w:ascii="Arial" w:hAnsi="Arial" w:cs="Arial"/>
          <w:sz w:val="24"/>
          <w:szCs w:val="24"/>
        </w:rPr>
      </w:pPr>
      <w:r>
        <w:rPr>
          <w:rFonts w:ascii="Arial" w:hAnsi="Arial" w:cs="Arial"/>
          <w:sz w:val="24"/>
          <w:szCs w:val="24"/>
        </w:rPr>
        <w:t>3.6 - Os medicamentos devem estar com as especificações técnicas em conformidade com o que foi solicitado: forma farmacêutica, concentração e condições de conservação;</w:t>
      </w:r>
    </w:p>
    <w:p w14:paraId="13D10BAC">
      <w:pPr>
        <w:spacing w:line="360" w:lineRule="auto"/>
        <w:jc w:val="both"/>
        <w:rPr>
          <w:rFonts w:ascii="Arial" w:hAnsi="Arial" w:cs="Arial"/>
          <w:sz w:val="24"/>
          <w:szCs w:val="24"/>
        </w:rPr>
      </w:pPr>
      <w:r>
        <w:rPr>
          <w:rFonts w:ascii="Arial" w:hAnsi="Arial" w:cs="Arial"/>
          <w:sz w:val="24"/>
          <w:szCs w:val="24"/>
        </w:rPr>
        <w:t>3.7 O medicamento deve ser entregue na embalagem original, em perfeito estado, sem sinais de violação, sem aderência ao produto, umidade, sem inadequação de conteúdo, identificadas, nas condições de temperatura exigida em rótulo, e com o nº de registro emitido pela ANVISA/Ministério da Saúde;</w:t>
      </w:r>
    </w:p>
    <w:p w14:paraId="55B9858C">
      <w:pPr>
        <w:spacing w:line="360" w:lineRule="auto"/>
        <w:jc w:val="both"/>
        <w:rPr>
          <w:rFonts w:ascii="Arial" w:hAnsi="Arial" w:cs="Arial"/>
          <w:sz w:val="24"/>
          <w:szCs w:val="24"/>
        </w:rPr>
      </w:pPr>
      <w:r>
        <w:rPr>
          <w:rFonts w:ascii="Arial" w:hAnsi="Arial" w:cs="Arial"/>
          <w:sz w:val="24"/>
          <w:szCs w:val="24"/>
        </w:rPr>
        <w:t>3.8 Todos os medicamentos deverão trazer nos rótulos e bulas, grafados em língua portuguesa: número do lote, data de fabricação ou validade, nome do responsável técnico, número de registro, nome genérico e concentração de acordo com a Legislação Sanitária e nos termos do artigo 31 do Código de Defesa do Consumidor, entre outros;</w:t>
      </w:r>
    </w:p>
    <w:p w14:paraId="40DBDD34">
      <w:pPr>
        <w:tabs>
          <w:tab w:val="left" w:pos="9639"/>
        </w:tabs>
        <w:spacing w:line="360" w:lineRule="auto"/>
        <w:jc w:val="both"/>
        <w:rPr>
          <w:rFonts w:ascii="Arial" w:hAnsi="Arial" w:cs="Arial"/>
          <w:color w:val="000000"/>
          <w:sz w:val="24"/>
          <w:szCs w:val="24"/>
        </w:rPr>
      </w:pPr>
      <w:r>
        <w:rPr>
          <w:rFonts w:ascii="Arial" w:hAnsi="Arial" w:cs="Arial"/>
          <w:sz w:val="24"/>
          <w:szCs w:val="24"/>
        </w:rPr>
        <w:t>3.9 Os produtos fornecidos pelas empresas vencedoras do certame deverão apresentar na embalagem a expressão “ PROIBIDA A VENDA NO COMÉRCIO”, nos termos da Portaria n º 2.814/GM DE 29 de maio de 1998, do Ministério da Saúde</w:t>
      </w:r>
      <w:r>
        <w:rPr>
          <w:rFonts w:ascii="Arial" w:hAnsi="Arial" w:cs="Arial"/>
          <w:color w:val="000000"/>
          <w:sz w:val="24"/>
          <w:szCs w:val="24"/>
        </w:rPr>
        <w:t xml:space="preserve"> </w:t>
      </w:r>
    </w:p>
    <w:p w14:paraId="302A03C9">
      <w:pPr>
        <w:tabs>
          <w:tab w:val="left" w:pos="9639"/>
        </w:tabs>
        <w:spacing w:line="360" w:lineRule="auto"/>
        <w:jc w:val="both"/>
        <w:rPr>
          <w:rFonts w:ascii="Arial" w:hAnsi="Arial" w:cs="Arial"/>
          <w:sz w:val="24"/>
          <w:szCs w:val="24"/>
        </w:rPr>
      </w:pPr>
      <w:r>
        <w:rPr>
          <w:rFonts w:ascii="Arial" w:hAnsi="Arial" w:cs="Arial"/>
          <w:color w:val="000000"/>
          <w:sz w:val="24"/>
          <w:szCs w:val="24"/>
        </w:rPr>
        <w:t xml:space="preserve">4.2 - Qualquer dano que ocorrer na entrega do produto fica sob total responsabilidade da detentora do registro, bem como </w:t>
      </w:r>
      <w:r>
        <w:rPr>
          <w:rFonts w:ascii="Arial" w:hAnsi="Arial" w:cs="Arial"/>
          <w:sz w:val="24"/>
          <w:szCs w:val="24"/>
        </w:rPr>
        <w:t xml:space="preserve"> qualquer falha que ocorrer no fornecimento do objeto fica sob total responsabilidade da licitante vencedora, sendo que será recusada a entrega que não estiver de acordo com o termo de referência da licitação.</w:t>
      </w:r>
    </w:p>
    <w:p w14:paraId="56DFFAE1">
      <w:pPr>
        <w:spacing w:line="360" w:lineRule="auto"/>
        <w:jc w:val="both"/>
        <w:rPr>
          <w:rFonts w:ascii="Arial" w:hAnsi="Arial" w:cs="Arial"/>
          <w:sz w:val="24"/>
          <w:szCs w:val="24"/>
        </w:rPr>
      </w:pPr>
      <w:r>
        <w:rPr>
          <w:rFonts w:ascii="Arial" w:hAnsi="Arial" w:eastAsia="Batang" w:cs="Arial"/>
          <w:sz w:val="24"/>
          <w:szCs w:val="24"/>
        </w:rPr>
        <w:t xml:space="preserve">4.3 - Caso a pessoa jurídica não cumprir com as especificações do edital, a mesma estará deixando de cumprir o objeto, devendo sofrer as sanções cabíveis, bem como </w:t>
      </w:r>
      <w:r>
        <w:rPr>
          <w:rFonts w:ascii="Arial" w:hAnsi="Arial" w:cs="Arial"/>
          <w:sz w:val="24"/>
          <w:szCs w:val="24"/>
        </w:rPr>
        <w:t>implicará na decadência do direito do licitante à inclusão dos seus preços no sistema de registro.</w:t>
      </w:r>
    </w:p>
    <w:p w14:paraId="69A860CE">
      <w:pPr>
        <w:suppressAutoHyphens w:val="0"/>
        <w:autoSpaceDE w:val="0"/>
        <w:spacing w:line="360" w:lineRule="auto"/>
        <w:jc w:val="both"/>
        <w:rPr>
          <w:rFonts w:ascii="Arial" w:hAnsi="Arial" w:cs="Arial"/>
          <w:sz w:val="24"/>
          <w:szCs w:val="24"/>
        </w:rPr>
      </w:pPr>
      <w:r>
        <w:rPr>
          <w:rFonts w:ascii="Arial" w:hAnsi="Arial" w:cs="Arial"/>
          <w:sz w:val="24"/>
          <w:szCs w:val="24"/>
        </w:rPr>
        <w:t>4.4 – O fornecimento do objeto da licitação será efetuado independentemente de contrato formal, reconhecendo desde já o licitante que a Ata de Registro de Preços, as Solicitações de Fornecimento e empenhos representam compromisso entre as partes.</w:t>
      </w:r>
    </w:p>
    <w:p w14:paraId="7B969B38">
      <w:pPr>
        <w:suppressAutoHyphens w:val="0"/>
        <w:autoSpaceDE w:val="0"/>
        <w:spacing w:line="360" w:lineRule="auto"/>
        <w:jc w:val="both"/>
        <w:rPr>
          <w:rFonts w:ascii="Arial" w:hAnsi="Arial" w:cs="Arial"/>
          <w:sz w:val="24"/>
          <w:szCs w:val="24"/>
        </w:rPr>
      </w:pPr>
      <w:r>
        <w:rPr>
          <w:rFonts w:ascii="Arial" w:hAnsi="Arial" w:cs="Arial"/>
          <w:sz w:val="24"/>
          <w:szCs w:val="24"/>
        </w:rPr>
        <w:t>4.5 - Apurada, em qualquer tempo, divergência entre as especificações pré-fixadas e o fornecimento efetuado, serão aplicados as sanções previstas neste edital e na legislação vigente.</w:t>
      </w:r>
    </w:p>
    <w:p w14:paraId="31040EC8">
      <w:pPr>
        <w:suppressAutoHyphens w:val="0"/>
        <w:autoSpaceDE w:val="0"/>
        <w:spacing w:line="360" w:lineRule="auto"/>
        <w:jc w:val="both"/>
        <w:rPr>
          <w:rFonts w:ascii="Arial" w:hAnsi="Arial" w:cs="Arial"/>
          <w:b/>
          <w:color w:val="000000"/>
          <w:sz w:val="24"/>
          <w:szCs w:val="24"/>
        </w:rPr>
      </w:pPr>
    </w:p>
    <w:p w14:paraId="03B7E248">
      <w:pPr>
        <w:suppressAutoHyphens w:val="0"/>
        <w:autoSpaceDE w:val="0"/>
        <w:spacing w:line="360" w:lineRule="auto"/>
        <w:jc w:val="both"/>
        <w:rPr>
          <w:rFonts w:ascii="Arial" w:hAnsi="Arial" w:cs="Arial"/>
          <w:b/>
          <w:color w:val="000000"/>
          <w:sz w:val="24"/>
          <w:szCs w:val="24"/>
        </w:rPr>
      </w:pPr>
      <w:r>
        <w:rPr>
          <w:rFonts w:ascii="Arial" w:hAnsi="Arial" w:cs="Arial"/>
          <w:b/>
          <w:color w:val="000000"/>
          <w:sz w:val="24"/>
          <w:szCs w:val="24"/>
        </w:rPr>
        <w:t>CLÁUSULA QUINTA – DA FORMA DE PAGAMENTO</w:t>
      </w:r>
    </w:p>
    <w:p w14:paraId="74375125">
      <w:pPr>
        <w:autoSpaceDE w:val="0"/>
        <w:spacing w:line="360" w:lineRule="auto"/>
        <w:jc w:val="both"/>
        <w:rPr>
          <w:rFonts w:ascii="Arial" w:hAnsi="Arial" w:eastAsia="Arial" w:cs="Arial"/>
          <w:sz w:val="24"/>
          <w:szCs w:val="24"/>
        </w:rPr>
      </w:pPr>
      <w:r>
        <w:rPr>
          <w:rFonts w:ascii="Arial" w:hAnsi="Arial" w:cs="Arial"/>
          <w:sz w:val="24"/>
          <w:szCs w:val="24"/>
        </w:rPr>
        <w:t xml:space="preserve">5.1 - </w:t>
      </w:r>
      <w:r>
        <w:rPr>
          <w:rFonts w:ascii="Arial" w:hAnsi="Arial" w:eastAsia="Arial" w:cs="Arial"/>
          <w:sz w:val="24"/>
          <w:szCs w:val="24"/>
        </w:rPr>
        <w:t xml:space="preserve">O pagamento será efetuado em até 28 (vinte e oito) dias, após emissão de nota fiscal/documento equivalente, que deverá conter o </w:t>
      </w:r>
      <w:r>
        <w:rPr>
          <w:rFonts w:ascii="Arial" w:hAnsi="Arial" w:eastAsia="Arial" w:cs="Arial"/>
          <w:b/>
          <w:sz w:val="24"/>
          <w:szCs w:val="24"/>
          <w:u w:val="single"/>
        </w:rPr>
        <w:t>número da licitação</w:t>
      </w:r>
      <w:r>
        <w:rPr>
          <w:rFonts w:ascii="Arial" w:hAnsi="Arial" w:eastAsia="Arial" w:cs="Arial"/>
          <w:sz w:val="24"/>
          <w:szCs w:val="24"/>
        </w:rPr>
        <w:t>, devendo a Administração certificar que a pessoa jurídica está regular com suas obrigações tributárias, encargos trabalhistas e sociais.</w:t>
      </w:r>
    </w:p>
    <w:p w14:paraId="0930F593">
      <w:pPr>
        <w:autoSpaceDE w:val="0"/>
        <w:spacing w:line="360" w:lineRule="auto"/>
        <w:jc w:val="both"/>
        <w:rPr>
          <w:rFonts w:ascii="Arial" w:hAnsi="Arial" w:eastAsia="Arial" w:cs="Arial"/>
          <w:sz w:val="24"/>
          <w:szCs w:val="24"/>
        </w:rPr>
      </w:pPr>
      <w:r>
        <w:rPr>
          <w:rFonts w:ascii="Arial" w:hAnsi="Arial" w:eastAsia="Arial" w:cs="Arial"/>
          <w:sz w:val="24"/>
          <w:szCs w:val="24"/>
        </w:rPr>
        <w:t xml:space="preserve">5.2 – As notas fiscais/documento equivalente deverão ser encaminhados para o </w:t>
      </w:r>
      <w:r>
        <w:rPr>
          <w:rFonts w:ascii="Arial" w:hAnsi="Arial" w:eastAsia="Arial" w:cs="Arial"/>
          <w:b/>
          <w:sz w:val="24"/>
          <w:szCs w:val="24"/>
          <w:u w:val="single"/>
        </w:rPr>
        <w:t>e</w:t>
      </w:r>
      <w:r>
        <w:rPr>
          <w:rFonts w:ascii="Arial" w:hAnsi="Arial" w:eastAsia="Arial" w:cs="Arial"/>
          <w:b/>
          <w:color w:val="002060"/>
          <w:sz w:val="24"/>
          <w:szCs w:val="24"/>
          <w:u w:val="single"/>
        </w:rPr>
        <w:t xml:space="preserve">-mail </w:t>
      </w:r>
      <w:r>
        <w:fldChar w:fldCharType="begin"/>
      </w:r>
      <w:r>
        <w:instrText xml:space="preserve"> HYPERLINK "mailto:compras@cedral.sp.gov.br" </w:instrText>
      </w:r>
      <w:r>
        <w:fldChar w:fldCharType="separate"/>
      </w:r>
      <w:r>
        <w:rPr>
          <w:rStyle w:val="6"/>
          <w:rFonts w:ascii="Arial" w:hAnsi="Arial" w:eastAsia="Arial" w:cs="Arial"/>
          <w:b/>
          <w:color w:val="002060"/>
          <w:sz w:val="24"/>
          <w:szCs w:val="24"/>
        </w:rPr>
        <w:t>compras@cedral.sp.gov.br</w:t>
      </w:r>
      <w:r>
        <w:rPr>
          <w:rStyle w:val="6"/>
          <w:rFonts w:ascii="Arial" w:hAnsi="Arial" w:eastAsia="Arial" w:cs="Arial"/>
          <w:b/>
          <w:color w:val="002060"/>
          <w:sz w:val="24"/>
          <w:szCs w:val="24"/>
        </w:rPr>
        <w:fldChar w:fldCharType="end"/>
      </w:r>
      <w:r>
        <w:rPr>
          <w:rFonts w:ascii="Arial" w:hAnsi="Arial" w:eastAsia="Arial" w:cs="Arial"/>
          <w:sz w:val="24"/>
          <w:szCs w:val="24"/>
        </w:rPr>
        <w:t>.</w:t>
      </w:r>
    </w:p>
    <w:p w14:paraId="3649C911">
      <w:pPr>
        <w:pStyle w:val="9"/>
        <w:spacing w:line="360" w:lineRule="auto"/>
        <w:jc w:val="both"/>
        <w:rPr>
          <w:rFonts w:ascii="Arial" w:hAnsi="Arial" w:cs="Arial"/>
        </w:rPr>
      </w:pPr>
      <w:r>
        <w:rPr>
          <w:rFonts w:ascii="Arial" w:hAnsi="Arial" w:eastAsia="Arial" w:cs="Arial"/>
        </w:rPr>
        <w:t xml:space="preserve">5.3 – Será considerado </w:t>
      </w:r>
      <w:r>
        <w:rPr>
          <w:rFonts w:ascii="Arial" w:hAnsi="Arial" w:cs="Arial"/>
        </w:rPr>
        <w:t xml:space="preserve">atraso no pagamento, se </w:t>
      </w:r>
      <w:r>
        <w:rPr>
          <w:rFonts w:ascii="Arial" w:hAnsi="Arial" w:cs="Arial"/>
          <w:b/>
          <w:u w:val="single"/>
        </w:rPr>
        <w:t>decorrido 2 (dois) meses</w:t>
      </w:r>
      <w:r>
        <w:rPr>
          <w:rFonts w:ascii="Arial" w:hAnsi="Arial" w:cs="Arial"/>
        </w:rPr>
        <w:t xml:space="preserve">, contados da emissão da nota fiscal, dos pagamentos ou de parcelas de pagamentos devidos pela Administração por despesas de obras, serviços ou fornecimentos, não houve adimplemento da obrigação pela Administração, o que incidirá </w:t>
      </w:r>
      <w:r>
        <w:rPr>
          <w:rFonts w:ascii="Arial" w:hAnsi="Arial" w:eastAsia="Calibri" w:cs="Arial"/>
          <w:lang w:eastAsia="en-US"/>
        </w:rPr>
        <w:t>correção monetária sobre o valor devido utilizando-se o IPCA; juros moratórios, a razão de 0,5% (meio por cento) ao mês, e multa no valor de 10% da nota fiscal.</w:t>
      </w:r>
    </w:p>
    <w:p w14:paraId="47B361A6">
      <w:pPr>
        <w:pStyle w:val="9"/>
        <w:spacing w:line="360" w:lineRule="auto"/>
        <w:jc w:val="both"/>
        <w:rPr>
          <w:rFonts w:ascii="Arial" w:hAnsi="Arial" w:cs="Arial"/>
        </w:rPr>
      </w:pPr>
      <w:r>
        <w:rPr>
          <w:rFonts w:ascii="Arial" w:hAnsi="Arial" w:cs="Arial"/>
        </w:rPr>
        <w:t xml:space="preserve">5.4 – O disposto no item </w:t>
      </w:r>
      <w:r>
        <w:rPr>
          <w:rFonts w:ascii="Arial" w:hAnsi="Arial" w:cs="Arial"/>
          <w:b/>
        </w:rPr>
        <w:t>5.3</w:t>
      </w:r>
      <w:r>
        <w:rPr>
          <w:rFonts w:ascii="Arial" w:hAnsi="Arial" w:cs="Arial"/>
        </w:rPr>
        <w:t>, não se aplica em caso de calamidade pública, de grave perturbação da ordem interna ou de guerra, bem como quando decorrerem de ato ou fato que o contratado tenha praticado, do qual tenha participado ou para o qual tenha, assegurado à contratada o direito de optar pela suspensão do cumprimento de suas obrigações até que seja normalizada a situação.</w:t>
      </w:r>
    </w:p>
    <w:p w14:paraId="393E63C1">
      <w:pPr>
        <w:suppressAutoHyphens w:val="0"/>
        <w:autoSpaceDE w:val="0"/>
        <w:spacing w:line="360" w:lineRule="auto"/>
        <w:jc w:val="both"/>
        <w:rPr>
          <w:rFonts w:ascii="Arial" w:hAnsi="Arial" w:cs="Arial"/>
          <w:sz w:val="24"/>
          <w:szCs w:val="24"/>
        </w:rPr>
      </w:pPr>
    </w:p>
    <w:p w14:paraId="2985C559">
      <w:pPr>
        <w:suppressAutoHyphens w:val="0"/>
        <w:autoSpaceDE w:val="0"/>
        <w:spacing w:line="360" w:lineRule="auto"/>
        <w:jc w:val="both"/>
        <w:rPr>
          <w:rFonts w:ascii="Arial" w:hAnsi="Arial" w:cs="Arial"/>
          <w:sz w:val="24"/>
          <w:szCs w:val="24"/>
        </w:rPr>
      </w:pPr>
      <w:r>
        <w:rPr>
          <w:rFonts w:ascii="Arial" w:hAnsi="Arial" w:cs="Arial"/>
          <w:b/>
          <w:color w:val="000000"/>
          <w:sz w:val="24"/>
          <w:szCs w:val="24"/>
        </w:rPr>
        <w:t>CLÁUSULA SEXTA</w:t>
      </w:r>
      <w:r>
        <w:rPr>
          <w:rFonts w:ascii="Arial" w:hAnsi="Arial" w:cs="Arial"/>
          <w:b/>
          <w:sz w:val="24"/>
          <w:szCs w:val="24"/>
        </w:rPr>
        <w:t xml:space="preserve"> -</w:t>
      </w:r>
      <w:r>
        <w:rPr>
          <w:rFonts w:ascii="Arial" w:hAnsi="Arial" w:cs="Arial"/>
          <w:sz w:val="24"/>
          <w:szCs w:val="24"/>
        </w:rPr>
        <w:t xml:space="preserve"> </w:t>
      </w:r>
      <w:r>
        <w:rPr>
          <w:rFonts w:ascii="Arial" w:hAnsi="Arial" w:cs="Arial"/>
          <w:b/>
          <w:bCs/>
          <w:sz w:val="24"/>
          <w:szCs w:val="24"/>
        </w:rPr>
        <w:t>DOS PREÇOS REGISTRADOS E CONTROLE</w:t>
      </w:r>
      <w:r>
        <w:rPr>
          <w:rFonts w:ascii="Arial" w:hAnsi="Arial" w:cs="Arial"/>
          <w:sz w:val="24"/>
          <w:szCs w:val="24"/>
        </w:rPr>
        <w:t xml:space="preserve">: </w:t>
      </w:r>
    </w:p>
    <w:p w14:paraId="0BF09FD5">
      <w:pPr>
        <w:suppressAutoHyphens w:val="0"/>
        <w:autoSpaceDE w:val="0"/>
        <w:spacing w:line="360" w:lineRule="auto"/>
        <w:jc w:val="both"/>
        <w:rPr>
          <w:rFonts w:ascii="Arial" w:hAnsi="Arial" w:cs="Arial"/>
          <w:sz w:val="24"/>
          <w:szCs w:val="24"/>
        </w:rPr>
      </w:pPr>
      <w:r>
        <w:rPr>
          <w:rFonts w:ascii="Arial" w:hAnsi="Arial" w:cs="Arial"/>
          <w:sz w:val="24"/>
          <w:szCs w:val="24"/>
        </w:rPr>
        <w:t>6.1 - O MUNICIPIO DE CEDRAL-SP, adotará a prática de todos os atos necessários ao controle e administração da presente Ata.</w:t>
      </w:r>
    </w:p>
    <w:p w14:paraId="29306035">
      <w:pPr>
        <w:suppressAutoHyphens w:val="0"/>
        <w:autoSpaceDE w:val="0"/>
        <w:spacing w:line="360" w:lineRule="auto"/>
        <w:jc w:val="both"/>
        <w:rPr>
          <w:rFonts w:ascii="Arial" w:hAnsi="Arial" w:cs="Arial"/>
          <w:sz w:val="24"/>
          <w:szCs w:val="24"/>
        </w:rPr>
      </w:pPr>
      <w:r>
        <w:rPr>
          <w:rFonts w:ascii="Arial" w:hAnsi="Arial" w:cs="Arial"/>
          <w:sz w:val="24"/>
          <w:szCs w:val="24"/>
        </w:rPr>
        <w:t>6.2. O preço registrado e a indicação do respectivo fornecedor detentor da Ata serão divulgados em meio eletrônico.</w:t>
      </w:r>
    </w:p>
    <w:p w14:paraId="5168B3EC">
      <w:pPr>
        <w:suppressAutoHyphens w:val="0"/>
        <w:autoSpaceDE w:val="0"/>
        <w:spacing w:line="360" w:lineRule="auto"/>
        <w:jc w:val="both"/>
        <w:rPr>
          <w:rFonts w:ascii="Arial" w:hAnsi="Arial" w:cs="Arial"/>
          <w:sz w:val="24"/>
          <w:szCs w:val="24"/>
        </w:rPr>
      </w:pPr>
    </w:p>
    <w:p w14:paraId="68A374AD">
      <w:pPr>
        <w:suppressAutoHyphens w:val="0"/>
        <w:autoSpaceDE w:val="0"/>
        <w:spacing w:line="360" w:lineRule="auto"/>
        <w:jc w:val="both"/>
        <w:rPr>
          <w:rFonts w:ascii="Arial" w:hAnsi="Arial" w:cs="Arial"/>
          <w:sz w:val="24"/>
          <w:szCs w:val="24"/>
        </w:rPr>
      </w:pPr>
    </w:p>
    <w:p w14:paraId="1384586B">
      <w:pPr>
        <w:suppressAutoHyphens w:val="0"/>
        <w:autoSpaceDE w:val="0"/>
        <w:spacing w:line="360" w:lineRule="auto"/>
        <w:jc w:val="both"/>
        <w:rPr>
          <w:rFonts w:ascii="Arial" w:hAnsi="Arial" w:cs="Arial"/>
          <w:b/>
          <w:bCs/>
          <w:sz w:val="24"/>
          <w:szCs w:val="24"/>
        </w:rPr>
      </w:pPr>
      <w:r>
        <w:rPr>
          <w:rFonts w:ascii="Arial" w:hAnsi="Arial" w:cs="Arial"/>
          <w:b/>
          <w:color w:val="000000"/>
          <w:sz w:val="24"/>
          <w:szCs w:val="24"/>
        </w:rPr>
        <w:t>CLÁUSULA</w:t>
      </w:r>
      <w:r>
        <w:rPr>
          <w:rFonts w:ascii="Arial" w:hAnsi="Arial" w:cs="Arial"/>
          <w:b/>
          <w:bCs/>
          <w:sz w:val="24"/>
          <w:szCs w:val="24"/>
        </w:rPr>
        <w:t xml:space="preserve"> SÉTIMA– DA REVISÃO DOS VALORES REGISTRADOS.</w:t>
      </w:r>
    </w:p>
    <w:p w14:paraId="5740CD5F">
      <w:pPr>
        <w:suppressAutoHyphens w:val="0"/>
        <w:autoSpaceDE w:val="0"/>
        <w:spacing w:line="360" w:lineRule="auto"/>
        <w:jc w:val="both"/>
        <w:rPr>
          <w:rFonts w:ascii="Arial" w:hAnsi="Arial" w:cs="Arial"/>
          <w:sz w:val="24"/>
          <w:szCs w:val="24"/>
        </w:rPr>
      </w:pPr>
      <w:r>
        <w:rPr>
          <w:rFonts w:ascii="Arial" w:hAnsi="Arial" w:cs="Arial"/>
          <w:sz w:val="24"/>
          <w:szCs w:val="24"/>
        </w:rPr>
        <w:t>7 – Não haverá revisão dos valores registrados via de regra, podendo haver análise de caso pontual pela Administração, alterando ou diminuindo valor.</w:t>
      </w:r>
    </w:p>
    <w:p w14:paraId="6C13A0CF">
      <w:pPr>
        <w:suppressAutoHyphens w:val="0"/>
        <w:autoSpaceDE w:val="0"/>
        <w:spacing w:line="360" w:lineRule="auto"/>
        <w:jc w:val="both"/>
        <w:rPr>
          <w:rFonts w:ascii="Arial" w:hAnsi="Arial" w:cs="Arial"/>
          <w:sz w:val="24"/>
          <w:szCs w:val="24"/>
        </w:rPr>
      </w:pPr>
    </w:p>
    <w:p w14:paraId="3489090D">
      <w:pPr>
        <w:spacing w:line="360" w:lineRule="auto"/>
        <w:rPr>
          <w:rFonts w:ascii="Arial" w:hAnsi="Arial" w:eastAsia="Batang" w:cs="Arial"/>
          <w:b/>
          <w:color w:val="000000"/>
          <w:sz w:val="24"/>
          <w:szCs w:val="24"/>
        </w:rPr>
      </w:pPr>
      <w:r>
        <w:rPr>
          <w:rFonts w:ascii="Arial" w:hAnsi="Arial" w:cs="Arial"/>
          <w:b/>
          <w:color w:val="000000"/>
          <w:sz w:val="24"/>
          <w:szCs w:val="24"/>
        </w:rPr>
        <w:t>CLÁUSULA</w:t>
      </w:r>
      <w:r>
        <w:rPr>
          <w:rFonts w:ascii="Arial" w:hAnsi="Arial" w:cs="Arial"/>
          <w:b/>
          <w:sz w:val="24"/>
          <w:szCs w:val="24"/>
        </w:rPr>
        <w:t xml:space="preserve"> OITAVA -</w:t>
      </w:r>
      <w:r>
        <w:rPr>
          <w:rFonts w:ascii="Arial" w:hAnsi="Arial" w:cs="Arial"/>
          <w:sz w:val="24"/>
          <w:szCs w:val="24"/>
        </w:rPr>
        <w:t xml:space="preserve"> </w:t>
      </w:r>
      <w:r>
        <w:rPr>
          <w:rFonts w:ascii="Arial" w:hAnsi="Arial" w:cs="Arial"/>
          <w:b/>
          <w:bCs/>
          <w:sz w:val="24"/>
          <w:szCs w:val="24"/>
        </w:rPr>
        <w:t xml:space="preserve">DO CANCELAMENTO DO REGISTRO DE PREÇOS E </w:t>
      </w:r>
      <w:r>
        <w:rPr>
          <w:rFonts w:ascii="Arial" w:hAnsi="Arial" w:eastAsia="Batang" w:cs="Arial"/>
          <w:b/>
          <w:color w:val="000000"/>
          <w:sz w:val="24"/>
          <w:szCs w:val="24"/>
        </w:rPr>
        <w:t>DAS INFRAÇÕES E SANÇÕES ADMINISTRATIVAS</w:t>
      </w:r>
    </w:p>
    <w:p w14:paraId="082D0461">
      <w:pPr>
        <w:suppressAutoHyphens w:val="0"/>
        <w:autoSpaceDE w:val="0"/>
        <w:spacing w:line="360" w:lineRule="auto"/>
        <w:jc w:val="both"/>
        <w:rPr>
          <w:rFonts w:ascii="Arial" w:hAnsi="Arial" w:cs="Arial"/>
          <w:sz w:val="24"/>
          <w:szCs w:val="24"/>
        </w:rPr>
      </w:pPr>
      <w:r>
        <w:rPr>
          <w:rFonts w:ascii="Arial" w:hAnsi="Arial" w:cs="Arial"/>
          <w:sz w:val="24"/>
          <w:szCs w:val="24"/>
        </w:rPr>
        <w:t>8.1 - O fornecedor registrado terá o seu registro cancelado quando:</w:t>
      </w:r>
    </w:p>
    <w:p w14:paraId="420DA9BF">
      <w:pPr>
        <w:suppressAutoHyphens w:val="0"/>
        <w:autoSpaceDE w:val="0"/>
        <w:spacing w:line="360" w:lineRule="auto"/>
        <w:jc w:val="both"/>
        <w:rPr>
          <w:rFonts w:ascii="Arial" w:hAnsi="Arial" w:cs="Arial"/>
          <w:sz w:val="24"/>
          <w:szCs w:val="24"/>
        </w:rPr>
      </w:pPr>
      <w:r>
        <w:rPr>
          <w:rFonts w:ascii="Arial" w:hAnsi="Arial" w:cs="Arial"/>
          <w:sz w:val="24"/>
          <w:szCs w:val="24"/>
        </w:rPr>
        <w:t>a) descumprir as condições da Ata de Registro de Preços;</w:t>
      </w:r>
    </w:p>
    <w:p w14:paraId="2135DA2F">
      <w:pPr>
        <w:suppressAutoHyphens w:val="0"/>
        <w:autoSpaceDE w:val="0"/>
        <w:spacing w:line="360" w:lineRule="auto"/>
        <w:jc w:val="both"/>
        <w:rPr>
          <w:rFonts w:ascii="Arial" w:hAnsi="Arial" w:cs="Arial"/>
          <w:sz w:val="24"/>
          <w:szCs w:val="24"/>
        </w:rPr>
      </w:pPr>
      <w:r>
        <w:rPr>
          <w:rFonts w:ascii="Arial" w:hAnsi="Arial" w:cs="Arial"/>
          <w:sz w:val="24"/>
          <w:szCs w:val="24"/>
        </w:rPr>
        <w:t>b) não retirar Nota de Empenho no prazo estabelecido pela Administração, sem justificativa aceitável;</w:t>
      </w:r>
    </w:p>
    <w:p w14:paraId="29FFEFBA">
      <w:pPr>
        <w:suppressAutoHyphens w:val="0"/>
        <w:autoSpaceDE w:val="0"/>
        <w:spacing w:line="360" w:lineRule="auto"/>
        <w:jc w:val="both"/>
        <w:rPr>
          <w:rFonts w:ascii="Arial" w:hAnsi="Arial" w:cs="Arial"/>
          <w:sz w:val="24"/>
          <w:szCs w:val="24"/>
        </w:rPr>
      </w:pPr>
      <w:r>
        <w:rPr>
          <w:rFonts w:ascii="Arial" w:hAnsi="Arial" w:cs="Arial"/>
          <w:sz w:val="24"/>
          <w:szCs w:val="24"/>
        </w:rPr>
        <w:t>c) não aceitar reduzir seu preço registrado na hipótese de se tornarem superiores aos praticados no mercado; e,</w:t>
      </w:r>
    </w:p>
    <w:p w14:paraId="5A9C8451">
      <w:pPr>
        <w:spacing w:line="360" w:lineRule="auto"/>
        <w:jc w:val="both"/>
        <w:rPr>
          <w:rFonts w:ascii="Arial" w:hAnsi="Arial" w:cs="Arial"/>
          <w:sz w:val="24"/>
          <w:szCs w:val="24"/>
        </w:rPr>
      </w:pPr>
      <w:r>
        <w:rPr>
          <w:rFonts w:ascii="Arial" w:hAnsi="Arial" w:cs="Arial"/>
          <w:sz w:val="24"/>
          <w:szCs w:val="24"/>
        </w:rPr>
        <w:t>d) sofrer sanção de</w:t>
      </w:r>
      <w:r>
        <w:rPr>
          <w:rFonts w:ascii="Arial" w:hAnsi="Arial" w:cs="Arial"/>
          <w:color w:val="000000"/>
          <w:sz w:val="24"/>
          <w:szCs w:val="24"/>
        </w:rPr>
        <w:t> suspensão temporária de participação em licitação e impedimento de contratar com o Município</w:t>
      </w:r>
      <w:bookmarkStart w:id="2" w:name="art87iv"/>
      <w:bookmarkEnd w:id="2"/>
      <w:r>
        <w:rPr>
          <w:rFonts w:ascii="Arial" w:hAnsi="Arial" w:cs="Arial"/>
          <w:color w:val="000000"/>
          <w:sz w:val="24"/>
          <w:szCs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r>
        <w:rPr>
          <w:rFonts w:ascii="Arial" w:hAnsi="Arial" w:cs="Arial"/>
          <w:sz w:val="24"/>
          <w:szCs w:val="24"/>
        </w:rPr>
        <w:t>.</w:t>
      </w:r>
    </w:p>
    <w:p w14:paraId="418CF7C9">
      <w:pPr>
        <w:suppressAutoHyphens w:val="0"/>
        <w:autoSpaceDE w:val="0"/>
        <w:spacing w:line="360" w:lineRule="auto"/>
        <w:jc w:val="both"/>
        <w:rPr>
          <w:rFonts w:ascii="Arial" w:hAnsi="Arial" w:cs="Arial"/>
          <w:b/>
          <w:sz w:val="24"/>
          <w:szCs w:val="24"/>
          <w:u w:val="single"/>
        </w:rPr>
      </w:pPr>
      <w:r>
        <w:rPr>
          <w:rFonts w:ascii="Arial" w:hAnsi="Arial" w:cs="Arial"/>
          <w:b/>
          <w:sz w:val="24"/>
          <w:szCs w:val="24"/>
          <w:u w:val="single"/>
        </w:rPr>
        <w:t xml:space="preserve">8.2. O cancelamento de registro nas hipóteses prevista no item 8.1, será formalizado por despacho do órgão gerenciador, assegurados o contraditório e a ampla defesa. </w:t>
      </w:r>
    </w:p>
    <w:p w14:paraId="580AA41F">
      <w:pPr>
        <w:suppressAutoHyphens w:val="0"/>
        <w:autoSpaceDE w:val="0"/>
        <w:spacing w:line="360" w:lineRule="auto"/>
        <w:jc w:val="both"/>
        <w:rPr>
          <w:rFonts w:ascii="Arial" w:hAnsi="Arial" w:cs="Arial"/>
          <w:sz w:val="24"/>
          <w:szCs w:val="24"/>
        </w:rPr>
      </w:pPr>
      <w:r>
        <w:rPr>
          <w:rFonts w:ascii="Arial" w:hAnsi="Arial" w:cs="Arial"/>
          <w:sz w:val="24"/>
          <w:szCs w:val="24"/>
        </w:rPr>
        <w:t>8.3 – O cancelamento do registro poderá também por fato superveniente decorrente de caso fortuito ou força maior, que prejudique o cumprimento da ata, devidamente comprovados e justificados por:</w:t>
      </w:r>
    </w:p>
    <w:p w14:paraId="2B472BC1">
      <w:pPr>
        <w:suppressAutoHyphens w:val="0"/>
        <w:autoSpaceDE w:val="0"/>
        <w:spacing w:line="360" w:lineRule="auto"/>
        <w:jc w:val="both"/>
        <w:rPr>
          <w:rFonts w:ascii="Arial" w:hAnsi="Arial" w:cs="Arial"/>
          <w:sz w:val="24"/>
          <w:szCs w:val="24"/>
        </w:rPr>
      </w:pPr>
      <w:r>
        <w:rPr>
          <w:rFonts w:ascii="Arial" w:hAnsi="Arial" w:cs="Arial"/>
          <w:sz w:val="24"/>
          <w:szCs w:val="24"/>
        </w:rPr>
        <w:t>a) razões de interesse público; e.</w:t>
      </w:r>
    </w:p>
    <w:p w14:paraId="64665391">
      <w:pPr>
        <w:suppressAutoHyphens w:val="0"/>
        <w:autoSpaceDE w:val="0"/>
        <w:spacing w:line="360" w:lineRule="auto"/>
        <w:jc w:val="both"/>
        <w:rPr>
          <w:rFonts w:ascii="Arial" w:hAnsi="Arial" w:cs="Arial"/>
          <w:sz w:val="24"/>
          <w:szCs w:val="24"/>
        </w:rPr>
      </w:pPr>
      <w:r>
        <w:rPr>
          <w:rFonts w:ascii="Arial" w:hAnsi="Arial" w:cs="Arial"/>
          <w:sz w:val="24"/>
          <w:szCs w:val="24"/>
        </w:rPr>
        <w:t>b) a pedido do fornecedor.</w:t>
      </w:r>
    </w:p>
    <w:p w14:paraId="44A0D451">
      <w:pPr>
        <w:spacing w:line="360" w:lineRule="auto"/>
        <w:jc w:val="both"/>
        <w:rPr>
          <w:rFonts w:ascii="Arial" w:hAnsi="Arial" w:eastAsia="Batang" w:cs="Arial"/>
          <w:color w:val="000000"/>
          <w:sz w:val="24"/>
          <w:szCs w:val="24"/>
        </w:rPr>
      </w:pPr>
      <w:r>
        <w:rPr>
          <w:rFonts w:ascii="Arial" w:hAnsi="Arial" w:eastAsia="Batang" w:cs="Arial"/>
          <w:color w:val="000000"/>
          <w:sz w:val="24"/>
          <w:szCs w:val="24"/>
        </w:rPr>
        <w:t>8.4 – O detentor do registro será responsabilizado administrativamente se cometer as seguintes infrações, assegurado o contraditório/ampla defesa:</w:t>
      </w:r>
    </w:p>
    <w:p w14:paraId="68FDFDD1">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1 - dar causa à inexecução parcial da ata;</w:t>
      </w:r>
    </w:p>
    <w:p w14:paraId="72FF2552">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2 - dar causa à inexecução parcial da ata que cause grave dano à Administração, ao funcionamento dos serviços públicos ou ao interesse coletivo;</w:t>
      </w:r>
    </w:p>
    <w:p w14:paraId="4147B84B">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3 - dar causa à inexecução total da ata;</w:t>
      </w:r>
    </w:p>
    <w:p w14:paraId="7775F8AC">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4 - não manter a proposta, salvo em decorrência de fato superveniente devidamente justificado;</w:t>
      </w:r>
    </w:p>
    <w:p w14:paraId="03D1E01D">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5 - ensejar o retardamento da execução ou da entrega do objeto da licitação sem motivo justificado;</w:t>
      </w:r>
    </w:p>
    <w:p w14:paraId="258F754E">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 xml:space="preserve"> 6 - apresentar declaração ou documentação falsa exigida;</w:t>
      </w:r>
    </w:p>
    <w:p w14:paraId="0B93F0BB">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7 - fraudar ou praticar ato fraudulento na execução;</w:t>
      </w:r>
    </w:p>
    <w:p w14:paraId="4586DCAC">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8 - comportar-se de modo inidôneo ou cometer fraude de qualquer natureza;</w:t>
      </w:r>
    </w:p>
    <w:p w14:paraId="61CC88CD">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9 - praticar atos ilícitos com vistas a frustrar os objetivos;</w:t>
      </w:r>
    </w:p>
    <w:p w14:paraId="7EA903E6">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10 - praticar ato lesivo previsto no art. 5º da Lei nº 12.846, de 1º de agosto de 2013.</w:t>
      </w:r>
    </w:p>
    <w:p w14:paraId="3507902E">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8.5 – Caso cometa alguma infração, poderá ser aplicada ao responsável as seguintes sanções:</w:t>
      </w:r>
    </w:p>
    <w:p w14:paraId="7E3317D6">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1 - advertência;</w:t>
      </w:r>
    </w:p>
    <w:p w14:paraId="092678DD">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2 – multa,</w:t>
      </w:r>
      <w:r>
        <w:rPr>
          <w:rFonts w:ascii="Arial" w:hAnsi="Arial" w:eastAsia="Batang" w:cs="Arial"/>
          <w:color w:val="000000"/>
          <w:sz w:val="24"/>
          <w:szCs w:val="24"/>
        </w:rPr>
        <w:t xml:space="preserve"> de até 20% (vinte por cento) sobre o valor total do preço registrado em caso de inadimplência total ou parcial do Contrato</w:t>
      </w:r>
    </w:p>
    <w:p w14:paraId="23F75D2D">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3 - impedimento de licitar e contratar;</w:t>
      </w:r>
    </w:p>
    <w:p w14:paraId="63BE453D">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4 - declaração de inidoneidade para licitar ou contratar.</w:t>
      </w:r>
    </w:p>
    <w:p w14:paraId="1573105A">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8.6 - Na aplicação das sanções serão considerados:</w:t>
      </w:r>
    </w:p>
    <w:p w14:paraId="7A470257">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1 - a natureza e a gravidade da infração cometida;</w:t>
      </w:r>
    </w:p>
    <w:p w14:paraId="1131C5E9">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2 - as peculiaridades do caso concreto;</w:t>
      </w:r>
    </w:p>
    <w:p w14:paraId="3D822A53">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3 - as circunstâncias agravantes ou atenuantes;</w:t>
      </w:r>
    </w:p>
    <w:p w14:paraId="459E9236">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4 - os danos que dela provierem para a Administração Pública;</w:t>
      </w:r>
    </w:p>
    <w:p w14:paraId="6F5BF635">
      <w:pPr>
        <w:shd w:val="clear" w:color="auto" w:fill="FFFFFF"/>
        <w:spacing w:after="150" w:line="360" w:lineRule="auto"/>
        <w:jc w:val="both"/>
        <w:rPr>
          <w:rFonts w:ascii="Arial" w:hAnsi="Arial" w:cs="Arial"/>
          <w:sz w:val="24"/>
          <w:szCs w:val="24"/>
          <w:lang w:eastAsia="pt-BR"/>
        </w:rPr>
      </w:pPr>
      <w:r>
        <w:rPr>
          <w:rFonts w:ascii="Arial" w:hAnsi="Arial" w:cs="Arial"/>
          <w:sz w:val="24"/>
          <w:szCs w:val="24"/>
          <w:lang w:eastAsia="pt-BR"/>
        </w:rPr>
        <w:t>5 - a implantação ou o aperfeiçoamento de programa de integridade, conforme normas e orientações dos órgãos de controle; e,</w:t>
      </w:r>
    </w:p>
    <w:p w14:paraId="3601523B">
      <w:pPr>
        <w:spacing w:line="360" w:lineRule="auto"/>
        <w:jc w:val="both"/>
        <w:rPr>
          <w:rFonts w:ascii="Arial" w:hAnsi="Arial" w:eastAsia="Batang" w:cs="Arial"/>
          <w:color w:val="000000"/>
          <w:sz w:val="24"/>
          <w:szCs w:val="24"/>
        </w:rPr>
      </w:pPr>
      <w:r>
        <w:rPr>
          <w:rFonts w:ascii="Arial" w:hAnsi="Arial" w:eastAsia="Batang" w:cs="Arial"/>
          <w:color w:val="000000"/>
          <w:sz w:val="24"/>
          <w:szCs w:val="24"/>
        </w:rPr>
        <w:t>8.7 – O atraso injustificado para executar o objeto contratual, ensejará em multa de mora de 1% do valor contratual por dia.</w:t>
      </w:r>
    </w:p>
    <w:p w14:paraId="6BBC6863">
      <w:pPr>
        <w:spacing w:line="360" w:lineRule="auto"/>
        <w:jc w:val="both"/>
        <w:rPr>
          <w:rFonts w:ascii="Arial" w:hAnsi="Arial" w:eastAsia="Batang" w:cs="Arial"/>
          <w:color w:val="000000"/>
          <w:sz w:val="24"/>
          <w:szCs w:val="24"/>
        </w:rPr>
      </w:pPr>
    </w:p>
    <w:p w14:paraId="35FD9EB1">
      <w:pPr>
        <w:suppressAutoHyphens w:val="0"/>
        <w:autoSpaceDE w:val="0"/>
        <w:spacing w:line="360" w:lineRule="auto"/>
        <w:jc w:val="both"/>
        <w:rPr>
          <w:rFonts w:ascii="Arial" w:hAnsi="Arial" w:eastAsia="Batang" w:cs="Arial"/>
          <w:color w:val="000000"/>
          <w:sz w:val="24"/>
          <w:szCs w:val="24"/>
        </w:rPr>
      </w:pPr>
      <w:r>
        <w:rPr>
          <w:rFonts w:ascii="Arial" w:hAnsi="Arial" w:eastAsia="Batang" w:cs="Arial"/>
          <w:color w:val="000000"/>
          <w:sz w:val="24"/>
          <w:szCs w:val="24"/>
        </w:rPr>
        <w:t>8.8 - As penalidades acima mencionadas não excluem quaisquer outras previstas em Lei, nem o direito que assiste o Município de ressarcir-se das perdas e danos que vier a sofrer</w:t>
      </w:r>
    </w:p>
    <w:p w14:paraId="5913905E">
      <w:pPr>
        <w:suppressAutoHyphens w:val="0"/>
        <w:autoSpaceDE w:val="0"/>
        <w:spacing w:line="360" w:lineRule="auto"/>
        <w:jc w:val="both"/>
        <w:rPr>
          <w:rFonts w:ascii="Arial" w:hAnsi="Arial" w:cs="Arial"/>
          <w:sz w:val="24"/>
          <w:szCs w:val="24"/>
        </w:rPr>
      </w:pPr>
    </w:p>
    <w:p w14:paraId="419908BE">
      <w:pPr>
        <w:suppressAutoHyphens w:val="0"/>
        <w:autoSpaceDE w:val="0"/>
        <w:spacing w:line="360" w:lineRule="auto"/>
        <w:jc w:val="both"/>
        <w:rPr>
          <w:rFonts w:ascii="Arial" w:hAnsi="Arial" w:cs="Arial"/>
          <w:b/>
          <w:sz w:val="24"/>
          <w:szCs w:val="24"/>
        </w:rPr>
      </w:pPr>
      <w:r>
        <w:rPr>
          <w:rFonts w:ascii="Arial" w:hAnsi="Arial" w:cs="Arial"/>
          <w:b/>
          <w:sz w:val="24"/>
          <w:szCs w:val="24"/>
        </w:rPr>
        <w:t xml:space="preserve">CLÁUSULA NONA - DAS OBRIGAÇÕES </w:t>
      </w:r>
    </w:p>
    <w:p w14:paraId="26F1353F">
      <w:pPr>
        <w:suppressAutoHyphens w:val="0"/>
        <w:autoSpaceDE w:val="0"/>
        <w:spacing w:line="360" w:lineRule="auto"/>
        <w:jc w:val="both"/>
        <w:rPr>
          <w:rFonts w:ascii="Arial" w:hAnsi="Arial" w:cs="Arial"/>
          <w:b/>
          <w:sz w:val="24"/>
          <w:szCs w:val="24"/>
        </w:rPr>
      </w:pPr>
      <w:r>
        <w:rPr>
          <w:rFonts w:ascii="Arial" w:hAnsi="Arial" w:cs="Arial"/>
          <w:b/>
          <w:sz w:val="24"/>
          <w:szCs w:val="24"/>
        </w:rPr>
        <w:t>9.1 - Do detentor do registro:</w:t>
      </w:r>
    </w:p>
    <w:p w14:paraId="0E946BA9">
      <w:pPr>
        <w:suppressAutoHyphens w:val="0"/>
        <w:autoSpaceDE w:val="0"/>
        <w:spacing w:line="360" w:lineRule="auto"/>
        <w:jc w:val="both"/>
        <w:rPr>
          <w:rFonts w:ascii="Arial" w:hAnsi="Arial" w:cs="Arial"/>
          <w:sz w:val="24"/>
          <w:szCs w:val="24"/>
        </w:rPr>
      </w:pPr>
      <w:r>
        <w:rPr>
          <w:rFonts w:ascii="Arial" w:hAnsi="Arial" w:cs="Arial"/>
          <w:sz w:val="24"/>
          <w:szCs w:val="24"/>
        </w:rPr>
        <w:t>a) – cumprir todo o disposto no edital, Termo de Referência e Ata de Registro de Preços;</w:t>
      </w:r>
    </w:p>
    <w:p w14:paraId="6EF2E797">
      <w:pPr>
        <w:tabs>
          <w:tab w:val="left" w:pos="567"/>
        </w:tabs>
        <w:spacing w:line="360" w:lineRule="auto"/>
        <w:jc w:val="both"/>
        <w:rPr>
          <w:rFonts w:ascii="Arial" w:hAnsi="Arial" w:eastAsia="Batang" w:cs="Arial"/>
          <w:sz w:val="24"/>
          <w:szCs w:val="24"/>
        </w:rPr>
      </w:pPr>
      <w:r>
        <w:rPr>
          <w:rFonts w:ascii="Arial" w:hAnsi="Arial" w:eastAsia="Batang" w:cs="Arial"/>
          <w:sz w:val="24"/>
          <w:szCs w:val="24"/>
        </w:rPr>
        <w:t>b) – Responder civil e administrativamente, por todos os danos, perdas e prejuízos que por dolo ou culpa no cumprimento da Ata venha diretamente ou indiretamente provocar ou causar por si ou por seus empregados ao Município, a terceiros, bem como ao Patrimônio Público;</w:t>
      </w:r>
    </w:p>
    <w:p w14:paraId="77AB8AB5">
      <w:pPr>
        <w:tabs>
          <w:tab w:val="left" w:pos="567"/>
        </w:tabs>
        <w:spacing w:line="360" w:lineRule="auto"/>
        <w:jc w:val="both"/>
        <w:rPr>
          <w:rFonts w:ascii="Arial" w:hAnsi="Arial" w:eastAsia="Batang" w:cs="Arial"/>
          <w:sz w:val="24"/>
          <w:szCs w:val="24"/>
        </w:rPr>
      </w:pPr>
      <w:r>
        <w:rPr>
          <w:rFonts w:ascii="Arial" w:hAnsi="Arial" w:eastAsia="Batang" w:cs="Arial"/>
          <w:sz w:val="24"/>
          <w:szCs w:val="24"/>
        </w:rPr>
        <w:t>c) – Arcar com todos os encargos e obrigações de natureza trabalhista, previdenciária, acidentária, tributária, administrativa e civil decorrentes do cumprimento da Ata, bem como, o Município se isenta de qualquer vínculo empregatício;</w:t>
      </w:r>
    </w:p>
    <w:p w14:paraId="0AF52F87">
      <w:pPr>
        <w:tabs>
          <w:tab w:val="left" w:pos="567"/>
        </w:tabs>
        <w:spacing w:line="360" w:lineRule="auto"/>
        <w:jc w:val="both"/>
        <w:rPr>
          <w:rFonts w:ascii="Arial" w:hAnsi="Arial" w:eastAsia="Batang" w:cs="Arial"/>
          <w:sz w:val="24"/>
          <w:szCs w:val="24"/>
        </w:rPr>
      </w:pPr>
      <w:r>
        <w:rPr>
          <w:rFonts w:ascii="Arial" w:hAnsi="Arial" w:eastAsia="Batang" w:cs="Arial"/>
          <w:sz w:val="24"/>
          <w:szCs w:val="24"/>
        </w:rPr>
        <w:t>d) – manter durante a vigência da Ata todas as condições exigidas no edital; e,</w:t>
      </w:r>
    </w:p>
    <w:p w14:paraId="7B2D0590">
      <w:pPr>
        <w:spacing w:line="360" w:lineRule="auto"/>
        <w:jc w:val="both"/>
        <w:rPr>
          <w:rFonts w:ascii="Arial" w:hAnsi="Arial" w:cs="Arial"/>
          <w:color w:val="000000"/>
          <w:sz w:val="24"/>
          <w:szCs w:val="24"/>
        </w:rPr>
      </w:pPr>
      <w:r>
        <w:rPr>
          <w:rFonts w:ascii="Arial" w:hAnsi="Arial" w:eastAsia="Batang" w:cs="Arial"/>
          <w:sz w:val="24"/>
          <w:szCs w:val="24"/>
        </w:rPr>
        <w:t xml:space="preserve">e) – caso do detentor do registro seja </w:t>
      </w:r>
      <w:r>
        <w:rPr>
          <w:rFonts w:ascii="Arial" w:hAnsi="Arial" w:cs="Arial"/>
          <w:sz w:val="24"/>
          <w:szCs w:val="24"/>
        </w:rPr>
        <w:t xml:space="preserve">microempresas, empresas de pequeno porte, microempreendedores individuais e sociedades cooperativas de consumo, deverá </w:t>
      </w:r>
      <w:r>
        <w:rPr>
          <w:rFonts w:ascii="Arial" w:hAnsi="Arial" w:cs="Arial"/>
          <w:color w:val="000000"/>
          <w:sz w:val="24"/>
          <w:szCs w:val="24"/>
        </w:rPr>
        <w:t xml:space="preserve">solicitar seu desenquadramento da condição de microempresa ou empresa de pequeno porte quando houver ultrapassado o limite de faturamento estabelecido no </w:t>
      </w:r>
      <w:r>
        <w:fldChar w:fldCharType="begin"/>
      </w:r>
      <w:r>
        <w:instrText xml:space="preserve"> HYPERLINK "http://www.planalto.gov.br/ccivil_03/LEIS/LCP/Lcp123.htm" \l "art3" \t "_blank" </w:instrText>
      </w:r>
      <w:r>
        <w:fldChar w:fldCharType="separate"/>
      </w:r>
      <w:r>
        <w:rPr>
          <w:rStyle w:val="6"/>
          <w:rFonts w:ascii="Arial" w:hAnsi="Arial" w:cs="Arial"/>
          <w:sz w:val="24"/>
          <w:szCs w:val="24"/>
        </w:rPr>
        <w:t>art. 3º da Lei Complementar nº 123, de 2006</w:t>
      </w:r>
      <w:r>
        <w:rPr>
          <w:rStyle w:val="6"/>
          <w:rFonts w:ascii="Arial" w:hAnsi="Arial" w:cs="Arial"/>
          <w:sz w:val="24"/>
          <w:szCs w:val="24"/>
        </w:rPr>
        <w:fldChar w:fldCharType="end"/>
      </w:r>
      <w:r>
        <w:rPr>
          <w:rFonts w:ascii="Arial" w:hAnsi="Arial" w:cs="Arial"/>
          <w:color w:val="000000"/>
          <w:sz w:val="24"/>
          <w:szCs w:val="24"/>
        </w:rPr>
        <w:t>, no ano fiscal anterior, sob pena de ser declarado inidôneo para licitar e contratar com a administração pública, sem prejuízo das demais sanções, caso usufrua ou tente usufruir indevidamente dos benefícios previstos neste Decreto.</w:t>
      </w:r>
    </w:p>
    <w:p w14:paraId="790DE7CA">
      <w:pPr>
        <w:spacing w:line="360" w:lineRule="auto"/>
        <w:jc w:val="both"/>
        <w:rPr>
          <w:rFonts w:ascii="Arial" w:hAnsi="Arial" w:cs="Arial"/>
          <w:color w:val="000000"/>
          <w:sz w:val="24"/>
          <w:szCs w:val="24"/>
        </w:rPr>
      </w:pPr>
      <w:r>
        <w:rPr>
          <w:rFonts w:ascii="Arial" w:hAnsi="Arial" w:cs="Arial"/>
          <w:sz w:val="24"/>
          <w:szCs w:val="24"/>
          <w:lang w:eastAsia="pt-BR"/>
        </w:rPr>
        <w:t xml:space="preserve">f) - </w:t>
      </w:r>
      <w:r>
        <w:rPr>
          <w:rFonts w:ascii="Arial" w:hAnsi="Arial" w:cs="Arial"/>
          <w:sz w:val="24"/>
          <w:szCs w:val="24"/>
        </w:rPr>
        <w:t>se compromete a não compartilhar informações obtidas direta ou indiretamente dentro do exercício de suas atividades com o Município, e obriga-se a atuar em conformidade com a Legislação vigente sobre Proteção de Dados Pessoais e as determinações de órgãos reguladores/fiscalizadores sobre a matéria, em especial a Lei 13.709/2018, além das demais normas e políticas de proteção de dados</w:t>
      </w:r>
    </w:p>
    <w:p w14:paraId="25822DD1">
      <w:pPr>
        <w:tabs>
          <w:tab w:val="left" w:pos="567"/>
        </w:tabs>
        <w:spacing w:line="360" w:lineRule="auto"/>
        <w:jc w:val="both"/>
        <w:rPr>
          <w:rFonts w:ascii="Arial" w:hAnsi="Arial" w:eastAsia="Batang" w:cs="Arial"/>
          <w:sz w:val="24"/>
          <w:szCs w:val="24"/>
        </w:rPr>
      </w:pPr>
      <w:r>
        <w:rPr>
          <w:rFonts w:ascii="Arial" w:hAnsi="Arial" w:eastAsia="Batang" w:cs="Arial"/>
          <w:sz w:val="24"/>
          <w:szCs w:val="24"/>
        </w:rPr>
        <w:t>9.1.1 - A qualidade dos produtos será de inteira responsabilidade do detentor da Ata.</w:t>
      </w:r>
    </w:p>
    <w:p w14:paraId="0E24611A">
      <w:pPr>
        <w:tabs>
          <w:tab w:val="left" w:pos="567"/>
        </w:tabs>
        <w:spacing w:line="360" w:lineRule="auto"/>
        <w:jc w:val="both"/>
        <w:rPr>
          <w:rFonts w:ascii="Arial" w:hAnsi="Arial" w:eastAsia="Batang" w:cs="Arial"/>
          <w:b/>
          <w:sz w:val="24"/>
          <w:szCs w:val="24"/>
        </w:rPr>
      </w:pPr>
      <w:r>
        <w:rPr>
          <w:rFonts w:ascii="Arial" w:hAnsi="Arial" w:eastAsia="Batang" w:cs="Arial"/>
          <w:b/>
          <w:sz w:val="24"/>
          <w:szCs w:val="24"/>
        </w:rPr>
        <w:t>9.2 - Do Município</w:t>
      </w:r>
    </w:p>
    <w:p w14:paraId="24ADE270">
      <w:pPr>
        <w:tabs>
          <w:tab w:val="left" w:pos="567"/>
        </w:tabs>
        <w:spacing w:line="360" w:lineRule="auto"/>
        <w:jc w:val="both"/>
        <w:rPr>
          <w:rFonts w:ascii="Arial" w:hAnsi="Arial" w:eastAsia="Batang" w:cs="Arial"/>
          <w:sz w:val="24"/>
          <w:szCs w:val="24"/>
        </w:rPr>
      </w:pPr>
      <w:r>
        <w:rPr>
          <w:rFonts w:ascii="Arial" w:hAnsi="Arial" w:eastAsia="Batang" w:cs="Arial"/>
          <w:sz w:val="24"/>
          <w:szCs w:val="24"/>
        </w:rPr>
        <w:t>a) – Prestar todos os esclarecimentos necessários para a Execução da Ata de Registro de Preços;</w:t>
      </w:r>
    </w:p>
    <w:p w14:paraId="3DD49ACF">
      <w:pPr>
        <w:tabs>
          <w:tab w:val="left" w:pos="567"/>
        </w:tabs>
        <w:spacing w:line="360" w:lineRule="auto"/>
        <w:jc w:val="both"/>
        <w:rPr>
          <w:rFonts w:ascii="Arial" w:hAnsi="Arial" w:eastAsia="Batang" w:cs="Arial"/>
          <w:sz w:val="24"/>
          <w:szCs w:val="24"/>
        </w:rPr>
      </w:pPr>
      <w:r>
        <w:rPr>
          <w:rFonts w:ascii="Arial" w:hAnsi="Arial" w:eastAsia="Batang" w:cs="Arial"/>
          <w:sz w:val="24"/>
          <w:szCs w:val="24"/>
        </w:rPr>
        <w:t>b) – promover a fiscalização da execução do objeto;</w:t>
      </w:r>
    </w:p>
    <w:p w14:paraId="2043D2EA">
      <w:pPr>
        <w:tabs>
          <w:tab w:val="left" w:pos="567"/>
        </w:tabs>
        <w:spacing w:line="360" w:lineRule="auto"/>
        <w:jc w:val="both"/>
        <w:rPr>
          <w:rFonts w:ascii="Arial" w:hAnsi="Arial" w:eastAsia="Batang" w:cs="Arial"/>
          <w:sz w:val="24"/>
          <w:szCs w:val="24"/>
        </w:rPr>
      </w:pPr>
      <w:r>
        <w:rPr>
          <w:rFonts w:ascii="Arial" w:hAnsi="Arial" w:eastAsia="Batang" w:cs="Arial"/>
          <w:sz w:val="24"/>
          <w:szCs w:val="24"/>
        </w:rPr>
        <w:t xml:space="preserve">c) – elaborar e manter atualizada a listagem de preço do produto da Ata; </w:t>
      </w:r>
    </w:p>
    <w:p w14:paraId="64FF1B12">
      <w:pPr>
        <w:tabs>
          <w:tab w:val="left" w:pos="567"/>
        </w:tabs>
        <w:spacing w:line="360" w:lineRule="auto"/>
        <w:jc w:val="both"/>
        <w:rPr>
          <w:rFonts w:ascii="Arial" w:hAnsi="Arial" w:eastAsia="Batang" w:cs="Arial"/>
          <w:sz w:val="24"/>
          <w:szCs w:val="24"/>
        </w:rPr>
      </w:pPr>
      <w:r>
        <w:rPr>
          <w:rFonts w:ascii="Arial" w:hAnsi="Arial" w:eastAsia="Batang" w:cs="Arial"/>
          <w:sz w:val="24"/>
          <w:szCs w:val="24"/>
        </w:rPr>
        <w:t>d) – Promover o pagamento na época oportuna; e,</w:t>
      </w:r>
    </w:p>
    <w:p w14:paraId="29BE66FE">
      <w:pPr>
        <w:tabs>
          <w:tab w:val="left" w:pos="567"/>
        </w:tabs>
        <w:spacing w:line="360" w:lineRule="auto"/>
        <w:jc w:val="both"/>
        <w:rPr>
          <w:rFonts w:ascii="Arial" w:hAnsi="Arial" w:eastAsia="Batang" w:cs="Arial"/>
          <w:sz w:val="24"/>
          <w:szCs w:val="24"/>
        </w:rPr>
      </w:pPr>
      <w:r>
        <w:rPr>
          <w:rFonts w:ascii="Arial" w:hAnsi="Arial" w:eastAsia="Batang" w:cs="Arial"/>
          <w:sz w:val="24"/>
          <w:szCs w:val="24"/>
        </w:rPr>
        <w:t xml:space="preserve">e) – </w:t>
      </w:r>
      <w:r>
        <w:rPr>
          <w:rFonts w:ascii="Arial" w:hAnsi="Arial" w:cs="Arial"/>
          <w:sz w:val="24"/>
          <w:szCs w:val="24"/>
        </w:rPr>
        <w:t>Respeitar a Legislação vigente sobre Proteção de Dados Pessoais e as determinações de órgãos reguladores/fiscalizadores sobre a matéria, em especial a Lei 13.709/2018, além das demais normas e políticas de proteção de dados</w:t>
      </w:r>
    </w:p>
    <w:p w14:paraId="0881F5DE">
      <w:pPr>
        <w:tabs>
          <w:tab w:val="left" w:pos="567"/>
        </w:tabs>
        <w:spacing w:line="360" w:lineRule="auto"/>
        <w:jc w:val="both"/>
        <w:rPr>
          <w:rFonts w:ascii="Arial" w:hAnsi="Arial" w:eastAsia="Batang" w:cs="Arial"/>
          <w:sz w:val="24"/>
          <w:szCs w:val="24"/>
        </w:rPr>
      </w:pPr>
      <w:r>
        <w:rPr>
          <w:rFonts w:ascii="Arial" w:hAnsi="Arial" w:eastAsia="Batang" w:cs="Arial"/>
          <w:sz w:val="24"/>
          <w:szCs w:val="24"/>
        </w:rPr>
        <w:t>f) - Receber o objeto da seguinte forma:</w:t>
      </w:r>
    </w:p>
    <w:p w14:paraId="7CC20615">
      <w:pPr>
        <w:suppressAutoHyphens w:val="0"/>
        <w:autoSpaceDE w:val="0"/>
        <w:autoSpaceDN w:val="0"/>
        <w:adjustRightInd w:val="0"/>
        <w:spacing w:line="360" w:lineRule="auto"/>
        <w:jc w:val="both"/>
        <w:rPr>
          <w:rFonts w:ascii="Arial" w:hAnsi="Arial" w:cs="Arial" w:eastAsiaTheme="minorHAnsi"/>
          <w:color w:val="000000"/>
          <w:sz w:val="24"/>
          <w:szCs w:val="24"/>
        </w:rPr>
      </w:pPr>
      <w:r>
        <w:rPr>
          <w:rFonts w:ascii="Arial" w:hAnsi="Arial" w:cs="Arial" w:eastAsiaTheme="minorHAnsi"/>
          <w:color w:val="000000"/>
          <w:sz w:val="24"/>
          <w:szCs w:val="24"/>
        </w:rPr>
        <w:t>I - provisório, de forma imediata, quando do recebimento, com emissão do documento de recebimento provisório; e,</w:t>
      </w:r>
    </w:p>
    <w:p w14:paraId="3A705BED">
      <w:pPr>
        <w:suppressAutoHyphens w:val="0"/>
        <w:autoSpaceDE w:val="0"/>
        <w:autoSpaceDN w:val="0"/>
        <w:adjustRightInd w:val="0"/>
        <w:spacing w:line="360" w:lineRule="auto"/>
        <w:jc w:val="both"/>
        <w:rPr>
          <w:rFonts w:ascii="Arial" w:hAnsi="Arial" w:cs="Arial" w:eastAsiaTheme="minorHAnsi"/>
          <w:color w:val="000000"/>
          <w:sz w:val="24"/>
          <w:szCs w:val="24"/>
        </w:rPr>
      </w:pPr>
      <w:r>
        <w:rPr>
          <w:rFonts w:ascii="Arial" w:hAnsi="Arial" w:cs="Arial" w:eastAsiaTheme="minorHAnsi"/>
          <w:color w:val="000000"/>
          <w:sz w:val="24"/>
          <w:szCs w:val="24"/>
        </w:rPr>
        <w:t>II - definitivo, quando da autorização para pagamento acompanhada do termo de comprove a entrega.</w:t>
      </w:r>
    </w:p>
    <w:p w14:paraId="0383562A">
      <w:pPr>
        <w:tabs>
          <w:tab w:val="left" w:pos="567"/>
        </w:tabs>
        <w:spacing w:line="360" w:lineRule="auto"/>
        <w:jc w:val="both"/>
        <w:rPr>
          <w:rFonts w:ascii="Arial" w:hAnsi="Arial" w:eastAsia="Batang" w:cs="Arial"/>
          <w:sz w:val="24"/>
          <w:szCs w:val="24"/>
        </w:rPr>
      </w:pPr>
    </w:p>
    <w:p w14:paraId="3CE7D22A">
      <w:pPr>
        <w:tabs>
          <w:tab w:val="left" w:pos="567"/>
        </w:tabs>
        <w:spacing w:line="360" w:lineRule="auto"/>
        <w:jc w:val="both"/>
        <w:rPr>
          <w:rFonts w:ascii="Arial" w:hAnsi="Arial" w:eastAsia="Batang" w:cs="Arial"/>
          <w:sz w:val="24"/>
          <w:szCs w:val="24"/>
        </w:rPr>
      </w:pPr>
    </w:p>
    <w:p w14:paraId="24766A28">
      <w:pPr>
        <w:suppressAutoHyphens w:val="0"/>
        <w:autoSpaceDE w:val="0"/>
        <w:spacing w:line="360" w:lineRule="auto"/>
        <w:jc w:val="both"/>
        <w:rPr>
          <w:rFonts w:ascii="Arial" w:hAnsi="Arial" w:cs="Arial"/>
          <w:b/>
          <w:bCs/>
          <w:sz w:val="24"/>
          <w:szCs w:val="24"/>
        </w:rPr>
      </w:pPr>
      <w:r>
        <w:rPr>
          <w:rFonts w:ascii="Arial" w:hAnsi="Arial" w:cs="Arial"/>
          <w:b/>
          <w:sz w:val="24"/>
          <w:szCs w:val="24"/>
        </w:rPr>
        <w:t xml:space="preserve">CLÁUSULA DÉCIMA - </w:t>
      </w:r>
      <w:r>
        <w:rPr>
          <w:rFonts w:ascii="Arial" w:hAnsi="Arial" w:cs="Arial"/>
          <w:b/>
          <w:bCs/>
          <w:sz w:val="24"/>
          <w:szCs w:val="24"/>
        </w:rPr>
        <w:t>DA DIVULGAÇÃO DA ATA DE REGISTRO DE PREÇOS</w:t>
      </w:r>
    </w:p>
    <w:p w14:paraId="6DD337C0">
      <w:pPr>
        <w:suppressAutoHyphens w:val="0"/>
        <w:autoSpaceDE w:val="0"/>
        <w:spacing w:line="360" w:lineRule="auto"/>
        <w:jc w:val="both"/>
        <w:rPr>
          <w:rFonts w:ascii="Arial" w:hAnsi="Arial" w:cs="Arial"/>
          <w:sz w:val="24"/>
          <w:szCs w:val="24"/>
        </w:rPr>
      </w:pPr>
      <w:r>
        <w:rPr>
          <w:rFonts w:ascii="Arial" w:hAnsi="Arial" w:cs="Arial"/>
          <w:bCs/>
          <w:sz w:val="24"/>
          <w:szCs w:val="24"/>
        </w:rPr>
        <w:t>10.1 -</w:t>
      </w:r>
      <w:r>
        <w:rPr>
          <w:rFonts w:ascii="Arial" w:hAnsi="Arial" w:cs="Arial"/>
          <w:sz w:val="24"/>
          <w:szCs w:val="24"/>
        </w:rPr>
        <w:t xml:space="preserve"> A presente Ata será divulgada no Portal da Internet </w:t>
      </w:r>
      <w:r>
        <w:fldChar w:fldCharType="begin"/>
      </w:r>
      <w:r>
        <w:instrText xml:space="preserve"> HYPERLINK "http://www.cedral.sp.gov.br" </w:instrText>
      </w:r>
      <w:r>
        <w:fldChar w:fldCharType="separate"/>
      </w:r>
      <w:r>
        <w:rPr>
          <w:rStyle w:val="6"/>
          <w:rFonts w:ascii="Arial" w:hAnsi="Arial" w:cs="Arial"/>
          <w:sz w:val="24"/>
          <w:szCs w:val="24"/>
        </w:rPr>
        <w:t>www.cedral.sp.gov.br</w:t>
      </w:r>
      <w:r>
        <w:rPr>
          <w:rStyle w:val="6"/>
          <w:rFonts w:ascii="Arial" w:hAnsi="Arial" w:cs="Arial"/>
          <w:sz w:val="24"/>
          <w:szCs w:val="24"/>
        </w:rPr>
        <w:fldChar w:fldCharType="end"/>
      </w:r>
      <w:r>
        <w:rPr>
          <w:rFonts w:ascii="Arial" w:hAnsi="Arial" w:cs="Arial"/>
          <w:sz w:val="24"/>
          <w:szCs w:val="24"/>
        </w:rPr>
        <w:t>.</w:t>
      </w:r>
    </w:p>
    <w:p w14:paraId="5B0EBBEE">
      <w:pPr>
        <w:suppressAutoHyphens w:val="0"/>
        <w:autoSpaceDE w:val="0"/>
        <w:spacing w:line="360" w:lineRule="auto"/>
        <w:jc w:val="both"/>
        <w:rPr>
          <w:rFonts w:ascii="Arial" w:hAnsi="Arial" w:cs="Arial"/>
          <w:sz w:val="24"/>
          <w:szCs w:val="24"/>
        </w:rPr>
      </w:pPr>
    </w:p>
    <w:p w14:paraId="5F4C8AFA">
      <w:pPr>
        <w:suppressAutoHyphens w:val="0"/>
        <w:autoSpaceDE w:val="0"/>
        <w:spacing w:line="360" w:lineRule="auto"/>
        <w:jc w:val="both"/>
        <w:rPr>
          <w:rFonts w:ascii="Arial" w:hAnsi="Arial" w:cs="Arial"/>
          <w:sz w:val="24"/>
          <w:szCs w:val="24"/>
        </w:rPr>
      </w:pPr>
      <w:r>
        <w:rPr>
          <w:rFonts w:ascii="Arial" w:hAnsi="Arial" w:cs="Arial"/>
          <w:b/>
          <w:sz w:val="24"/>
          <w:szCs w:val="24"/>
        </w:rPr>
        <w:t>CLÁUSULA DÉCIMA PRIMEIRA -</w:t>
      </w:r>
      <w:r>
        <w:rPr>
          <w:rFonts w:ascii="Arial" w:hAnsi="Arial" w:cs="Arial"/>
          <w:sz w:val="24"/>
          <w:szCs w:val="24"/>
        </w:rPr>
        <w:t xml:space="preserve"> </w:t>
      </w:r>
      <w:r>
        <w:rPr>
          <w:rFonts w:ascii="Arial" w:hAnsi="Arial" w:cs="Arial"/>
          <w:b/>
          <w:bCs/>
          <w:sz w:val="24"/>
          <w:szCs w:val="24"/>
        </w:rPr>
        <w:t>DO FORO</w:t>
      </w:r>
      <w:r>
        <w:rPr>
          <w:rFonts w:ascii="Arial" w:hAnsi="Arial" w:cs="Arial"/>
          <w:sz w:val="24"/>
          <w:szCs w:val="24"/>
        </w:rPr>
        <w:t xml:space="preserve">: </w:t>
      </w:r>
    </w:p>
    <w:p w14:paraId="167C79C8">
      <w:pPr>
        <w:suppressAutoHyphens w:val="0"/>
        <w:autoSpaceDE w:val="0"/>
        <w:spacing w:line="360" w:lineRule="auto"/>
        <w:jc w:val="both"/>
        <w:rPr>
          <w:rFonts w:ascii="Arial" w:hAnsi="Arial" w:cs="Arial"/>
          <w:sz w:val="24"/>
          <w:szCs w:val="24"/>
        </w:rPr>
      </w:pPr>
      <w:r>
        <w:rPr>
          <w:rFonts w:ascii="Arial" w:hAnsi="Arial" w:cs="Arial"/>
          <w:sz w:val="24"/>
          <w:szCs w:val="24"/>
        </w:rPr>
        <w:t>11.1 - As dúvidas decorrentes da presente Ata serão dirimidas no Foro da Comarca de São José do Rio Preto/SP.</w:t>
      </w:r>
    </w:p>
    <w:p w14:paraId="2E3A4119">
      <w:pPr>
        <w:suppressAutoHyphens w:val="0"/>
        <w:autoSpaceDE w:val="0"/>
        <w:spacing w:line="360" w:lineRule="auto"/>
        <w:jc w:val="both"/>
        <w:rPr>
          <w:rFonts w:ascii="Arial" w:hAnsi="Arial" w:cs="Arial"/>
          <w:sz w:val="24"/>
          <w:szCs w:val="24"/>
        </w:rPr>
      </w:pPr>
    </w:p>
    <w:p w14:paraId="356BDB45">
      <w:pPr>
        <w:suppressAutoHyphens w:val="0"/>
        <w:autoSpaceDE w:val="0"/>
        <w:spacing w:line="360" w:lineRule="auto"/>
        <w:jc w:val="both"/>
        <w:rPr>
          <w:rFonts w:ascii="Arial" w:hAnsi="Arial" w:cs="Arial"/>
          <w:sz w:val="24"/>
          <w:szCs w:val="24"/>
        </w:rPr>
      </w:pPr>
    </w:p>
    <w:p w14:paraId="2369A42E">
      <w:pPr>
        <w:tabs>
          <w:tab w:val="left" w:pos="2190"/>
        </w:tabs>
        <w:suppressAutoHyphens w:val="0"/>
        <w:autoSpaceDE w:val="0"/>
        <w:spacing w:line="360" w:lineRule="auto"/>
        <w:jc w:val="both"/>
        <w:rPr>
          <w:rFonts w:ascii="Arial" w:hAnsi="Arial" w:cs="Arial"/>
          <w:b/>
          <w:sz w:val="24"/>
          <w:szCs w:val="24"/>
        </w:rPr>
      </w:pPr>
      <w:r>
        <w:rPr>
          <w:rFonts w:ascii="Arial" w:hAnsi="Arial" w:cs="Arial"/>
          <w:b/>
          <w:sz w:val="24"/>
          <w:szCs w:val="24"/>
        </w:rPr>
        <w:t>CLÁUSULA DÉCIMA SEGUNDA - DISPOSIÇÕES FINAIS</w:t>
      </w:r>
    </w:p>
    <w:p w14:paraId="26CC442A">
      <w:pPr>
        <w:suppressAutoHyphens w:val="0"/>
        <w:autoSpaceDE w:val="0"/>
        <w:spacing w:line="360" w:lineRule="auto"/>
        <w:jc w:val="both"/>
        <w:rPr>
          <w:rFonts w:ascii="Arial" w:hAnsi="Arial" w:cs="Arial"/>
          <w:sz w:val="24"/>
          <w:szCs w:val="24"/>
        </w:rPr>
      </w:pPr>
      <w:r>
        <w:rPr>
          <w:rFonts w:ascii="Arial" w:hAnsi="Arial" w:cs="Arial"/>
          <w:sz w:val="24"/>
          <w:szCs w:val="24"/>
        </w:rPr>
        <w:t>12.1 - O Município de Cedral não se obriga a utilizar a Ata de Registro de Preços, principalmente se durante a sua vigência constatar que os preços registrados estão superiores aos praticados no mercado.</w:t>
      </w:r>
    </w:p>
    <w:p w14:paraId="055FD5BB">
      <w:pPr>
        <w:suppressAutoHyphens w:val="0"/>
        <w:autoSpaceDE w:val="0"/>
        <w:spacing w:line="360" w:lineRule="auto"/>
        <w:jc w:val="both"/>
        <w:rPr>
          <w:rFonts w:ascii="Arial" w:hAnsi="Arial" w:cs="Arial"/>
          <w:sz w:val="24"/>
          <w:szCs w:val="24"/>
        </w:rPr>
      </w:pPr>
      <w:r>
        <w:rPr>
          <w:rFonts w:ascii="Arial" w:hAnsi="Arial" w:cs="Arial"/>
          <w:sz w:val="24"/>
          <w:szCs w:val="24"/>
        </w:rPr>
        <w:t>12.2. A despesa com as solicitações ocorrerá à conta da Dotação Orçamentária vigente na época da emissão da nota de empenho pelo órgão e/ou unidade administrativa interessada.</w:t>
      </w:r>
    </w:p>
    <w:p w14:paraId="48970B93">
      <w:pPr>
        <w:suppressAutoHyphens w:val="0"/>
        <w:autoSpaceDE w:val="0"/>
        <w:spacing w:line="360" w:lineRule="auto"/>
        <w:jc w:val="both"/>
        <w:rPr>
          <w:rFonts w:ascii="Arial" w:hAnsi="Arial" w:cs="Arial"/>
          <w:sz w:val="24"/>
          <w:szCs w:val="24"/>
        </w:rPr>
      </w:pPr>
      <w:r>
        <w:rPr>
          <w:rFonts w:ascii="Arial" w:hAnsi="Arial" w:cs="Arial"/>
          <w:sz w:val="24"/>
          <w:szCs w:val="24"/>
        </w:rPr>
        <w:t>12.3 - Fazem parte integrante desta Ata, independentemente de transcrição, as condições estabelecidas no edital.</w:t>
      </w:r>
    </w:p>
    <w:p w14:paraId="65A3D96C">
      <w:pPr>
        <w:suppressAutoHyphens w:val="0"/>
        <w:autoSpaceDE w:val="0"/>
        <w:spacing w:line="360" w:lineRule="auto"/>
        <w:jc w:val="both"/>
        <w:rPr>
          <w:rFonts w:ascii="Arial" w:hAnsi="Arial" w:cs="Arial"/>
          <w:sz w:val="24"/>
          <w:szCs w:val="24"/>
        </w:rPr>
      </w:pPr>
      <w:r>
        <w:rPr>
          <w:rFonts w:ascii="Arial" w:hAnsi="Arial" w:cs="Arial"/>
          <w:sz w:val="24"/>
          <w:szCs w:val="24"/>
        </w:rPr>
        <w:t>12.4 - E, por estarem de acordo com as disposições contidas na presente Ata, assinam este instrumento em ____(_______) vias de igual e teor e forma.</w:t>
      </w:r>
    </w:p>
    <w:p w14:paraId="59D8E7F6">
      <w:pPr>
        <w:spacing w:line="360" w:lineRule="auto"/>
        <w:jc w:val="center"/>
        <w:rPr>
          <w:rFonts w:ascii="Arial" w:hAnsi="Arial" w:cs="Arial"/>
          <w:sz w:val="24"/>
          <w:szCs w:val="24"/>
        </w:rPr>
      </w:pPr>
      <w:r>
        <w:rPr>
          <w:rFonts w:ascii="Arial" w:hAnsi="Arial" w:cs="Arial"/>
          <w:sz w:val="24"/>
          <w:szCs w:val="24"/>
        </w:rPr>
        <w:t>Local, data .</w:t>
      </w:r>
    </w:p>
    <w:p w14:paraId="7147BF80">
      <w:pPr>
        <w:spacing w:line="360" w:lineRule="auto"/>
        <w:jc w:val="center"/>
        <w:rPr>
          <w:rFonts w:ascii="Arial" w:hAnsi="Arial" w:cs="Arial"/>
          <w:b/>
          <w:bCs/>
          <w:sz w:val="24"/>
          <w:szCs w:val="24"/>
        </w:rPr>
      </w:pPr>
      <w:r>
        <w:rPr>
          <w:rFonts w:ascii="Arial" w:hAnsi="Arial" w:cs="Arial"/>
          <w:b/>
          <w:bCs/>
          <w:sz w:val="24"/>
          <w:szCs w:val="24"/>
        </w:rPr>
        <w:t>___________________________________</w:t>
      </w:r>
    </w:p>
    <w:p w14:paraId="318067F3">
      <w:pPr>
        <w:spacing w:line="360" w:lineRule="auto"/>
        <w:jc w:val="center"/>
        <w:rPr>
          <w:rFonts w:ascii="Arial" w:hAnsi="Arial" w:cs="Arial"/>
          <w:sz w:val="24"/>
          <w:szCs w:val="24"/>
        </w:rPr>
      </w:pPr>
      <w:r>
        <w:rPr>
          <w:rFonts w:ascii="Arial" w:hAnsi="Arial" w:cs="Arial"/>
          <w:b/>
          <w:sz w:val="24"/>
          <w:szCs w:val="24"/>
        </w:rPr>
        <w:t>IRINEO BEOLCHI JUNIOR</w:t>
      </w:r>
    </w:p>
    <w:p w14:paraId="25EAC4D0">
      <w:pPr>
        <w:spacing w:line="360" w:lineRule="auto"/>
        <w:jc w:val="center"/>
        <w:rPr>
          <w:rFonts w:ascii="Arial" w:hAnsi="Arial" w:cs="Arial"/>
          <w:b/>
          <w:sz w:val="24"/>
          <w:szCs w:val="24"/>
        </w:rPr>
      </w:pPr>
      <w:r>
        <w:rPr>
          <w:rFonts w:ascii="Arial" w:hAnsi="Arial" w:cs="Arial"/>
          <w:b/>
          <w:sz w:val="24"/>
          <w:szCs w:val="24"/>
        </w:rPr>
        <w:t>PREFEITO DO MUNICÍPIO DE CEDRAL/SP</w:t>
      </w:r>
    </w:p>
    <w:p w14:paraId="3A8D2DCA">
      <w:pPr>
        <w:spacing w:line="360" w:lineRule="auto"/>
        <w:jc w:val="center"/>
        <w:rPr>
          <w:rFonts w:ascii="Arial" w:hAnsi="Arial" w:cs="Arial"/>
          <w:b/>
          <w:bCs/>
          <w:sz w:val="24"/>
          <w:szCs w:val="24"/>
        </w:rPr>
      </w:pPr>
      <w:r>
        <w:rPr>
          <w:rFonts w:ascii="Arial" w:hAnsi="Arial" w:cs="Arial"/>
          <w:b/>
          <w:bCs/>
          <w:sz w:val="24"/>
          <w:szCs w:val="24"/>
        </w:rPr>
        <w:t>___________________________________</w:t>
      </w:r>
    </w:p>
    <w:p w14:paraId="55226A22">
      <w:pPr>
        <w:spacing w:line="360" w:lineRule="auto"/>
        <w:jc w:val="center"/>
        <w:rPr>
          <w:rFonts w:ascii="Arial" w:hAnsi="Arial" w:cs="Arial"/>
          <w:b/>
          <w:sz w:val="24"/>
          <w:szCs w:val="24"/>
        </w:rPr>
      </w:pPr>
      <w:r>
        <w:rPr>
          <w:rFonts w:ascii="Arial" w:hAnsi="Arial" w:cs="Arial"/>
          <w:b/>
          <w:bCs/>
          <w:iCs/>
          <w:color w:val="222222"/>
          <w:sz w:val="24"/>
          <w:szCs w:val="24"/>
          <w:shd w:val="clear" w:color="auto" w:fill="FFFFFF"/>
        </w:rPr>
        <w:t>DETENTORA DO REGISTRO</w:t>
      </w:r>
    </w:p>
    <w:p w14:paraId="52A7B034">
      <w:pPr>
        <w:suppressAutoHyphens w:val="0"/>
        <w:autoSpaceDE w:val="0"/>
        <w:spacing w:line="360" w:lineRule="auto"/>
        <w:jc w:val="both"/>
        <w:rPr>
          <w:rFonts w:ascii="Arial" w:hAnsi="Arial" w:cs="Arial"/>
          <w:b/>
          <w:bCs/>
          <w:sz w:val="24"/>
          <w:szCs w:val="24"/>
        </w:rPr>
      </w:pPr>
      <w:r>
        <w:rPr>
          <w:rFonts w:ascii="Arial" w:hAnsi="Arial" w:cs="Arial"/>
          <w:b/>
          <w:bCs/>
          <w:sz w:val="24"/>
          <w:szCs w:val="24"/>
        </w:rPr>
        <w:t>Representante(s)</w:t>
      </w:r>
    </w:p>
    <w:p w14:paraId="44B63698">
      <w:pPr>
        <w:suppressAutoHyphens w:val="0"/>
        <w:autoSpaceDE w:val="0"/>
        <w:spacing w:line="360" w:lineRule="auto"/>
        <w:jc w:val="both"/>
        <w:rPr>
          <w:rFonts w:ascii="Arial" w:hAnsi="Arial" w:eastAsia="Tahoma" w:cs="Arial"/>
          <w:sz w:val="24"/>
          <w:szCs w:val="24"/>
        </w:rPr>
      </w:pPr>
      <w:r>
        <w:rPr>
          <w:rFonts w:ascii="Arial" w:hAnsi="Arial" w:eastAsia="Tahoma" w:cs="Arial"/>
          <w:b/>
          <w:bCs/>
          <w:sz w:val="24"/>
          <w:szCs w:val="24"/>
        </w:rPr>
        <w:t>TABELA DE PREÇOS</w:t>
      </w:r>
    </w:p>
    <w:p w14:paraId="1D593ADD">
      <w:pPr>
        <w:suppressAutoHyphens w:val="0"/>
        <w:autoSpaceDE w:val="0"/>
        <w:spacing w:line="360" w:lineRule="auto"/>
        <w:jc w:val="both"/>
        <w:rPr>
          <w:rFonts w:ascii="Arial" w:hAnsi="Arial" w:cs="Arial"/>
          <w:sz w:val="24"/>
          <w:szCs w:val="24"/>
        </w:rPr>
      </w:pPr>
    </w:p>
    <w:p w14:paraId="36BD578C">
      <w:pPr>
        <w:suppressAutoHyphens w:val="0"/>
        <w:autoSpaceDE w:val="0"/>
        <w:spacing w:line="360" w:lineRule="auto"/>
        <w:jc w:val="both"/>
        <w:rPr>
          <w:rFonts w:ascii="Arial" w:hAnsi="Arial" w:cs="Arial"/>
          <w:sz w:val="24"/>
          <w:szCs w:val="24"/>
        </w:rPr>
      </w:pPr>
    </w:p>
    <w:p w14:paraId="665A2F9D">
      <w:pPr>
        <w:suppressAutoHyphens w:val="0"/>
        <w:autoSpaceDE w:val="0"/>
        <w:spacing w:line="360" w:lineRule="auto"/>
        <w:jc w:val="both"/>
        <w:rPr>
          <w:rFonts w:ascii="Arial" w:hAnsi="Arial" w:cs="Arial"/>
          <w:sz w:val="24"/>
          <w:szCs w:val="24"/>
        </w:rPr>
      </w:pPr>
    </w:p>
    <w:p w14:paraId="0C08F95B">
      <w:pPr>
        <w:suppressAutoHyphens w:val="0"/>
        <w:autoSpaceDE w:val="0"/>
        <w:spacing w:line="360" w:lineRule="auto"/>
        <w:jc w:val="both"/>
        <w:rPr>
          <w:rFonts w:ascii="Arial" w:hAnsi="Arial" w:cs="Arial"/>
          <w:sz w:val="24"/>
          <w:szCs w:val="24"/>
        </w:rPr>
      </w:pPr>
    </w:p>
    <w:p w14:paraId="32FCFBB6">
      <w:pPr>
        <w:suppressAutoHyphens w:val="0"/>
        <w:autoSpaceDE w:val="0"/>
        <w:spacing w:line="360" w:lineRule="auto"/>
        <w:jc w:val="both"/>
        <w:rPr>
          <w:rFonts w:ascii="Arial" w:hAnsi="Arial" w:cs="Arial"/>
          <w:sz w:val="24"/>
          <w:szCs w:val="24"/>
        </w:rPr>
      </w:pPr>
    </w:p>
    <w:p w14:paraId="7B0EF479">
      <w:pPr>
        <w:suppressAutoHyphens w:val="0"/>
        <w:autoSpaceDE w:val="0"/>
        <w:spacing w:line="360" w:lineRule="auto"/>
        <w:jc w:val="both"/>
        <w:rPr>
          <w:rFonts w:ascii="Arial" w:hAnsi="Arial" w:cs="Arial"/>
          <w:sz w:val="24"/>
          <w:szCs w:val="24"/>
        </w:rPr>
      </w:pPr>
    </w:p>
    <w:p w14:paraId="510A75D5">
      <w:pPr>
        <w:suppressAutoHyphens w:val="0"/>
        <w:autoSpaceDE w:val="0"/>
        <w:spacing w:line="360" w:lineRule="auto"/>
        <w:jc w:val="both"/>
        <w:rPr>
          <w:rFonts w:ascii="Arial" w:hAnsi="Arial" w:cs="Arial"/>
          <w:sz w:val="24"/>
          <w:szCs w:val="24"/>
        </w:rPr>
      </w:pPr>
    </w:p>
    <w:p w14:paraId="23E4901F">
      <w:pPr>
        <w:suppressAutoHyphens w:val="0"/>
        <w:autoSpaceDE w:val="0"/>
        <w:spacing w:line="360" w:lineRule="auto"/>
        <w:jc w:val="both"/>
        <w:rPr>
          <w:rFonts w:ascii="Arial" w:hAnsi="Arial" w:cs="Arial"/>
          <w:sz w:val="24"/>
          <w:szCs w:val="24"/>
        </w:rPr>
      </w:pPr>
    </w:p>
    <w:p w14:paraId="3AE7C350">
      <w:pPr>
        <w:suppressAutoHyphens w:val="0"/>
        <w:autoSpaceDE w:val="0"/>
        <w:spacing w:line="360" w:lineRule="auto"/>
        <w:jc w:val="both"/>
        <w:rPr>
          <w:rFonts w:ascii="Arial" w:hAnsi="Arial" w:cs="Arial"/>
          <w:sz w:val="24"/>
          <w:szCs w:val="24"/>
        </w:rPr>
      </w:pPr>
    </w:p>
    <w:p w14:paraId="00CE0619">
      <w:pPr>
        <w:suppressAutoHyphens w:val="0"/>
        <w:autoSpaceDE w:val="0"/>
        <w:spacing w:line="360" w:lineRule="auto"/>
        <w:jc w:val="both"/>
        <w:rPr>
          <w:rFonts w:ascii="Arial" w:hAnsi="Arial" w:cs="Arial"/>
          <w:sz w:val="24"/>
          <w:szCs w:val="24"/>
        </w:rPr>
      </w:pPr>
    </w:p>
    <w:p w14:paraId="52D0F1AD">
      <w:pPr>
        <w:suppressAutoHyphens w:val="0"/>
        <w:autoSpaceDE w:val="0"/>
        <w:spacing w:line="360" w:lineRule="auto"/>
        <w:jc w:val="both"/>
        <w:rPr>
          <w:rFonts w:ascii="Arial" w:hAnsi="Arial" w:cs="Arial"/>
          <w:sz w:val="24"/>
          <w:szCs w:val="24"/>
        </w:rPr>
      </w:pPr>
    </w:p>
    <w:p w14:paraId="29B6F019">
      <w:pPr>
        <w:suppressAutoHyphens w:val="0"/>
        <w:autoSpaceDE w:val="0"/>
        <w:spacing w:line="360" w:lineRule="auto"/>
        <w:jc w:val="both"/>
        <w:rPr>
          <w:rFonts w:ascii="Arial" w:hAnsi="Arial" w:cs="Arial"/>
          <w:sz w:val="24"/>
          <w:szCs w:val="24"/>
        </w:rPr>
      </w:pPr>
    </w:p>
    <w:p w14:paraId="2F58A6D9">
      <w:pPr>
        <w:suppressAutoHyphens w:val="0"/>
        <w:autoSpaceDE w:val="0"/>
        <w:spacing w:line="360" w:lineRule="auto"/>
        <w:jc w:val="both"/>
        <w:rPr>
          <w:rFonts w:ascii="Arial" w:hAnsi="Arial" w:cs="Arial"/>
          <w:sz w:val="24"/>
          <w:szCs w:val="24"/>
        </w:rPr>
      </w:pPr>
    </w:p>
    <w:p w14:paraId="2F763764">
      <w:pPr>
        <w:suppressAutoHyphens w:val="0"/>
        <w:autoSpaceDE w:val="0"/>
        <w:spacing w:line="360" w:lineRule="auto"/>
        <w:jc w:val="both"/>
        <w:rPr>
          <w:rFonts w:ascii="Arial" w:hAnsi="Arial" w:cs="Arial"/>
          <w:sz w:val="24"/>
          <w:szCs w:val="24"/>
        </w:rPr>
      </w:pPr>
    </w:p>
    <w:p w14:paraId="278305C3">
      <w:pPr>
        <w:suppressAutoHyphens w:val="0"/>
        <w:autoSpaceDE w:val="0"/>
        <w:spacing w:line="360" w:lineRule="auto"/>
        <w:jc w:val="both"/>
        <w:rPr>
          <w:rFonts w:ascii="Arial" w:hAnsi="Arial" w:cs="Arial"/>
          <w:sz w:val="24"/>
          <w:szCs w:val="24"/>
        </w:rPr>
      </w:pPr>
    </w:p>
    <w:p w14:paraId="32A2E7C8">
      <w:pPr>
        <w:suppressAutoHyphens w:val="0"/>
        <w:autoSpaceDE w:val="0"/>
        <w:spacing w:line="360" w:lineRule="auto"/>
        <w:jc w:val="both"/>
        <w:rPr>
          <w:rFonts w:ascii="Arial" w:hAnsi="Arial" w:cs="Arial"/>
          <w:sz w:val="24"/>
          <w:szCs w:val="24"/>
        </w:rPr>
      </w:pPr>
    </w:p>
    <w:p w14:paraId="338ECB58">
      <w:pPr>
        <w:suppressAutoHyphens w:val="0"/>
        <w:autoSpaceDE w:val="0"/>
        <w:spacing w:line="360" w:lineRule="auto"/>
        <w:jc w:val="both"/>
        <w:rPr>
          <w:rFonts w:ascii="Arial" w:hAnsi="Arial" w:cs="Arial"/>
          <w:sz w:val="24"/>
          <w:szCs w:val="24"/>
        </w:rPr>
      </w:pPr>
    </w:p>
    <w:p w14:paraId="2D6679B3">
      <w:pPr>
        <w:suppressAutoHyphens w:val="0"/>
        <w:autoSpaceDE w:val="0"/>
        <w:spacing w:line="360" w:lineRule="auto"/>
        <w:jc w:val="both"/>
        <w:rPr>
          <w:rFonts w:ascii="Arial" w:hAnsi="Arial" w:cs="Arial"/>
          <w:sz w:val="24"/>
          <w:szCs w:val="24"/>
        </w:rPr>
      </w:pPr>
    </w:p>
    <w:p w14:paraId="6E2367C0">
      <w:pPr>
        <w:suppressAutoHyphens w:val="0"/>
        <w:autoSpaceDE w:val="0"/>
        <w:spacing w:line="360" w:lineRule="auto"/>
        <w:jc w:val="both"/>
        <w:rPr>
          <w:rFonts w:ascii="Arial" w:hAnsi="Arial" w:cs="Arial"/>
          <w:sz w:val="24"/>
          <w:szCs w:val="24"/>
        </w:rPr>
      </w:pPr>
    </w:p>
    <w:p w14:paraId="223954FA">
      <w:pPr>
        <w:suppressAutoHyphens w:val="0"/>
        <w:autoSpaceDE w:val="0"/>
        <w:spacing w:line="360" w:lineRule="auto"/>
        <w:jc w:val="both"/>
        <w:rPr>
          <w:rFonts w:ascii="Arial" w:hAnsi="Arial" w:cs="Arial"/>
          <w:sz w:val="24"/>
          <w:szCs w:val="24"/>
        </w:rPr>
      </w:pPr>
    </w:p>
    <w:p w14:paraId="4E68F633">
      <w:pPr>
        <w:suppressAutoHyphens w:val="0"/>
        <w:autoSpaceDE w:val="0"/>
        <w:spacing w:line="360" w:lineRule="auto"/>
        <w:jc w:val="both"/>
        <w:rPr>
          <w:rFonts w:ascii="Arial" w:hAnsi="Arial" w:cs="Arial"/>
          <w:sz w:val="24"/>
          <w:szCs w:val="24"/>
        </w:rPr>
      </w:pPr>
    </w:p>
    <w:p w14:paraId="17081423">
      <w:pPr>
        <w:suppressAutoHyphens w:val="0"/>
        <w:autoSpaceDE w:val="0"/>
        <w:spacing w:line="360" w:lineRule="auto"/>
        <w:jc w:val="both"/>
        <w:rPr>
          <w:rFonts w:ascii="Arial" w:hAnsi="Arial" w:cs="Arial"/>
          <w:sz w:val="24"/>
          <w:szCs w:val="24"/>
        </w:rPr>
      </w:pPr>
    </w:p>
    <w:p w14:paraId="167ABB1E">
      <w:pPr>
        <w:suppressAutoHyphens w:val="0"/>
        <w:autoSpaceDE w:val="0"/>
        <w:spacing w:line="360" w:lineRule="auto"/>
        <w:jc w:val="both"/>
        <w:rPr>
          <w:rFonts w:ascii="Arial" w:hAnsi="Arial" w:cs="Arial"/>
          <w:sz w:val="24"/>
          <w:szCs w:val="24"/>
        </w:rPr>
      </w:pPr>
    </w:p>
    <w:p w14:paraId="4604081B">
      <w:pPr>
        <w:suppressAutoHyphens w:val="0"/>
        <w:autoSpaceDE w:val="0"/>
        <w:spacing w:line="360" w:lineRule="auto"/>
        <w:jc w:val="both"/>
        <w:rPr>
          <w:rFonts w:ascii="Arial" w:hAnsi="Arial" w:cs="Arial"/>
          <w:sz w:val="24"/>
          <w:szCs w:val="24"/>
        </w:rPr>
      </w:pPr>
    </w:p>
    <w:p w14:paraId="5E33A125">
      <w:pPr>
        <w:suppressAutoHyphens w:val="0"/>
        <w:autoSpaceDE w:val="0"/>
        <w:spacing w:line="360" w:lineRule="auto"/>
        <w:jc w:val="both"/>
        <w:rPr>
          <w:rFonts w:ascii="Arial" w:hAnsi="Arial" w:cs="Arial"/>
          <w:sz w:val="24"/>
          <w:szCs w:val="24"/>
        </w:rPr>
      </w:pPr>
    </w:p>
    <w:p w14:paraId="63E7BF40">
      <w:pPr>
        <w:suppressAutoHyphens w:val="0"/>
        <w:autoSpaceDE w:val="0"/>
        <w:spacing w:line="360" w:lineRule="auto"/>
        <w:jc w:val="both"/>
        <w:rPr>
          <w:rFonts w:ascii="Arial" w:hAnsi="Arial" w:cs="Arial"/>
          <w:sz w:val="24"/>
          <w:szCs w:val="24"/>
        </w:rPr>
      </w:pPr>
    </w:p>
    <w:p w14:paraId="54BB1C93">
      <w:pPr>
        <w:suppressAutoHyphens w:val="0"/>
        <w:autoSpaceDE w:val="0"/>
        <w:spacing w:line="360" w:lineRule="auto"/>
        <w:jc w:val="both"/>
        <w:rPr>
          <w:rFonts w:ascii="Arial" w:hAnsi="Arial" w:cs="Arial"/>
          <w:sz w:val="24"/>
          <w:szCs w:val="24"/>
        </w:rPr>
      </w:pPr>
    </w:p>
    <w:p w14:paraId="32219C2E">
      <w:pPr>
        <w:suppressAutoHyphens w:val="0"/>
        <w:autoSpaceDE w:val="0"/>
        <w:spacing w:line="360" w:lineRule="auto"/>
        <w:jc w:val="both"/>
        <w:rPr>
          <w:rFonts w:ascii="Arial" w:hAnsi="Arial" w:cs="Arial"/>
          <w:sz w:val="24"/>
          <w:szCs w:val="24"/>
        </w:rPr>
      </w:pPr>
    </w:p>
    <w:p w14:paraId="6EDB02DC">
      <w:pPr>
        <w:suppressAutoHyphens w:val="0"/>
        <w:autoSpaceDE w:val="0"/>
        <w:spacing w:line="360" w:lineRule="auto"/>
        <w:jc w:val="both"/>
        <w:rPr>
          <w:rFonts w:ascii="Arial" w:hAnsi="Arial" w:cs="Arial"/>
          <w:sz w:val="24"/>
          <w:szCs w:val="24"/>
        </w:rPr>
      </w:pPr>
    </w:p>
    <w:p w14:paraId="03A7A289">
      <w:pPr>
        <w:suppressAutoHyphens w:val="0"/>
        <w:autoSpaceDE w:val="0"/>
        <w:spacing w:line="360" w:lineRule="auto"/>
        <w:jc w:val="both"/>
        <w:rPr>
          <w:rFonts w:ascii="Arial" w:hAnsi="Arial" w:cs="Arial"/>
          <w:sz w:val="24"/>
          <w:szCs w:val="24"/>
        </w:rPr>
      </w:pPr>
    </w:p>
    <w:p w14:paraId="62935588">
      <w:pPr>
        <w:suppressAutoHyphens w:val="0"/>
        <w:autoSpaceDE w:val="0"/>
        <w:spacing w:line="360" w:lineRule="auto"/>
        <w:jc w:val="both"/>
        <w:rPr>
          <w:rFonts w:ascii="Arial" w:hAnsi="Arial" w:cs="Arial"/>
          <w:sz w:val="24"/>
          <w:szCs w:val="24"/>
        </w:rPr>
      </w:pPr>
    </w:p>
    <w:p w14:paraId="07D20049">
      <w:pPr>
        <w:spacing w:line="360" w:lineRule="auto"/>
        <w:jc w:val="center"/>
        <w:rPr>
          <w:rFonts w:ascii="Arial" w:hAnsi="Arial" w:cs="Arial"/>
          <w:b/>
          <w:sz w:val="24"/>
          <w:szCs w:val="24"/>
        </w:rPr>
      </w:pPr>
      <w:r>
        <w:rPr>
          <w:rFonts w:ascii="Arial" w:hAnsi="Arial" w:cs="Arial"/>
          <w:b/>
          <w:sz w:val="24"/>
          <w:szCs w:val="24"/>
        </w:rPr>
        <w:t>ANEXO VII</w:t>
      </w:r>
    </w:p>
    <w:p w14:paraId="4ECBF853">
      <w:pPr>
        <w:spacing w:line="360" w:lineRule="auto"/>
        <w:jc w:val="both"/>
        <w:rPr>
          <w:rFonts w:ascii="Arial" w:hAnsi="Arial" w:cs="Arial"/>
          <w:sz w:val="24"/>
          <w:szCs w:val="24"/>
        </w:rPr>
      </w:pPr>
      <w:r>
        <w:rPr>
          <w:rFonts w:ascii="Arial" w:hAnsi="Arial" w:cs="Arial"/>
          <w:b/>
          <w:sz w:val="24"/>
          <w:szCs w:val="24"/>
          <w:highlight w:val="yellow"/>
          <w:u w:val="single"/>
        </w:rPr>
        <w:t>Decreto Municipal nº 3.500/2022</w:t>
      </w:r>
      <w:r>
        <w:rPr>
          <w:rFonts w:ascii="Arial" w:hAnsi="Arial" w:cs="Arial"/>
          <w:b/>
          <w:sz w:val="24"/>
          <w:szCs w:val="24"/>
          <w:u w:val="single"/>
        </w:rPr>
        <w:t xml:space="preserve"> publicado, que regulamenta a Lei de Licitações nº 14.133/2021, no Município,</w:t>
      </w:r>
      <w:r>
        <w:rPr>
          <w:rFonts w:ascii="Arial" w:hAnsi="Arial" w:cs="Arial"/>
          <w:b/>
          <w:highlight w:val="yellow"/>
          <w:u w:val="single"/>
        </w:rPr>
        <w:t xml:space="preserve"> conforme Comunicado GP 03/2024 – TCE/SP)</w:t>
      </w:r>
    </w:p>
    <w:p w14:paraId="02025854">
      <w:pPr>
        <w:suppressAutoHyphens w:val="0"/>
        <w:autoSpaceDE w:val="0"/>
        <w:spacing w:line="360" w:lineRule="auto"/>
        <w:jc w:val="both"/>
        <w:rPr>
          <w:rFonts w:ascii="Arial" w:hAnsi="Arial" w:cs="Arial"/>
          <w:sz w:val="24"/>
          <w:szCs w:val="24"/>
        </w:rPr>
      </w:pPr>
    </w:p>
    <w:p w14:paraId="6D098ECD">
      <w:pPr>
        <w:suppressAutoHyphens w:val="0"/>
        <w:autoSpaceDE w:val="0"/>
        <w:spacing w:line="360" w:lineRule="auto"/>
        <w:jc w:val="both"/>
        <w:rPr>
          <w:rFonts w:ascii="Arial" w:hAnsi="Arial" w:cs="Arial"/>
          <w:sz w:val="24"/>
          <w:szCs w:val="24"/>
        </w:rPr>
      </w:pPr>
    </w:p>
    <w:p w14:paraId="154FA82C">
      <w:pPr>
        <w:suppressAutoHyphens w:val="0"/>
        <w:autoSpaceDE w:val="0"/>
        <w:spacing w:line="360" w:lineRule="auto"/>
        <w:jc w:val="both"/>
        <w:rPr>
          <w:rFonts w:ascii="Arial" w:hAnsi="Arial" w:cs="Arial"/>
          <w:sz w:val="24"/>
          <w:szCs w:val="24"/>
        </w:rPr>
      </w:pPr>
    </w:p>
    <w:p w14:paraId="45EF599F">
      <w:pPr>
        <w:suppressAutoHyphens w:val="0"/>
        <w:autoSpaceDE w:val="0"/>
        <w:spacing w:line="360" w:lineRule="auto"/>
        <w:jc w:val="both"/>
        <w:rPr>
          <w:rFonts w:ascii="Arial" w:hAnsi="Arial" w:cs="Arial"/>
          <w:sz w:val="24"/>
          <w:szCs w:val="24"/>
        </w:rPr>
      </w:pPr>
    </w:p>
    <w:p w14:paraId="05CCFF2E">
      <w:pPr>
        <w:suppressAutoHyphens w:val="0"/>
        <w:autoSpaceDE w:val="0"/>
        <w:spacing w:line="360" w:lineRule="auto"/>
        <w:jc w:val="both"/>
        <w:rPr>
          <w:rFonts w:ascii="Arial" w:hAnsi="Arial" w:cs="Arial"/>
          <w:sz w:val="24"/>
          <w:szCs w:val="24"/>
        </w:rPr>
      </w:pPr>
    </w:p>
    <w:p w14:paraId="4EFFD3E1">
      <w:pPr>
        <w:suppressAutoHyphens w:val="0"/>
        <w:autoSpaceDE w:val="0"/>
        <w:spacing w:line="360" w:lineRule="auto"/>
        <w:jc w:val="both"/>
        <w:rPr>
          <w:rFonts w:ascii="Arial" w:hAnsi="Arial" w:cs="Arial"/>
          <w:sz w:val="24"/>
          <w:szCs w:val="24"/>
        </w:rPr>
      </w:pPr>
    </w:p>
    <w:p w14:paraId="0813A725">
      <w:pPr>
        <w:suppressAutoHyphens w:val="0"/>
        <w:autoSpaceDE w:val="0"/>
        <w:spacing w:line="360" w:lineRule="auto"/>
        <w:jc w:val="both"/>
        <w:rPr>
          <w:rFonts w:ascii="Arial" w:hAnsi="Arial" w:cs="Arial"/>
          <w:sz w:val="24"/>
          <w:szCs w:val="24"/>
        </w:rPr>
      </w:pPr>
    </w:p>
    <w:p w14:paraId="2F738F9E">
      <w:pPr>
        <w:suppressAutoHyphens w:val="0"/>
        <w:autoSpaceDE w:val="0"/>
        <w:spacing w:line="360" w:lineRule="auto"/>
        <w:jc w:val="both"/>
        <w:rPr>
          <w:rFonts w:ascii="Arial" w:hAnsi="Arial" w:cs="Arial"/>
          <w:sz w:val="24"/>
          <w:szCs w:val="24"/>
        </w:rPr>
      </w:pPr>
    </w:p>
    <w:p w14:paraId="23F5C4C7">
      <w:pPr>
        <w:suppressAutoHyphens w:val="0"/>
        <w:autoSpaceDE w:val="0"/>
        <w:spacing w:line="360" w:lineRule="auto"/>
        <w:jc w:val="both"/>
        <w:rPr>
          <w:rFonts w:ascii="Arial" w:hAnsi="Arial" w:cs="Arial"/>
          <w:sz w:val="24"/>
          <w:szCs w:val="24"/>
        </w:rPr>
      </w:pPr>
    </w:p>
    <w:p w14:paraId="48432619">
      <w:pPr>
        <w:spacing w:line="360" w:lineRule="auto"/>
        <w:rPr>
          <w:rFonts w:ascii="Arial" w:hAnsi="Arial" w:cs="Arial"/>
          <w:b/>
          <w:sz w:val="24"/>
          <w:szCs w:val="24"/>
        </w:rPr>
      </w:pPr>
    </w:p>
    <w:sectPr>
      <w:footerReference r:id="rId5" w:type="default"/>
      <w:pgSz w:w="11906" w:h="16838"/>
      <w:pgMar w:top="2835" w:right="1134" w:bottom="1701"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Wingdings">
    <w:panose1 w:val="05000000000000000000"/>
    <w:charset w:val="02"/>
    <w:family w:val="auto"/>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Helvetica">
    <w:panose1 w:val="020B0604020202020204"/>
    <w:charset w:val="00"/>
    <w:family w:val="swiss"/>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7696"/>
      <w:docPartObj>
        <w:docPartGallery w:val="AutoText"/>
      </w:docPartObj>
    </w:sdtPr>
    <w:sdtContent>
      <w:p w14:paraId="33D30E36">
        <w:pPr>
          <w:pStyle w:val="12"/>
          <w:jc w:val="right"/>
        </w:pPr>
        <w:r>
          <w:fldChar w:fldCharType="begin"/>
        </w:r>
        <w:r>
          <w:instrText xml:space="preserve"> PAGE   \* MERGEFORMAT </w:instrText>
        </w:r>
        <w:r>
          <w:fldChar w:fldCharType="separate"/>
        </w:r>
        <w:r>
          <w:t>41</w:t>
        </w:r>
        <w:r>
          <w:fldChar w:fldCharType="end"/>
        </w:r>
      </w:p>
    </w:sdtContent>
  </w:sdt>
  <w:p w14:paraId="42D4F40D">
    <w:pPr>
      <w:pStyle w:val="12"/>
    </w:pPr>
  </w:p>
  <w:p w14:paraId="56D7A5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240" w:lineRule="auto"/>
      </w:pPr>
      <w:r>
        <w:separator/>
      </w:r>
    </w:p>
  </w:footnote>
  <w:footnote w:type="continuationSeparator" w:id="13">
    <w:p>
      <w:pPr>
        <w:spacing w:before="0" w:after="0" w:line="240" w:lineRule="auto"/>
      </w:pPr>
      <w:r>
        <w:continuationSeparator/>
      </w:r>
    </w:p>
  </w:footnote>
  <w:footnote w:id="0">
    <w:p w14:paraId="4316C39C">
      <w:pPr>
        <w:pStyle w:val="14"/>
        <w:jc w:val="both"/>
        <w:rPr>
          <w:sz w:val="12"/>
          <w:szCs w:val="12"/>
        </w:rPr>
      </w:pPr>
      <w:r>
        <w:rPr>
          <w:rStyle w:val="5"/>
          <w:sz w:val="12"/>
          <w:szCs w:val="12"/>
        </w:rPr>
        <w:footnoteRef/>
      </w:r>
      <w:r>
        <w:rPr>
          <w:sz w:val="12"/>
          <w:szCs w:val="12"/>
        </w:rPr>
        <w:t xml:space="preserve"> </w:t>
      </w:r>
      <w:r>
        <w:rPr>
          <w:rFonts w:ascii="Arial" w:hAnsi="Arial" w:cs="Arial"/>
          <w:sz w:val="12"/>
          <w:szCs w:val="12"/>
        </w:rPr>
        <w:t>Súmula nº 10: O preço final do produto ofertado pelos proponentes deve incluir os tributos e demais encargos a serem suportados pelo ofertante.</w:t>
      </w:r>
    </w:p>
  </w:footnote>
  <w:footnote w:id="1">
    <w:p w14:paraId="5B5B0812">
      <w:pPr>
        <w:pStyle w:val="14"/>
        <w:jc w:val="both"/>
        <w:rPr>
          <w:sz w:val="12"/>
          <w:szCs w:val="12"/>
        </w:rPr>
      </w:pPr>
      <w:r>
        <w:rPr>
          <w:rStyle w:val="5"/>
          <w:sz w:val="12"/>
          <w:szCs w:val="12"/>
        </w:rPr>
        <w:footnoteRef/>
      </w:r>
      <w:r>
        <w:rPr>
          <w:sz w:val="12"/>
          <w:szCs w:val="12"/>
        </w:rPr>
        <w:t xml:space="preserve"> </w:t>
      </w:r>
      <w:r>
        <w:rPr>
          <w:rFonts w:ascii="Arial" w:hAnsi="Arial" w:cs="Arial"/>
          <w:sz w:val="12"/>
          <w:szCs w:val="12"/>
        </w:rPr>
        <w:t>Súmula nº 10: O preço final do produto ofertado pelos proponentes deve incluir os tributos e demais encargos a serem suportados pelo ofertante.</w:t>
      </w:r>
    </w:p>
  </w:footnote>
  <w:footnote w:id="2">
    <w:p w14:paraId="76BD12DF">
      <w:pPr>
        <w:pStyle w:val="14"/>
        <w:jc w:val="both"/>
      </w:pPr>
      <w:r>
        <w:rPr>
          <w:rStyle w:val="5"/>
        </w:rPr>
        <w:footnoteRef/>
      </w:r>
      <w:r>
        <w:t xml:space="preserve"> </w:t>
      </w:r>
      <w:r>
        <w:rPr>
          <w:rFonts w:ascii="Arial" w:hAnsi="Arial" w:cs="Arial"/>
          <w:sz w:val="12"/>
          <w:szCs w:val="12"/>
        </w:rPr>
        <w:t>S</w:t>
      </w:r>
      <w:r>
        <w:rPr>
          <w:rFonts w:ascii="Arial" w:hAnsi="Arial" w:cs="Arial"/>
          <w:color w:val="333333"/>
          <w:sz w:val="12"/>
          <w:szCs w:val="12"/>
          <w:shd w:val="clear" w:color="auto" w:fill="FFFFFF"/>
        </w:rPr>
        <w:t>ÚMULA Nº 50 do TCE/SP-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r>
        <w:rPr>
          <w:rFonts w:ascii="Helvetica" w:hAnsi="Helvetica"/>
          <w:color w:val="333333"/>
          <w:shd w:val="clear" w:color="auto" w:fill="FFFFFF"/>
        </w:rPr>
        <w:t>.</w:t>
      </w:r>
    </w:p>
  </w:footnote>
  <w:footnote w:id="3">
    <w:p w14:paraId="4E89FF41">
      <w:pPr>
        <w:pStyle w:val="14"/>
        <w:jc w:val="both"/>
        <w:rPr>
          <w:sz w:val="10"/>
          <w:szCs w:val="10"/>
        </w:rPr>
      </w:pPr>
      <w:r>
        <w:rPr>
          <w:rStyle w:val="5"/>
        </w:rPr>
        <w:footnoteRef/>
      </w:r>
      <w:r>
        <w:t xml:space="preserve"> </w:t>
      </w:r>
      <w:r>
        <w:rPr>
          <w:rStyle w:val="4"/>
          <w:rFonts w:ascii="Arial" w:hAnsi="Arial" w:cs="Arial"/>
          <w:sz w:val="10"/>
          <w:szCs w:val="10"/>
        </w:rPr>
        <w:t xml:space="preserve">SÚMULA Nº 50 </w:t>
      </w:r>
      <w:r>
        <w:rPr>
          <w:rFonts w:ascii="Arial" w:hAnsi="Arial" w:cs="Arial"/>
          <w:sz w:val="10"/>
          <w:szCs w:val="10"/>
        </w:rPr>
        <w:t>-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footnote>
  <w:footnote w:id="4">
    <w:p w14:paraId="07CA4B40">
      <w:pPr>
        <w:pStyle w:val="14"/>
        <w:jc w:val="both"/>
        <w:rPr>
          <w:sz w:val="12"/>
          <w:szCs w:val="12"/>
        </w:rPr>
      </w:pPr>
      <w:r>
        <w:rPr>
          <w:rStyle w:val="5"/>
          <w:sz w:val="12"/>
          <w:szCs w:val="12"/>
        </w:rPr>
        <w:footnoteRef/>
      </w:r>
      <w:r>
        <w:rPr>
          <w:sz w:val="12"/>
          <w:szCs w:val="12"/>
        </w:rPr>
        <w:t xml:space="preserve"> </w:t>
      </w:r>
      <w:r>
        <w:rPr>
          <w:rFonts w:ascii="Arial" w:hAnsi="Arial" w:cs="Arial"/>
          <w:sz w:val="12"/>
          <w:szCs w:val="12"/>
        </w:rPr>
        <w:t>Súmula nº 10: O preço final do produto ofertado pelos proponentes deve incluir os tributos e demais encargos a serem suportados pelo ofertante.</w:t>
      </w:r>
    </w:p>
  </w:footnote>
  <w:footnote w:id="5">
    <w:p w14:paraId="0333FB5E">
      <w:pPr>
        <w:pStyle w:val="14"/>
        <w:jc w:val="both"/>
        <w:rPr>
          <w:sz w:val="12"/>
          <w:szCs w:val="12"/>
        </w:rPr>
      </w:pPr>
      <w:r>
        <w:rPr>
          <w:rStyle w:val="5"/>
          <w:sz w:val="12"/>
          <w:szCs w:val="12"/>
        </w:rPr>
        <w:footnoteRef/>
      </w:r>
      <w:r>
        <w:rPr>
          <w:sz w:val="12"/>
          <w:szCs w:val="12"/>
        </w:rPr>
        <w:t xml:space="preserve"> </w:t>
      </w:r>
      <w:r>
        <w:rPr>
          <w:rFonts w:ascii="Arial" w:hAnsi="Arial" w:cs="Arial"/>
          <w:sz w:val="12"/>
          <w:szCs w:val="12"/>
        </w:rPr>
        <w:t>Súmula nº 10: O preço final do produto ofertado pelos proponentes deve incluir os tributos e demais encargos a serem suportados pelo ofertante.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27873"/>
    <w:multiLevelType w:val="multilevel"/>
    <w:tmpl w:val="1BD278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39241C3"/>
    <w:multiLevelType w:val="multilevel"/>
    <w:tmpl w:val="239241C3"/>
    <w:lvl w:ilvl="0" w:tentative="0">
      <w:start w:val="1"/>
      <w:numFmt w:val="bullet"/>
      <w:lvlText w:val=""/>
      <w:lvlJc w:val="left"/>
      <w:pPr>
        <w:ind w:left="778" w:hanging="360"/>
      </w:pPr>
      <w:rPr>
        <w:rFonts w:hint="default" w:ascii="Symbol" w:hAnsi="Symbol"/>
      </w:rPr>
    </w:lvl>
    <w:lvl w:ilvl="1" w:tentative="0">
      <w:start w:val="1"/>
      <w:numFmt w:val="bullet"/>
      <w:lvlText w:val="o"/>
      <w:lvlJc w:val="left"/>
      <w:pPr>
        <w:ind w:left="1498" w:hanging="360"/>
      </w:pPr>
      <w:rPr>
        <w:rFonts w:hint="default" w:ascii="Courier New" w:hAnsi="Courier New" w:cs="Courier New"/>
      </w:rPr>
    </w:lvl>
    <w:lvl w:ilvl="2" w:tentative="0">
      <w:start w:val="1"/>
      <w:numFmt w:val="bullet"/>
      <w:lvlText w:val=""/>
      <w:lvlJc w:val="left"/>
      <w:pPr>
        <w:ind w:left="2218" w:hanging="360"/>
      </w:pPr>
      <w:rPr>
        <w:rFonts w:hint="default" w:ascii="Wingdings" w:hAnsi="Wingdings"/>
      </w:rPr>
    </w:lvl>
    <w:lvl w:ilvl="3" w:tentative="0">
      <w:start w:val="1"/>
      <w:numFmt w:val="bullet"/>
      <w:lvlText w:val=""/>
      <w:lvlJc w:val="left"/>
      <w:pPr>
        <w:ind w:left="2938" w:hanging="360"/>
      </w:pPr>
      <w:rPr>
        <w:rFonts w:hint="default" w:ascii="Symbol" w:hAnsi="Symbol"/>
      </w:rPr>
    </w:lvl>
    <w:lvl w:ilvl="4" w:tentative="0">
      <w:start w:val="1"/>
      <w:numFmt w:val="bullet"/>
      <w:lvlText w:val="o"/>
      <w:lvlJc w:val="left"/>
      <w:pPr>
        <w:ind w:left="3658" w:hanging="360"/>
      </w:pPr>
      <w:rPr>
        <w:rFonts w:hint="default" w:ascii="Courier New" w:hAnsi="Courier New" w:cs="Courier New"/>
      </w:rPr>
    </w:lvl>
    <w:lvl w:ilvl="5" w:tentative="0">
      <w:start w:val="1"/>
      <w:numFmt w:val="bullet"/>
      <w:lvlText w:val=""/>
      <w:lvlJc w:val="left"/>
      <w:pPr>
        <w:ind w:left="4378" w:hanging="360"/>
      </w:pPr>
      <w:rPr>
        <w:rFonts w:hint="default" w:ascii="Wingdings" w:hAnsi="Wingdings"/>
      </w:rPr>
    </w:lvl>
    <w:lvl w:ilvl="6" w:tentative="0">
      <w:start w:val="1"/>
      <w:numFmt w:val="bullet"/>
      <w:lvlText w:val=""/>
      <w:lvlJc w:val="left"/>
      <w:pPr>
        <w:ind w:left="5098" w:hanging="360"/>
      </w:pPr>
      <w:rPr>
        <w:rFonts w:hint="default" w:ascii="Symbol" w:hAnsi="Symbol"/>
      </w:rPr>
    </w:lvl>
    <w:lvl w:ilvl="7" w:tentative="0">
      <w:start w:val="1"/>
      <w:numFmt w:val="bullet"/>
      <w:lvlText w:val="o"/>
      <w:lvlJc w:val="left"/>
      <w:pPr>
        <w:ind w:left="5818" w:hanging="360"/>
      </w:pPr>
      <w:rPr>
        <w:rFonts w:hint="default" w:ascii="Courier New" w:hAnsi="Courier New" w:cs="Courier New"/>
      </w:rPr>
    </w:lvl>
    <w:lvl w:ilvl="8" w:tentative="0">
      <w:start w:val="1"/>
      <w:numFmt w:val="bullet"/>
      <w:lvlText w:val=""/>
      <w:lvlJc w:val="left"/>
      <w:pPr>
        <w:ind w:left="6538" w:hanging="360"/>
      </w:pPr>
      <w:rPr>
        <w:rFonts w:hint="default" w:ascii="Wingdings" w:hAnsi="Wingdings"/>
      </w:rPr>
    </w:lvl>
  </w:abstractNum>
  <w:abstractNum w:abstractNumId="2">
    <w:nsid w:val="35FD70E6"/>
    <w:multiLevelType w:val="multilevel"/>
    <w:tmpl w:val="35FD70E6"/>
    <w:lvl w:ilvl="0" w:tentative="0">
      <w:start w:val="1"/>
      <w:numFmt w:val="decimal"/>
      <w:lvlText w:val="%1"/>
      <w:lvlJc w:val="left"/>
      <w:pPr>
        <w:ind w:left="360" w:hanging="360"/>
      </w:pPr>
      <w:rPr>
        <w:rFonts w:hint="default"/>
        <w:b w:val="0"/>
        <w:color w:val="auto"/>
        <w:u w:val="none"/>
      </w:rPr>
    </w:lvl>
    <w:lvl w:ilvl="1" w:tentative="0">
      <w:start w:val="1"/>
      <w:numFmt w:val="decimal"/>
      <w:lvlText w:val="%1.%2"/>
      <w:lvlJc w:val="left"/>
      <w:pPr>
        <w:ind w:left="360" w:hanging="360"/>
      </w:pPr>
      <w:rPr>
        <w:rFonts w:hint="default"/>
        <w:b w:val="0"/>
        <w:color w:val="auto"/>
        <w:u w:val="none"/>
      </w:rPr>
    </w:lvl>
    <w:lvl w:ilvl="2" w:tentative="0">
      <w:start w:val="1"/>
      <w:numFmt w:val="decimal"/>
      <w:lvlText w:val="%1.%2.%3"/>
      <w:lvlJc w:val="left"/>
      <w:pPr>
        <w:ind w:left="360" w:hanging="360"/>
      </w:pPr>
      <w:rPr>
        <w:rFonts w:hint="default"/>
        <w:b w:val="0"/>
        <w:color w:val="auto"/>
        <w:u w:val="none"/>
      </w:rPr>
    </w:lvl>
    <w:lvl w:ilvl="3" w:tentative="0">
      <w:start w:val="1"/>
      <w:numFmt w:val="decimal"/>
      <w:lvlText w:val="%1.%2.%3.%4"/>
      <w:lvlJc w:val="left"/>
      <w:pPr>
        <w:ind w:left="720" w:hanging="720"/>
      </w:pPr>
      <w:rPr>
        <w:rFonts w:hint="default"/>
        <w:b w:val="0"/>
        <w:color w:val="auto"/>
        <w:u w:val="none"/>
      </w:rPr>
    </w:lvl>
    <w:lvl w:ilvl="4" w:tentative="0">
      <w:start w:val="1"/>
      <w:numFmt w:val="decimal"/>
      <w:lvlText w:val="%1.%2.%3.%4.%5"/>
      <w:lvlJc w:val="left"/>
      <w:pPr>
        <w:ind w:left="720" w:hanging="720"/>
      </w:pPr>
      <w:rPr>
        <w:rFonts w:hint="default"/>
        <w:b w:val="0"/>
        <w:color w:val="auto"/>
        <w:u w:val="none"/>
      </w:rPr>
    </w:lvl>
    <w:lvl w:ilvl="5" w:tentative="0">
      <w:start w:val="1"/>
      <w:numFmt w:val="decimal"/>
      <w:lvlText w:val="%1.%2.%3.%4.%5.%6"/>
      <w:lvlJc w:val="left"/>
      <w:pPr>
        <w:ind w:left="1080" w:hanging="1080"/>
      </w:pPr>
      <w:rPr>
        <w:rFonts w:hint="default"/>
        <w:b w:val="0"/>
        <w:color w:val="auto"/>
        <w:u w:val="none"/>
      </w:rPr>
    </w:lvl>
    <w:lvl w:ilvl="6" w:tentative="0">
      <w:start w:val="1"/>
      <w:numFmt w:val="decimal"/>
      <w:lvlText w:val="%1.%2.%3.%4.%5.%6.%7"/>
      <w:lvlJc w:val="left"/>
      <w:pPr>
        <w:ind w:left="1080" w:hanging="1080"/>
      </w:pPr>
      <w:rPr>
        <w:rFonts w:hint="default"/>
        <w:b w:val="0"/>
        <w:color w:val="auto"/>
        <w:u w:val="none"/>
      </w:rPr>
    </w:lvl>
    <w:lvl w:ilvl="7" w:tentative="0">
      <w:start w:val="1"/>
      <w:numFmt w:val="decimal"/>
      <w:lvlText w:val="%1.%2.%3.%4.%5.%6.%7.%8"/>
      <w:lvlJc w:val="left"/>
      <w:pPr>
        <w:ind w:left="1080" w:hanging="1080"/>
      </w:pPr>
      <w:rPr>
        <w:rFonts w:hint="default"/>
        <w:b w:val="0"/>
        <w:color w:val="auto"/>
        <w:u w:val="none"/>
      </w:rPr>
    </w:lvl>
    <w:lvl w:ilvl="8" w:tentative="0">
      <w:start w:val="1"/>
      <w:numFmt w:val="decimal"/>
      <w:lvlText w:val="%1.%2.%3.%4.%5.%6.%7.%8.%9"/>
      <w:lvlJc w:val="left"/>
      <w:pPr>
        <w:ind w:left="1440" w:hanging="1440"/>
      </w:pPr>
      <w:rPr>
        <w:rFonts w:hint="default"/>
        <w:b w:val="0"/>
        <w:color w:val="auto"/>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12"/>
    <w:footnote w:id="1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8"/>
    <w:rsid w:val="000117C7"/>
    <w:rsid w:val="00012AA7"/>
    <w:rsid w:val="000147AA"/>
    <w:rsid w:val="000201EB"/>
    <w:rsid w:val="00020945"/>
    <w:rsid w:val="00032735"/>
    <w:rsid w:val="00033002"/>
    <w:rsid w:val="00033BB8"/>
    <w:rsid w:val="000425CC"/>
    <w:rsid w:val="000463BE"/>
    <w:rsid w:val="000553B6"/>
    <w:rsid w:val="00057486"/>
    <w:rsid w:val="00057DE6"/>
    <w:rsid w:val="00070469"/>
    <w:rsid w:val="0007094C"/>
    <w:rsid w:val="0007316C"/>
    <w:rsid w:val="00073FE3"/>
    <w:rsid w:val="000745E6"/>
    <w:rsid w:val="0007505B"/>
    <w:rsid w:val="00075378"/>
    <w:rsid w:val="00086BF5"/>
    <w:rsid w:val="000877B3"/>
    <w:rsid w:val="00094478"/>
    <w:rsid w:val="000967C1"/>
    <w:rsid w:val="000A397E"/>
    <w:rsid w:val="000A416C"/>
    <w:rsid w:val="000A7263"/>
    <w:rsid w:val="000A7C0D"/>
    <w:rsid w:val="000B0BDE"/>
    <w:rsid w:val="000C6C91"/>
    <w:rsid w:val="000D172B"/>
    <w:rsid w:val="000D5C3E"/>
    <w:rsid w:val="000D6FD7"/>
    <w:rsid w:val="000E32BE"/>
    <w:rsid w:val="000E4F61"/>
    <w:rsid w:val="00100202"/>
    <w:rsid w:val="001012D9"/>
    <w:rsid w:val="00107383"/>
    <w:rsid w:val="0011679D"/>
    <w:rsid w:val="001205E2"/>
    <w:rsid w:val="00133661"/>
    <w:rsid w:val="0013473B"/>
    <w:rsid w:val="00140D99"/>
    <w:rsid w:val="00141A87"/>
    <w:rsid w:val="001425F4"/>
    <w:rsid w:val="0014405F"/>
    <w:rsid w:val="00150D75"/>
    <w:rsid w:val="0016108E"/>
    <w:rsid w:val="00164877"/>
    <w:rsid w:val="001738CA"/>
    <w:rsid w:val="00187141"/>
    <w:rsid w:val="00187426"/>
    <w:rsid w:val="0018758B"/>
    <w:rsid w:val="00187BC2"/>
    <w:rsid w:val="001B12A2"/>
    <w:rsid w:val="001B1F62"/>
    <w:rsid w:val="001C0D9D"/>
    <w:rsid w:val="001C4FF0"/>
    <w:rsid w:val="001C52AE"/>
    <w:rsid w:val="001C54FB"/>
    <w:rsid w:val="001D3564"/>
    <w:rsid w:val="001D541E"/>
    <w:rsid w:val="001D6605"/>
    <w:rsid w:val="001E7847"/>
    <w:rsid w:val="001F0931"/>
    <w:rsid w:val="00205B92"/>
    <w:rsid w:val="00210EA4"/>
    <w:rsid w:val="00212D1D"/>
    <w:rsid w:val="00216CFD"/>
    <w:rsid w:val="0022173E"/>
    <w:rsid w:val="00222C31"/>
    <w:rsid w:val="002411DC"/>
    <w:rsid w:val="00254D55"/>
    <w:rsid w:val="00254D8B"/>
    <w:rsid w:val="00264069"/>
    <w:rsid w:val="00264D53"/>
    <w:rsid w:val="002679BD"/>
    <w:rsid w:val="00274481"/>
    <w:rsid w:val="00274605"/>
    <w:rsid w:val="00274F76"/>
    <w:rsid w:val="00285460"/>
    <w:rsid w:val="00285C7C"/>
    <w:rsid w:val="00295765"/>
    <w:rsid w:val="0029672F"/>
    <w:rsid w:val="002A4810"/>
    <w:rsid w:val="002B2504"/>
    <w:rsid w:val="002B2E98"/>
    <w:rsid w:val="002B3880"/>
    <w:rsid w:val="002B38FD"/>
    <w:rsid w:val="002B4A89"/>
    <w:rsid w:val="002C03C5"/>
    <w:rsid w:val="002C0BFE"/>
    <w:rsid w:val="002C1905"/>
    <w:rsid w:val="002C6EEB"/>
    <w:rsid w:val="002D1EC9"/>
    <w:rsid w:val="002D346D"/>
    <w:rsid w:val="002D51A7"/>
    <w:rsid w:val="002D76E7"/>
    <w:rsid w:val="002E456F"/>
    <w:rsid w:val="002E6E72"/>
    <w:rsid w:val="002F01C3"/>
    <w:rsid w:val="003040F3"/>
    <w:rsid w:val="003172CD"/>
    <w:rsid w:val="00321404"/>
    <w:rsid w:val="00330EAD"/>
    <w:rsid w:val="003345BD"/>
    <w:rsid w:val="003415F4"/>
    <w:rsid w:val="003428D0"/>
    <w:rsid w:val="00353538"/>
    <w:rsid w:val="003627C7"/>
    <w:rsid w:val="00363401"/>
    <w:rsid w:val="00366BCA"/>
    <w:rsid w:val="00393F5A"/>
    <w:rsid w:val="00394E65"/>
    <w:rsid w:val="003A4129"/>
    <w:rsid w:val="003A5AE5"/>
    <w:rsid w:val="003A776B"/>
    <w:rsid w:val="003B54A0"/>
    <w:rsid w:val="003C44E4"/>
    <w:rsid w:val="003D0B36"/>
    <w:rsid w:val="003D7778"/>
    <w:rsid w:val="003E0B96"/>
    <w:rsid w:val="003E63A1"/>
    <w:rsid w:val="003E6A3C"/>
    <w:rsid w:val="003F4565"/>
    <w:rsid w:val="004006AB"/>
    <w:rsid w:val="00405B41"/>
    <w:rsid w:val="00405D80"/>
    <w:rsid w:val="00407C20"/>
    <w:rsid w:val="00410C10"/>
    <w:rsid w:val="00411408"/>
    <w:rsid w:val="00412CEB"/>
    <w:rsid w:val="004133C2"/>
    <w:rsid w:val="0041741F"/>
    <w:rsid w:val="0042105B"/>
    <w:rsid w:val="004262A0"/>
    <w:rsid w:val="00426CBD"/>
    <w:rsid w:val="00430777"/>
    <w:rsid w:val="00437B66"/>
    <w:rsid w:val="00444EFE"/>
    <w:rsid w:val="00451901"/>
    <w:rsid w:val="004529E1"/>
    <w:rsid w:val="00453AA0"/>
    <w:rsid w:val="0045466C"/>
    <w:rsid w:val="004567F8"/>
    <w:rsid w:val="00463D03"/>
    <w:rsid w:val="004642BB"/>
    <w:rsid w:val="00467106"/>
    <w:rsid w:val="00472D6B"/>
    <w:rsid w:val="00475DCC"/>
    <w:rsid w:val="0047663A"/>
    <w:rsid w:val="004805EF"/>
    <w:rsid w:val="004806C3"/>
    <w:rsid w:val="004813FA"/>
    <w:rsid w:val="004879B8"/>
    <w:rsid w:val="00494824"/>
    <w:rsid w:val="00496DFB"/>
    <w:rsid w:val="004A2A4E"/>
    <w:rsid w:val="004A31AC"/>
    <w:rsid w:val="004A6686"/>
    <w:rsid w:val="004B29D2"/>
    <w:rsid w:val="004B4697"/>
    <w:rsid w:val="004C46EE"/>
    <w:rsid w:val="004D2517"/>
    <w:rsid w:val="004D6002"/>
    <w:rsid w:val="004E22C5"/>
    <w:rsid w:val="004E7BC2"/>
    <w:rsid w:val="004F5D29"/>
    <w:rsid w:val="00502D79"/>
    <w:rsid w:val="0050628B"/>
    <w:rsid w:val="005114F7"/>
    <w:rsid w:val="005138B5"/>
    <w:rsid w:val="00513E59"/>
    <w:rsid w:val="00516E8F"/>
    <w:rsid w:val="005209DA"/>
    <w:rsid w:val="0052548C"/>
    <w:rsid w:val="00530327"/>
    <w:rsid w:val="00532A52"/>
    <w:rsid w:val="00532D9E"/>
    <w:rsid w:val="00534E66"/>
    <w:rsid w:val="005401BA"/>
    <w:rsid w:val="00540488"/>
    <w:rsid w:val="005409D6"/>
    <w:rsid w:val="00542813"/>
    <w:rsid w:val="00547031"/>
    <w:rsid w:val="00547778"/>
    <w:rsid w:val="00550966"/>
    <w:rsid w:val="00552E3C"/>
    <w:rsid w:val="00555102"/>
    <w:rsid w:val="00563EF7"/>
    <w:rsid w:val="00574903"/>
    <w:rsid w:val="00585155"/>
    <w:rsid w:val="0058690C"/>
    <w:rsid w:val="00587BCF"/>
    <w:rsid w:val="005914D2"/>
    <w:rsid w:val="005A271C"/>
    <w:rsid w:val="005A2C6D"/>
    <w:rsid w:val="005A5C4C"/>
    <w:rsid w:val="005A6826"/>
    <w:rsid w:val="005A7821"/>
    <w:rsid w:val="005B0CC4"/>
    <w:rsid w:val="005B37E8"/>
    <w:rsid w:val="005C05A3"/>
    <w:rsid w:val="005D0049"/>
    <w:rsid w:val="005E055A"/>
    <w:rsid w:val="005E16FE"/>
    <w:rsid w:val="005E312A"/>
    <w:rsid w:val="005E3749"/>
    <w:rsid w:val="005E4DE8"/>
    <w:rsid w:val="005E6610"/>
    <w:rsid w:val="005F0F24"/>
    <w:rsid w:val="00601DE8"/>
    <w:rsid w:val="00626328"/>
    <w:rsid w:val="00630A68"/>
    <w:rsid w:val="0063210F"/>
    <w:rsid w:val="006442A5"/>
    <w:rsid w:val="006451BC"/>
    <w:rsid w:val="00651233"/>
    <w:rsid w:val="00665424"/>
    <w:rsid w:val="00670D8D"/>
    <w:rsid w:val="00670E18"/>
    <w:rsid w:val="00674288"/>
    <w:rsid w:val="006755A1"/>
    <w:rsid w:val="006817DB"/>
    <w:rsid w:val="0068471D"/>
    <w:rsid w:val="006913DF"/>
    <w:rsid w:val="00694B1A"/>
    <w:rsid w:val="006A7295"/>
    <w:rsid w:val="006B515F"/>
    <w:rsid w:val="006C5AA9"/>
    <w:rsid w:val="006C7767"/>
    <w:rsid w:val="006D02D5"/>
    <w:rsid w:val="006D348B"/>
    <w:rsid w:val="006D34FB"/>
    <w:rsid w:val="006E0842"/>
    <w:rsid w:val="006E1522"/>
    <w:rsid w:val="006E5995"/>
    <w:rsid w:val="006F3042"/>
    <w:rsid w:val="006F5942"/>
    <w:rsid w:val="007000B8"/>
    <w:rsid w:val="00700A51"/>
    <w:rsid w:val="00700BE8"/>
    <w:rsid w:val="00706F9A"/>
    <w:rsid w:val="007133D4"/>
    <w:rsid w:val="00714A93"/>
    <w:rsid w:val="00715494"/>
    <w:rsid w:val="00732869"/>
    <w:rsid w:val="00736AB6"/>
    <w:rsid w:val="00743D5B"/>
    <w:rsid w:val="0074689B"/>
    <w:rsid w:val="00747210"/>
    <w:rsid w:val="00747524"/>
    <w:rsid w:val="00747813"/>
    <w:rsid w:val="007508A3"/>
    <w:rsid w:val="00752B47"/>
    <w:rsid w:val="00753E49"/>
    <w:rsid w:val="007566AE"/>
    <w:rsid w:val="00757ABE"/>
    <w:rsid w:val="0076246A"/>
    <w:rsid w:val="00763E3D"/>
    <w:rsid w:val="00763F66"/>
    <w:rsid w:val="00777C48"/>
    <w:rsid w:val="0078069D"/>
    <w:rsid w:val="00784CE8"/>
    <w:rsid w:val="00797556"/>
    <w:rsid w:val="007A1472"/>
    <w:rsid w:val="007A3587"/>
    <w:rsid w:val="007A559E"/>
    <w:rsid w:val="007B0064"/>
    <w:rsid w:val="007C7631"/>
    <w:rsid w:val="007C7F98"/>
    <w:rsid w:val="007D393E"/>
    <w:rsid w:val="007D4A67"/>
    <w:rsid w:val="007D527F"/>
    <w:rsid w:val="007E27B6"/>
    <w:rsid w:val="007E2C39"/>
    <w:rsid w:val="007E6E0C"/>
    <w:rsid w:val="007F0A32"/>
    <w:rsid w:val="007F7769"/>
    <w:rsid w:val="007F7E7D"/>
    <w:rsid w:val="00801644"/>
    <w:rsid w:val="008035C0"/>
    <w:rsid w:val="008158D5"/>
    <w:rsid w:val="00816042"/>
    <w:rsid w:val="0082274A"/>
    <w:rsid w:val="00830DCE"/>
    <w:rsid w:val="008316AB"/>
    <w:rsid w:val="0083200F"/>
    <w:rsid w:val="008352C1"/>
    <w:rsid w:val="00836DAA"/>
    <w:rsid w:val="00851EDF"/>
    <w:rsid w:val="00871FCC"/>
    <w:rsid w:val="00884426"/>
    <w:rsid w:val="0089754F"/>
    <w:rsid w:val="008A3B3D"/>
    <w:rsid w:val="008B12E0"/>
    <w:rsid w:val="008C3E2B"/>
    <w:rsid w:val="008C451F"/>
    <w:rsid w:val="008C619B"/>
    <w:rsid w:val="008E00C3"/>
    <w:rsid w:val="008E10DC"/>
    <w:rsid w:val="008E6027"/>
    <w:rsid w:val="008F44E9"/>
    <w:rsid w:val="008F552D"/>
    <w:rsid w:val="008F63EA"/>
    <w:rsid w:val="00903BA5"/>
    <w:rsid w:val="00905C5D"/>
    <w:rsid w:val="00913439"/>
    <w:rsid w:val="00920A70"/>
    <w:rsid w:val="00921A27"/>
    <w:rsid w:val="009222A2"/>
    <w:rsid w:val="00925776"/>
    <w:rsid w:val="00930757"/>
    <w:rsid w:val="0093258F"/>
    <w:rsid w:val="00952E47"/>
    <w:rsid w:val="00956648"/>
    <w:rsid w:val="00960245"/>
    <w:rsid w:val="0096784C"/>
    <w:rsid w:val="00971FD7"/>
    <w:rsid w:val="009723EB"/>
    <w:rsid w:val="00974020"/>
    <w:rsid w:val="009760C2"/>
    <w:rsid w:val="00980ADF"/>
    <w:rsid w:val="00983756"/>
    <w:rsid w:val="0098694B"/>
    <w:rsid w:val="009A22A3"/>
    <w:rsid w:val="009A2AF9"/>
    <w:rsid w:val="009A2F26"/>
    <w:rsid w:val="009A2F57"/>
    <w:rsid w:val="009A5CD0"/>
    <w:rsid w:val="009A6216"/>
    <w:rsid w:val="009A68E9"/>
    <w:rsid w:val="009B2073"/>
    <w:rsid w:val="009B728A"/>
    <w:rsid w:val="009C1107"/>
    <w:rsid w:val="009C1231"/>
    <w:rsid w:val="009C2E25"/>
    <w:rsid w:val="009C323D"/>
    <w:rsid w:val="009C3779"/>
    <w:rsid w:val="009C75E9"/>
    <w:rsid w:val="009D1757"/>
    <w:rsid w:val="009D222E"/>
    <w:rsid w:val="009D798F"/>
    <w:rsid w:val="009D7E66"/>
    <w:rsid w:val="009E0EAE"/>
    <w:rsid w:val="009E3082"/>
    <w:rsid w:val="009E5FA8"/>
    <w:rsid w:val="00A01636"/>
    <w:rsid w:val="00A025E9"/>
    <w:rsid w:val="00A02C1C"/>
    <w:rsid w:val="00A0416E"/>
    <w:rsid w:val="00A07FBB"/>
    <w:rsid w:val="00A15681"/>
    <w:rsid w:val="00A15F2A"/>
    <w:rsid w:val="00A1699C"/>
    <w:rsid w:val="00A21517"/>
    <w:rsid w:val="00A21E1B"/>
    <w:rsid w:val="00A25836"/>
    <w:rsid w:val="00A270A3"/>
    <w:rsid w:val="00A2777E"/>
    <w:rsid w:val="00A43E69"/>
    <w:rsid w:val="00A4404F"/>
    <w:rsid w:val="00A47058"/>
    <w:rsid w:val="00A51448"/>
    <w:rsid w:val="00A611E5"/>
    <w:rsid w:val="00A66496"/>
    <w:rsid w:val="00A67052"/>
    <w:rsid w:val="00A72DC9"/>
    <w:rsid w:val="00A83183"/>
    <w:rsid w:val="00A83DC6"/>
    <w:rsid w:val="00A871F5"/>
    <w:rsid w:val="00A95D94"/>
    <w:rsid w:val="00AA08C0"/>
    <w:rsid w:val="00AB112E"/>
    <w:rsid w:val="00AC17C2"/>
    <w:rsid w:val="00AC2D13"/>
    <w:rsid w:val="00AD0DFB"/>
    <w:rsid w:val="00AD3595"/>
    <w:rsid w:val="00AE05CA"/>
    <w:rsid w:val="00AE6BA3"/>
    <w:rsid w:val="00AE7CC4"/>
    <w:rsid w:val="00AF05FA"/>
    <w:rsid w:val="00AF5E02"/>
    <w:rsid w:val="00AF60B8"/>
    <w:rsid w:val="00B016DC"/>
    <w:rsid w:val="00B0276F"/>
    <w:rsid w:val="00B03772"/>
    <w:rsid w:val="00B04E6F"/>
    <w:rsid w:val="00B1395E"/>
    <w:rsid w:val="00B14679"/>
    <w:rsid w:val="00B23001"/>
    <w:rsid w:val="00B23424"/>
    <w:rsid w:val="00B30D44"/>
    <w:rsid w:val="00B318FC"/>
    <w:rsid w:val="00B32030"/>
    <w:rsid w:val="00B34942"/>
    <w:rsid w:val="00B37497"/>
    <w:rsid w:val="00B4125A"/>
    <w:rsid w:val="00B43C89"/>
    <w:rsid w:val="00B44174"/>
    <w:rsid w:val="00B54292"/>
    <w:rsid w:val="00B6218E"/>
    <w:rsid w:val="00B83EB9"/>
    <w:rsid w:val="00B8452A"/>
    <w:rsid w:val="00B906F3"/>
    <w:rsid w:val="00B9582F"/>
    <w:rsid w:val="00BA39C8"/>
    <w:rsid w:val="00BA7FE9"/>
    <w:rsid w:val="00BC77F7"/>
    <w:rsid w:val="00BD2C66"/>
    <w:rsid w:val="00BD71A8"/>
    <w:rsid w:val="00BF551D"/>
    <w:rsid w:val="00BF7794"/>
    <w:rsid w:val="00C00C5D"/>
    <w:rsid w:val="00C046C5"/>
    <w:rsid w:val="00C10CF4"/>
    <w:rsid w:val="00C149D8"/>
    <w:rsid w:val="00C1519F"/>
    <w:rsid w:val="00C21E29"/>
    <w:rsid w:val="00C24A84"/>
    <w:rsid w:val="00C250AE"/>
    <w:rsid w:val="00C25CC3"/>
    <w:rsid w:val="00C331BB"/>
    <w:rsid w:val="00C3349B"/>
    <w:rsid w:val="00C525C0"/>
    <w:rsid w:val="00C55B01"/>
    <w:rsid w:val="00C732C8"/>
    <w:rsid w:val="00C812B3"/>
    <w:rsid w:val="00C83E51"/>
    <w:rsid w:val="00C84DB4"/>
    <w:rsid w:val="00C865F5"/>
    <w:rsid w:val="00C959C8"/>
    <w:rsid w:val="00CA07D2"/>
    <w:rsid w:val="00CA09CE"/>
    <w:rsid w:val="00CA15F6"/>
    <w:rsid w:val="00CA251E"/>
    <w:rsid w:val="00CA2950"/>
    <w:rsid w:val="00CA43BA"/>
    <w:rsid w:val="00CA7B1F"/>
    <w:rsid w:val="00CC1576"/>
    <w:rsid w:val="00CC3A70"/>
    <w:rsid w:val="00CC41F2"/>
    <w:rsid w:val="00CC4B05"/>
    <w:rsid w:val="00CC5599"/>
    <w:rsid w:val="00CC684C"/>
    <w:rsid w:val="00CC7013"/>
    <w:rsid w:val="00CD36CF"/>
    <w:rsid w:val="00CD466B"/>
    <w:rsid w:val="00CD4E2E"/>
    <w:rsid w:val="00CD5805"/>
    <w:rsid w:val="00CD61C8"/>
    <w:rsid w:val="00CE02D0"/>
    <w:rsid w:val="00CE6714"/>
    <w:rsid w:val="00CE7DCA"/>
    <w:rsid w:val="00CE7EFF"/>
    <w:rsid w:val="00CF0B12"/>
    <w:rsid w:val="00CF3F36"/>
    <w:rsid w:val="00CF4556"/>
    <w:rsid w:val="00CF6DE6"/>
    <w:rsid w:val="00D01908"/>
    <w:rsid w:val="00D03616"/>
    <w:rsid w:val="00D06343"/>
    <w:rsid w:val="00D11378"/>
    <w:rsid w:val="00D124F0"/>
    <w:rsid w:val="00D208FE"/>
    <w:rsid w:val="00D20F96"/>
    <w:rsid w:val="00D24159"/>
    <w:rsid w:val="00D32514"/>
    <w:rsid w:val="00D3330E"/>
    <w:rsid w:val="00D3682D"/>
    <w:rsid w:val="00D43BB7"/>
    <w:rsid w:val="00D469E7"/>
    <w:rsid w:val="00D47AC4"/>
    <w:rsid w:val="00D51CDE"/>
    <w:rsid w:val="00D571C9"/>
    <w:rsid w:val="00D70646"/>
    <w:rsid w:val="00D76AB3"/>
    <w:rsid w:val="00D8026A"/>
    <w:rsid w:val="00D81088"/>
    <w:rsid w:val="00D90136"/>
    <w:rsid w:val="00D939FB"/>
    <w:rsid w:val="00D93DBB"/>
    <w:rsid w:val="00D950C3"/>
    <w:rsid w:val="00D95C71"/>
    <w:rsid w:val="00D97C3B"/>
    <w:rsid w:val="00DA2C15"/>
    <w:rsid w:val="00DA326F"/>
    <w:rsid w:val="00DA3CDB"/>
    <w:rsid w:val="00DA5AE0"/>
    <w:rsid w:val="00DA7407"/>
    <w:rsid w:val="00DB6A1F"/>
    <w:rsid w:val="00DB768F"/>
    <w:rsid w:val="00DD4FDF"/>
    <w:rsid w:val="00DD53D5"/>
    <w:rsid w:val="00DE4BA1"/>
    <w:rsid w:val="00DE5FDF"/>
    <w:rsid w:val="00DF2EF3"/>
    <w:rsid w:val="00E0013B"/>
    <w:rsid w:val="00E073F7"/>
    <w:rsid w:val="00E1067D"/>
    <w:rsid w:val="00E132D3"/>
    <w:rsid w:val="00E225C2"/>
    <w:rsid w:val="00E267C9"/>
    <w:rsid w:val="00E3394F"/>
    <w:rsid w:val="00E35211"/>
    <w:rsid w:val="00E42D3A"/>
    <w:rsid w:val="00E4347C"/>
    <w:rsid w:val="00E43666"/>
    <w:rsid w:val="00E4455D"/>
    <w:rsid w:val="00E53BAF"/>
    <w:rsid w:val="00E54C27"/>
    <w:rsid w:val="00E54CB6"/>
    <w:rsid w:val="00E604F2"/>
    <w:rsid w:val="00E629A4"/>
    <w:rsid w:val="00E70E27"/>
    <w:rsid w:val="00E715F1"/>
    <w:rsid w:val="00E7288D"/>
    <w:rsid w:val="00E801EC"/>
    <w:rsid w:val="00E937F1"/>
    <w:rsid w:val="00E953E9"/>
    <w:rsid w:val="00EA11A3"/>
    <w:rsid w:val="00EA40B2"/>
    <w:rsid w:val="00EA66D5"/>
    <w:rsid w:val="00EB0A01"/>
    <w:rsid w:val="00EB0C04"/>
    <w:rsid w:val="00EB374A"/>
    <w:rsid w:val="00EB69C6"/>
    <w:rsid w:val="00EB7A15"/>
    <w:rsid w:val="00EC3DE7"/>
    <w:rsid w:val="00EC49AB"/>
    <w:rsid w:val="00ED198C"/>
    <w:rsid w:val="00ED5714"/>
    <w:rsid w:val="00EE11E5"/>
    <w:rsid w:val="00EF5749"/>
    <w:rsid w:val="00F017AD"/>
    <w:rsid w:val="00F04733"/>
    <w:rsid w:val="00F138FA"/>
    <w:rsid w:val="00F17E04"/>
    <w:rsid w:val="00F21754"/>
    <w:rsid w:val="00F27320"/>
    <w:rsid w:val="00F323A2"/>
    <w:rsid w:val="00F3243C"/>
    <w:rsid w:val="00F32B81"/>
    <w:rsid w:val="00F35CE1"/>
    <w:rsid w:val="00F45E3F"/>
    <w:rsid w:val="00F47104"/>
    <w:rsid w:val="00F47B70"/>
    <w:rsid w:val="00F51331"/>
    <w:rsid w:val="00F5581A"/>
    <w:rsid w:val="00F70D68"/>
    <w:rsid w:val="00F73266"/>
    <w:rsid w:val="00F732F9"/>
    <w:rsid w:val="00F75E0D"/>
    <w:rsid w:val="00F80376"/>
    <w:rsid w:val="00F8447D"/>
    <w:rsid w:val="00F91D2F"/>
    <w:rsid w:val="00F93631"/>
    <w:rsid w:val="00FA1284"/>
    <w:rsid w:val="00FA6945"/>
    <w:rsid w:val="00FB5D4B"/>
    <w:rsid w:val="00FB70AD"/>
    <w:rsid w:val="00FC3B9B"/>
    <w:rsid w:val="00FC5713"/>
    <w:rsid w:val="00FD0429"/>
    <w:rsid w:val="00FD264C"/>
    <w:rsid w:val="00FE25C8"/>
    <w:rsid w:val="00FE73B0"/>
    <w:rsid w:val="00FF0570"/>
    <w:rsid w:val="00FF756C"/>
    <w:rsid w:val="1DEE4D3A"/>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erdana" w:hAnsi="Verdana"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0" w:line="240" w:lineRule="auto"/>
    </w:pPr>
    <w:rPr>
      <w:rFonts w:ascii="Times New Roman" w:hAnsi="Times New Roman" w:eastAsia="Times New Roman" w:cs="Times New Roman"/>
      <w:color w:val="auto"/>
      <w:lang w:val="pt-B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character" w:styleId="5">
    <w:name w:val="footnote reference"/>
    <w:semiHidden/>
    <w:uiPriority w:val="0"/>
    <w:rPr>
      <w:vertAlign w:val="superscript"/>
    </w:rPr>
  </w:style>
  <w:style w:type="character" w:styleId="6">
    <w:name w:val="Hyperlink"/>
    <w:uiPriority w:val="99"/>
    <w:rPr>
      <w:color w:val="000080"/>
      <w:u w:val="single"/>
    </w:rPr>
  </w:style>
  <w:style w:type="paragraph" w:styleId="7">
    <w:name w:val="Body Text"/>
    <w:basedOn w:val="1"/>
    <w:link w:val="27"/>
    <w:qFormat/>
    <w:uiPriority w:val="0"/>
    <w:pPr>
      <w:widowControl w:val="0"/>
      <w:spacing w:after="120"/>
    </w:pPr>
    <w:rPr>
      <w:rFonts w:eastAsia="Lucida Sans Unicode"/>
      <w:sz w:val="24"/>
      <w:szCs w:val="24"/>
      <w:lang w:val="zh-CN" w:eastAsia="ar-SA"/>
    </w:rPr>
  </w:style>
  <w:style w:type="paragraph" w:styleId="8">
    <w:name w:val="Body Text Indent 2"/>
    <w:basedOn w:val="1"/>
    <w:link w:val="24"/>
    <w:uiPriority w:val="0"/>
    <w:pPr>
      <w:widowControl w:val="0"/>
      <w:spacing w:after="120" w:line="480" w:lineRule="auto"/>
      <w:ind w:left="283"/>
    </w:pPr>
    <w:rPr>
      <w:rFonts w:eastAsia="Lucida Sans Unicode"/>
      <w:sz w:val="24"/>
      <w:szCs w:val="24"/>
      <w:lang w:val="zh-CN" w:eastAsia="ar-SA"/>
    </w:rPr>
  </w:style>
  <w:style w:type="paragraph" w:styleId="9">
    <w:name w:val="Normal (Web)"/>
    <w:basedOn w:val="1"/>
    <w:unhideWhenUsed/>
    <w:uiPriority w:val="99"/>
    <w:pPr>
      <w:suppressAutoHyphens w:val="0"/>
      <w:spacing w:before="100" w:beforeAutospacing="1" w:after="100" w:afterAutospacing="1"/>
    </w:pPr>
    <w:rPr>
      <w:sz w:val="24"/>
      <w:szCs w:val="24"/>
      <w:lang w:eastAsia="pt-BR"/>
    </w:rPr>
  </w:style>
  <w:style w:type="paragraph" w:styleId="10">
    <w:name w:val="Body Text 2"/>
    <w:basedOn w:val="1"/>
    <w:link w:val="32"/>
    <w:semiHidden/>
    <w:unhideWhenUsed/>
    <w:uiPriority w:val="99"/>
    <w:pPr>
      <w:spacing w:after="120" w:line="480" w:lineRule="auto"/>
    </w:pPr>
  </w:style>
  <w:style w:type="paragraph" w:styleId="11">
    <w:name w:val="header"/>
    <w:basedOn w:val="1"/>
    <w:link w:val="18"/>
    <w:unhideWhenUsed/>
    <w:qFormat/>
    <w:uiPriority w:val="99"/>
    <w:pPr>
      <w:tabs>
        <w:tab w:val="center" w:pos="4252"/>
        <w:tab w:val="right" w:pos="8504"/>
      </w:tabs>
    </w:pPr>
  </w:style>
  <w:style w:type="paragraph" w:styleId="12">
    <w:name w:val="footer"/>
    <w:basedOn w:val="1"/>
    <w:link w:val="19"/>
    <w:unhideWhenUsed/>
    <w:qFormat/>
    <w:uiPriority w:val="99"/>
    <w:pPr>
      <w:tabs>
        <w:tab w:val="center" w:pos="4252"/>
        <w:tab w:val="right" w:pos="8504"/>
      </w:tabs>
    </w:pPr>
  </w:style>
  <w:style w:type="paragraph" w:styleId="13">
    <w:name w:val="Balloon Text"/>
    <w:basedOn w:val="1"/>
    <w:link w:val="20"/>
    <w:semiHidden/>
    <w:unhideWhenUsed/>
    <w:qFormat/>
    <w:uiPriority w:val="99"/>
    <w:rPr>
      <w:rFonts w:ascii="Tahoma" w:hAnsi="Tahoma" w:cs="Tahoma"/>
      <w:sz w:val="16"/>
      <w:szCs w:val="16"/>
    </w:rPr>
  </w:style>
  <w:style w:type="paragraph" w:styleId="14">
    <w:name w:val="footnote text"/>
    <w:basedOn w:val="1"/>
    <w:link w:val="26"/>
    <w:semiHidden/>
    <w:uiPriority w:val="0"/>
    <w:rPr>
      <w:lang w:val="zh-CN" w:eastAsia="ar-SA"/>
    </w:rPr>
  </w:style>
  <w:style w:type="paragraph" w:styleId="15">
    <w:name w:val="Body Text Indent"/>
    <w:basedOn w:val="1"/>
    <w:link w:val="29"/>
    <w:unhideWhenUsed/>
    <w:uiPriority w:val="99"/>
    <w:pPr>
      <w:spacing w:after="120"/>
      <w:ind w:left="283"/>
    </w:pPr>
  </w:style>
  <w:style w:type="table" w:styleId="16">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7">
    <w:name w:val="List Paragraph"/>
    <w:basedOn w:val="1"/>
    <w:qFormat/>
    <w:uiPriority w:val="34"/>
    <w:pPr>
      <w:suppressAutoHyphens w:val="0"/>
      <w:spacing w:after="200" w:line="276" w:lineRule="auto"/>
      <w:ind w:left="720"/>
      <w:contextualSpacing/>
    </w:pPr>
    <w:rPr>
      <w:rFonts w:ascii="Calibri" w:hAnsi="Calibri"/>
      <w:sz w:val="22"/>
      <w:szCs w:val="22"/>
      <w:lang w:eastAsia="pt-BR"/>
    </w:rPr>
  </w:style>
  <w:style w:type="character" w:customStyle="1" w:styleId="18">
    <w:name w:val="Cabeçalho Char"/>
    <w:basedOn w:val="2"/>
    <w:link w:val="11"/>
    <w:uiPriority w:val="99"/>
    <w:rPr>
      <w:rFonts w:ascii="Times New Roman" w:hAnsi="Times New Roman" w:eastAsia="Times New Roman"/>
      <w:color w:val="auto"/>
    </w:rPr>
  </w:style>
  <w:style w:type="character" w:customStyle="1" w:styleId="19">
    <w:name w:val="Rodapé Char"/>
    <w:basedOn w:val="2"/>
    <w:link w:val="12"/>
    <w:qFormat/>
    <w:uiPriority w:val="99"/>
    <w:rPr>
      <w:rFonts w:ascii="Times New Roman" w:hAnsi="Times New Roman" w:eastAsia="Times New Roman"/>
      <w:color w:val="auto"/>
    </w:rPr>
  </w:style>
  <w:style w:type="character" w:customStyle="1" w:styleId="20">
    <w:name w:val="Texto de balão Char"/>
    <w:basedOn w:val="2"/>
    <w:link w:val="13"/>
    <w:semiHidden/>
    <w:uiPriority w:val="99"/>
    <w:rPr>
      <w:rFonts w:ascii="Tahoma" w:hAnsi="Tahoma" w:eastAsia="Times New Roman" w:cs="Tahoma"/>
      <w:color w:val="auto"/>
      <w:sz w:val="16"/>
      <w:szCs w:val="16"/>
    </w:rPr>
  </w:style>
  <w:style w:type="character" w:customStyle="1" w:styleId="21">
    <w:name w:val="Corpo de texto Char"/>
    <w:basedOn w:val="2"/>
    <w:semiHidden/>
    <w:uiPriority w:val="99"/>
    <w:rPr>
      <w:rFonts w:ascii="Times New Roman" w:hAnsi="Times New Roman" w:eastAsia="Times New Roman"/>
      <w:color w:val="auto"/>
    </w:rPr>
  </w:style>
  <w:style w:type="paragraph" w:customStyle="1" w:styleId="22">
    <w:name w:val="legal"/>
    <w:basedOn w:val="1"/>
    <w:qFormat/>
    <w:uiPriority w:val="0"/>
    <w:pPr>
      <w:suppressAutoHyphens w:val="0"/>
      <w:spacing w:line="360" w:lineRule="atLeast"/>
      <w:jc w:val="both"/>
    </w:pPr>
    <w:rPr>
      <w:rFonts w:ascii="Arial" w:hAnsi="Arial"/>
      <w:sz w:val="22"/>
      <w:lang w:val="pt-PT" w:eastAsia="pt-BR"/>
    </w:rPr>
  </w:style>
  <w:style w:type="paragraph" w:customStyle="1" w:styleId="23">
    <w:name w:val="Texto padrão"/>
    <w:basedOn w:val="1"/>
    <w:uiPriority w:val="0"/>
    <w:pPr>
      <w:widowControl w:val="0"/>
      <w:suppressAutoHyphens w:val="0"/>
    </w:pPr>
    <w:rPr>
      <w:sz w:val="24"/>
      <w:lang w:val="en-US" w:eastAsia="pt-BR"/>
    </w:rPr>
  </w:style>
  <w:style w:type="character" w:customStyle="1" w:styleId="24">
    <w:name w:val="Recuo de corpo de texto 2 Char"/>
    <w:basedOn w:val="2"/>
    <w:link w:val="8"/>
    <w:qFormat/>
    <w:uiPriority w:val="0"/>
    <w:rPr>
      <w:rFonts w:ascii="Times New Roman" w:hAnsi="Times New Roman" w:eastAsia="Lucida Sans Unicode"/>
      <w:color w:val="auto"/>
      <w:sz w:val="24"/>
      <w:szCs w:val="24"/>
      <w:lang w:val="zh-CN" w:eastAsia="ar-SA"/>
    </w:rPr>
  </w:style>
  <w:style w:type="paragraph" w:customStyle="1" w:styleId="25">
    <w:name w:val="Default"/>
    <w:uiPriority w:val="0"/>
    <w:pPr>
      <w:autoSpaceDE w:val="0"/>
      <w:autoSpaceDN w:val="0"/>
      <w:adjustRightInd w:val="0"/>
      <w:spacing w:after="0" w:line="240" w:lineRule="auto"/>
    </w:pPr>
    <w:rPr>
      <w:rFonts w:ascii="Arial" w:hAnsi="Arial" w:eastAsia="Times New Roman" w:cs="Arial"/>
      <w:color w:val="000000"/>
      <w:sz w:val="24"/>
      <w:szCs w:val="24"/>
      <w:lang w:val="pt-BR" w:eastAsia="pt-BR" w:bidi="ar-SA"/>
    </w:rPr>
  </w:style>
  <w:style w:type="character" w:customStyle="1" w:styleId="26">
    <w:name w:val="Texto de nota de rodapé Char"/>
    <w:basedOn w:val="2"/>
    <w:link w:val="14"/>
    <w:semiHidden/>
    <w:uiPriority w:val="0"/>
    <w:rPr>
      <w:rFonts w:ascii="Times New Roman" w:hAnsi="Times New Roman" w:eastAsia="Times New Roman"/>
      <w:color w:val="auto"/>
      <w:lang w:val="zh-CN" w:eastAsia="ar-SA"/>
    </w:rPr>
  </w:style>
  <w:style w:type="character" w:customStyle="1" w:styleId="27">
    <w:name w:val="Corpo de texto Char1"/>
    <w:link w:val="7"/>
    <w:qFormat/>
    <w:uiPriority w:val="0"/>
    <w:rPr>
      <w:rFonts w:ascii="Times New Roman" w:hAnsi="Times New Roman" w:eastAsia="Lucida Sans Unicode"/>
      <w:color w:val="auto"/>
      <w:sz w:val="24"/>
      <w:szCs w:val="24"/>
      <w:lang w:val="zh-CN" w:eastAsia="ar-SA"/>
    </w:rPr>
  </w:style>
  <w:style w:type="paragraph" w:customStyle="1" w:styleId="28">
    <w:name w:val="WW-Corpo de texto 3"/>
    <w:basedOn w:val="1"/>
    <w:uiPriority w:val="0"/>
    <w:pPr>
      <w:spacing w:line="360" w:lineRule="auto"/>
      <w:jc w:val="both"/>
    </w:pPr>
    <w:rPr>
      <w:sz w:val="24"/>
      <w:lang w:eastAsia="ar-SA"/>
    </w:rPr>
  </w:style>
  <w:style w:type="character" w:customStyle="1" w:styleId="29">
    <w:name w:val="Recuo de corpo de texto Char"/>
    <w:basedOn w:val="2"/>
    <w:link w:val="15"/>
    <w:qFormat/>
    <w:uiPriority w:val="99"/>
    <w:rPr>
      <w:rFonts w:ascii="Times New Roman" w:hAnsi="Times New Roman" w:eastAsia="Times New Roman"/>
      <w:color w:val="auto"/>
    </w:rPr>
  </w:style>
  <w:style w:type="paragraph" w:customStyle="1" w:styleId="30">
    <w:name w:val="Paragraph Style"/>
    <w:qFormat/>
    <w:uiPriority w:val="0"/>
    <w:pPr>
      <w:autoSpaceDE w:val="0"/>
      <w:autoSpaceDN w:val="0"/>
      <w:adjustRightInd w:val="0"/>
      <w:spacing w:after="0" w:line="240" w:lineRule="auto"/>
    </w:pPr>
    <w:rPr>
      <w:rFonts w:ascii="Arial" w:hAnsi="Arial" w:cs="Arial" w:eastAsiaTheme="minorHAnsi"/>
      <w:color w:val="auto"/>
      <w:sz w:val="24"/>
      <w:szCs w:val="24"/>
      <w:lang w:val="zh-CN" w:eastAsia="en-US" w:bidi="ar-SA"/>
    </w:rPr>
  </w:style>
  <w:style w:type="paragraph" w:customStyle="1" w:styleId="31">
    <w:name w:val="Right"/>
    <w:qFormat/>
    <w:uiPriority w:val="99"/>
    <w:pPr>
      <w:autoSpaceDE w:val="0"/>
      <w:autoSpaceDN w:val="0"/>
      <w:adjustRightInd w:val="0"/>
      <w:spacing w:after="0" w:line="240" w:lineRule="auto"/>
      <w:jc w:val="right"/>
    </w:pPr>
    <w:rPr>
      <w:rFonts w:ascii="Arial" w:hAnsi="Arial" w:cs="Arial" w:eastAsiaTheme="minorHAnsi"/>
      <w:color w:val="auto"/>
      <w:sz w:val="24"/>
      <w:szCs w:val="24"/>
      <w:lang w:val="zh-CN" w:eastAsia="en-US" w:bidi="ar-SA"/>
    </w:rPr>
  </w:style>
  <w:style w:type="character" w:customStyle="1" w:styleId="32">
    <w:name w:val="Corpo de texto 2 Char"/>
    <w:basedOn w:val="2"/>
    <w:link w:val="10"/>
    <w:semiHidden/>
    <w:qFormat/>
    <w:uiPriority w:val="99"/>
    <w:rPr>
      <w:rFonts w:ascii="Times New Roman" w:hAnsi="Times New Roman" w:eastAsia="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AF4D8-D84D-415B-A14D-F7FF7F683980}">
  <ds:schemaRefs/>
</ds:datastoreItem>
</file>

<file path=docProps/app.xml><?xml version="1.0" encoding="utf-8"?>
<Properties xmlns="http://schemas.openxmlformats.org/officeDocument/2006/extended-properties" xmlns:vt="http://schemas.openxmlformats.org/officeDocument/2006/docPropsVTypes">
  <Template>Normal</Template>
  <Pages>42</Pages>
  <Words>9742</Words>
  <Characters>52610</Characters>
  <Lines>438</Lines>
  <Paragraphs>124</Paragraphs>
  <TotalTime>2</TotalTime>
  <ScaleCrop>false</ScaleCrop>
  <LinksUpToDate>false</LinksUpToDate>
  <CharactersWithSpaces>62228</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2025-06-12T15:59:00Z</dcterms:created>
  <dc:creator>User</dc:creator>
  <cp:lastModifiedBy>darllyson.henrique</cp:lastModifiedBy>
  <cp:lastPrinted>2020-04-22T11:37:00Z</cp:lastPrinted>
  <dcterms:modified xsi:type="dcterms:W3CDTF">2025-06-19T16:56:57Z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1046-12.2.0.21546</vt:lpwstr>
  </property>
  <property fmtid="{D5CDD505-2E9C-101B-9397-08002B2CF9AE}" pid="3" name="ICV">
    <vt:lpwstr>D56C684F8FD6469D85783311C8C9D8CD_13</vt:lpwstr>
  </property>
</Properties>
</file>