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 xml:space="preserve">90054/2025 </w:t>
      </w: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4373E75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sz w:val="22"/>
          <w:szCs w:val="22"/>
          <w:u w:val="single"/>
        </w:rPr>
        <w:t>MEDICAMENTOS</w:t>
      </w:r>
      <w:r>
        <w:rPr>
          <w:rFonts w:asciiTheme="minorHAnsi" w:hAnsiTheme="minorHAnsi" w:cstheme="minorHAnsi"/>
          <w:b/>
          <w:bCs/>
          <w:color w:val="405CA1"/>
          <w:sz w:val="22"/>
          <w:szCs w:val="22"/>
        </w:rPr>
        <w:t xml:space="preserve"> </w:t>
      </w: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1A28E2CB">
      <w:pPr>
        <w:spacing w:before="120" w:after="120" w:line="360" w:lineRule="auto"/>
        <w:ind w:left="142"/>
        <w:jc w:val="both"/>
        <w:rPr>
          <w:rFonts w:asciiTheme="minorHAnsi" w:hAnsiTheme="minorHAnsi" w:cstheme="minorHAnsi"/>
          <w:b/>
          <w:bCs/>
          <w:color w:val="405CA1"/>
          <w:sz w:val="22"/>
          <w:szCs w:val="22"/>
        </w:rPr>
      </w:pPr>
      <w:r>
        <w:rPr>
          <w:rFonts w:eastAsia="Times New Roman" w:asciiTheme="minorHAnsi" w:hAnsiTheme="minorHAnsi" w:cstheme="minorHAnsi"/>
          <w:b/>
          <w:bCs/>
          <w:sz w:val="22"/>
          <w:szCs w:val="22"/>
        </w:rPr>
        <w:t xml:space="preserve">R$ </w:t>
      </w:r>
      <w:r>
        <w:rPr>
          <w:rFonts w:eastAsia="Times New Roman" w:asciiTheme="minorHAnsi" w:hAnsiTheme="minorHAnsi" w:cstheme="minorHAnsi"/>
          <w:b/>
          <w:sz w:val="22"/>
          <w:szCs w:val="22"/>
        </w:rPr>
        <w:t xml:space="preserve">               4.</w:t>
      </w:r>
      <w:r>
        <w:rPr>
          <w:rFonts w:hint="default" w:eastAsia="Times New Roman" w:asciiTheme="minorHAnsi" w:hAnsiTheme="minorHAnsi" w:cstheme="minorHAnsi"/>
          <w:b/>
          <w:sz w:val="22"/>
          <w:szCs w:val="22"/>
          <w:lang w:val="pt-BR"/>
        </w:rPr>
        <w:t>566.936,25</w:t>
      </w:r>
      <w:r>
        <w:rPr>
          <w:rFonts w:eastAsia="Times New Roman" w:asciiTheme="minorHAnsi" w:hAnsiTheme="minorHAnsi" w:cstheme="minorHAnsi"/>
          <w:b/>
          <w:sz w:val="22"/>
          <w:szCs w:val="22"/>
        </w:rPr>
        <w:t xml:space="preserve">  </w:t>
      </w:r>
      <w:r>
        <w:rPr>
          <w:rFonts w:eastAsia="Times New Roman" w:asciiTheme="minorHAnsi" w:hAnsiTheme="minorHAnsi" w:cstheme="minorHAnsi"/>
          <w:b/>
          <w:bCs/>
          <w:sz w:val="22"/>
          <w:szCs w:val="22"/>
        </w:rPr>
        <w:t xml:space="preserve">(quatro </w:t>
      </w:r>
      <w:r>
        <w:rPr>
          <w:rFonts w:eastAsia="Times New Roman" w:asciiTheme="minorHAnsi" w:hAnsiTheme="minorHAnsi" w:cstheme="minorHAnsi"/>
          <w:b/>
          <w:bCs/>
          <w:sz w:val="22"/>
          <w:szCs w:val="22"/>
          <w:lang w:val="pt-BR"/>
        </w:rPr>
        <w:t>milhões</w:t>
      </w:r>
      <w:r>
        <w:rPr>
          <w:rFonts w:eastAsia="Times New Roman" w:asciiTheme="minorHAnsi" w:hAnsiTheme="minorHAnsi" w:cstheme="minorHAnsi"/>
          <w:b/>
          <w:bCs/>
          <w:sz w:val="22"/>
          <w:szCs w:val="22"/>
        </w:rPr>
        <w:t xml:space="preserve"> </w:t>
      </w:r>
      <w:r>
        <w:rPr>
          <w:rFonts w:hint="default" w:eastAsia="Times New Roman" w:asciiTheme="minorHAnsi" w:hAnsiTheme="minorHAnsi" w:cstheme="minorHAnsi"/>
          <w:b/>
          <w:bCs/>
          <w:sz w:val="22"/>
          <w:szCs w:val="22"/>
          <w:lang w:val="pt-BR"/>
        </w:rPr>
        <w:t xml:space="preserve">quinhentos e sessenta e seis </w:t>
      </w:r>
      <w:r>
        <w:rPr>
          <w:rFonts w:eastAsia="Times New Roman" w:asciiTheme="minorHAnsi" w:hAnsiTheme="minorHAnsi" w:cstheme="minorHAnsi"/>
          <w:b/>
          <w:bCs/>
          <w:sz w:val="22"/>
          <w:szCs w:val="22"/>
        </w:rPr>
        <w:t xml:space="preserve"> mil e novecentos e </w:t>
      </w:r>
      <w:r>
        <w:rPr>
          <w:rFonts w:hint="default" w:eastAsia="Times New Roman" w:asciiTheme="minorHAnsi" w:hAnsiTheme="minorHAnsi" w:cstheme="minorHAnsi"/>
          <w:b/>
          <w:bCs/>
          <w:sz w:val="22"/>
          <w:szCs w:val="22"/>
          <w:lang w:val="pt-BR"/>
        </w:rPr>
        <w:t xml:space="preserve">trinta e seis </w:t>
      </w:r>
      <w:r>
        <w:rPr>
          <w:rFonts w:eastAsia="Times New Roman" w:asciiTheme="minorHAnsi" w:hAnsiTheme="minorHAnsi" w:cstheme="minorHAnsi"/>
          <w:b/>
          <w:bCs/>
          <w:sz w:val="22"/>
          <w:szCs w:val="22"/>
        </w:rPr>
        <w:t xml:space="preserve"> reais e </w:t>
      </w:r>
      <w:r>
        <w:rPr>
          <w:rFonts w:hint="default" w:eastAsia="Times New Roman" w:asciiTheme="minorHAnsi" w:hAnsiTheme="minorHAnsi" w:cstheme="minorHAnsi"/>
          <w:b/>
          <w:bCs/>
          <w:sz w:val="22"/>
          <w:szCs w:val="22"/>
          <w:lang w:val="pt-BR"/>
        </w:rPr>
        <w:t xml:space="preserve">vinte e </w:t>
      </w:r>
      <w:r>
        <w:rPr>
          <w:rFonts w:eastAsia="Times New Roman" w:asciiTheme="minorHAnsi" w:hAnsiTheme="minorHAnsi" w:cstheme="minorHAnsi"/>
          <w:b/>
          <w:bCs/>
          <w:sz w:val="22"/>
          <w:szCs w:val="22"/>
        </w:rPr>
        <w:t>cinco centavos)</w:t>
      </w:r>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Cs/>
          <w:sz w:val="22"/>
          <w:szCs w:val="22"/>
        </w:rPr>
      </w:pPr>
      <w:r>
        <w:rPr>
          <w:rFonts w:asciiTheme="minorHAnsi" w:hAnsiTheme="minorHAnsi" w:cstheme="minorHAnsi"/>
          <w:sz w:val="22"/>
          <w:szCs w:val="22"/>
        </w:rPr>
        <w:t xml:space="preserve">DIA </w:t>
      </w:r>
      <w:r>
        <w:rPr>
          <w:rFonts w:hint="default" w:asciiTheme="minorHAnsi" w:hAnsiTheme="minorHAnsi" w:cstheme="minorHAnsi"/>
          <w:sz w:val="22"/>
          <w:szCs w:val="22"/>
          <w:lang w:val="pt-BR"/>
        </w:rPr>
        <w:t>08</w:t>
      </w:r>
      <w:r>
        <w:rPr>
          <w:rFonts w:asciiTheme="minorHAnsi" w:hAnsiTheme="minorHAnsi" w:cstheme="minorHAnsi"/>
          <w:bCs/>
          <w:sz w:val="22"/>
          <w:szCs w:val="22"/>
        </w:rPr>
        <w:t>/</w:t>
      </w:r>
      <w:r>
        <w:rPr>
          <w:rFonts w:hint="default" w:asciiTheme="minorHAnsi" w:hAnsiTheme="minorHAnsi" w:cstheme="minorHAnsi"/>
          <w:bCs/>
          <w:sz w:val="22"/>
          <w:szCs w:val="22"/>
          <w:lang w:val="pt-BR"/>
        </w:rPr>
        <w:t>07</w:t>
      </w:r>
      <w:r>
        <w:rPr>
          <w:rFonts w:asciiTheme="minorHAnsi" w:hAnsiTheme="minorHAnsi" w:cstheme="minorHAnsi"/>
          <w:bCs/>
          <w:sz w:val="22"/>
          <w:szCs w:val="22"/>
        </w:rPr>
        <w:t>/</w:t>
      </w:r>
      <w:r>
        <w:rPr>
          <w:rFonts w:hint="default" w:asciiTheme="minorHAnsi" w:hAnsiTheme="minorHAnsi" w:cstheme="minorHAnsi"/>
          <w:bCs/>
          <w:sz w:val="22"/>
          <w:szCs w:val="22"/>
          <w:lang w:val="pt-BR"/>
        </w:rPr>
        <w:t>2025</w:t>
      </w:r>
      <w:r>
        <w:rPr>
          <w:rFonts w:asciiTheme="minorHAnsi" w:hAnsiTheme="minorHAnsi" w:cstheme="minorHAnsi"/>
          <w:bCs/>
          <w:sz w:val="22"/>
          <w:szCs w:val="22"/>
        </w:rPr>
        <w:t xml:space="preserve"> </w:t>
      </w:r>
      <w:r>
        <w:rPr>
          <w:rFonts w:asciiTheme="minorHAnsi" w:hAnsiTheme="minorHAnsi" w:cstheme="minorHAnsi"/>
          <w:sz w:val="22"/>
          <w:szCs w:val="22"/>
        </w:rPr>
        <w:t xml:space="preserve">ÀS </w:t>
      </w:r>
      <w:r>
        <w:rPr>
          <w:rFonts w:hint="default" w:asciiTheme="minorHAnsi" w:hAnsiTheme="minorHAnsi" w:cstheme="minorHAnsi"/>
          <w:sz w:val="22"/>
          <w:szCs w:val="22"/>
          <w:lang w:val="pt-BR"/>
        </w:rPr>
        <w:t>09:00</w:t>
      </w:r>
      <w:r>
        <w:rPr>
          <w:rFonts w:asciiTheme="minorHAnsi" w:hAnsiTheme="minorHAnsi" w:cstheme="minorHAnsi"/>
          <w:bCs/>
          <w:sz w:val="22"/>
          <w:szCs w:val="22"/>
        </w:rPr>
        <w:t>H (HORÁRIO DE BRASÍLIA)</w:t>
      </w:r>
    </w:p>
    <w:p w14:paraId="3632E31B">
      <w:pPr>
        <w:spacing w:before="120" w:after="120" w:line="360" w:lineRule="auto"/>
        <w:ind w:left="142"/>
        <w:jc w:val="both"/>
        <w:rPr>
          <w:rFonts w:asciiTheme="minorHAnsi" w:hAnsiTheme="minorHAnsi" w:cstheme="minorHAnsi"/>
          <w:b/>
          <w:bCs/>
          <w:caps/>
          <w:color w:val="405CA1"/>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MENOR PREÇO POR ITENS</w:t>
      </w: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613594E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MARGEM DE PREFERÊNCIA PARA ALGUM ITEM</w:t>
      </w:r>
    </w:p>
    <w:p w14:paraId="23BC81E4">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14DB730E">
      <w:pPr>
        <w:spacing w:before="120" w:after="120" w:line="360" w:lineRule="auto"/>
        <w:ind w:left="142"/>
        <w:rPr>
          <w:rFonts w:asciiTheme="minorHAnsi" w:hAnsiTheme="minorHAnsi" w:cstheme="minorHAnsi"/>
          <w:bCs/>
          <w:sz w:val="22"/>
          <w:szCs w:val="22"/>
        </w:rPr>
      </w:pPr>
    </w:p>
    <w:p w14:paraId="11B8D668">
      <w:pPr>
        <w:spacing w:before="120" w:after="120" w:line="360" w:lineRule="auto"/>
        <w:ind w:left="142"/>
        <w:rPr>
          <w:rFonts w:asciiTheme="minorHAnsi" w:hAnsiTheme="minorHAnsi" w:cstheme="minorHAnsi"/>
          <w:bCs/>
          <w:sz w:val="22"/>
          <w:szCs w:val="22"/>
        </w:rPr>
      </w:pPr>
    </w:p>
    <w:p w14:paraId="1FBA8944">
      <w:pPr>
        <w:spacing w:before="120" w:after="120" w:line="360" w:lineRule="auto"/>
        <w:ind w:left="142"/>
        <w:rPr>
          <w:rFonts w:asciiTheme="minorHAnsi" w:hAnsiTheme="minorHAnsi" w:cstheme="minorHAnsi"/>
          <w:bCs/>
          <w:sz w:val="22"/>
          <w:szCs w:val="22"/>
        </w:rPr>
      </w:pPr>
    </w:p>
    <w:p w14:paraId="2FB49CF0">
      <w:pPr>
        <w:spacing w:before="120" w:after="120" w:line="360" w:lineRule="auto"/>
        <w:ind w:left="142"/>
        <w:rPr>
          <w:rFonts w:asciiTheme="minorHAnsi" w:hAnsiTheme="minorHAnsi" w:cstheme="minorHAnsi"/>
          <w:bCs/>
          <w:sz w:val="22"/>
          <w:szCs w:val="22"/>
        </w:rPr>
      </w:pPr>
    </w:p>
    <w:p w14:paraId="66A2B710">
      <w:pPr>
        <w:spacing w:before="120" w:after="120" w:line="360" w:lineRule="auto"/>
        <w:ind w:left="142"/>
        <w:rPr>
          <w:rFonts w:asciiTheme="minorHAnsi" w:hAnsiTheme="minorHAnsi" w:cstheme="minorHAnsi"/>
          <w:bCs/>
          <w:sz w:val="22"/>
          <w:szCs w:val="22"/>
        </w:rPr>
      </w:pPr>
    </w:p>
    <w:p w14:paraId="2E8D77AC">
      <w:pPr>
        <w:spacing w:before="120" w:after="120" w:line="360" w:lineRule="auto"/>
        <w:ind w:left="142"/>
        <w:rPr>
          <w:rFonts w:asciiTheme="minorHAnsi" w:hAnsiTheme="minorHAnsi" w:cstheme="minorHAnsi"/>
          <w:bCs/>
          <w:sz w:val="22"/>
          <w:szCs w:val="22"/>
        </w:rPr>
      </w:pPr>
    </w:p>
    <w:p w14:paraId="76314A8B">
      <w:pPr>
        <w:spacing w:before="120" w:after="120" w:line="360" w:lineRule="auto"/>
        <w:ind w:left="142"/>
        <w:jc w:val="center"/>
        <w:rPr>
          <w:rFonts w:asciiTheme="minorHAnsi" w:hAnsiTheme="minorHAnsi" w:cstheme="minorHAnsi"/>
          <w:b/>
          <w:bCs/>
          <w:sz w:val="22"/>
          <w:szCs w:val="22"/>
        </w:rPr>
      </w:pPr>
      <w:r>
        <w:rPr>
          <w:rFonts w:asciiTheme="minorHAnsi" w:hAnsiTheme="minorHAnsi" w:cstheme="minorHAnsi"/>
          <w:b/>
          <w:bCs/>
          <w:sz w:val="22"/>
          <w:szCs w:val="22"/>
        </w:rPr>
        <w:t>SUMÁRIO</w:t>
      </w:r>
    </w:p>
    <w:p w14:paraId="52CD3D34">
      <w:pPr>
        <w:pStyle w:val="35"/>
        <w:rPr>
          <w:rFonts w:asciiTheme="minorHAnsi" w:hAnsiTheme="minorHAnsi" w:eastAsiaTheme="minorEastAsia" w:cstheme="minorHAnsi"/>
          <w:b/>
          <w:sz w:val="22"/>
          <w:szCs w:val="22"/>
        </w:rPr>
      </w:pPr>
      <w:r>
        <w:rPr>
          <w:rFonts w:asciiTheme="minorHAnsi" w:hAnsiTheme="minorHAnsi" w:cstheme="minorHAnsi"/>
          <w:b/>
          <w:sz w:val="22"/>
          <w:szCs w:val="22"/>
          <w:lang w:eastAsia="en-US"/>
        </w:rPr>
        <w:t>1.</w:t>
      </w:r>
      <w:r>
        <w:rPr>
          <w:rFonts w:asciiTheme="minorHAnsi" w:hAnsiTheme="minorHAnsi" w:eastAsiaTheme="minorEastAsia" w:cstheme="minorHAnsi"/>
          <w:b/>
          <w:sz w:val="22"/>
          <w:szCs w:val="22"/>
        </w:rPr>
        <w:tab/>
      </w:r>
      <w:r>
        <w:rPr>
          <w:rFonts w:asciiTheme="minorHAnsi" w:hAnsiTheme="minorHAnsi" w:cstheme="minorHAnsi"/>
          <w:b/>
          <w:sz w:val="22"/>
          <w:szCs w:val="22"/>
          <w:lang w:eastAsia="en-US"/>
        </w:rPr>
        <w:t>DO OBJETO</w:t>
      </w:r>
      <w:r>
        <w:rPr>
          <w:rFonts w:asciiTheme="minorHAnsi" w:hAnsiTheme="minorHAnsi" w:cstheme="minorHAnsi"/>
          <w:b/>
          <w:sz w:val="22"/>
          <w:szCs w:val="22"/>
        </w:rPr>
        <w:tab/>
      </w:r>
      <w:r>
        <w:rPr>
          <w:rFonts w:asciiTheme="minorHAnsi" w:hAnsiTheme="minorHAnsi" w:cstheme="minorHAnsi"/>
          <w:b/>
          <w:sz w:val="22"/>
          <w:szCs w:val="22"/>
        </w:rPr>
        <w:t>3</w:t>
      </w:r>
    </w:p>
    <w:p w14:paraId="26B1D4C6">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2.</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 xml:space="preserve">DO REGISTRO DE PREÇOS </w:t>
      </w:r>
      <w:r>
        <w:rPr>
          <w:rFonts w:asciiTheme="minorHAnsi" w:hAnsiTheme="minorHAnsi" w:cstheme="minorHAnsi"/>
          <w:b/>
          <w:sz w:val="22"/>
          <w:szCs w:val="22"/>
        </w:rPr>
        <w:tab/>
      </w:r>
      <w:r>
        <w:rPr>
          <w:rFonts w:asciiTheme="minorHAnsi" w:hAnsiTheme="minorHAnsi" w:cstheme="minorHAnsi"/>
          <w:b/>
          <w:sz w:val="22"/>
          <w:szCs w:val="22"/>
        </w:rPr>
        <w:t>4</w:t>
      </w:r>
    </w:p>
    <w:p w14:paraId="0F3C8474">
      <w:pPr>
        <w:pStyle w:val="35"/>
        <w:rPr>
          <w:rFonts w:asciiTheme="minorHAnsi" w:hAnsiTheme="minorHAnsi" w:eastAsiaTheme="minorEastAsia" w:cstheme="minorHAnsi"/>
          <w:b/>
          <w:sz w:val="22"/>
          <w:szCs w:val="22"/>
        </w:rPr>
      </w:pPr>
      <w:r>
        <w:rPr>
          <w:rFonts w:asciiTheme="minorHAnsi" w:hAnsiTheme="minorHAnsi" w:cstheme="minorHAnsi"/>
          <w:b/>
          <w:sz w:val="22"/>
          <w:szCs w:val="22"/>
        </w:rPr>
        <w:t>3.</w:t>
      </w:r>
      <w:r>
        <w:rPr>
          <w:rFonts w:asciiTheme="minorHAnsi" w:hAnsiTheme="minorHAnsi" w:eastAsiaTheme="minorEastAsia" w:cstheme="minorHAnsi"/>
          <w:b/>
          <w:sz w:val="22"/>
          <w:szCs w:val="22"/>
        </w:rPr>
        <w:tab/>
      </w:r>
      <w:r>
        <w:rPr>
          <w:rFonts w:asciiTheme="minorHAnsi" w:hAnsiTheme="minorHAnsi" w:cstheme="minorHAnsi"/>
          <w:b/>
          <w:sz w:val="22"/>
          <w:szCs w:val="22"/>
        </w:rPr>
        <w:t>DA PARTICIPAÇÃO NA LICITAÇÃO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_Toc135469225 \h </w:instrText>
      </w:r>
      <w:r>
        <w:rPr>
          <w:rFonts w:asciiTheme="minorHAnsi" w:hAnsiTheme="minorHAnsi" w:cstheme="minorHAnsi"/>
          <w:b/>
          <w:sz w:val="22"/>
          <w:szCs w:val="22"/>
        </w:rPr>
        <w:fldChar w:fldCharType="separate"/>
      </w:r>
      <w:r>
        <w:rPr>
          <w:rFonts w:asciiTheme="minorHAnsi" w:hAnsiTheme="minorHAnsi" w:cstheme="minorHAnsi"/>
          <w:b/>
          <w:sz w:val="22"/>
          <w:szCs w:val="22"/>
        </w:rPr>
        <w:t>4</w:t>
      </w:r>
      <w:r>
        <w:rPr>
          <w:rFonts w:asciiTheme="minorHAnsi" w:hAnsiTheme="minorHAnsi" w:cstheme="minorHAnsi"/>
          <w:b/>
          <w:sz w:val="22"/>
          <w:szCs w:val="22"/>
        </w:rPr>
        <w:fldChar w:fldCharType="end"/>
      </w:r>
    </w:p>
    <w:p w14:paraId="1FB2056C">
      <w:pPr>
        <w:pStyle w:val="35"/>
        <w:rPr>
          <w:rFonts w:asciiTheme="minorHAnsi" w:hAnsiTheme="minorHAnsi" w:eastAsiaTheme="minorEastAsia" w:cstheme="minorHAnsi"/>
          <w:b/>
          <w:sz w:val="22"/>
          <w:szCs w:val="22"/>
        </w:rPr>
      </w:pPr>
      <w:r>
        <w:rPr>
          <w:rFonts w:asciiTheme="minorHAnsi" w:hAnsiTheme="minorHAnsi" w:cstheme="minorHAnsi"/>
          <w:b/>
          <w:sz w:val="22"/>
          <w:szCs w:val="22"/>
        </w:rPr>
        <w:t>4.</w:t>
      </w:r>
      <w:r>
        <w:rPr>
          <w:rFonts w:asciiTheme="minorHAnsi" w:hAnsiTheme="minorHAnsi" w:eastAsiaTheme="minorEastAsia" w:cstheme="minorHAnsi"/>
          <w:b/>
          <w:sz w:val="22"/>
          <w:szCs w:val="22"/>
        </w:rPr>
        <w:tab/>
      </w:r>
      <w:r>
        <w:rPr>
          <w:rFonts w:asciiTheme="minorHAnsi" w:hAnsiTheme="minorHAnsi" w:cstheme="minorHAnsi"/>
          <w:b/>
          <w:sz w:val="22"/>
          <w:szCs w:val="22"/>
        </w:rPr>
        <w:t>DA APRESENTAÇÃO DA PROPOSTA E DOS DOCUMENTOS DE HABILITAÇÃO</w:t>
      </w:r>
      <w:r>
        <w:rPr>
          <w:rFonts w:asciiTheme="minorHAnsi" w:hAnsiTheme="minorHAnsi" w:cstheme="minorHAnsi"/>
          <w:b/>
          <w:sz w:val="22"/>
          <w:szCs w:val="22"/>
        </w:rPr>
        <w:tab/>
      </w:r>
      <w:r>
        <w:rPr>
          <w:rFonts w:asciiTheme="minorHAnsi" w:hAnsiTheme="minorHAnsi" w:cstheme="minorHAnsi"/>
          <w:b/>
          <w:sz w:val="22"/>
          <w:szCs w:val="22"/>
        </w:rPr>
        <w:t>6</w:t>
      </w:r>
    </w:p>
    <w:p w14:paraId="0B86CB51">
      <w:pPr>
        <w:pStyle w:val="35"/>
        <w:rPr>
          <w:rFonts w:asciiTheme="minorHAnsi" w:hAnsiTheme="minorHAnsi" w:eastAsiaTheme="minorEastAsia" w:cstheme="minorHAnsi"/>
          <w:b/>
          <w:sz w:val="22"/>
          <w:szCs w:val="22"/>
        </w:rPr>
      </w:pPr>
      <w:r>
        <w:rPr>
          <w:rFonts w:asciiTheme="minorHAnsi" w:hAnsiTheme="minorHAnsi" w:cstheme="minorHAnsi"/>
          <w:b/>
          <w:sz w:val="22"/>
          <w:szCs w:val="22"/>
        </w:rPr>
        <w:t>5.</w:t>
      </w:r>
      <w:r>
        <w:rPr>
          <w:rFonts w:asciiTheme="minorHAnsi" w:hAnsiTheme="minorHAnsi" w:eastAsiaTheme="minorEastAsia" w:cstheme="minorHAnsi"/>
          <w:b/>
          <w:sz w:val="22"/>
          <w:szCs w:val="22"/>
        </w:rPr>
        <w:tab/>
      </w:r>
      <w:r>
        <w:rPr>
          <w:rFonts w:asciiTheme="minorHAnsi" w:hAnsiTheme="minorHAnsi" w:cstheme="minorHAnsi"/>
          <w:b/>
          <w:sz w:val="22"/>
          <w:szCs w:val="22"/>
        </w:rPr>
        <w:t>DO PREENCHIMENTO DA PROPOSTA</w:t>
      </w:r>
      <w:r>
        <w:rPr>
          <w:rFonts w:asciiTheme="minorHAnsi" w:hAnsiTheme="minorHAnsi" w:cstheme="minorHAnsi"/>
          <w:b/>
          <w:sz w:val="22"/>
          <w:szCs w:val="22"/>
        </w:rPr>
        <w:tab/>
      </w:r>
      <w:r>
        <w:rPr>
          <w:rFonts w:asciiTheme="minorHAnsi" w:hAnsiTheme="minorHAnsi" w:cstheme="minorHAnsi"/>
          <w:b/>
          <w:sz w:val="22"/>
          <w:szCs w:val="22"/>
        </w:rPr>
        <w:t>9</w:t>
      </w:r>
    </w:p>
    <w:p w14:paraId="4D32960D">
      <w:pPr>
        <w:pStyle w:val="35"/>
        <w:rPr>
          <w:rFonts w:asciiTheme="minorHAnsi" w:hAnsiTheme="minorHAnsi" w:eastAsiaTheme="minorEastAsia" w:cstheme="minorHAnsi"/>
          <w:b/>
          <w:sz w:val="22"/>
          <w:szCs w:val="22"/>
        </w:rPr>
      </w:pPr>
      <w:r>
        <w:rPr>
          <w:rFonts w:asciiTheme="minorHAnsi" w:hAnsiTheme="minorHAnsi" w:cstheme="minorHAnsi"/>
          <w:b/>
          <w:sz w:val="22"/>
          <w:szCs w:val="22"/>
        </w:rPr>
        <w:t>6.</w:t>
      </w:r>
      <w:r>
        <w:rPr>
          <w:rFonts w:asciiTheme="minorHAnsi" w:hAnsiTheme="minorHAnsi" w:eastAsiaTheme="minorEastAsia" w:cstheme="minorHAnsi"/>
          <w:b/>
          <w:sz w:val="22"/>
          <w:szCs w:val="22"/>
        </w:rPr>
        <w:tab/>
      </w:r>
      <w:r>
        <w:rPr>
          <w:rFonts w:asciiTheme="minorHAnsi" w:hAnsiTheme="minorHAnsi" w:cstheme="minorHAnsi"/>
          <w:b/>
          <w:sz w:val="22"/>
          <w:szCs w:val="22"/>
        </w:rPr>
        <w:t>DA ABERTURA DA SESSÃO, CLASSIFICAÇÃO DAS PROPOSTAS E FORMULAÇÃO DE LANCES</w:t>
      </w:r>
      <w:r>
        <w:rPr>
          <w:rFonts w:asciiTheme="minorHAnsi" w:hAnsiTheme="minorHAnsi" w:cstheme="minorHAnsi"/>
          <w:b/>
          <w:sz w:val="22"/>
          <w:szCs w:val="22"/>
        </w:rPr>
        <w:tab/>
      </w:r>
      <w:r>
        <w:rPr>
          <w:rFonts w:asciiTheme="minorHAnsi" w:hAnsiTheme="minorHAnsi" w:cstheme="minorHAnsi"/>
          <w:b/>
          <w:sz w:val="22"/>
          <w:szCs w:val="22"/>
        </w:rPr>
        <w:t>10</w:t>
      </w:r>
    </w:p>
    <w:p w14:paraId="28B35055">
      <w:pPr>
        <w:pStyle w:val="35"/>
        <w:rPr>
          <w:rFonts w:asciiTheme="minorHAnsi" w:hAnsiTheme="minorHAnsi" w:eastAsiaTheme="minorEastAsia" w:cstheme="minorHAnsi"/>
          <w:b/>
          <w:sz w:val="22"/>
          <w:szCs w:val="22"/>
        </w:rPr>
      </w:pPr>
      <w:r>
        <w:rPr>
          <w:rFonts w:asciiTheme="minorHAnsi" w:hAnsiTheme="minorHAnsi" w:cstheme="minorHAnsi"/>
          <w:b/>
          <w:sz w:val="22"/>
          <w:szCs w:val="22"/>
        </w:rPr>
        <w:t>7.</w:t>
      </w:r>
      <w:r>
        <w:rPr>
          <w:rFonts w:asciiTheme="minorHAnsi" w:hAnsiTheme="minorHAnsi" w:eastAsiaTheme="minorEastAsia" w:cstheme="minorHAnsi"/>
          <w:b/>
          <w:sz w:val="22"/>
          <w:szCs w:val="22"/>
        </w:rPr>
        <w:tab/>
      </w:r>
      <w:r>
        <w:rPr>
          <w:rFonts w:asciiTheme="minorHAnsi" w:hAnsiTheme="minorHAnsi" w:cstheme="minorHAnsi"/>
          <w:b/>
          <w:sz w:val="22"/>
          <w:szCs w:val="22"/>
        </w:rPr>
        <w:t>DA FASE DE JULGAMENTO</w:t>
      </w:r>
      <w:r>
        <w:rPr>
          <w:rFonts w:asciiTheme="minorHAnsi" w:hAnsiTheme="minorHAnsi" w:cstheme="minorHAnsi"/>
          <w:b/>
          <w:sz w:val="22"/>
          <w:szCs w:val="22"/>
        </w:rPr>
        <w:tab/>
      </w:r>
      <w:r>
        <w:rPr>
          <w:rFonts w:asciiTheme="minorHAnsi" w:hAnsiTheme="minorHAnsi" w:cstheme="minorHAnsi"/>
          <w:b/>
          <w:sz w:val="22"/>
          <w:szCs w:val="22"/>
        </w:rPr>
        <w:t>14</w:t>
      </w:r>
    </w:p>
    <w:p w14:paraId="021D9E08">
      <w:pPr>
        <w:pStyle w:val="35"/>
        <w:rPr>
          <w:rFonts w:asciiTheme="minorHAnsi" w:hAnsiTheme="minorHAnsi" w:eastAsiaTheme="minorEastAsia" w:cstheme="minorHAnsi"/>
          <w:b/>
          <w:sz w:val="22"/>
          <w:szCs w:val="22"/>
        </w:rPr>
      </w:pPr>
      <w:r>
        <w:rPr>
          <w:rFonts w:asciiTheme="minorHAnsi" w:hAnsiTheme="minorHAnsi" w:cstheme="minorHAnsi"/>
          <w:b/>
          <w:sz w:val="22"/>
          <w:szCs w:val="22"/>
        </w:rPr>
        <w:t>8.</w:t>
      </w:r>
      <w:r>
        <w:rPr>
          <w:rFonts w:asciiTheme="minorHAnsi" w:hAnsiTheme="minorHAnsi" w:eastAsiaTheme="minorEastAsia" w:cstheme="minorHAnsi"/>
          <w:b/>
          <w:sz w:val="22"/>
          <w:szCs w:val="22"/>
        </w:rPr>
        <w:tab/>
      </w:r>
      <w:r>
        <w:rPr>
          <w:rFonts w:asciiTheme="minorHAnsi" w:hAnsiTheme="minorHAnsi" w:cstheme="minorHAnsi"/>
          <w:b/>
          <w:sz w:val="22"/>
          <w:szCs w:val="22"/>
        </w:rPr>
        <w:t>DA FASE DE HABILITAÇÃO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_Toc135469230 \h </w:instrText>
      </w:r>
      <w:r>
        <w:rPr>
          <w:rFonts w:asciiTheme="minorHAnsi" w:hAnsiTheme="minorHAnsi" w:cstheme="minorHAnsi"/>
          <w:b/>
          <w:sz w:val="22"/>
          <w:szCs w:val="22"/>
        </w:rPr>
        <w:fldChar w:fldCharType="separate"/>
      </w:r>
      <w:r>
        <w:rPr>
          <w:rFonts w:asciiTheme="minorHAnsi" w:hAnsiTheme="minorHAnsi" w:cstheme="minorHAnsi"/>
          <w:b/>
          <w:sz w:val="22"/>
          <w:szCs w:val="22"/>
        </w:rPr>
        <w:t>20</w:t>
      </w:r>
      <w:r>
        <w:rPr>
          <w:rFonts w:asciiTheme="minorHAnsi" w:hAnsiTheme="minorHAnsi" w:cstheme="minorHAnsi"/>
          <w:b/>
          <w:sz w:val="22"/>
          <w:szCs w:val="22"/>
        </w:rPr>
        <w:fldChar w:fldCharType="end"/>
      </w:r>
    </w:p>
    <w:p w14:paraId="45444184">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9.</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ATA DE REGISTRO DE PREÇOS</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_Toc135469231 \h </w:instrText>
      </w:r>
      <w:r>
        <w:rPr>
          <w:rFonts w:asciiTheme="minorHAnsi" w:hAnsiTheme="minorHAnsi" w:cstheme="minorHAnsi"/>
          <w:b/>
          <w:sz w:val="22"/>
          <w:szCs w:val="22"/>
        </w:rPr>
        <w:fldChar w:fldCharType="separate"/>
      </w:r>
      <w:r>
        <w:rPr>
          <w:rFonts w:asciiTheme="minorHAnsi" w:hAnsiTheme="minorHAnsi" w:cstheme="minorHAnsi"/>
          <w:b/>
          <w:sz w:val="22"/>
          <w:szCs w:val="22"/>
        </w:rPr>
        <w:t>23</w:t>
      </w:r>
      <w:r>
        <w:rPr>
          <w:rFonts w:asciiTheme="minorHAnsi" w:hAnsiTheme="minorHAnsi" w:cstheme="minorHAnsi"/>
          <w:b/>
          <w:sz w:val="22"/>
          <w:szCs w:val="22"/>
        </w:rPr>
        <w:fldChar w:fldCharType="end"/>
      </w:r>
    </w:p>
    <w:p w14:paraId="66925007">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10.</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FORMAÇÃO DO CADASTRO DE RESERVA</w:t>
      </w:r>
      <w:r>
        <w:rPr>
          <w:rFonts w:asciiTheme="minorHAnsi" w:hAnsiTheme="minorHAnsi" w:cstheme="minorHAnsi"/>
          <w:b/>
          <w:sz w:val="22"/>
          <w:szCs w:val="22"/>
        </w:rPr>
        <w:tab/>
      </w:r>
      <w:r>
        <w:rPr>
          <w:rFonts w:asciiTheme="minorHAnsi" w:hAnsiTheme="minorHAnsi" w:cstheme="minorHAnsi"/>
          <w:b/>
          <w:sz w:val="22"/>
          <w:szCs w:val="22"/>
        </w:rPr>
        <w:t>20</w:t>
      </w:r>
    </w:p>
    <w:p w14:paraId="1614FCAE">
      <w:pPr>
        <w:pStyle w:val="35"/>
        <w:rPr>
          <w:rFonts w:asciiTheme="minorHAnsi" w:hAnsiTheme="minorHAnsi" w:eastAsiaTheme="minorEastAsia" w:cstheme="minorHAnsi"/>
          <w:b/>
          <w:sz w:val="22"/>
          <w:szCs w:val="22"/>
        </w:rPr>
      </w:pPr>
      <w:r>
        <w:rPr>
          <w:rFonts w:asciiTheme="minorHAnsi" w:hAnsiTheme="minorHAnsi" w:cstheme="minorHAnsi"/>
          <w:b/>
          <w:sz w:val="22"/>
          <w:szCs w:val="22"/>
        </w:rPr>
        <w:t>11.</w:t>
      </w:r>
      <w:r>
        <w:rPr>
          <w:rFonts w:asciiTheme="minorHAnsi" w:hAnsiTheme="minorHAnsi" w:eastAsiaTheme="minorEastAsia" w:cstheme="minorHAnsi"/>
          <w:b/>
          <w:sz w:val="22"/>
          <w:szCs w:val="22"/>
        </w:rPr>
        <w:tab/>
      </w:r>
      <w:r>
        <w:rPr>
          <w:rFonts w:asciiTheme="minorHAnsi" w:hAnsiTheme="minorHAnsi" w:cstheme="minorHAnsi"/>
          <w:b/>
          <w:sz w:val="22"/>
          <w:szCs w:val="22"/>
        </w:rPr>
        <w:t>DOS RECURSOS</w:t>
      </w:r>
      <w:r>
        <w:rPr>
          <w:rFonts w:asciiTheme="minorHAnsi" w:hAnsiTheme="minorHAnsi" w:cstheme="minorHAnsi"/>
          <w:b/>
          <w:sz w:val="22"/>
          <w:szCs w:val="22"/>
        </w:rPr>
        <w:tab/>
      </w:r>
      <w:r>
        <w:rPr>
          <w:rFonts w:asciiTheme="minorHAnsi" w:hAnsiTheme="minorHAnsi" w:cstheme="minorHAnsi"/>
          <w:b/>
          <w:sz w:val="22"/>
          <w:szCs w:val="22"/>
        </w:rPr>
        <w:t>21</w:t>
      </w:r>
    </w:p>
    <w:p w14:paraId="3E2E5469">
      <w:pPr>
        <w:pStyle w:val="35"/>
        <w:rPr>
          <w:rFonts w:asciiTheme="minorHAnsi" w:hAnsiTheme="minorHAnsi" w:eastAsiaTheme="minorEastAsia" w:cstheme="minorHAnsi"/>
          <w:b/>
          <w:sz w:val="22"/>
          <w:szCs w:val="22"/>
        </w:rPr>
      </w:pPr>
      <w:r>
        <w:rPr>
          <w:rFonts w:asciiTheme="minorHAnsi" w:hAnsiTheme="minorHAnsi" w:cstheme="minorHAnsi"/>
          <w:b/>
          <w:sz w:val="22"/>
          <w:szCs w:val="22"/>
        </w:rPr>
        <w:t>12.</w:t>
      </w:r>
      <w:r>
        <w:rPr>
          <w:rFonts w:asciiTheme="minorHAnsi" w:hAnsiTheme="minorHAnsi" w:eastAsiaTheme="minorEastAsia" w:cstheme="minorHAnsi"/>
          <w:b/>
          <w:sz w:val="22"/>
          <w:szCs w:val="22"/>
        </w:rPr>
        <w:tab/>
      </w:r>
      <w:r>
        <w:rPr>
          <w:rFonts w:asciiTheme="minorHAnsi" w:hAnsiTheme="minorHAnsi" w:cstheme="minorHAnsi"/>
          <w:b/>
          <w:sz w:val="22"/>
          <w:szCs w:val="22"/>
        </w:rPr>
        <w:t>DAS INFRAÇÕES ADMINISTRATIVAS E SANÇÕES</w:t>
      </w:r>
      <w:r>
        <w:rPr>
          <w:rFonts w:asciiTheme="minorHAnsi" w:hAnsiTheme="minorHAnsi" w:cstheme="minorHAnsi"/>
          <w:b/>
          <w:sz w:val="22"/>
          <w:szCs w:val="22"/>
        </w:rPr>
        <w:tab/>
      </w:r>
      <w:r>
        <w:rPr>
          <w:rFonts w:asciiTheme="minorHAnsi" w:hAnsiTheme="minorHAnsi" w:cstheme="minorHAnsi"/>
          <w:b/>
          <w:sz w:val="22"/>
          <w:szCs w:val="22"/>
        </w:rPr>
        <w:t>22</w:t>
      </w:r>
    </w:p>
    <w:p w14:paraId="126918A3">
      <w:pPr>
        <w:pStyle w:val="35"/>
        <w:rPr>
          <w:rFonts w:asciiTheme="minorHAnsi" w:hAnsiTheme="minorHAnsi" w:cstheme="minorHAnsi"/>
          <w:b/>
          <w:sz w:val="22"/>
          <w:szCs w:val="22"/>
        </w:rPr>
      </w:pPr>
      <w:r>
        <w:rPr>
          <w:rFonts w:asciiTheme="minorHAnsi" w:hAnsiTheme="minorHAnsi" w:cstheme="minorHAnsi"/>
          <w:b/>
          <w:sz w:val="22"/>
          <w:szCs w:val="22"/>
        </w:rPr>
        <w:t>13.</w:t>
      </w:r>
      <w:r>
        <w:rPr>
          <w:rFonts w:asciiTheme="minorHAnsi" w:hAnsiTheme="minorHAnsi" w:eastAsiaTheme="minorEastAsia" w:cstheme="minorHAnsi"/>
          <w:b/>
          <w:sz w:val="22"/>
          <w:szCs w:val="22"/>
        </w:rPr>
        <w:tab/>
      </w:r>
      <w:r>
        <w:rPr>
          <w:rFonts w:asciiTheme="minorHAnsi" w:hAnsiTheme="minorHAnsi" w:cstheme="minorHAnsi"/>
          <w:b/>
          <w:sz w:val="22"/>
          <w:szCs w:val="22"/>
        </w:rPr>
        <w:t>DA IMPUGNAÇÃO AO EDITAL E DO PEDIDO DE ESCLARECIMENTO ...............................................25</w:t>
      </w:r>
    </w:p>
    <w:p w14:paraId="64E2EC8B">
      <w:pPr>
        <w:pStyle w:val="35"/>
        <w:rPr>
          <w:rStyle w:val="15"/>
          <w:rFonts w:asciiTheme="minorHAnsi" w:hAnsiTheme="minorHAnsi" w:cstheme="minorHAnsi"/>
          <w:b/>
          <w:color w:val="auto"/>
          <w:sz w:val="22"/>
          <w:szCs w:val="22"/>
          <w:u w:val="none"/>
        </w:rPr>
      </w:pPr>
      <w:r>
        <w:rPr>
          <w:rStyle w:val="15"/>
          <w:rFonts w:asciiTheme="minorHAnsi" w:hAnsiTheme="minorHAnsi" w:cstheme="minorHAnsi"/>
          <w:b/>
          <w:color w:val="auto"/>
          <w:sz w:val="22"/>
          <w:szCs w:val="22"/>
          <w:u w:val="none"/>
        </w:rPr>
        <w:t>14. DAS DISPOSIÇÕES GERAIS ..............................................................................................................................26</w:t>
      </w:r>
    </w:p>
    <w:p w14:paraId="0B52DEAF">
      <w:pPr>
        <w:rPr>
          <w:rFonts w:asciiTheme="minorHAnsi" w:hAnsiTheme="minorHAnsi" w:cstheme="minorHAnsi"/>
          <w:b/>
          <w:bCs/>
          <w:color w:val="5B5B5F"/>
          <w:sz w:val="22"/>
          <w:szCs w:val="22"/>
        </w:rPr>
      </w:pPr>
    </w:p>
    <w:p w14:paraId="56C68AEB">
      <w:pPr>
        <w:ind w:left="284"/>
        <w:jc w:val="center"/>
        <w:rPr>
          <w:rFonts w:asciiTheme="minorHAnsi" w:hAnsiTheme="minorHAnsi" w:cstheme="minorHAnsi"/>
          <w:b/>
          <w:bCs/>
          <w:sz w:val="22"/>
          <w:szCs w:val="22"/>
        </w:rPr>
      </w:pPr>
    </w:p>
    <w:p w14:paraId="6C5BC4C7">
      <w:pPr>
        <w:ind w:left="284"/>
        <w:jc w:val="center"/>
        <w:rPr>
          <w:rFonts w:asciiTheme="minorHAnsi" w:hAnsiTheme="minorHAnsi" w:cstheme="minorHAnsi"/>
          <w:b/>
          <w:bCs/>
          <w:sz w:val="22"/>
          <w:szCs w:val="22"/>
        </w:rPr>
      </w:pPr>
    </w:p>
    <w:p w14:paraId="22A9E62A">
      <w:pPr>
        <w:ind w:left="284"/>
        <w:jc w:val="center"/>
        <w:rPr>
          <w:rFonts w:asciiTheme="minorHAnsi" w:hAnsiTheme="minorHAnsi" w:cstheme="minorHAnsi"/>
          <w:b/>
          <w:bCs/>
          <w:sz w:val="22"/>
          <w:szCs w:val="22"/>
        </w:rPr>
      </w:pPr>
    </w:p>
    <w:p w14:paraId="78735FDB">
      <w:pPr>
        <w:ind w:left="284"/>
        <w:jc w:val="center"/>
        <w:rPr>
          <w:rFonts w:asciiTheme="minorHAnsi" w:hAnsiTheme="minorHAnsi" w:cstheme="minorHAnsi"/>
          <w:b/>
          <w:bCs/>
          <w:sz w:val="22"/>
          <w:szCs w:val="22"/>
        </w:rPr>
      </w:pPr>
    </w:p>
    <w:p w14:paraId="15AC8E80">
      <w:pPr>
        <w:ind w:left="284"/>
        <w:jc w:val="center"/>
        <w:rPr>
          <w:rFonts w:asciiTheme="minorHAnsi" w:hAnsiTheme="minorHAnsi" w:cstheme="minorHAnsi"/>
          <w:b/>
          <w:bCs/>
          <w:sz w:val="22"/>
          <w:szCs w:val="22"/>
        </w:rPr>
      </w:pPr>
    </w:p>
    <w:p w14:paraId="5543100A">
      <w:pPr>
        <w:ind w:left="284"/>
        <w:jc w:val="center"/>
        <w:rPr>
          <w:rFonts w:asciiTheme="minorHAnsi" w:hAnsiTheme="minorHAnsi" w:cstheme="minorHAnsi"/>
          <w:b/>
          <w:bCs/>
          <w:sz w:val="22"/>
          <w:szCs w:val="22"/>
        </w:rPr>
      </w:pPr>
    </w:p>
    <w:p w14:paraId="3AE6BBEC">
      <w:pPr>
        <w:ind w:left="284"/>
        <w:jc w:val="center"/>
        <w:rPr>
          <w:rFonts w:asciiTheme="minorHAnsi" w:hAnsiTheme="minorHAnsi" w:cstheme="minorHAnsi"/>
          <w:b/>
          <w:bCs/>
          <w:sz w:val="22"/>
          <w:szCs w:val="22"/>
        </w:rPr>
      </w:pPr>
    </w:p>
    <w:p w14:paraId="2F2B000F">
      <w:pPr>
        <w:ind w:left="284"/>
        <w:jc w:val="center"/>
        <w:rPr>
          <w:rFonts w:asciiTheme="minorHAnsi" w:hAnsiTheme="minorHAnsi" w:cstheme="minorHAnsi"/>
          <w:b/>
          <w:bCs/>
          <w:sz w:val="22"/>
          <w:szCs w:val="22"/>
        </w:rPr>
      </w:pPr>
    </w:p>
    <w:p w14:paraId="4A972673">
      <w:pPr>
        <w:ind w:left="284"/>
        <w:jc w:val="center"/>
        <w:rPr>
          <w:rFonts w:asciiTheme="minorHAnsi" w:hAnsiTheme="minorHAnsi" w:cstheme="minorHAnsi"/>
          <w:b/>
          <w:bCs/>
          <w:sz w:val="22"/>
          <w:szCs w:val="22"/>
        </w:rPr>
      </w:pPr>
    </w:p>
    <w:p w14:paraId="70F8D2E4">
      <w:pPr>
        <w:ind w:left="284"/>
        <w:jc w:val="center"/>
        <w:rPr>
          <w:rFonts w:asciiTheme="minorHAnsi" w:hAnsiTheme="minorHAnsi" w:cstheme="minorHAnsi"/>
          <w:b/>
          <w:bCs/>
          <w:sz w:val="22"/>
          <w:szCs w:val="22"/>
        </w:rPr>
      </w:pPr>
    </w:p>
    <w:p w14:paraId="0EA654EB">
      <w:pPr>
        <w:ind w:left="284"/>
        <w:jc w:val="center"/>
        <w:rPr>
          <w:rFonts w:asciiTheme="minorHAnsi" w:hAnsiTheme="minorHAnsi" w:cstheme="minorHAnsi"/>
          <w:b/>
          <w:bCs/>
          <w:sz w:val="22"/>
          <w:szCs w:val="22"/>
        </w:rPr>
      </w:pPr>
    </w:p>
    <w:p w14:paraId="36FC18AE">
      <w:pPr>
        <w:ind w:left="284"/>
        <w:jc w:val="center"/>
        <w:rPr>
          <w:rFonts w:asciiTheme="minorHAnsi" w:hAnsiTheme="minorHAnsi" w:cstheme="minorHAnsi"/>
          <w:b/>
          <w:bCs/>
          <w:sz w:val="22"/>
          <w:szCs w:val="22"/>
        </w:rPr>
      </w:pPr>
    </w:p>
    <w:p w14:paraId="60559C0B">
      <w:pPr>
        <w:ind w:left="284"/>
        <w:jc w:val="center"/>
        <w:rPr>
          <w:rFonts w:asciiTheme="minorHAnsi" w:hAnsiTheme="minorHAnsi" w:cstheme="minorHAnsi"/>
          <w:b/>
          <w:bCs/>
          <w:sz w:val="22"/>
          <w:szCs w:val="22"/>
        </w:rPr>
      </w:pPr>
    </w:p>
    <w:p w14:paraId="5385ED34">
      <w:pPr>
        <w:ind w:left="284"/>
        <w:jc w:val="center"/>
        <w:rPr>
          <w:rFonts w:asciiTheme="minorHAnsi" w:hAnsiTheme="minorHAnsi" w:cstheme="minorHAnsi"/>
          <w:b/>
          <w:bCs/>
          <w:sz w:val="22"/>
          <w:szCs w:val="22"/>
        </w:rPr>
      </w:pPr>
    </w:p>
    <w:p w14:paraId="4B42A808">
      <w:pPr>
        <w:ind w:left="284"/>
        <w:jc w:val="center"/>
        <w:rPr>
          <w:rFonts w:asciiTheme="minorHAnsi" w:hAnsiTheme="minorHAnsi" w:cstheme="minorHAnsi"/>
          <w:b/>
          <w:bCs/>
          <w:sz w:val="22"/>
          <w:szCs w:val="22"/>
        </w:rPr>
      </w:pPr>
    </w:p>
    <w:p w14:paraId="2DBC8EC8">
      <w:pPr>
        <w:ind w:left="284"/>
        <w:jc w:val="center"/>
        <w:rPr>
          <w:rFonts w:asciiTheme="minorHAnsi" w:hAnsiTheme="minorHAnsi" w:cstheme="minorHAnsi"/>
          <w:b/>
          <w:bCs/>
          <w:sz w:val="22"/>
          <w:szCs w:val="22"/>
        </w:rPr>
      </w:pPr>
    </w:p>
    <w:p w14:paraId="60159759">
      <w:pPr>
        <w:ind w:left="284"/>
        <w:jc w:val="center"/>
        <w:rPr>
          <w:rFonts w:asciiTheme="minorHAnsi" w:hAnsiTheme="minorHAnsi" w:cstheme="minorHAnsi"/>
          <w:b/>
          <w:bCs/>
          <w:sz w:val="22"/>
          <w:szCs w:val="22"/>
        </w:rPr>
      </w:pPr>
    </w:p>
    <w:p w14:paraId="1CE1A358">
      <w:pPr>
        <w:ind w:left="284"/>
        <w:jc w:val="center"/>
        <w:rPr>
          <w:rFonts w:asciiTheme="minorHAnsi" w:hAnsiTheme="minorHAnsi" w:cstheme="minorHAnsi"/>
          <w:b/>
          <w:bCs/>
          <w:sz w:val="22"/>
          <w:szCs w:val="22"/>
        </w:rPr>
      </w:pPr>
    </w:p>
    <w:p w14:paraId="1445A1FE">
      <w:pPr>
        <w:ind w:left="284"/>
        <w:jc w:val="center"/>
        <w:rPr>
          <w:rFonts w:asciiTheme="minorHAnsi" w:hAnsiTheme="minorHAnsi" w:cstheme="minorHAnsi"/>
          <w:b/>
          <w:bCs/>
          <w:color w:val="FF0000"/>
          <w:sz w:val="22"/>
          <w:szCs w:val="22"/>
        </w:rPr>
      </w:pPr>
      <w:r>
        <w:rPr>
          <w:rFonts w:asciiTheme="minorHAnsi" w:hAnsiTheme="minorHAnsi" w:cstheme="minorHAnsi"/>
          <w:b/>
          <w:bCs/>
          <w:sz w:val="22"/>
          <w:szCs w:val="22"/>
        </w:rPr>
        <w:t xml:space="preserve">COMPLEXO HOSPITALAR E DE SAÚDE DA </w:t>
      </w:r>
      <w:r>
        <w:rPr>
          <w:rFonts w:asciiTheme="minorHAnsi" w:hAnsiTheme="minorHAnsi" w:cstheme="minorHAnsi"/>
          <w:b/>
          <w:bCs/>
          <w:color w:val="000000" w:themeColor="text1"/>
          <w:sz w:val="22"/>
          <w:szCs w:val="22"/>
          <w14:textFill>
            <w14:solidFill>
              <w14:schemeClr w14:val="tx1"/>
            </w14:solidFill>
          </w14:textFill>
        </w:rPr>
        <w:t>UFBA - UASG: 150247</w:t>
      </w:r>
    </w:p>
    <w:p w14:paraId="3D35322D">
      <w:pPr>
        <w:ind w:left="284"/>
        <w:jc w:val="center"/>
        <w:rPr>
          <w:rFonts w:asciiTheme="minorHAnsi" w:hAnsiTheme="minorHAnsi" w:cstheme="minorHAnsi"/>
          <w:b/>
          <w:bCs/>
          <w:sz w:val="22"/>
          <w:szCs w:val="22"/>
        </w:rPr>
      </w:pPr>
      <w:r>
        <w:rPr>
          <w:rFonts w:asciiTheme="minorHAnsi" w:hAnsiTheme="minorHAnsi" w:cstheme="minorHAnsi"/>
          <w:b/>
          <w:bCs/>
          <w:sz w:val="22"/>
          <w:szCs w:val="22"/>
        </w:rPr>
        <w:t>PROCESSO ADMINISTRATIVO Nº 23066.025834/2025-25</w:t>
      </w:r>
    </w:p>
    <w:p w14:paraId="7F83356A">
      <w:pPr>
        <w:ind w:left="284"/>
        <w:jc w:val="center"/>
        <w:rPr>
          <w:rFonts w:asciiTheme="minorHAnsi" w:hAnsiTheme="minorHAnsi" w:cstheme="minorHAnsi"/>
          <w:b/>
          <w:bCs/>
          <w:sz w:val="22"/>
          <w:szCs w:val="22"/>
        </w:rPr>
      </w:pPr>
      <w:r>
        <w:rPr>
          <w:rFonts w:asciiTheme="minorHAnsi" w:hAnsiTheme="minorHAnsi" w:cstheme="minorHAnsi"/>
          <w:b/>
          <w:bCs/>
          <w:sz w:val="22"/>
          <w:szCs w:val="22"/>
        </w:rPr>
        <w:t xml:space="preserve">PREGÃO ELETRÔNICO N° </w:t>
      </w:r>
      <w:r>
        <w:rPr>
          <w:rFonts w:asciiTheme="minorHAnsi" w:hAnsiTheme="minorHAnsi" w:cstheme="minorHAnsi"/>
          <w:b/>
          <w:sz w:val="22"/>
          <w:szCs w:val="22"/>
          <w:lang w:eastAsia="ar-SA"/>
        </w:rPr>
        <w:t>90054/2025</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2"/>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sediado no Campus Universitário de Ondina, PAF IV, </w:t>
      </w:r>
      <w:r>
        <w:rPr>
          <w:rStyle w:val="51"/>
          <w:rFonts w:asciiTheme="minorHAnsi" w:hAnsiTheme="minorHAnsi" w:cstheme="minorHAnsi"/>
          <w:sz w:val="22"/>
          <w:szCs w:val="22"/>
        </w:rPr>
        <w:t>Rua Barão de Jeremoabo</w:t>
      </w:r>
      <w:r>
        <w:rPr>
          <w:rFonts w:asciiTheme="minorHAnsi" w:hAnsiTheme="minorHAnsi" w:cstheme="minorHAnsi"/>
          <w:sz w:val="22"/>
          <w:szCs w:val="22"/>
        </w:rPr>
        <w:t>,</w:t>
      </w:r>
      <w:r>
        <w:rPr>
          <w:rStyle w:val="50"/>
          <w:rFonts w:asciiTheme="minorHAnsi" w:hAnsiTheme="minorHAnsi" w:cstheme="minorHAnsi"/>
          <w:sz w:val="22"/>
          <w:szCs w:val="22"/>
        </w:rPr>
        <w:t> </w:t>
      </w:r>
      <w:r>
        <w:rPr>
          <w:rStyle w:val="51"/>
          <w:rFonts w:asciiTheme="minorHAnsi" w:hAnsiTheme="minorHAnsi" w:cstheme="minorHAnsi"/>
          <w:sz w:val="22"/>
          <w:szCs w:val="22"/>
        </w:rPr>
        <w:t>s/n</w:t>
      </w:r>
      <w:r>
        <w:rPr>
          <w:rStyle w:val="50"/>
          <w:rFonts w:asciiTheme="minorHAnsi" w:hAnsiTheme="minorHAnsi" w:cstheme="minorHAnsi"/>
          <w:sz w:val="22"/>
          <w:szCs w:val="22"/>
        </w:rPr>
        <w:t>,</w:t>
      </w:r>
      <w:r>
        <w:rPr>
          <w:rFonts w:asciiTheme="minorHAnsi" w:hAnsiTheme="minorHAnsi" w:cstheme="minorHAnsi"/>
          <w:sz w:val="22"/>
          <w:szCs w:val="22"/>
        </w:rPr>
        <w:t xml:space="preserve"> 1º andar,</w:t>
      </w:r>
      <w:r>
        <w:rPr>
          <w:rStyle w:val="51"/>
          <w:rFonts w:asciiTheme="minorHAnsi" w:hAnsiTheme="minorHAnsi" w:cstheme="minorHAnsi"/>
          <w:sz w:val="22"/>
          <w:szCs w:val="22"/>
        </w:rPr>
        <w:t xml:space="preserve"> Ondina</w:t>
      </w:r>
      <w:r>
        <w:rPr>
          <w:rFonts w:asciiTheme="minorHAnsi" w:hAnsiTheme="minorHAnsi" w:cstheme="minorHAnsi"/>
          <w:sz w:val="22"/>
          <w:szCs w:val="22"/>
        </w:rPr>
        <w:t>,</w:t>
      </w:r>
      <w:r>
        <w:rPr>
          <w:rStyle w:val="50"/>
          <w:rFonts w:asciiTheme="minorHAnsi" w:hAnsiTheme="minorHAnsi" w:cstheme="minorHAnsi"/>
          <w:sz w:val="22"/>
          <w:szCs w:val="22"/>
        </w:rPr>
        <w:t xml:space="preserve"> CEP: </w:t>
      </w:r>
      <w:r>
        <w:rPr>
          <w:rStyle w:val="51"/>
          <w:rFonts w:asciiTheme="minorHAnsi" w:hAnsiTheme="minorHAnsi" w:cstheme="minorHAnsi"/>
          <w:sz w:val="22"/>
          <w:szCs w:val="22"/>
        </w:rPr>
        <w:t>40170-115</w:t>
      </w:r>
      <w:r>
        <w:rPr>
          <w:rFonts w:asciiTheme="minorHAnsi" w:hAnsiTheme="minorHAnsi" w:cstheme="minorHAnsi"/>
          <w:sz w:val="22"/>
          <w:szCs w:val="22"/>
        </w:rPr>
        <w:t xml:space="preserve">, Salvador-Ba,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1º de abril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059F3471">
      <w:pPr>
        <w:tabs>
          <w:tab w:val="left" w:pos="0"/>
        </w:tabs>
        <w:spacing w:line="360" w:lineRule="auto"/>
        <w:ind w:left="284"/>
        <w:jc w:val="both"/>
        <w:rPr>
          <w:rFonts w:asciiTheme="minorHAnsi" w:hAnsiTheme="minorHAnsi" w:cstheme="minorHAnsi"/>
          <w:sz w:val="22"/>
          <w:szCs w:val="22"/>
        </w:rPr>
      </w:pPr>
    </w:p>
    <w:p w14:paraId="520F8859">
      <w:pPr>
        <w:tabs>
          <w:tab w:val="left" w:pos="0"/>
        </w:tabs>
        <w:spacing w:line="360" w:lineRule="auto"/>
        <w:ind w:left="284"/>
        <w:jc w:val="both"/>
        <w:rPr>
          <w:rFonts w:asciiTheme="minorHAnsi" w:hAnsiTheme="minorHAnsi" w:cstheme="minorHAnsi"/>
          <w:sz w:val="22"/>
          <w:szCs w:val="22"/>
        </w:rPr>
      </w:pPr>
    </w:p>
    <w:p w14:paraId="00B8E284">
      <w:pPr>
        <w:tabs>
          <w:tab w:val="left" w:pos="0"/>
        </w:tabs>
        <w:spacing w:line="360" w:lineRule="auto"/>
        <w:ind w:left="284"/>
        <w:jc w:val="both"/>
        <w:rPr>
          <w:rFonts w:asciiTheme="minorHAnsi" w:hAnsiTheme="minorHAnsi" w:cstheme="minorHAnsi"/>
          <w:sz w:val="22"/>
          <w:szCs w:val="22"/>
        </w:rPr>
      </w:pPr>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08</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julho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2025</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s - horário de Brasília)</w:t>
      </w:r>
    </w:p>
    <w:p w14:paraId="4488773D">
      <w:pPr>
        <w:spacing w:line="360" w:lineRule="auto"/>
        <w:ind w:left="284"/>
        <w:rPr>
          <w:rStyle w:val="47"/>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7"/>
          <w:rFonts w:asciiTheme="minorHAnsi" w:hAnsiTheme="minorHAnsi" w:cstheme="minorHAnsi"/>
          <w:color w:val="00000A"/>
          <w:sz w:val="22"/>
          <w:szCs w:val="22"/>
        </w:rPr>
        <w:t>www.comprasgovernamentais.gov.br</w:t>
      </w:r>
      <w:r>
        <w:rPr>
          <w:rStyle w:val="47"/>
          <w:rFonts w:asciiTheme="minorHAnsi" w:hAnsiTheme="minorHAnsi" w:cstheme="minorHAnsi"/>
          <w:color w:val="00000A"/>
          <w:sz w:val="22"/>
          <w:szCs w:val="22"/>
        </w:rPr>
        <w:fldChar w:fldCharType="end"/>
      </w:r>
    </w:p>
    <w:p w14:paraId="4253351A">
      <w:pPr>
        <w:spacing w:line="360" w:lineRule="auto"/>
        <w:ind w:left="284"/>
        <w:rPr>
          <w:rFonts w:asciiTheme="minorHAnsi" w:hAnsiTheme="minorHAnsi" w:cstheme="minorHAnsi"/>
          <w:b/>
          <w:bCs/>
          <w:iCs/>
          <w:sz w:val="22"/>
          <w:szCs w:val="22"/>
        </w:rPr>
      </w:pPr>
      <w:r>
        <w:rPr>
          <w:rFonts w:asciiTheme="minorHAnsi" w:hAnsiTheme="minorHAnsi" w:cstheme="minorHAnsi"/>
          <w:b/>
          <w:sz w:val="22"/>
          <w:szCs w:val="22"/>
        </w:rPr>
        <w:t>Critério de Julgamento:</w:t>
      </w:r>
      <w:r>
        <w:rPr>
          <w:rFonts w:asciiTheme="minorHAnsi" w:hAnsiTheme="minorHAnsi" w:cstheme="minorHAnsi"/>
          <w:sz w:val="22"/>
          <w:szCs w:val="22"/>
        </w:rPr>
        <w:t xml:space="preserve"> </w:t>
      </w:r>
      <w:r>
        <w:rPr>
          <w:rFonts w:asciiTheme="minorHAnsi" w:hAnsiTheme="minorHAnsi" w:cstheme="minorHAnsi"/>
          <w:b/>
          <w:bCs/>
          <w:iCs/>
          <w:sz w:val="22"/>
          <w:szCs w:val="22"/>
        </w:rPr>
        <w:t xml:space="preserve">MENOR PREÇO POR ITENS </w:t>
      </w:r>
    </w:p>
    <w:p w14:paraId="69D358E9">
      <w:pPr>
        <w:spacing w:line="360" w:lineRule="auto"/>
        <w:ind w:left="284"/>
        <w:rPr>
          <w:rFonts w:asciiTheme="minorHAnsi" w:hAnsiTheme="minorHAnsi" w:cstheme="minorHAnsi"/>
          <w:sz w:val="22"/>
          <w:szCs w:val="22"/>
        </w:rPr>
      </w:pPr>
    </w:p>
    <w:p w14:paraId="1BA32677">
      <w:pPr>
        <w:spacing w:line="360" w:lineRule="auto"/>
        <w:ind w:left="284"/>
        <w:rPr>
          <w:rFonts w:asciiTheme="minorHAnsi" w:hAnsiTheme="minorHAnsi" w:cstheme="minorHAnsi"/>
          <w:sz w:val="22"/>
          <w:szCs w:val="22"/>
        </w:rPr>
      </w:pPr>
    </w:p>
    <w:p w14:paraId="75D50E0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532819DA">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O objeto da presente licitação é a escolha da proposta mais vantajosa para a aquisição de</w:t>
      </w:r>
      <w:r>
        <w:rPr>
          <w:rFonts w:asciiTheme="minorHAnsi" w:hAnsiTheme="minorHAnsi" w:cstheme="minorHAnsi"/>
          <w:sz w:val="22"/>
          <w:szCs w:val="22"/>
          <w:lang w:val="pt-PT" w:eastAsia="en-US"/>
        </w:rPr>
        <w:t xml:space="preserve"> </w:t>
      </w:r>
      <w:r>
        <w:rPr>
          <w:rFonts w:asciiTheme="minorHAnsi" w:hAnsiTheme="minorHAnsi" w:cstheme="minorHAnsi"/>
          <w:b/>
          <w:bCs/>
          <w:sz w:val="22"/>
          <w:szCs w:val="22"/>
          <w:u w:val="single"/>
        </w:rPr>
        <w:t>MEDICAMENTOS, visando atender as necessidades do Hospital Ana Nery, Hospital Universitário Professor Edgard Santos – HUPES e Hospital de Medicina Veterinária Renato Rodemburg de Medeiros Neto, pelo período de 12 (doze) meses, Unidade integrante do Complexo Hospitalar e de Saúde/UFBA</w:t>
      </w:r>
      <w:r>
        <w:rPr>
          <w:rFonts w:asciiTheme="minorHAnsi" w:hAnsiTheme="minorHAnsi" w:cstheme="minorHAnsi"/>
          <w:sz w:val="22"/>
          <w:szCs w:val="22"/>
        </w:rPr>
        <w:t>conforme condições, quantidades e exigências estabelecidas neste Edital e seus Anexos</w:t>
      </w:r>
    </w:p>
    <w:p w14:paraId="52EB0CF5">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licitação </w:t>
      </w:r>
      <w:r>
        <w:rPr>
          <w:rFonts w:asciiTheme="minorHAnsi" w:hAnsiTheme="minorHAnsi" w:cstheme="minorHAnsi"/>
          <w:b/>
          <w:sz w:val="22"/>
          <w:szCs w:val="22"/>
          <w:u w:val="single"/>
        </w:rPr>
        <w:t>SERÁ DIVIDIDA EM ITENS (1 AO 55),</w:t>
      </w:r>
      <w:r>
        <w:rPr>
          <w:rFonts w:asciiTheme="minorHAnsi" w:hAnsiTheme="minorHAnsi" w:cstheme="minorHAnsi"/>
          <w:sz w:val="22"/>
          <w:szCs w:val="22"/>
        </w:rPr>
        <w:t xml:space="preserve"> conforme tabela constante do Termo de Referência, facultando-se ao licitante a participação em quantos itens forem de seu interesse.</w:t>
      </w:r>
    </w:p>
    <w:p w14:paraId="28722472">
      <w:pPr>
        <w:spacing w:before="120" w:after="120" w:line="360" w:lineRule="auto"/>
        <w:ind w:left="284"/>
        <w:jc w:val="both"/>
        <w:rPr>
          <w:rFonts w:asciiTheme="minorHAnsi" w:hAnsiTheme="minorHAnsi" w:cstheme="minorHAnsi"/>
          <w:sz w:val="22"/>
          <w:szCs w:val="22"/>
        </w:rPr>
      </w:pPr>
    </w:p>
    <w:p w14:paraId="3DECFFE2">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C81FABE">
      <w:pPr>
        <w:pStyle w:val="82"/>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48905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5B3544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50DB1B8F">
      <w:pPr>
        <w:pStyle w:val="370"/>
        <w:spacing w:line="360" w:lineRule="auto"/>
        <w:ind w:left="284"/>
        <w:rPr>
          <w:rFonts w:asciiTheme="minorHAnsi" w:hAnsiTheme="minorHAnsi" w:cstheme="minorHAnsi"/>
          <w:i w:val="0"/>
          <w:color w:val="auto"/>
          <w:sz w:val="22"/>
          <w:szCs w:val="22"/>
        </w:rPr>
      </w:pPr>
      <w:r>
        <w:rPr>
          <w:rFonts w:asciiTheme="minorHAnsi" w:hAnsiTheme="minorHAnsi" w:cstheme="minorHAnsi"/>
          <w:b/>
          <w:i w:val="0"/>
          <w:color w:val="auto"/>
          <w:sz w:val="22"/>
          <w:szCs w:val="22"/>
          <w:u w:val="single"/>
        </w:rPr>
        <w:t xml:space="preserve">PARA TODOS OS ITENS </w:t>
      </w:r>
      <w:r>
        <w:rPr>
          <w:rFonts w:asciiTheme="minorHAnsi" w:hAnsiTheme="minorHAnsi" w:cstheme="minorHAnsi"/>
          <w:i w:val="0"/>
          <w:color w:val="auto"/>
          <w:sz w:val="22"/>
          <w:szCs w:val="22"/>
        </w:rPr>
        <w:t>não será concedido nesta Licitação tratamento favorecido para microempresas, empresas de pequeno porte e figuras equiparadas, nos termos da Lei Complementar nº 123, de 2006, em razão da incidência, no caso, do art. 4º, § 1º da Lei nº 14.133, de 2021.</w:t>
      </w:r>
    </w:p>
    <w:p w14:paraId="487AB3E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A2126A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4CC4DB4B">
      <w:pPr>
        <w:pStyle w:val="82"/>
        <w:numPr>
          <w:ilvl w:val="1"/>
          <w:numId w:val="1"/>
        </w:numPr>
        <w:spacing w:line="360" w:lineRule="auto"/>
        <w:ind w:left="284"/>
        <w:rPr>
          <w:rFonts w:asciiTheme="minorHAnsi" w:hAnsiTheme="minorHAnsi" w:cstheme="minorHAnsi"/>
          <w:sz w:val="22"/>
          <w:szCs w:val="22"/>
        </w:rPr>
      </w:pPr>
      <w:bookmarkStart w:id="3" w:name="_Ref117000692"/>
      <w:r>
        <w:rPr>
          <w:rFonts w:asciiTheme="minorHAnsi" w:hAnsiTheme="minorHAnsi" w:cstheme="minorHAnsi"/>
          <w:sz w:val="22"/>
          <w:szCs w:val="22"/>
        </w:rPr>
        <w:t>Não poderão disputar esta licitação:</w:t>
      </w:r>
      <w:bookmarkEnd w:id="3"/>
    </w:p>
    <w:p w14:paraId="371D9D3F">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4" w:name="_Ref113883338"/>
      <w:r>
        <w:rPr>
          <w:rFonts w:asciiTheme="minorHAnsi" w:hAnsiTheme="minorHAnsi" w:cstheme="minorHAnsi"/>
          <w:color w:val="auto"/>
          <w:sz w:val="22"/>
          <w:szCs w:val="22"/>
        </w:rPr>
        <w:t>aquele que não atenda às condições deste Edital e seu(s) anexo(s);</w:t>
      </w:r>
    </w:p>
    <w:p w14:paraId="06263AEE">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5"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4"/>
      <w:bookmarkEnd w:id="5"/>
    </w:p>
    <w:p w14:paraId="03EA1782">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3"/>
      <w:bookmarkStart w:id="7" w:name="_Ref113883339"/>
      <w:bookmarkStart w:id="8"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Pr>
          <w:rFonts w:asciiTheme="minorHAnsi" w:hAnsiTheme="minorHAnsi" w:cstheme="minorHAnsi"/>
          <w:color w:val="auto"/>
          <w:sz w:val="22"/>
          <w:szCs w:val="22"/>
        </w:rPr>
        <w:t xml:space="preserve"> </w:t>
      </w:r>
      <w:bookmarkEnd w:id="7"/>
    </w:p>
    <w:p w14:paraId="7A77B21A">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8"/>
    </w:p>
    <w:p w14:paraId="5CF87B1E">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2"/>
        <w:numPr>
          <w:ilvl w:val="2"/>
          <w:numId w:val="1"/>
        </w:numPr>
        <w:tabs>
          <w:tab w:val="clear" w:pos="360"/>
        </w:tabs>
        <w:spacing w:line="360" w:lineRule="auto"/>
        <w:ind w:left="284"/>
        <w:rPr>
          <w:rFonts w:asciiTheme="minorHAnsi" w:hAnsiTheme="minorHAnsi" w:cstheme="minorHAnsi"/>
          <w:sz w:val="22"/>
          <w:szCs w:val="22"/>
        </w:rPr>
      </w:pPr>
      <w:bookmarkStart w:id="9" w:name="_Ref113883579"/>
      <w:r>
        <w:rPr>
          <w:rFonts w:asciiTheme="minorHAnsi" w:hAnsiTheme="minorHAnsi" w:cstheme="minorHAnsi"/>
          <w:sz w:val="22"/>
          <w:szCs w:val="22"/>
        </w:rPr>
        <w:t>empresas controladoras, controladas ou coligadas, nos termos da Lei nº 6.404, de 15 de dezembro de 1976, concorrendo entre si;</w:t>
      </w:r>
      <w:bookmarkEnd w:id="9"/>
    </w:p>
    <w:p w14:paraId="3A8A6E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2"/>
        <w:numPr>
          <w:ilvl w:val="2"/>
          <w:numId w:val="1"/>
        </w:numPr>
        <w:tabs>
          <w:tab w:val="clear" w:pos="360"/>
        </w:tabs>
        <w:spacing w:line="360" w:lineRule="auto"/>
        <w:ind w:left="284"/>
        <w:rPr>
          <w:rFonts w:asciiTheme="minorHAnsi" w:hAnsiTheme="minorHAnsi" w:cstheme="minorHAnsi"/>
          <w:sz w:val="22"/>
          <w:szCs w:val="22"/>
        </w:rPr>
      </w:pPr>
      <w:bookmarkStart w:id="10" w:name="_Ref113962336"/>
      <w:r>
        <w:rPr>
          <w:rFonts w:asciiTheme="minorHAnsi" w:hAnsiTheme="minorHAnsi" w:cstheme="minorHAnsi"/>
          <w:sz w:val="22"/>
          <w:szCs w:val="22"/>
        </w:rPr>
        <w:t>agente público do órgão ou entidade licitante;</w:t>
      </w:r>
      <w:bookmarkEnd w:id="10"/>
    </w:p>
    <w:p w14:paraId="4AF814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2"/>
        <w:numPr>
          <w:ilvl w:val="1"/>
          <w:numId w:val="1"/>
        </w:numPr>
        <w:spacing w:line="360" w:lineRule="auto"/>
        <w:ind w:left="284"/>
        <w:rPr>
          <w:rFonts w:asciiTheme="minorHAnsi" w:hAnsiTheme="minorHAnsi" w:cstheme="minorHAnsi"/>
          <w:sz w:val="22"/>
          <w:szCs w:val="22"/>
        </w:rPr>
      </w:pPr>
      <w:bookmarkStart w:id="11" w:name="art14§2"/>
      <w:bookmarkEnd w:id="11"/>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2"/>
        <w:numPr>
          <w:ilvl w:val="1"/>
          <w:numId w:val="1"/>
        </w:numPr>
        <w:spacing w:line="360" w:lineRule="auto"/>
        <w:ind w:left="284"/>
        <w:rPr>
          <w:rFonts w:asciiTheme="minorHAnsi" w:hAnsiTheme="minorHAnsi" w:cstheme="minorHAnsi"/>
          <w:sz w:val="22"/>
          <w:szCs w:val="22"/>
        </w:rPr>
      </w:pPr>
      <w:bookmarkStart w:id="12" w:name="art14§3"/>
      <w:bookmarkEnd w:id="12"/>
      <w:r>
        <w:rPr>
          <w:rFonts w:asciiTheme="minorHAnsi" w:hAnsiTheme="minorHAnsi" w:cstheme="minorHAnsi"/>
          <w:sz w:val="22"/>
          <w:szCs w:val="22"/>
        </w:rPr>
        <w:t>Equiparam-se aos autores do projeto as empresas integrantes do mesmo grupo econômico.</w:t>
      </w:r>
    </w:p>
    <w:p w14:paraId="2333D688">
      <w:pPr>
        <w:pStyle w:val="82"/>
        <w:numPr>
          <w:ilvl w:val="1"/>
          <w:numId w:val="1"/>
        </w:numPr>
        <w:spacing w:line="360" w:lineRule="auto"/>
        <w:ind w:left="284"/>
        <w:rPr>
          <w:rFonts w:asciiTheme="minorHAnsi" w:hAnsiTheme="minorHAnsi" w:cstheme="minorHAnsi"/>
          <w:sz w:val="22"/>
          <w:szCs w:val="22"/>
        </w:rPr>
      </w:pPr>
      <w:bookmarkStart w:id="13" w:name="art14§4"/>
      <w:bookmarkEnd w:id="13"/>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2"/>
        <w:numPr>
          <w:ilvl w:val="1"/>
          <w:numId w:val="1"/>
        </w:numPr>
        <w:spacing w:line="360" w:lineRule="auto"/>
        <w:ind w:left="284"/>
        <w:rPr>
          <w:rFonts w:asciiTheme="minorHAnsi" w:hAnsiTheme="minorHAnsi" w:cstheme="minorHAnsi"/>
          <w:sz w:val="22"/>
          <w:szCs w:val="22"/>
        </w:rPr>
      </w:pPr>
      <w:bookmarkStart w:id="14" w:name="art14§5"/>
      <w:bookmarkEnd w:id="14"/>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BE0CD8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5" w:name="_Toc193719193"/>
      <w:bookmarkStart w:id="16" w:name="_Toc135469226"/>
    </w:p>
    <w:p w14:paraId="77444258">
      <w:pPr>
        <w:pStyle w:val="82"/>
        <w:numPr>
          <w:ilvl w:val="0"/>
          <w:numId w:val="1"/>
        </w:numPr>
        <w:spacing w:line="360" w:lineRule="auto"/>
        <w:ind w:left="426"/>
        <w:rPr>
          <w:rFonts w:asciiTheme="minorHAnsi" w:hAnsiTheme="minorHAnsi" w:cstheme="minorHAnsi"/>
          <w:b/>
          <w:sz w:val="22"/>
          <w:szCs w:val="22"/>
        </w:rPr>
      </w:pPr>
      <w:r>
        <w:rPr>
          <w:rFonts w:asciiTheme="minorHAnsi" w:hAnsiTheme="minorHAnsi" w:cstheme="minorHAnsi"/>
          <w:b/>
          <w:color w:val="FF0000"/>
          <w:sz w:val="22"/>
          <w:szCs w:val="22"/>
        </w:rPr>
        <w:t>DO ORÇAMENTO ESTIMADO</w:t>
      </w:r>
      <w:bookmarkEnd w:id="15"/>
      <w:r>
        <w:rPr>
          <w:rFonts w:asciiTheme="minorHAnsi" w:hAnsiTheme="minorHAnsi" w:cstheme="minorHAnsi"/>
          <w:b/>
          <w:color w:val="FF0000"/>
          <w:sz w:val="22"/>
          <w:szCs w:val="22"/>
        </w:rPr>
        <w:t xml:space="preserve"> </w:t>
      </w:r>
    </w:p>
    <w:p w14:paraId="10B22DC5">
      <w:pPr>
        <w:pStyle w:val="370"/>
        <w:ind w:left="426"/>
        <w:rPr>
          <w:rFonts w:asciiTheme="minorHAnsi" w:hAnsiTheme="minorHAnsi" w:cstheme="minorHAnsi"/>
          <w:i w:val="0"/>
          <w:sz w:val="22"/>
          <w:szCs w:val="22"/>
        </w:rPr>
      </w:pPr>
      <w:r>
        <w:rPr>
          <w:rFonts w:asciiTheme="minorHAnsi" w:hAnsiTheme="minorHAnsi" w:cstheme="minorHAnsi"/>
          <w:i w:val="0"/>
          <w:sz w:val="22"/>
          <w:szCs w:val="22"/>
        </w:rPr>
        <w:t>O orçamento estimado da presente contratação não será de caráter sigiloso.</w:t>
      </w:r>
    </w:p>
    <w:p w14:paraId="6F1782F9">
      <w:pPr>
        <w:pStyle w:val="82"/>
        <w:spacing w:line="360" w:lineRule="auto"/>
        <w:ind w:left="284"/>
        <w:rPr>
          <w:rFonts w:asciiTheme="minorHAnsi" w:hAnsiTheme="minorHAnsi" w:cstheme="minorHAnsi"/>
          <w:sz w:val="22"/>
          <w:szCs w:val="22"/>
        </w:rPr>
      </w:pPr>
    </w:p>
    <w:p w14:paraId="5E1559E7">
      <w:pPr>
        <w:pStyle w:val="82"/>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70"/>
        <w:autoSpaceDE/>
        <w:autoSpaceDN/>
        <w:adjustRightInd/>
        <w:spacing w:line="360" w:lineRule="auto"/>
        <w:ind w:left="284"/>
        <w:rPr>
          <w:rFonts w:asciiTheme="minorHAnsi" w:hAnsiTheme="minorHAnsi" w:cstheme="minorHAnsi"/>
          <w:i w:val="0"/>
          <w:sz w:val="22"/>
          <w:szCs w:val="22"/>
        </w:rPr>
      </w:pPr>
      <w:bookmarkStart w:id="17" w:name="_Ref113886867"/>
      <w:r>
        <w:rPr>
          <w:rFonts w:asciiTheme="minorHAnsi" w:hAnsiTheme="minorHAnsi" w:cstheme="minorHAnsi"/>
          <w:i w:val="0"/>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2"/>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E35A8AE">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color w:val="000000"/>
        </w:rPr>
        <w:fldChar w:fldCharType="begin"/>
      </w:r>
      <w:r>
        <w:rPr>
          <w:rFonts w:asciiTheme="minorHAnsi" w:hAnsiTheme="minorHAnsi" w:cstheme="minorHAnsi"/>
          <w:sz w:val="22"/>
          <w:szCs w:val="22"/>
        </w:rPr>
        <w:instrText xml:space="preserve">HYPERLINK "https://www.planalto.gov.br/ccivil_03/leis/lcp/lcp123.htm" \l "art42"</w:instrText>
      </w:r>
      <w:r>
        <w:rPr>
          <w:color w:val="000000"/>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2"/>
        <w:numPr>
          <w:ilvl w:val="2"/>
          <w:numId w:val="1"/>
        </w:numPr>
        <w:tabs>
          <w:tab w:val="clear" w:pos="360"/>
        </w:tabs>
        <w:spacing w:line="360" w:lineRule="auto"/>
        <w:ind w:left="709"/>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709"/>
        <w:rPr>
          <w:rFonts w:asciiTheme="minorHAnsi" w:hAnsiTheme="minorHAnsi" w:cstheme="minorHAnsi"/>
          <w:color w:val="auto"/>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38A203A3">
      <w:pPr>
        <w:pStyle w:val="370"/>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Não poderá se beneficiar do tratamento jurídico diferenciado estabelecido nos arts. 42 a 49 da Lei Complementar nº 123, de 2006, a pessoa jurídica:</w:t>
      </w:r>
    </w:p>
    <w:p w14:paraId="3A726805">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 cujo capital participe outra pessoa jurídica;</w:t>
      </w:r>
    </w:p>
    <w:p w14:paraId="520D5F8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seja filial, sucursal, agência ou representação, no País, de pessoa jurídica com sede no exterior;</w:t>
      </w:r>
    </w:p>
    <w:p w14:paraId="6617BF52">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3813ACD8">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 titular ou sócio participe com mais de 10% (dez por cento) do capital de outra empresa não beneficiada pela Lei Complementar nº 123, de 2006, desde que a receita bruta global ultrapasse o limite de que trata o inciso II do art. 3º da referida lei;</w:t>
      </w:r>
    </w:p>
    <w:p w14:paraId="65DA9E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 sócio ou titular seja administrador ou equiparado de outra pessoa jurídica com fins lucrativos, desde que a receita bruta global ultrapasse o limite de que trata o inciso II do art. 3º da referida lei;</w:t>
      </w:r>
    </w:p>
    <w:p w14:paraId="0EF4128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constituída sob a forma de cooperativas, salvo as de consumo;</w:t>
      </w:r>
    </w:p>
    <w:p w14:paraId="44776C28">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participe do capital de outra pessoa jurídica;</w:t>
      </w:r>
    </w:p>
    <w:p w14:paraId="347D0D5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3C751E5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resultante ou remanescente de cisão ou qualquer outra forma de desmembramento de pessoa jurídica que tenha ocorrido em um dos 5 (cinco) anos-calendário anteriores;</w:t>
      </w:r>
    </w:p>
    <w:p w14:paraId="7419CCBD">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constituída sob a forma de sociedade por ações.</w:t>
      </w:r>
    </w:p>
    <w:p w14:paraId="1CD0666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cujos titulares ou sócios guardem, cumulativamente, com o contratante do serviço, relação de pessoalidade, subordinação e habitualidade.</w:t>
      </w:r>
    </w:p>
    <w:p w14:paraId="122DA7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5.12</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655C92D">
      <w:pPr>
        <w:pStyle w:val="82"/>
        <w:spacing w:line="360" w:lineRule="auto"/>
        <w:ind w:left="284"/>
        <w:rPr>
          <w:rFonts w:asciiTheme="minorHAnsi" w:hAnsiTheme="minorHAnsi" w:cstheme="minorHAnsi"/>
          <w:sz w:val="22"/>
          <w:szCs w:val="22"/>
        </w:rPr>
      </w:pPr>
    </w:p>
    <w:p w14:paraId="469191BD">
      <w:pPr>
        <w:pStyle w:val="82"/>
        <w:spacing w:line="360" w:lineRule="auto"/>
        <w:ind w:left="284"/>
        <w:rPr>
          <w:rFonts w:asciiTheme="minorHAnsi" w:hAnsiTheme="minorHAnsi" w:cstheme="minorHAnsi"/>
          <w:sz w:val="22"/>
          <w:szCs w:val="22"/>
        </w:rPr>
      </w:pPr>
    </w:p>
    <w:p w14:paraId="275359E3">
      <w:pPr>
        <w:pStyle w:val="82"/>
        <w:spacing w:line="360" w:lineRule="auto"/>
        <w:ind w:left="284"/>
        <w:rPr>
          <w:rFonts w:asciiTheme="minorHAnsi" w:hAnsiTheme="minorHAnsi" w:cstheme="minorHAnsi"/>
          <w:sz w:val="22"/>
          <w:szCs w:val="22"/>
        </w:rPr>
      </w:pPr>
    </w:p>
    <w:p w14:paraId="1E1104D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107A0C50">
      <w:pPr>
        <w:pStyle w:val="82"/>
        <w:numPr>
          <w:ilvl w:val="1"/>
          <w:numId w:val="1"/>
        </w:numPr>
        <w:spacing w:line="360" w:lineRule="auto"/>
        <w:ind w:left="284"/>
        <w:rPr>
          <w:rFonts w:asciiTheme="minorHAnsi" w:hAnsiTheme="minorHAnsi" w:cstheme="minorHAnsi"/>
          <w:color w:val="FF0000"/>
          <w:sz w:val="22"/>
          <w:szCs w:val="22"/>
        </w:rPr>
      </w:pPr>
      <w:r>
        <w:rPr>
          <w:rFonts w:asciiTheme="minorHAnsi" w:hAnsiTheme="minorHAnsi" w:cstheme="minorHAnsi"/>
          <w:sz w:val="22"/>
          <w:szCs w:val="22"/>
        </w:rPr>
        <w:t>Quantidade cotada, devendo respeitar o mínimo</w:t>
      </w:r>
      <w:r>
        <w:rPr>
          <w:rFonts w:asciiTheme="minorHAnsi" w:hAnsiTheme="minorHAnsi" w:cstheme="minorHAnsi"/>
          <w:b/>
          <w:sz w:val="22"/>
          <w:szCs w:val="22"/>
        </w:rPr>
        <w:t xml:space="preserve"> </w:t>
      </w:r>
      <w:r>
        <w:rPr>
          <w:rFonts w:asciiTheme="minorHAnsi" w:hAnsiTheme="minorHAnsi" w:cstheme="minorHAnsi"/>
          <w:b/>
          <w:color w:val="FF0000"/>
          <w:sz w:val="22"/>
          <w:szCs w:val="22"/>
          <w:u w:val="single"/>
        </w:rPr>
        <w:t>de 100% do item.</w:t>
      </w:r>
    </w:p>
    <w:p w14:paraId="3ED1F96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color w:val="auto"/>
          <w:sz w:val="22"/>
          <w:szCs w:val="22"/>
        </w:rPr>
        <w:t xml:space="preserve">a </w:t>
      </w:r>
      <w:r>
        <w:rPr>
          <w:rFonts w:asciiTheme="minorHAnsi" w:hAnsiTheme="minorHAnsi" w:cstheme="minorHAnsi"/>
          <w:b/>
          <w:bCs/>
          <w:color w:val="auto"/>
          <w:sz w:val="22"/>
          <w:szCs w:val="22"/>
        </w:rPr>
        <w:t>60 (sessenta)</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2"/>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2"/>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rPr>
        <w:t>de valor</w:t>
      </w:r>
      <w:r>
        <w:rPr>
          <w:rFonts w:asciiTheme="minorHAnsi" w:hAnsiTheme="minorHAnsi" w:cstheme="minorHAnsi"/>
          <w:b/>
          <w:sz w:val="22"/>
          <w:szCs w:val="22"/>
        </w:rPr>
        <w:t xml:space="preserve"> </w:t>
      </w:r>
      <w:r>
        <w:rPr>
          <w:rFonts w:asciiTheme="minorHAnsi" w:hAnsiTheme="minorHAnsi" w:cstheme="minorHAnsi"/>
          <w:b/>
          <w:iCs/>
          <w:sz w:val="22"/>
          <w:szCs w:val="22"/>
        </w:rPr>
        <w:t>inferior</w:t>
      </w:r>
      <w:r>
        <w:rPr>
          <w:rFonts w:asciiTheme="minorHAnsi" w:hAnsiTheme="minorHAnsi" w:cstheme="minorHAnsi"/>
          <w:sz w:val="22"/>
          <w:szCs w:val="22"/>
        </w:rPr>
        <w:t xml:space="preserve"> ao último por ele ofertado e registrado pelo sistema. </w:t>
      </w:r>
    </w:p>
    <w:p w14:paraId="62015C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color w:val="00B0F0"/>
          <w:sz w:val="22"/>
          <w:szCs w:val="22"/>
        </w:rPr>
        <w:t>R$ 0,01.</w:t>
      </w:r>
    </w:p>
    <w:p w14:paraId="4E2DB43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2"/>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2"/>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7790D9E">
      <w:pPr>
        <w:pStyle w:val="332"/>
        <w:numPr>
          <w:ilvl w:val="2"/>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 xml:space="preserve">Não havendo novos lances na forma estabelecida nos itens anteriores, a sessão pública encerrar-se-á automaticamente, e o sistema ordenará e divulgará os lances conforme a ordem final de classificação, </w:t>
      </w:r>
      <w:r>
        <w:rPr>
          <w:rFonts w:asciiTheme="minorHAnsi" w:hAnsiTheme="minorHAnsi" w:cstheme="minorHAnsi"/>
          <w:b/>
          <w:sz w:val="22"/>
          <w:szCs w:val="22"/>
          <w:u w:val="single"/>
        </w:rPr>
        <w:t>sem prejuízo da aplicação da margem de preferência e do desempate ficto, conforme disposto neste edital, quando for o caso.</w:t>
      </w:r>
    </w:p>
    <w:p w14:paraId="3C83177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475EECE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Ao final da fase de lances, será aplicado o benefício da margem de preferência, nos termos do art. 26 da Lei 14133/21.</w:t>
      </w:r>
    </w:p>
    <w:p w14:paraId="1FB39B9C">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486577E7">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 xml:space="preserve">Nestas situações, a proposta beneficiada pela aplicação da margem de preferência normal ou adicional, conforme o caso, tornar-se-á a proposta classificada em primeiro lugar. </w:t>
      </w:r>
    </w:p>
    <w:p w14:paraId="6B8BB07D">
      <w:pPr>
        <w:pStyle w:val="82"/>
        <w:numPr>
          <w:ilvl w:val="1"/>
          <w:numId w:val="1"/>
        </w:numPr>
        <w:spacing w:line="360" w:lineRule="auto"/>
        <w:ind w:left="284"/>
        <w:rPr>
          <w:rFonts w:eastAsia="Zurich BT"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eastAsia="Zurich BT" w:asciiTheme="minorHAnsi" w:hAnsiTheme="minorHAnsi" w:cstheme="minorHAnsi"/>
          <w:sz w:val="22"/>
          <w:szCs w:val="22"/>
        </w:rPr>
        <w:t>arts. 44 e 45 da Lei Complementar nº 123, de 2006</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Fonts w:eastAsia="Zurich BT" w:asciiTheme="minorHAnsi" w:hAnsiTheme="minorHAnsi" w:cstheme="minorHAnsi"/>
          <w:sz w:val="22"/>
          <w:szCs w:val="22"/>
        </w:rPr>
        <w:t>Decreto nº 8.538, de 2015</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02AF7A41">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20F1BF32">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O parâmetro para o empate ficto, nesse caso, consistirá no preço ofertado pela fornecedora classificada em primeiro lugar em razão da aplicação da margem de preferência.</w:t>
      </w:r>
    </w:p>
    <w:p w14:paraId="4A75275E">
      <w:pPr>
        <w:pStyle w:val="82"/>
        <w:numPr>
          <w:ilvl w:val="1"/>
          <w:numId w:val="1"/>
        </w:numPr>
        <w:spacing w:line="360" w:lineRule="auto"/>
        <w:ind w:left="284"/>
        <w:rPr>
          <w:rFonts w:eastAsia="Zurich BT" w:asciiTheme="minorHAnsi" w:hAnsiTheme="minorHAnsi" w:cstheme="minorHAnsi"/>
          <w:sz w:val="22"/>
          <w:szCs w:val="22"/>
        </w:rPr>
      </w:pPr>
      <w:r>
        <w:rPr>
          <w:rFonts w:eastAsia="Zurich BT" w:asciiTheme="minorHAnsi" w:hAnsiTheme="minorHAnsi" w:cstheme="minorHAnsi"/>
          <w:sz w:val="22"/>
          <w:szCs w:val="22"/>
        </w:rPr>
        <w:t>Nessas condições, as propostas de microempresas e empresas de pequeno porte que se encontrarem na faixa de até 5% (cinco por cento) acima da melhor proposta ou melhor lance serão consideradas empatadas com a primeira colocada.</w:t>
      </w:r>
    </w:p>
    <w:p w14:paraId="0B742F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licitante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3"/>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3"/>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3"/>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3"/>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6D8140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Tratando-se de licitação em grupo, a contratação posterior de item específico do grupo exigirá prévia pesquisa de mercado e demonstração de sua vantagem para o órgão ou a entidade.</w:t>
      </w:r>
    </w:p>
    <w:p w14:paraId="64BA539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00B050"/>
          <w:sz w:val="22"/>
          <w:szCs w:val="22"/>
        </w:rPr>
        <w:t>de 2 (duas) horas</w:t>
      </w:r>
      <w:r>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2"/>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206B9AB7">
      <w:pPr>
        <w:pStyle w:val="82"/>
        <w:spacing w:line="360" w:lineRule="auto"/>
        <w:ind w:left="284"/>
        <w:rPr>
          <w:rFonts w:eastAsia="Times New Roman" w:asciiTheme="minorHAnsi" w:hAnsiTheme="minorHAnsi" w:cstheme="minorHAnsi"/>
          <w:sz w:val="22"/>
          <w:szCs w:val="22"/>
        </w:rPr>
      </w:pPr>
    </w:p>
    <w:p w14:paraId="2D13A03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2"/>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2"/>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2"/>
        <w:spacing w:line="360" w:lineRule="auto"/>
        <w:ind w:left="284"/>
        <w:rPr>
          <w:rFonts w:asciiTheme="minorHAnsi" w:hAnsiTheme="minorHAnsi" w:cstheme="minorHAnsi"/>
          <w:b/>
          <w:sz w:val="22"/>
          <w:szCs w:val="22"/>
        </w:rPr>
      </w:pPr>
    </w:p>
    <w:p w14:paraId="74F13300">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00B050"/>
          <w:sz w:val="22"/>
          <w:szCs w:val="22"/>
        </w:rPr>
        <w:t>2 (duas) horas</w:t>
      </w:r>
      <w:r>
        <w:rPr>
          <w:rFonts w:asciiTheme="minorHAnsi" w:hAnsiTheme="minorHAnsi" w:cstheme="minorHAnsi"/>
          <w:color w:val="00B050"/>
          <w:sz w:val="22"/>
          <w:szCs w:val="22"/>
        </w:rPr>
        <w:t xml:space="preserve"> </w:t>
      </w:r>
      <w:r>
        <w:rPr>
          <w:rFonts w:asciiTheme="minorHAnsi" w:hAnsiTheme="minorHAnsi" w:cstheme="minorHAnsi"/>
          <w:color w:val="auto"/>
          <w:sz w:val="22"/>
          <w:szCs w:val="22"/>
        </w:rPr>
        <w:t>prorrogável</w:t>
      </w:r>
      <w:r>
        <w:rPr>
          <w:rFonts w:asciiTheme="minorHAnsi" w:hAnsiTheme="minorHAnsi" w:cstheme="minorHAnsi"/>
          <w:sz w:val="22"/>
          <w:szCs w:val="22"/>
        </w:rPr>
        <w:t xml:space="preserve"> por igual período, contado da solicitação do pregoeiro.</w:t>
      </w:r>
      <w:bookmarkEnd w:id="35"/>
    </w:p>
    <w:p w14:paraId="0DB9C188">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2"/>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2"/>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9.12.1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2"/>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2"/>
        <w:spacing w:line="360" w:lineRule="auto"/>
        <w:ind w:left="284"/>
        <w:rPr>
          <w:rFonts w:asciiTheme="minorHAnsi" w:hAnsiTheme="minorHAnsi" w:cstheme="minorHAnsi"/>
          <w:sz w:val="22"/>
          <w:szCs w:val="22"/>
        </w:rPr>
      </w:pPr>
    </w:p>
    <w:p w14:paraId="39120D67">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color w:val="00B0F0"/>
          <w:sz w:val="22"/>
          <w:szCs w:val="22"/>
        </w:rPr>
        <w:t>5 (cinco) dias,</w:t>
      </w:r>
      <w:r>
        <w:rPr>
          <w:rFonts w:asciiTheme="minorHAnsi" w:hAnsiTheme="minorHAnsi" w:cstheme="minorHAnsi"/>
          <w:color w:val="00B0F0"/>
          <w:sz w:val="22"/>
          <w:szCs w:val="22"/>
        </w:rPr>
        <w:t xml:space="preserve"> </w:t>
      </w:r>
      <w:r>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D72CC6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5A48E8C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vigência da ata de registro de preços será de 1 (um) ano e poderá ser prorrogado, por igual período, desde que comprovado o preço vantajoso.</w:t>
      </w:r>
    </w:p>
    <w:p w14:paraId="3A17728A">
      <w:pPr>
        <w:pStyle w:val="363"/>
        <w:rPr>
          <w:rFonts w:asciiTheme="minorHAnsi" w:hAnsiTheme="minorHAnsi" w:cstheme="minorHAnsi"/>
          <w:i w:val="0"/>
          <w:sz w:val="22"/>
          <w:szCs w:val="22"/>
        </w:rPr>
      </w:pPr>
      <w:r>
        <w:rPr>
          <w:rFonts w:asciiTheme="minorHAnsi" w:hAnsiTheme="minorHAnsi" w:cstheme="minorHAnsi"/>
          <w:i w:val="0"/>
          <w:sz w:val="22"/>
          <w:szCs w:val="22"/>
        </w:rPr>
        <w:t>Em caso de prorrogação da ata</w:t>
      </w:r>
      <w:r>
        <w:rPr>
          <w:rFonts w:asciiTheme="minorHAnsi" w:hAnsiTheme="minorHAnsi" w:cstheme="minorHAnsi"/>
          <w:b/>
          <w:bCs/>
          <w:i w:val="0"/>
          <w:sz w:val="22"/>
          <w:szCs w:val="22"/>
        </w:rPr>
        <w:t xml:space="preserve"> [não poderá]</w:t>
      </w:r>
      <w:r>
        <w:rPr>
          <w:rFonts w:asciiTheme="minorHAnsi" w:hAnsiTheme="minorHAnsi" w:cstheme="minorHAnsi"/>
          <w:i w:val="0"/>
          <w:sz w:val="22"/>
          <w:szCs w:val="22"/>
        </w:rPr>
        <w:t xml:space="preserve"> ser renovado o quantitativo originalmente registrado.</w:t>
      </w:r>
    </w:p>
    <w:p w14:paraId="4EA5B0EA">
      <w:pPr>
        <w:pStyle w:val="82"/>
        <w:spacing w:line="360" w:lineRule="auto"/>
        <w:ind w:left="284"/>
        <w:rPr>
          <w:rFonts w:asciiTheme="minorHAnsi" w:hAnsiTheme="minorHAnsi" w:cstheme="minorHAnsi"/>
          <w:sz w:val="22"/>
          <w:szCs w:val="22"/>
        </w:rPr>
      </w:pPr>
    </w:p>
    <w:p w14:paraId="439E9CA6">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33FC42D9">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w:t>
      </w:r>
      <w:r>
        <w:rPr>
          <w:rFonts w:asciiTheme="minorHAnsi" w:hAnsiTheme="minorHAnsi" w:cstheme="minorHAnsi"/>
          <w:b/>
          <w:i w:val="0"/>
          <w:color w:val="auto"/>
          <w:sz w:val="22"/>
          <w:szCs w:val="22"/>
          <w:u w:val="single"/>
        </w:rPr>
        <w:t xml:space="preserve">e excluído o percentual referente à margem de preferência, quando o objeto não atender aos requisitos previstos no art. 26 da Lei nº 14.133, de 2021; </w:t>
      </w:r>
      <w:r>
        <w:rPr>
          <w:rFonts w:asciiTheme="minorHAnsi" w:hAnsiTheme="minorHAnsi" w:cstheme="minorHAnsi"/>
          <w:i w:val="0"/>
          <w:color w:val="auto"/>
          <w:sz w:val="22"/>
          <w:szCs w:val="22"/>
        </w:rPr>
        <w:t xml:space="preserve">e </w:t>
      </w:r>
    </w:p>
    <w:p w14:paraId="2DE59003">
      <w:pPr>
        <w:pStyle w:val="363"/>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3"/>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450D866">
      <w:pPr>
        <w:pStyle w:val="363"/>
        <w:numPr>
          <w:ilvl w:val="0"/>
          <w:numId w:val="0"/>
        </w:numPr>
        <w:spacing w:line="360" w:lineRule="auto"/>
        <w:ind w:left="284"/>
        <w:rPr>
          <w:rFonts w:asciiTheme="minorHAnsi" w:hAnsiTheme="minorHAnsi" w:cstheme="minorHAnsi"/>
          <w:i w:val="0"/>
          <w:color w:val="auto"/>
          <w:sz w:val="22"/>
          <w:szCs w:val="22"/>
        </w:rPr>
      </w:pPr>
    </w:p>
    <w:p w14:paraId="4C8E8969">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3"/>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00B050"/>
          <w:sz w:val="22"/>
          <w:szCs w:val="22"/>
        </w:rPr>
        <w:t>30 (trinta) minutos.</w:t>
      </w:r>
    </w:p>
    <w:bookmarkEnd w:id="45"/>
    <w:p w14:paraId="1B3937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color w:val="FF0000"/>
          <w:sz w:val="22"/>
          <w:szCs w:val="22"/>
        </w:rPr>
        <w:fldChar w:fldCharType="begin"/>
      </w:r>
      <w:r>
        <w:rPr>
          <w:rFonts w:asciiTheme="minorHAnsi" w:hAnsiTheme="minorHAnsi" w:cstheme="minorHAnsi"/>
          <w:b/>
          <w:i/>
          <w:iCs/>
          <w:color w:val="FF0000"/>
          <w:sz w:val="22"/>
          <w:szCs w:val="22"/>
        </w:rPr>
        <w:instrText xml:space="preserve"> HYPERLINK "https://sipac.ufba.br/public/jsp/portal.jsf" </w:instrText>
      </w:r>
      <w:r>
        <w:rPr>
          <w:rFonts w:asciiTheme="minorHAnsi" w:hAnsiTheme="minorHAnsi" w:cstheme="minorHAnsi"/>
          <w:b/>
          <w:i/>
          <w:iCs/>
          <w:color w:val="FF0000"/>
          <w:sz w:val="22"/>
          <w:szCs w:val="22"/>
        </w:rPr>
        <w:fldChar w:fldCharType="separate"/>
      </w:r>
      <w:r>
        <w:rPr>
          <w:rStyle w:val="15"/>
          <w:rFonts w:asciiTheme="minorHAnsi" w:hAnsiTheme="minorHAnsi" w:cstheme="minorHAnsi"/>
          <w:b/>
          <w:color w:val="FF0000"/>
          <w:sz w:val="22"/>
          <w:szCs w:val="22"/>
        </w:rPr>
        <w:t>https://sipac.ufba.br/public/jsp/portal.jsf</w:t>
      </w:r>
      <w:r>
        <w:rPr>
          <w:rFonts w:asciiTheme="minorHAnsi" w:hAnsiTheme="minorHAnsi" w:cstheme="minorHAnsi"/>
          <w:b/>
          <w:i/>
          <w:iCs/>
          <w:color w:val="FF0000"/>
          <w:sz w:val="22"/>
          <w:szCs w:val="22"/>
        </w:rPr>
        <w:fldChar w:fldCharType="end"/>
      </w:r>
      <w:r>
        <w:rPr>
          <w:rFonts w:asciiTheme="minorHAnsi" w:hAnsiTheme="minorHAnsi" w:cstheme="minorHAnsi"/>
          <w:b/>
          <w:i/>
          <w:iCs/>
          <w:color w:val="FF0000"/>
          <w:sz w:val="22"/>
          <w:szCs w:val="22"/>
        </w:rPr>
        <w:t>.</w:t>
      </w:r>
    </w:p>
    <w:p w14:paraId="678BB0A1">
      <w:pPr>
        <w:pStyle w:val="82"/>
        <w:spacing w:line="360" w:lineRule="auto"/>
        <w:ind w:left="284"/>
        <w:rPr>
          <w:rFonts w:asciiTheme="minorHAnsi" w:hAnsiTheme="minorHAnsi" w:cstheme="minorHAnsi"/>
          <w:sz w:val="22"/>
          <w:szCs w:val="22"/>
        </w:rPr>
      </w:pPr>
    </w:p>
    <w:p w14:paraId="0C72382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3"/>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3"/>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3"/>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3"/>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3"/>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3"/>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3"/>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3"/>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3"/>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color w:val="00B0F0"/>
          <w:sz w:val="22"/>
          <w:szCs w:val="22"/>
        </w:rPr>
        <w:t>15 (quinze) dias</w:t>
      </w:r>
      <w:r>
        <w:rPr>
          <w:rFonts w:asciiTheme="minorHAnsi" w:hAnsiTheme="minorHAnsi" w:cstheme="minorHAnsi"/>
          <w:b/>
          <w:color w:val="00B0F0"/>
          <w:sz w:val="22"/>
          <w:szCs w:val="22"/>
        </w:rPr>
        <w:t xml:space="preserve"> úteis</w:t>
      </w:r>
      <w:r>
        <w:rPr>
          <w:rFonts w:asciiTheme="minorHAnsi" w:hAnsiTheme="minorHAnsi" w:cstheme="minorHAnsi"/>
          <w:sz w:val="22"/>
          <w:szCs w:val="22"/>
        </w:rPr>
        <w:t xml:space="preserve">, a contar da comunicação oficial. </w:t>
      </w:r>
    </w:p>
    <w:p w14:paraId="3CA8D61D">
      <w:pPr>
        <w:pStyle w:val="363"/>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0,5% a 15%</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bookmarkEnd w:id="56"/>
    <w:p w14:paraId="342AF6B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15% a 30%</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p w14:paraId="6F48B9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 sanção de multa será facultada a defesa do interessado no prazo de 15 (quinze) dias úteis, contado da data de sua intimação.</w:t>
      </w:r>
    </w:p>
    <w:p w14:paraId="1E458E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color w:val="FF0000"/>
          <w:sz w:val="22"/>
          <w:szCs w:val="22"/>
        </w:rPr>
        <w:t>Complexo Hospitalar e de Saúde-CHS/UFBA.</w:t>
      </w:r>
      <w:bookmarkStart w:id="57" w:name="_Toc135469235"/>
    </w:p>
    <w:p w14:paraId="15F7CD39">
      <w:pPr>
        <w:pStyle w:val="82"/>
        <w:spacing w:line="360" w:lineRule="auto"/>
        <w:ind w:left="284"/>
        <w:rPr>
          <w:rFonts w:asciiTheme="minorHAnsi" w:hAnsiTheme="minorHAnsi" w:cstheme="minorHAnsi"/>
          <w:sz w:val="22"/>
          <w:szCs w:val="22"/>
        </w:rPr>
      </w:pPr>
    </w:p>
    <w:p w14:paraId="06E51F4B">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color w:val="FF0000"/>
          <w:sz w:val="22"/>
          <w:szCs w:val="22"/>
          <w:u w:val="none"/>
        </w:rPr>
        <w:t>licitacaosiunis@ufba.br</w:t>
      </w:r>
      <w:r>
        <w:rPr>
          <w:rStyle w:val="15"/>
          <w:rFonts w:asciiTheme="minorHAnsi" w:hAnsiTheme="minorHAnsi" w:cstheme="minorHAnsi"/>
          <w:b/>
          <w:color w:val="FF0000"/>
          <w:sz w:val="22"/>
          <w:szCs w:val="22"/>
          <w:u w:val="none"/>
        </w:rPr>
        <w:fldChar w:fldCharType="end"/>
      </w:r>
      <w:r>
        <w:rPr>
          <w:rFonts w:asciiTheme="minorHAnsi" w:hAnsiTheme="minorHAnsi" w:cstheme="minorHAnsi"/>
          <w:color w:val="FF0000"/>
          <w:sz w:val="22"/>
          <w:szCs w:val="22"/>
        </w:rPr>
        <w:t xml:space="preserve"> </w:t>
      </w:r>
    </w:p>
    <w:p w14:paraId="40B6CB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1B5D04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color w:val="FF0000"/>
          <w:sz w:val="22"/>
          <w:szCs w:val="22"/>
        </w:rPr>
        <w:t>https://sipac.ufba.br/public/jsp/portal.jsf</w:t>
      </w:r>
      <w:r>
        <w:rPr>
          <w:rStyle w:val="15"/>
          <w:rFonts w:asciiTheme="minorHAnsi" w:hAnsiTheme="minorHAnsi" w:cstheme="minorHAnsi"/>
          <w:b/>
          <w:color w:val="FF0000"/>
          <w:sz w:val="22"/>
          <w:szCs w:val="22"/>
        </w:rPr>
        <w:fldChar w:fldCharType="end"/>
      </w:r>
      <w:r>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3"/>
        <w:spacing w:line="240" w:lineRule="auto"/>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3"/>
        <w:spacing w:line="240" w:lineRule="auto"/>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3"/>
        <w:spacing w:line="24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III – Modelo de Procuração </w:t>
      </w:r>
    </w:p>
    <w:p w14:paraId="507B182F">
      <w:pPr>
        <w:pStyle w:val="363"/>
        <w:spacing w:line="24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IV - Modelo de cadastro para assinatura de Ata de Registro de Preços; </w:t>
      </w:r>
    </w:p>
    <w:p w14:paraId="2A709C2F">
      <w:pPr>
        <w:pStyle w:val="363"/>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09 de junho de 2025</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929C74F">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50B24624">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5877F2E1">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49250E0A">
      <w:pPr>
        <w:widowControl w:val="0"/>
        <w:autoSpaceDE w:val="0"/>
        <w:autoSpaceDN w:val="0"/>
        <w:spacing w:line="360" w:lineRule="auto"/>
        <w:ind w:right="-269"/>
        <w:jc w:val="center"/>
        <w:rPr>
          <w:rFonts w:asciiTheme="minorHAnsi" w:hAnsiTheme="minorHAnsi" w:cstheme="minorHAnsi"/>
          <w:b/>
          <w:sz w:val="22"/>
          <w:szCs w:val="22"/>
          <w:lang w:val="pt-PT" w:eastAsia="en-US"/>
        </w:rPr>
      </w:pPr>
      <w:r>
        <w:rPr>
          <w:rFonts w:asciiTheme="minorHAnsi" w:hAnsiTheme="minorHAnsi" w:cstheme="minorHAnsi"/>
          <w:b/>
          <w:sz w:val="22"/>
          <w:szCs w:val="22"/>
          <w:lang w:val="pt-PT" w:eastAsia="en-US"/>
        </w:rPr>
        <w:t>ANEXO I</w:t>
      </w:r>
    </w:p>
    <w:p w14:paraId="4F6BE025">
      <w:pPr>
        <w:spacing w:line="360" w:lineRule="auto"/>
        <w:ind w:right="140"/>
        <w:jc w:val="center"/>
        <w:rPr>
          <w:rFonts w:asciiTheme="minorHAnsi" w:hAnsiTheme="minorHAnsi" w:cstheme="minorHAnsi"/>
          <w:sz w:val="22"/>
          <w:szCs w:val="22"/>
        </w:rPr>
      </w:pPr>
    </w:p>
    <w:p w14:paraId="53665DF4">
      <w:pPr>
        <w:spacing w:line="360" w:lineRule="auto"/>
        <w:ind w:left="284"/>
        <w:jc w:val="center"/>
        <w:rPr>
          <w:rFonts w:asciiTheme="minorHAnsi" w:hAnsiTheme="minorHAnsi" w:cstheme="minorHAnsi"/>
          <w:b/>
          <w:sz w:val="22"/>
          <w:szCs w:val="22"/>
          <w:u w:val="single"/>
        </w:rPr>
      </w:pPr>
    </w:p>
    <w:p w14:paraId="0FB31ADF">
      <w:pPr>
        <w:spacing w:line="360" w:lineRule="auto"/>
        <w:ind w:right="140"/>
        <w:jc w:val="center"/>
        <w:rPr>
          <w:rFonts w:asciiTheme="minorHAnsi" w:hAnsiTheme="minorHAnsi" w:cstheme="minorHAnsi"/>
          <w:b/>
          <w:sz w:val="22"/>
          <w:szCs w:val="22"/>
          <w:lang w:eastAsia="ar-SA"/>
        </w:rPr>
      </w:pPr>
      <w:bookmarkStart w:id="59" w:name="_Hlk82471863"/>
      <w:r>
        <w:rPr>
          <w:rFonts w:asciiTheme="minorHAnsi" w:hAnsiTheme="minorHAnsi" w:cstheme="minorHAnsi"/>
          <w:b/>
          <w:sz w:val="22"/>
          <w:szCs w:val="22"/>
          <w:lang w:eastAsia="ar-SA"/>
        </w:rPr>
        <w:t>TERMO DE REFERÊNCIA</w:t>
      </w:r>
    </w:p>
    <w:p w14:paraId="651A8FE3">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90054/2025</w:t>
      </w:r>
    </w:p>
    <w:p w14:paraId="470EDE1E">
      <w:pPr>
        <w:spacing w:line="360" w:lineRule="auto"/>
        <w:ind w:right="140"/>
        <w:jc w:val="center"/>
        <w:rPr>
          <w:rFonts w:asciiTheme="minorHAnsi" w:hAnsiTheme="minorHAnsi" w:cstheme="minorHAnsi"/>
          <w:b/>
          <w:sz w:val="22"/>
          <w:szCs w:val="22"/>
          <w:lang w:eastAsia="ar-SA"/>
        </w:rPr>
      </w:pPr>
    </w:p>
    <w:p w14:paraId="206BF8E5">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6938346B">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2C3FD4CC">
      <w:pPr>
        <w:pStyle w:val="65"/>
        <w:rPr>
          <w:rFonts w:asciiTheme="minorHAnsi" w:hAnsiTheme="minorHAnsi" w:cstheme="minorHAnsi"/>
          <w:sz w:val="22"/>
          <w:szCs w:val="22"/>
        </w:rPr>
      </w:pPr>
      <w:r>
        <w:rPr>
          <w:rFonts w:asciiTheme="minorHAnsi" w:hAnsiTheme="minorHAnsi" w:cstheme="minorHAnsi"/>
          <w:sz w:val="22"/>
          <w:szCs w:val="22"/>
        </w:rPr>
        <w:t xml:space="preserve"> </w:t>
      </w:r>
    </w:p>
    <w:p w14:paraId="27D36D7A">
      <w:pPr>
        <w:pStyle w:val="65"/>
        <w:rPr>
          <w:rFonts w:asciiTheme="minorHAnsi" w:hAnsiTheme="minorHAnsi" w:cstheme="minorHAnsi"/>
          <w:sz w:val="22"/>
          <w:szCs w:val="22"/>
        </w:rPr>
      </w:pPr>
    </w:p>
    <w:p w14:paraId="751BB337">
      <w:pPr>
        <w:pStyle w:val="65"/>
        <w:rPr>
          <w:rFonts w:asciiTheme="minorHAnsi" w:hAnsiTheme="minorHAnsi" w:cstheme="minorHAnsi"/>
          <w:sz w:val="22"/>
          <w:szCs w:val="22"/>
          <w:shd w:val="clear" w:color="auto" w:fill="FFFFFF"/>
        </w:rPr>
      </w:pPr>
      <w:r>
        <w:rPr>
          <w:rFonts w:asciiTheme="minorHAnsi" w:hAnsiTheme="minorHAnsi" w:cstheme="minorHAnsi"/>
          <w:sz w:val="22"/>
          <w:szCs w:val="22"/>
        </w:rPr>
        <w:t xml:space="preserve">NÚMERO DO PROCESSO: </w:t>
      </w:r>
      <w:r>
        <w:rPr>
          <w:rFonts w:asciiTheme="minorHAnsi" w:hAnsiTheme="minorHAnsi" w:cstheme="minorHAnsi"/>
          <w:sz w:val="22"/>
          <w:szCs w:val="22"/>
          <w:shd w:val="clear" w:color="auto" w:fill="FFFFFF"/>
        </w:rPr>
        <w:t>23066.028542/2025-44</w:t>
      </w:r>
    </w:p>
    <w:p w14:paraId="42B73346">
      <w:pPr>
        <w:rPr>
          <w:rFonts w:asciiTheme="minorHAnsi" w:hAnsiTheme="minorHAnsi" w:cstheme="minorHAnsi"/>
          <w:sz w:val="22"/>
          <w:szCs w:val="22"/>
        </w:rPr>
      </w:pPr>
    </w:p>
    <w:p w14:paraId="0936ECA9">
      <w:pPr>
        <w:rPr>
          <w:rFonts w:asciiTheme="minorHAnsi" w:hAnsiTheme="minorHAnsi" w:cstheme="minorHAnsi"/>
          <w:sz w:val="22"/>
          <w:szCs w:val="22"/>
        </w:rPr>
      </w:pPr>
    </w:p>
    <w:p w14:paraId="1B21B5E9">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CONDIÇÕES GERAIS DA CONTRATAÇÃO</w:t>
      </w:r>
    </w:p>
    <w:p w14:paraId="774C6D0E">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Registro de preços para eventual aquisição de</w:t>
      </w:r>
      <w:r>
        <w:rPr>
          <w:rFonts w:asciiTheme="minorHAnsi" w:hAnsiTheme="minorHAnsi" w:cstheme="minorHAnsi"/>
          <w:sz w:val="22"/>
          <w:szCs w:val="22"/>
        </w:rPr>
        <w:t xml:space="preserve"> </w:t>
      </w:r>
      <w:r>
        <w:rPr>
          <w:rFonts w:asciiTheme="minorHAnsi" w:hAnsiTheme="minorHAnsi" w:cstheme="minorHAnsi"/>
          <w:b/>
          <w:bCs/>
          <w:sz w:val="22"/>
          <w:szCs w:val="22"/>
          <w:u w:val="single"/>
        </w:rPr>
        <w:t>MEDICAMENTOS, visando atender as necessidades do Hospital Ana Nery, Hospital Universitário Professor Edgard Santos – HUPES e Hospital de Medicina Veterinária Renato Rodemburg de Medeiros Neto, Unidade integrante do Complexo Hospitalar e de Saúde/UFBA, pelo período de 12 (doze) meses, unidade integrante do Complexo Hospitalar e de Saúde/UFBA,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0"/>
        <w:gridCol w:w="913"/>
        <w:gridCol w:w="1728"/>
        <w:gridCol w:w="948"/>
        <w:gridCol w:w="793"/>
        <w:gridCol w:w="791"/>
        <w:gridCol w:w="950"/>
        <w:gridCol w:w="956"/>
        <w:gridCol w:w="1592"/>
        <w:gridCol w:w="1082"/>
      </w:tblGrid>
      <w:tr w14:paraId="1FC9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30" w:hRule="atLeast"/>
        </w:trPr>
        <w:tc>
          <w:tcPr>
            <w:tcW w:w="177" w:type="pct"/>
            <w:shd w:val="clear" w:color="auto" w:fill="A5A5A5" w:themeFill="background1" w:themeFillShade="A6"/>
            <w:noWrap/>
            <w:textDirection w:val="btLr"/>
            <w:vAlign w:val="center"/>
          </w:tcPr>
          <w:p w14:paraId="4A00A1E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ITEM</w:t>
            </w:r>
          </w:p>
        </w:tc>
        <w:tc>
          <w:tcPr>
            <w:tcW w:w="451" w:type="pct"/>
            <w:shd w:val="clear" w:color="auto" w:fill="A5A5A5" w:themeFill="background1" w:themeFillShade="A6"/>
            <w:vAlign w:val="center"/>
          </w:tcPr>
          <w:p w14:paraId="154F0EE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CÓDIGO                             CATMAT</w:t>
            </w:r>
          </w:p>
        </w:tc>
        <w:tc>
          <w:tcPr>
            <w:tcW w:w="854" w:type="pct"/>
            <w:shd w:val="clear" w:color="auto" w:fill="A5A5A5" w:themeFill="background1" w:themeFillShade="A6"/>
            <w:vAlign w:val="center"/>
          </w:tcPr>
          <w:p w14:paraId="14FA94E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ESPECIFICAÇÃO </w:t>
            </w:r>
          </w:p>
        </w:tc>
        <w:tc>
          <w:tcPr>
            <w:tcW w:w="468" w:type="pct"/>
            <w:shd w:val="clear" w:color="auto" w:fill="A5A5A5" w:themeFill="background1" w:themeFillShade="A6"/>
            <w:vAlign w:val="center"/>
          </w:tcPr>
          <w:p w14:paraId="6C2FEAA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U.F</w:t>
            </w:r>
          </w:p>
        </w:tc>
        <w:tc>
          <w:tcPr>
            <w:tcW w:w="392" w:type="pct"/>
            <w:shd w:val="clear" w:color="auto" w:fill="A5A5A5" w:themeFill="background1" w:themeFillShade="A6"/>
            <w:vAlign w:val="center"/>
          </w:tcPr>
          <w:p w14:paraId="0549654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HAN</w:t>
            </w:r>
          </w:p>
        </w:tc>
        <w:tc>
          <w:tcPr>
            <w:tcW w:w="391" w:type="pct"/>
            <w:shd w:val="clear" w:color="auto" w:fill="A5A5A5" w:themeFill="background1" w:themeFillShade="A6"/>
            <w:vAlign w:val="center"/>
          </w:tcPr>
          <w:p w14:paraId="6BC01F0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HUPES</w:t>
            </w:r>
          </w:p>
        </w:tc>
        <w:tc>
          <w:tcPr>
            <w:tcW w:w="469" w:type="pct"/>
            <w:shd w:val="clear" w:color="auto" w:fill="A5A5A5" w:themeFill="background1" w:themeFillShade="A6"/>
            <w:vAlign w:val="center"/>
          </w:tcPr>
          <w:p w14:paraId="44722FA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HOSPMEV</w:t>
            </w:r>
          </w:p>
        </w:tc>
        <w:tc>
          <w:tcPr>
            <w:tcW w:w="472" w:type="pct"/>
            <w:shd w:val="clear" w:color="auto" w:fill="A5A5A5" w:themeFill="background1" w:themeFillShade="A6"/>
            <w:vAlign w:val="center"/>
          </w:tcPr>
          <w:p w14:paraId="6B9AB5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QUANTIDADE TOTAL</w:t>
            </w:r>
          </w:p>
        </w:tc>
        <w:tc>
          <w:tcPr>
            <w:tcW w:w="787" w:type="pct"/>
            <w:shd w:val="clear" w:color="auto" w:fill="A5A5A5" w:themeFill="background1" w:themeFillShade="A6"/>
            <w:vAlign w:val="center"/>
          </w:tcPr>
          <w:p w14:paraId="29307EF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VALOR MÉDIO UNITÁRIO ESTIMADO </w:t>
            </w:r>
          </w:p>
        </w:tc>
        <w:tc>
          <w:tcPr>
            <w:tcW w:w="534" w:type="pct"/>
            <w:shd w:val="clear" w:color="auto" w:fill="A5A5A5" w:themeFill="background1" w:themeFillShade="A6"/>
            <w:vAlign w:val="center"/>
          </w:tcPr>
          <w:p w14:paraId="44843AA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VALOR TOTAL ANUAL ESTIMADO</w:t>
            </w:r>
          </w:p>
        </w:tc>
      </w:tr>
      <w:tr w14:paraId="26D7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000" w:type="pct"/>
            <w:gridSpan w:val="10"/>
            <w:shd w:val="clear" w:color="auto" w:fill="F1F1F1" w:themeFill="background1" w:themeFillShade="F2"/>
            <w:noWrap/>
            <w:vAlign w:val="center"/>
          </w:tcPr>
          <w:p w14:paraId="1F62A81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ITENS DO PROCESSO</w:t>
            </w:r>
          </w:p>
        </w:tc>
      </w:tr>
      <w:tr w14:paraId="26D7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78" w:hRule="atLeast"/>
        </w:trPr>
        <w:tc>
          <w:tcPr>
            <w:tcW w:w="177" w:type="pct"/>
            <w:shd w:val="clear" w:color="FFFFCC" w:fill="FFFFFF"/>
            <w:vAlign w:val="center"/>
          </w:tcPr>
          <w:p w14:paraId="247C9EC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w:t>
            </w:r>
          </w:p>
        </w:tc>
        <w:tc>
          <w:tcPr>
            <w:tcW w:w="451" w:type="pct"/>
            <w:shd w:val="clear" w:color="FFFFCC" w:fill="FFFFFF"/>
            <w:vAlign w:val="center"/>
          </w:tcPr>
          <w:p w14:paraId="5BE47E8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BR294887</w:t>
            </w:r>
          </w:p>
        </w:tc>
        <w:tc>
          <w:tcPr>
            <w:tcW w:w="854" w:type="pct"/>
            <w:shd w:val="clear" w:color="FFFFCC" w:fill="FFFFFF"/>
            <w:vAlign w:val="center"/>
          </w:tcPr>
          <w:p w14:paraId="67D7D8E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SALBUTAMOL, DOSAGEM: 100MCG/DOSE, FORMA FARMACÊUTICA: AEROSOL ORAL.</w:t>
            </w:r>
          </w:p>
        </w:tc>
        <w:tc>
          <w:tcPr>
            <w:tcW w:w="468" w:type="pct"/>
            <w:shd w:val="clear" w:color="FFFFFF" w:fill="FFFFFF"/>
            <w:vAlign w:val="center"/>
          </w:tcPr>
          <w:p w14:paraId="5EA86B5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200,00 DOSE(S)</w:t>
            </w:r>
          </w:p>
        </w:tc>
        <w:tc>
          <w:tcPr>
            <w:tcW w:w="392" w:type="pct"/>
            <w:shd w:val="clear" w:color="FFFFFF" w:fill="FFFFFF"/>
            <w:vAlign w:val="center"/>
          </w:tcPr>
          <w:p w14:paraId="7E2B7B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350</w:t>
            </w:r>
          </w:p>
        </w:tc>
        <w:tc>
          <w:tcPr>
            <w:tcW w:w="391" w:type="pct"/>
            <w:shd w:val="clear" w:color="FFFFFF" w:fill="FFFFFF"/>
            <w:vAlign w:val="center"/>
          </w:tcPr>
          <w:p w14:paraId="653421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w:t>
            </w:r>
          </w:p>
        </w:tc>
        <w:tc>
          <w:tcPr>
            <w:tcW w:w="469" w:type="pct"/>
            <w:shd w:val="clear" w:color="FFFFFF" w:fill="FFFFFF"/>
            <w:vAlign w:val="center"/>
          </w:tcPr>
          <w:p w14:paraId="1BF1E4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29CE4CC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750</w:t>
            </w:r>
          </w:p>
        </w:tc>
        <w:tc>
          <w:tcPr>
            <w:tcW w:w="787" w:type="pct"/>
            <w:shd w:val="clear" w:color="000000" w:fill="FFFFFF"/>
            <w:noWrap/>
            <w:vAlign w:val="center"/>
          </w:tcPr>
          <w:p w14:paraId="6A6567B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19,00 </w:t>
            </w:r>
          </w:p>
        </w:tc>
        <w:tc>
          <w:tcPr>
            <w:tcW w:w="534" w:type="pct"/>
            <w:shd w:val="clear" w:color="000000" w:fill="FFFFFF"/>
            <w:noWrap/>
            <w:vAlign w:val="center"/>
          </w:tcPr>
          <w:p w14:paraId="4F4861A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14.250,00 </w:t>
            </w:r>
          </w:p>
        </w:tc>
      </w:tr>
      <w:tr w14:paraId="766D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0" w:hRule="atLeast"/>
        </w:trPr>
        <w:tc>
          <w:tcPr>
            <w:tcW w:w="177" w:type="pct"/>
            <w:shd w:val="clear" w:color="FFFFCC" w:fill="FFFFFF"/>
            <w:vAlign w:val="center"/>
          </w:tcPr>
          <w:p w14:paraId="409D9E7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w:t>
            </w:r>
          </w:p>
        </w:tc>
        <w:tc>
          <w:tcPr>
            <w:tcW w:w="451" w:type="pct"/>
            <w:shd w:val="clear" w:color="FFFFCC" w:fill="FFFFFF"/>
            <w:vAlign w:val="center"/>
          </w:tcPr>
          <w:p w14:paraId="79D5BA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BR268256</w:t>
            </w:r>
          </w:p>
        </w:tc>
        <w:tc>
          <w:tcPr>
            <w:tcW w:w="854" w:type="pct"/>
            <w:shd w:val="clear" w:color="FFFFCC" w:fill="FFFFFF"/>
            <w:vAlign w:val="center"/>
          </w:tcPr>
          <w:p w14:paraId="1766C76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GENTAMICINA, DOSAGEM: 40 MG/ML, APLICAÇÃO: SOLUÇÃO INJETÁVEL.</w:t>
            </w:r>
          </w:p>
        </w:tc>
        <w:tc>
          <w:tcPr>
            <w:tcW w:w="468" w:type="pct"/>
            <w:shd w:val="clear" w:color="FFFFFF" w:fill="FFFFFF"/>
            <w:vAlign w:val="center"/>
          </w:tcPr>
          <w:p w14:paraId="5CFC84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1,00ML</w:t>
            </w:r>
          </w:p>
        </w:tc>
        <w:tc>
          <w:tcPr>
            <w:tcW w:w="392" w:type="pct"/>
            <w:shd w:val="clear" w:color="FFFFFF" w:fill="FFFFFF"/>
            <w:vAlign w:val="center"/>
          </w:tcPr>
          <w:p w14:paraId="5E6F151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391" w:type="pct"/>
            <w:shd w:val="clear" w:color="FFFFFF" w:fill="FFFFFF"/>
            <w:vAlign w:val="center"/>
          </w:tcPr>
          <w:p w14:paraId="6687FDD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0A2345E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140</w:t>
            </w:r>
          </w:p>
        </w:tc>
        <w:tc>
          <w:tcPr>
            <w:tcW w:w="472" w:type="pct"/>
            <w:shd w:val="clear" w:color="FFFFCC" w:fill="FFFFFF"/>
            <w:vAlign w:val="center"/>
          </w:tcPr>
          <w:p w14:paraId="063D8C5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640</w:t>
            </w:r>
          </w:p>
        </w:tc>
        <w:tc>
          <w:tcPr>
            <w:tcW w:w="787" w:type="pct"/>
            <w:shd w:val="clear" w:color="000000" w:fill="FFFFFF"/>
            <w:noWrap/>
            <w:vAlign w:val="center"/>
          </w:tcPr>
          <w:p w14:paraId="023E45F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1,80 </w:t>
            </w:r>
          </w:p>
        </w:tc>
        <w:tc>
          <w:tcPr>
            <w:tcW w:w="534" w:type="pct"/>
            <w:shd w:val="clear" w:color="000000" w:fill="FFFFFF"/>
            <w:noWrap/>
            <w:vAlign w:val="center"/>
          </w:tcPr>
          <w:p w14:paraId="2A0E01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1.152,00 </w:t>
            </w:r>
          </w:p>
        </w:tc>
      </w:tr>
      <w:tr w14:paraId="7A9B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23" w:hRule="atLeast"/>
        </w:trPr>
        <w:tc>
          <w:tcPr>
            <w:tcW w:w="177" w:type="pct"/>
            <w:shd w:val="clear" w:color="FFFFCC" w:fill="FFFFFF"/>
            <w:vAlign w:val="center"/>
          </w:tcPr>
          <w:p w14:paraId="61FF7B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w:t>
            </w:r>
          </w:p>
        </w:tc>
        <w:tc>
          <w:tcPr>
            <w:tcW w:w="451" w:type="pct"/>
            <w:shd w:val="clear" w:color="FFFFCC" w:fill="FFFFFF"/>
            <w:vAlign w:val="center"/>
          </w:tcPr>
          <w:p w14:paraId="213D0C9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BR313689</w:t>
            </w:r>
          </w:p>
        </w:tc>
        <w:tc>
          <w:tcPr>
            <w:tcW w:w="854" w:type="pct"/>
            <w:shd w:val="clear" w:color="FFFFCC" w:fill="FFFFFF"/>
            <w:vAlign w:val="center"/>
          </w:tcPr>
          <w:p w14:paraId="3E17C6C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FOSFATO DE POTÁSSIO, COMPOSIÇÃO MONOBÁSICO E DIBÁSICO, CONCENTRAÇÃO 2 MEQ/ML, FORMA FARMACÊUTICA SOLUÇÃO INJETÁVEL</w:t>
            </w:r>
          </w:p>
        </w:tc>
        <w:tc>
          <w:tcPr>
            <w:tcW w:w="468" w:type="pct"/>
            <w:shd w:val="clear" w:color="FFFFFF" w:fill="FFFFFF"/>
            <w:vAlign w:val="center"/>
          </w:tcPr>
          <w:p w14:paraId="3131B1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 ML</w:t>
            </w:r>
          </w:p>
        </w:tc>
        <w:tc>
          <w:tcPr>
            <w:tcW w:w="392" w:type="pct"/>
            <w:shd w:val="clear" w:color="FFFFFF" w:fill="FFFFFF"/>
            <w:vAlign w:val="center"/>
          </w:tcPr>
          <w:p w14:paraId="5A79736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391" w:type="pct"/>
            <w:shd w:val="clear" w:color="FFFFFF" w:fill="FFFFFF"/>
            <w:vAlign w:val="center"/>
          </w:tcPr>
          <w:p w14:paraId="004D8D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69" w:type="pct"/>
            <w:shd w:val="clear" w:color="FFFFFF" w:fill="FFFFFF"/>
            <w:vAlign w:val="center"/>
          </w:tcPr>
          <w:p w14:paraId="3A302DE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655EFC5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3.500</w:t>
            </w:r>
          </w:p>
        </w:tc>
        <w:tc>
          <w:tcPr>
            <w:tcW w:w="787" w:type="pct"/>
            <w:shd w:val="clear" w:color="000000" w:fill="FFFFFF"/>
            <w:noWrap/>
            <w:vAlign w:val="center"/>
          </w:tcPr>
          <w:p w14:paraId="0802BD7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4,29 </w:t>
            </w:r>
          </w:p>
        </w:tc>
        <w:tc>
          <w:tcPr>
            <w:tcW w:w="534" w:type="pct"/>
            <w:shd w:val="clear" w:color="000000" w:fill="FFFFFF"/>
            <w:noWrap/>
            <w:vAlign w:val="center"/>
          </w:tcPr>
          <w:p w14:paraId="6C2C4D3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15.015,00 </w:t>
            </w:r>
          </w:p>
        </w:tc>
      </w:tr>
      <w:tr w14:paraId="5CFC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83" w:hRule="atLeast"/>
        </w:trPr>
        <w:tc>
          <w:tcPr>
            <w:tcW w:w="177" w:type="pct"/>
            <w:shd w:val="clear" w:color="FFFFCC" w:fill="FFFFFF"/>
            <w:vAlign w:val="center"/>
          </w:tcPr>
          <w:p w14:paraId="4749676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w:t>
            </w:r>
          </w:p>
        </w:tc>
        <w:tc>
          <w:tcPr>
            <w:tcW w:w="451" w:type="pct"/>
            <w:shd w:val="clear" w:color="FFFFCC" w:fill="FFFFFF"/>
            <w:vAlign w:val="center"/>
          </w:tcPr>
          <w:p w14:paraId="6610DB3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BR274567</w:t>
            </w:r>
          </w:p>
        </w:tc>
        <w:tc>
          <w:tcPr>
            <w:tcW w:w="854" w:type="pct"/>
            <w:shd w:val="clear" w:color="FFFFCC" w:fill="FFFFFF"/>
            <w:vAlign w:val="center"/>
          </w:tcPr>
          <w:p w14:paraId="2FB6D66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VITAMINA B12 5.000MCG/2ML + ASSOCIAÇÃO</w:t>
            </w:r>
          </w:p>
        </w:tc>
        <w:tc>
          <w:tcPr>
            <w:tcW w:w="468" w:type="pct"/>
            <w:shd w:val="clear" w:color="FFFFFF" w:fill="FFFFFF"/>
            <w:vAlign w:val="center"/>
          </w:tcPr>
          <w:p w14:paraId="144BE5D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2,00 ML</w:t>
            </w:r>
          </w:p>
        </w:tc>
        <w:tc>
          <w:tcPr>
            <w:tcW w:w="392" w:type="pct"/>
            <w:shd w:val="clear" w:color="FFFFFF" w:fill="FFFFFF"/>
            <w:vAlign w:val="center"/>
          </w:tcPr>
          <w:p w14:paraId="3EBD3A5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391" w:type="pct"/>
            <w:shd w:val="clear" w:color="FFFFFF" w:fill="FFFFFF"/>
            <w:vAlign w:val="center"/>
          </w:tcPr>
          <w:p w14:paraId="7C737E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w:t>
            </w:r>
          </w:p>
        </w:tc>
        <w:tc>
          <w:tcPr>
            <w:tcW w:w="469" w:type="pct"/>
            <w:shd w:val="clear" w:color="FFFFFF" w:fill="FFFFFF"/>
            <w:vAlign w:val="center"/>
          </w:tcPr>
          <w:p w14:paraId="75C735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765A932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787" w:type="pct"/>
            <w:shd w:val="clear" w:color="000000" w:fill="FFFFFF"/>
            <w:noWrap/>
            <w:vAlign w:val="center"/>
          </w:tcPr>
          <w:p w14:paraId="0BCC54A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1,85 </w:t>
            </w:r>
          </w:p>
        </w:tc>
        <w:tc>
          <w:tcPr>
            <w:tcW w:w="534" w:type="pct"/>
            <w:shd w:val="clear" w:color="000000" w:fill="FFFFFF"/>
            <w:noWrap/>
            <w:vAlign w:val="center"/>
          </w:tcPr>
          <w:p w14:paraId="38D84C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2.775,00 </w:t>
            </w:r>
          </w:p>
        </w:tc>
      </w:tr>
      <w:tr w14:paraId="44A3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78" w:hRule="atLeast"/>
        </w:trPr>
        <w:tc>
          <w:tcPr>
            <w:tcW w:w="177" w:type="pct"/>
            <w:shd w:val="clear" w:color="FFFFCC" w:fill="FFFFFF"/>
            <w:vAlign w:val="center"/>
          </w:tcPr>
          <w:p w14:paraId="68E913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w:t>
            </w:r>
          </w:p>
        </w:tc>
        <w:tc>
          <w:tcPr>
            <w:tcW w:w="451" w:type="pct"/>
            <w:shd w:val="clear" w:color="FFFFCC" w:fill="FFFFFF"/>
            <w:vAlign w:val="center"/>
          </w:tcPr>
          <w:p w14:paraId="50AE81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BR0292399</w:t>
            </w:r>
          </w:p>
        </w:tc>
        <w:tc>
          <w:tcPr>
            <w:tcW w:w="854" w:type="pct"/>
            <w:shd w:val="clear" w:color="FFFFCC" w:fill="FFFFFF"/>
            <w:vAlign w:val="center"/>
          </w:tcPr>
          <w:p w14:paraId="51A174C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FITOMENADIONA, DOSAGEM 10, APRESENTAÇÃO SOLUÇÃO INJETÁVEL. (INTRAMUSCULAR).</w:t>
            </w:r>
          </w:p>
        </w:tc>
        <w:tc>
          <w:tcPr>
            <w:tcW w:w="468" w:type="pct"/>
            <w:shd w:val="clear" w:color="FFFFFF" w:fill="FFFFFF"/>
            <w:vAlign w:val="center"/>
          </w:tcPr>
          <w:p w14:paraId="3A08D7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 ML</w:t>
            </w:r>
          </w:p>
        </w:tc>
        <w:tc>
          <w:tcPr>
            <w:tcW w:w="392" w:type="pct"/>
            <w:shd w:val="clear" w:color="FFFFFF" w:fill="FFFFFF"/>
            <w:vAlign w:val="center"/>
          </w:tcPr>
          <w:p w14:paraId="003847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391" w:type="pct"/>
            <w:shd w:val="clear" w:color="FFFFFF" w:fill="FFFFFF"/>
            <w:vAlign w:val="center"/>
          </w:tcPr>
          <w:p w14:paraId="0A1C62A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69" w:type="pct"/>
            <w:shd w:val="clear" w:color="FFFFFF" w:fill="FFFFFF"/>
            <w:vAlign w:val="center"/>
          </w:tcPr>
          <w:p w14:paraId="7E026AE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3DCB0E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1.100</w:t>
            </w:r>
          </w:p>
        </w:tc>
        <w:tc>
          <w:tcPr>
            <w:tcW w:w="787" w:type="pct"/>
            <w:shd w:val="clear" w:color="000000" w:fill="FFFFFF"/>
            <w:noWrap/>
            <w:vAlign w:val="center"/>
          </w:tcPr>
          <w:p w14:paraId="31F4338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2,91 </w:t>
            </w:r>
          </w:p>
        </w:tc>
        <w:tc>
          <w:tcPr>
            <w:tcW w:w="534" w:type="pct"/>
            <w:shd w:val="clear" w:color="000000" w:fill="FFFFFF"/>
            <w:noWrap/>
            <w:vAlign w:val="center"/>
          </w:tcPr>
          <w:p w14:paraId="0068842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3.201,00 </w:t>
            </w:r>
          </w:p>
        </w:tc>
      </w:tr>
      <w:tr w14:paraId="4C2D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98" w:hRule="atLeast"/>
        </w:trPr>
        <w:tc>
          <w:tcPr>
            <w:tcW w:w="177" w:type="pct"/>
            <w:shd w:val="clear" w:color="FFFFCC" w:fill="FFFFFF"/>
            <w:vAlign w:val="center"/>
          </w:tcPr>
          <w:p w14:paraId="4FADB17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w:t>
            </w:r>
          </w:p>
        </w:tc>
        <w:tc>
          <w:tcPr>
            <w:tcW w:w="451" w:type="pct"/>
            <w:shd w:val="clear" w:color="FFFFCC" w:fill="FFFFFF"/>
            <w:vAlign w:val="center"/>
          </w:tcPr>
          <w:p w14:paraId="557E607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BR268472</w:t>
            </w:r>
          </w:p>
        </w:tc>
        <w:tc>
          <w:tcPr>
            <w:tcW w:w="854" w:type="pct"/>
            <w:shd w:val="clear" w:color="FFFFCC" w:fill="FFFFFF"/>
            <w:vAlign w:val="center"/>
          </w:tcPr>
          <w:p w14:paraId="6C47E2E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LEVOBUPIVACAÍNA CLORIDRATO APRESENTAÇÃO: INJETÁVEL, DOSAGEM: 0,5% ISOBÁRICA.</w:t>
            </w:r>
          </w:p>
        </w:tc>
        <w:tc>
          <w:tcPr>
            <w:tcW w:w="468" w:type="pct"/>
            <w:shd w:val="clear" w:color="FFFFFF" w:fill="FFFFFF"/>
            <w:vAlign w:val="center"/>
          </w:tcPr>
          <w:p w14:paraId="1CD9067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4,00 ML</w:t>
            </w:r>
          </w:p>
        </w:tc>
        <w:tc>
          <w:tcPr>
            <w:tcW w:w="392" w:type="pct"/>
            <w:shd w:val="clear" w:color="FFFFFF" w:fill="FFFFFF"/>
            <w:vAlign w:val="center"/>
          </w:tcPr>
          <w:p w14:paraId="4CDB07B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391" w:type="pct"/>
            <w:shd w:val="clear" w:color="FFFFFF" w:fill="FFFFFF"/>
            <w:vAlign w:val="center"/>
          </w:tcPr>
          <w:p w14:paraId="09C489B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w:t>
            </w:r>
          </w:p>
        </w:tc>
        <w:tc>
          <w:tcPr>
            <w:tcW w:w="469" w:type="pct"/>
            <w:shd w:val="clear" w:color="FFFFFF" w:fill="FFFFFF"/>
            <w:vAlign w:val="center"/>
          </w:tcPr>
          <w:p w14:paraId="53E42A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472" w:type="pct"/>
            <w:shd w:val="clear" w:color="FFFFCC" w:fill="FFFFFF"/>
            <w:vAlign w:val="center"/>
          </w:tcPr>
          <w:p w14:paraId="7333652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787" w:type="pct"/>
            <w:shd w:val="clear" w:color="000000" w:fill="FFFFFF"/>
            <w:noWrap/>
            <w:vAlign w:val="center"/>
          </w:tcPr>
          <w:p w14:paraId="15BD653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12,91 </w:t>
            </w:r>
          </w:p>
        </w:tc>
        <w:tc>
          <w:tcPr>
            <w:tcW w:w="534" w:type="pct"/>
            <w:shd w:val="clear" w:color="000000" w:fill="FFFFFF"/>
            <w:noWrap/>
            <w:vAlign w:val="center"/>
          </w:tcPr>
          <w:p w14:paraId="1DE097D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6.455,00 </w:t>
            </w:r>
          </w:p>
        </w:tc>
      </w:tr>
      <w:tr w14:paraId="399C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0" w:hRule="atLeast"/>
        </w:trPr>
        <w:tc>
          <w:tcPr>
            <w:tcW w:w="177" w:type="pct"/>
            <w:shd w:val="clear" w:color="FFFFCC" w:fill="FFFFFF"/>
            <w:vAlign w:val="center"/>
          </w:tcPr>
          <w:p w14:paraId="7660BF4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w:t>
            </w:r>
          </w:p>
        </w:tc>
        <w:tc>
          <w:tcPr>
            <w:tcW w:w="451" w:type="pct"/>
            <w:shd w:val="clear" w:color="FFFFCC" w:fill="FFFFFF"/>
            <w:vAlign w:val="center"/>
          </w:tcPr>
          <w:p w14:paraId="7896531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BR0268498</w:t>
            </w:r>
          </w:p>
        </w:tc>
        <w:tc>
          <w:tcPr>
            <w:tcW w:w="854" w:type="pct"/>
            <w:shd w:val="clear" w:color="FFFFCC" w:fill="FFFFFF"/>
            <w:vAlign w:val="center"/>
          </w:tcPr>
          <w:p w14:paraId="39FE8CF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METRONIDAZOL, DOSAGEM 5MG/ML, APRESENTAÇÃO SOLUÇÃO INJETÁVEL</w:t>
            </w:r>
          </w:p>
        </w:tc>
        <w:tc>
          <w:tcPr>
            <w:tcW w:w="468" w:type="pct"/>
            <w:shd w:val="clear" w:color="FFFFFF" w:fill="FFFFFF"/>
            <w:vAlign w:val="center"/>
          </w:tcPr>
          <w:p w14:paraId="7572EA6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100,00 ML</w:t>
            </w:r>
          </w:p>
        </w:tc>
        <w:tc>
          <w:tcPr>
            <w:tcW w:w="392" w:type="pct"/>
            <w:shd w:val="clear" w:color="FFFFFF" w:fill="FFFFFF"/>
            <w:vAlign w:val="center"/>
          </w:tcPr>
          <w:p w14:paraId="549813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91" w:type="pct"/>
            <w:shd w:val="clear" w:color="FFFFFF" w:fill="FFFFFF"/>
            <w:vAlign w:val="center"/>
          </w:tcPr>
          <w:p w14:paraId="692CBB5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69" w:type="pct"/>
            <w:shd w:val="clear" w:color="FFFFFF" w:fill="FFFFFF"/>
            <w:vAlign w:val="center"/>
          </w:tcPr>
          <w:p w14:paraId="741CEF6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w:t>
            </w:r>
          </w:p>
        </w:tc>
        <w:tc>
          <w:tcPr>
            <w:tcW w:w="472" w:type="pct"/>
            <w:shd w:val="clear" w:color="FFFFCC" w:fill="FFFFFF"/>
            <w:vAlign w:val="center"/>
          </w:tcPr>
          <w:p w14:paraId="1518E54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4.920</w:t>
            </w:r>
          </w:p>
        </w:tc>
        <w:tc>
          <w:tcPr>
            <w:tcW w:w="787" w:type="pct"/>
            <w:shd w:val="clear" w:color="000000" w:fill="FFFFFF"/>
            <w:noWrap/>
            <w:vAlign w:val="center"/>
          </w:tcPr>
          <w:p w14:paraId="772000A5">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5,13 </w:t>
            </w:r>
          </w:p>
        </w:tc>
        <w:tc>
          <w:tcPr>
            <w:tcW w:w="534" w:type="pct"/>
            <w:shd w:val="clear" w:color="000000" w:fill="FFFFFF"/>
            <w:noWrap/>
            <w:vAlign w:val="center"/>
          </w:tcPr>
          <w:p w14:paraId="21C5BAD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25.239,60 </w:t>
            </w:r>
          </w:p>
        </w:tc>
      </w:tr>
      <w:tr w14:paraId="0E96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03" w:hRule="atLeast"/>
        </w:trPr>
        <w:tc>
          <w:tcPr>
            <w:tcW w:w="177" w:type="pct"/>
            <w:shd w:val="clear" w:color="FFFFCC" w:fill="FFFFFF"/>
            <w:vAlign w:val="center"/>
          </w:tcPr>
          <w:p w14:paraId="4F95BDF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w:t>
            </w:r>
          </w:p>
        </w:tc>
        <w:tc>
          <w:tcPr>
            <w:tcW w:w="451" w:type="pct"/>
            <w:shd w:val="clear" w:color="FFFFCC" w:fill="FFFFFF"/>
            <w:vAlign w:val="center"/>
          </w:tcPr>
          <w:p w14:paraId="3EA4982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BR273167</w:t>
            </w:r>
          </w:p>
        </w:tc>
        <w:tc>
          <w:tcPr>
            <w:tcW w:w="854" w:type="pct"/>
            <w:shd w:val="clear" w:color="FFFFCC" w:fill="FFFFFF"/>
            <w:vAlign w:val="center"/>
          </w:tcPr>
          <w:p w14:paraId="4B6DBC3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NEOMICINA, COMPOSIÇÃO: ASSOCIADA COM BACITRACINA, CONCENTRAÇÃO: 5MG + 250UI,G, TIPO MEDICAMENTO: POMADA</w:t>
            </w:r>
          </w:p>
        </w:tc>
        <w:tc>
          <w:tcPr>
            <w:tcW w:w="468" w:type="pct"/>
            <w:shd w:val="clear" w:color="FFFFFF" w:fill="FFFFFF"/>
            <w:vAlign w:val="center"/>
          </w:tcPr>
          <w:p w14:paraId="4BDACF6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BISNAGA 10,00 G</w:t>
            </w:r>
          </w:p>
        </w:tc>
        <w:tc>
          <w:tcPr>
            <w:tcW w:w="392" w:type="pct"/>
            <w:shd w:val="clear" w:color="FFFFFF" w:fill="FFFFFF"/>
            <w:vAlign w:val="center"/>
          </w:tcPr>
          <w:p w14:paraId="245407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391" w:type="pct"/>
            <w:shd w:val="clear" w:color="FFFFFF" w:fill="FFFFFF"/>
            <w:vAlign w:val="center"/>
          </w:tcPr>
          <w:p w14:paraId="46A6F1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0D9521E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2D4161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787" w:type="pct"/>
            <w:shd w:val="clear" w:color="000000" w:fill="FFFFFF"/>
            <w:noWrap/>
            <w:vAlign w:val="center"/>
          </w:tcPr>
          <w:p w14:paraId="4033E41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2,72 </w:t>
            </w:r>
          </w:p>
        </w:tc>
        <w:tc>
          <w:tcPr>
            <w:tcW w:w="534" w:type="pct"/>
            <w:shd w:val="clear" w:color="000000" w:fill="FFFFFF"/>
            <w:noWrap/>
            <w:vAlign w:val="center"/>
          </w:tcPr>
          <w:p w14:paraId="21C1458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136,00 </w:t>
            </w:r>
          </w:p>
        </w:tc>
      </w:tr>
      <w:tr w14:paraId="0EC4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83" w:hRule="atLeast"/>
        </w:trPr>
        <w:tc>
          <w:tcPr>
            <w:tcW w:w="177" w:type="pct"/>
            <w:shd w:val="clear" w:color="FFFFCC" w:fill="FFFFFF"/>
            <w:vAlign w:val="center"/>
          </w:tcPr>
          <w:p w14:paraId="31B7C12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w:t>
            </w:r>
          </w:p>
        </w:tc>
        <w:tc>
          <w:tcPr>
            <w:tcW w:w="451" w:type="pct"/>
            <w:shd w:val="clear" w:color="FFFFCC" w:fill="FFFFFF"/>
            <w:vAlign w:val="center"/>
          </w:tcPr>
          <w:p w14:paraId="717ABC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BR0271581</w:t>
            </w:r>
          </w:p>
        </w:tc>
        <w:tc>
          <w:tcPr>
            <w:tcW w:w="854" w:type="pct"/>
            <w:shd w:val="clear" w:color="FFFFCC" w:fill="FFFFFF"/>
            <w:vAlign w:val="center"/>
          </w:tcPr>
          <w:p w14:paraId="0CADD6C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TOBRAMICINA, 0,3%, SOLUÇÃO OFTÁLMICA</w:t>
            </w:r>
          </w:p>
        </w:tc>
        <w:tc>
          <w:tcPr>
            <w:tcW w:w="468" w:type="pct"/>
            <w:shd w:val="clear" w:color="FFFFFF" w:fill="FFFFFF"/>
            <w:vAlign w:val="center"/>
          </w:tcPr>
          <w:p w14:paraId="0415DA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5ML</w:t>
            </w:r>
          </w:p>
        </w:tc>
        <w:tc>
          <w:tcPr>
            <w:tcW w:w="392" w:type="pct"/>
            <w:shd w:val="clear" w:color="FFFFFF" w:fill="FFFFFF"/>
            <w:vAlign w:val="center"/>
          </w:tcPr>
          <w:p w14:paraId="55676A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391" w:type="pct"/>
            <w:shd w:val="clear" w:color="FFFFFF" w:fill="FFFFFF"/>
            <w:vAlign w:val="center"/>
          </w:tcPr>
          <w:p w14:paraId="7B659B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469" w:type="pct"/>
            <w:shd w:val="clear" w:color="FFFFFF" w:fill="FFFFFF"/>
            <w:vAlign w:val="center"/>
          </w:tcPr>
          <w:p w14:paraId="04162E0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61EFE15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w:t>
            </w:r>
          </w:p>
        </w:tc>
        <w:tc>
          <w:tcPr>
            <w:tcW w:w="787" w:type="pct"/>
            <w:shd w:val="clear" w:color="000000" w:fill="FFFFFF"/>
            <w:noWrap/>
            <w:vAlign w:val="center"/>
          </w:tcPr>
          <w:p w14:paraId="4AA5701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7,99 </w:t>
            </w:r>
          </w:p>
        </w:tc>
        <w:tc>
          <w:tcPr>
            <w:tcW w:w="534" w:type="pct"/>
            <w:shd w:val="clear" w:color="000000" w:fill="FFFFFF"/>
            <w:noWrap/>
            <w:vAlign w:val="center"/>
          </w:tcPr>
          <w:p w14:paraId="47C940B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639,20 </w:t>
            </w:r>
          </w:p>
        </w:tc>
      </w:tr>
      <w:tr w14:paraId="518D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69" w:hRule="atLeast"/>
        </w:trPr>
        <w:tc>
          <w:tcPr>
            <w:tcW w:w="177" w:type="pct"/>
            <w:shd w:val="clear" w:color="FFFFCC" w:fill="FFFFFF"/>
            <w:vAlign w:val="center"/>
          </w:tcPr>
          <w:p w14:paraId="31BB8F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51" w:type="pct"/>
            <w:shd w:val="clear" w:color="FFFFCC" w:fill="FFFFFF"/>
            <w:vAlign w:val="center"/>
          </w:tcPr>
          <w:p w14:paraId="03845D4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BR0272091</w:t>
            </w:r>
          </w:p>
        </w:tc>
        <w:tc>
          <w:tcPr>
            <w:tcW w:w="854" w:type="pct"/>
            <w:shd w:val="clear" w:color="FFFFCC" w:fill="FFFFFF"/>
            <w:vAlign w:val="center"/>
          </w:tcPr>
          <w:p w14:paraId="07FA6C4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VITAMINAS DO COMPLEXO B, COMPOSIÇÃO BÁSICA VITAMINAS: B1,B2,B6,B12 E PP, USO SOLUÇÃO INJETÁVEL</w:t>
            </w:r>
          </w:p>
        </w:tc>
        <w:tc>
          <w:tcPr>
            <w:tcW w:w="468" w:type="pct"/>
            <w:shd w:val="clear" w:color="FFFFFF" w:fill="FFFFFF"/>
            <w:vAlign w:val="center"/>
          </w:tcPr>
          <w:p w14:paraId="2D193F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2,00 ML</w:t>
            </w:r>
          </w:p>
        </w:tc>
        <w:tc>
          <w:tcPr>
            <w:tcW w:w="392" w:type="pct"/>
            <w:shd w:val="clear" w:color="FFFFFF" w:fill="FFFFFF"/>
            <w:vAlign w:val="center"/>
          </w:tcPr>
          <w:p w14:paraId="3CA146A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391" w:type="pct"/>
            <w:shd w:val="clear" w:color="FFFFFF" w:fill="FFFFFF"/>
            <w:vAlign w:val="center"/>
          </w:tcPr>
          <w:p w14:paraId="12213DE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69" w:type="pct"/>
            <w:shd w:val="clear" w:color="FFFFFF" w:fill="FFFFFF"/>
            <w:vAlign w:val="center"/>
          </w:tcPr>
          <w:p w14:paraId="2050A5B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1400</w:t>
            </w:r>
          </w:p>
        </w:tc>
        <w:tc>
          <w:tcPr>
            <w:tcW w:w="472" w:type="pct"/>
            <w:shd w:val="clear" w:color="FFFFCC" w:fill="FFFFFF"/>
            <w:vAlign w:val="center"/>
          </w:tcPr>
          <w:p w14:paraId="50F1BB9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3.900</w:t>
            </w:r>
          </w:p>
        </w:tc>
        <w:tc>
          <w:tcPr>
            <w:tcW w:w="787" w:type="pct"/>
            <w:shd w:val="clear" w:color="000000" w:fill="FFFFFF"/>
            <w:noWrap/>
            <w:vAlign w:val="center"/>
          </w:tcPr>
          <w:p w14:paraId="64B74BF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1,10 </w:t>
            </w:r>
          </w:p>
        </w:tc>
        <w:tc>
          <w:tcPr>
            <w:tcW w:w="534" w:type="pct"/>
            <w:shd w:val="clear" w:color="000000" w:fill="FFFFFF"/>
            <w:noWrap/>
            <w:vAlign w:val="center"/>
          </w:tcPr>
          <w:p w14:paraId="66EA9CC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4.290,00 </w:t>
            </w:r>
          </w:p>
        </w:tc>
      </w:tr>
      <w:tr w14:paraId="74C4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29" w:hRule="atLeast"/>
        </w:trPr>
        <w:tc>
          <w:tcPr>
            <w:tcW w:w="177" w:type="pct"/>
            <w:shd w:val="clear" w:color="FFFFCC" w:fill="FFFFFF"/>
            <w:vAlign w:val="center"/>
          </w:tcPr>
          <w:p w14:paraId="2E48806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11</w:t>
            </w:r>
          </w:p>
        </w:tc>
        <w:tc>
          <w:tcPr>
            <w:tcW w:w="451" w:type="pct"/>
            <w:shd w:val="clear" w:color="FFFFCC" w:fill="FFFFFF"/>
            <w:vAlign w:val="center"/>
          </w:tcPr>
          <w:p w14:paraId="2E73E5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BR0268973</w:t>
            </w:r>
          </w:p>
        </w:tc>
        <w:tc>
          <w:tcPr>
            <w:tcW w:w="854" w:type="pct"/>
            <w:shd w:val="clear" w:color="FFFFCC" w:fill="FFFFFF"/>
            <w:vAlign w:val="center"/>
          </w:tcPr>
          <w:p w14:paraId="2F33D03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REMIFENTANILA CLORIDRATO, DOSAGEM: 2 MG, APRESENTAÇÃO: INJETÁVEL</w:t>
            </w:r>
          </w:p>
        </w:tc>
        <w:tc>
          <w:tcPr>
            <w:tcW w:w="468" w:type="pct"/>
            <w:shd w:val="clear" w:color="FFFFFF" w:fill="FFFFFF"/>
            <w:vAlign w:val="center"/>
          </w:tcPr>
          <w:p w14:paraId="71C8CD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3F70BAC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91" w:type="pct"/>
            <w:shd w:val="clear" w:color="FFFFFF" w:fill="FFFFFF"/>
            <w:vAlign w:val="center"/>
          </w:tcPr>
          <w:p w14:paraId="62BA52C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69" w:type="pct"/>
            <w:shd w:val="clear" w:color="FFFFFF" w:fill="FFFFFF"/>
            <w:vAlign w:val="center"/>
          </w:tcPr>
          <w:p w14:paraId="2107CC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433699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787" w:type="pct"/>
            <w:shd w:val="clear" w:color="000000" w:fill="FFFFFF"/>
            <w:noWrap/>
            <w:vAlign w:val="center"/>
          </w:tcPr>
          <w:p w14:paraId="20A77A3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18,16 </w:t>
            </w:r>
          </w:p>
        </w:tc>
        <w:tc>
          <w:tcPr>
            <w:tcW w:w="534" w:type="pct"/>
            <w:shd w:val="clear" w:color="000000" w:fill="FFFFFF"/>
            <w:noWrap/>
            <w:vAlign w:val="center"/>
          </w:tcPr>
          <w:p w14:paraId="5408E8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43.584,00 </w:t>
            </w:r>
          </w:p>
        </w:tc>
      </w:tr>
      <w:tr w14:paraId="10F6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32" w:hRule="atLeast"/>
        </w:trPr>
        <w:tc>
          <w:tcPr>
            <w:tcW w:w="177" w:type="pct"/>
            <w:shd w:val="clear" w:color="FFFFCC" w:fill="FFFFFF"/>
            <w:vAlign w:val="center"/>
          </w:tcPr>
          <w:p w14:paraId="3487E43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w:t>
            </w:r>
          </w:p>
        </w:tc>
        <w:tc>
          <w:tcPr>
            <w:tcW w:w="451" w:type="pct"/>
            <w:shd w:val="clear" w:color="FFFFCC" w:fill="FFFFFF"/>
            <w:vAlign w:val="center"/>
          </w:tcPr>
          <w:p w14:paraId="5C4A33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BR0292402</w:t>
            </w:r>
          </w:p>
        </w:tc>
        <w:tc>
          <w:tcPr>
            <w:tcW w:w="854" w:type="pct"/>
            <w:shd w:val="clear" w:color="FFFFCC" w:fill="FFFFFF"/>
            <w:vAlign w:val="center"/>
          </w:tcPr>
          <w:p w14:paraId="259527E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AMINOFILINA, DOSAGEM: 24 MG,ML, FORMA FARMACÊUTICA: SOLUÇÃO INJETÁVEL</w:t>
            </w:r>
          </w:p>
        </w:tc>
        <w:tc>
          <w:tcPr>
            <w:tcW w:w="468" w:type="pct"/>
            <w:shd w:val="clear" w:color="FFFFFF" w:fill="FFFFFF"/>
            <w:vAlign w:val="center"/>
          </w:tcPr>
          <w:p w14:paraId="6627B8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392" w:type="pct"/>
            <w:shd w:val="clear" w:color="FFFFFF" w:fill="FFFFFF"/>
            <w:vAlign w:val="center"/>
          </w:tcPr>
          <w:p w14:paraId="1CD952A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391" w:type="pct"/>
            <w:shd w:val="clear" w:color="FFFFFF" w:fill="FFFFFF"/>
            <w:vAlign w:val="center"/>
          </w:tcPr>
          <w:p w14:paraId="5845B73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469" w:type="pct"/>
            <w:shd w:val="clear" w:color="FFFFFF" w:fill="FFFFFF"/>
            <w:vAlign w:val="center"/>
          </w:tcPr>
          <w:p w14:paraId="0591FF2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w:t>
            </w:r>
          </w:p>
        </w:tc>
        <w:tc>
          <w:tcPr>
            <w:tcW w:w="472" w:type="pct"/>
            <w:shd w:val="clear" w:color="FFFFCC" w:fill="FFFFFF"/>
            <w:vAlign w:val="center"/>
          </w:tcPr>
          <w:p w14:paraId="4CF5B2D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1.715</w:t>
            </w:r>
          </w:p>
        </w:tc>
        <w:tc>
          <w:tcPr>
            <w:tcW w:w="787" w:type="pct"/>
            <w:shd w:val="clear" w:color="000000" w:fill="FFFFFF"/>
            <w:noWrap/>
            <w:vAlign w:val="center"/>
          </w:tcPr>
          <w:p w14:paraId="08DB974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7,11 </w:t>
            </w:r>
          </w:p>
        </w:tc>
        <w:tc>
          <w:tcPr>
            <w:tcW w:w="534" w:type="pct"/>
            <w:shd w:val="clear" w:color="000000" w:fill="FFFFFF"/>
            <w:noWrap/>
            <w:vAlign w:val="center"/>
          </w:tcPr>
          <w:p w14:paraId="6B46AA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12.193,65 </w:t>
            </w:r>
          </w:p>
        </w:tc>
      </w:tr>
      <w:tr w14:paraId="2CFE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58" w:hRule="atLeast"/>
        </w:trPr>
        <w:tc>
          <w:tcPr>
            <w:tcW w:w="177" w:type="pct"/>
            <w:shd w:val="clear" w:color="FFFFCC" w:fill="FFFFFF"/>
            <w:vAlign w:val="center"/>
          </w:tcPr>
          <w:p w14:paraId="5B46F8D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w:t>
            </w:r>
          </w:p>
        </w:tc>
        <w:tc>
          <w:tcPr>
            <w:tcW w:w="451" w:type="pct"/>
            <w:shd w:val="clear" w:color="FFFFCC" w:fill="FFFFFF"/>
            <w:vAlign w:val="center"/>
          </w:tcPr>
          <w:p w14:paraId="4CC48E5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BR0270096</w:t>
            </w:r>
          </w:p>
        </w:tc>
        <w:tc>
          <w:tcPr>
            <w:tcW w:w="854" w:type="pct"/>
            <w:shd w:val="clear" w:color="FFFFCC" w:fill="FFFFFF"/>
            <w:vAlign w:val="center"/>
          </w:tcPr>
          <w:p w14:paraId="2B94A73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BUPIVACAÍNA CLORIDRATO, APRESENTAÇÃO: ASSOCIADA À EPINEFRINA, DOSAGEM: 0,5% + 1,200.000UI, TIPO: SOLUÇÃO INJETÁVEL</w:t>
            </w:r>
          </w:p>
        </w:tc>
        <w:tc>
          <w:tcPr>
            <w:tcW w:w="468" w:type="pct"/>
            <w:shd w:val="clear" w:color="FFFFFF" w:fill="FFFFFF"/>
            <w:vAlign w:val="center"/>
          </w:tcPr>
          <w:p w14:paraId="00DF06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20,00 ML</w:t>
            </w:r>
          </w:p>
        </w:tc>
        <w:tc>
          <w:tcPr>
            <w:tcW w:w="392" w:type="pct"/>
            <w:shd w:val="clear" w:color="FFFFFF" w:fill="FFFFFF"/>
            <w:vAlign w:val="center"/>
          </w:tcPr>
          <w:p w14:paraId="071B68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391" w:type="pct"/>
            <w:shd w:val="clear" w:color="FFFFFF" w:fill="FFFFFF"/>
            <w:vAlign w:val="center"/>
          </w:tcPr>
          <w:p w14:paraId="417891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469" w:type="pct"/>
            <w:shd w:val="clear" w:color="FFFFFF" w:fill="FFFFFF"/>
            <w:vAlign w:val="center"/>
          </w:tcPr>
          <w:p w14:paraId="4980B8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72" w:type="pct"/>
            <w:shd w:val="clear" w:color="FFFFCC" w:fill="FFFFFF"/>
            <w:vAlign w:val="center"/>
          </w:tcPr>
          <w:p w14:paraId="6A40FC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2.510</w:t>
            </w:r>
          </w:p>
        </w:tc>
        <w:tc>
          <w:tcPr>
            <w:tcW w:w="787" w:type="pct"/>
            <w:shd w:val="clear" w:color="000000" w:fill="FFFFFF"/>
            <w:noWrap/>
            <w:vAlign w:val="center"/>
          </w:tcPr>
          <w:p w14:paraId="5A1A411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19,11 </w:t>
            </w:r>
          </w:p>
        </w:tc>
        <w:tc>
          <w:tcPr>
            <w:tcW w:w="534" w:type="pct"/>
            <w:shd w:val="clear" w:color="000000" w:fill="FFFFFF"/>
            <w:noWrap/>
            <w:vAlign w:val="center"/>
          </w:tcPr>
          <w:p w14:paraId="3C41379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47.966,10 </w:t>
            </w:r>
          </w:p>
        </w:tc>
      </w:tr>
      <w:tr w14:paraId="49A8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52" w:hRule="atLeast"/>
        </w:trPr>
        <w:tc>
          <w:tcPr>
            <w:tcW w:w="177" w:type="pct"/>
            <w:shd w:val="clear" w:color="FFFFCC" w:fill="FFFFFF"/>
            <w:vAlign w:val="center"/>
          </w:tcPr>
          <w:p w14:paraId="470A9D2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w:t>
            </w:r>
          </w:p>
        </w:tc>
        <w:tc>
          <w:tcPr>
            <w:tcW w:w="451" w:type="pct"/>
            <w:shd w:val="clear" w:color="FFFFCC" w:fill="FFFFFF"/>
            <w:vAlign w:val="center"/>
          </w:tcPr>
          <w:p w14:paraId="7D3C12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BR0268481</w:t>
            </w:r>
          </w:p>
        </w:tc>
        <w:tc>
          <w:tcPr>
            <w:tcW w:w="854" w:type="pct"/>
            <w:shd w:val="clear" w:color="FFFFCC" w:fill="FFFFFF"/>
            <w:vAlign w:val="center"/>
          </w:tcPr>
          <w:p w14:paraId="049F765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MIDAZOLAM, DOSAGEM: 5 MG,ML, APLICAÇÃO: INJETÁVEL</w:t>
            </w:r>
          </w:p>
        </w:tc>
        <w:tc>
          <w:tcPr>
            <w:tcW w:w="468" w:type="pct"/>
            <w:shd w:val="clear" w:color="FFFFFF" w:fill="FFFFFF"/>
            <w:vAlign w:val="center"/>
          </w:tcPr>
          <w:p w14:paraId="748BFBE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392" w:type="pct"/>
            <w:shd w:val="clear" w:color="FFFFFF" w:fill="FFFFFF"/>
            <w:vAlign w:val="center"/>
          </w:tcPr>
          <w:p w14:paraId="394B1F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5000</w:t>
            </w:r>
          </w:p>
        </w:tc>
        <w:tc>
          <w:tcPr>
            <w:tcW w:w="391" w:type="pct"/>
            <w:shd w:val="clear" w:color="FFFFFF" w:fill="FFFFFF"/>
            <w:vAlign w:val="center"/>
          </w:tcPr>
          <w:p w14:paraId="11F93C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7.200</w:t>
            </w:r>
          </w:p>
        </w:tc>
        <w:tc>
          <w:tcPr>
            <w:tcW w:w="469" w:type="pct"/>
            <w:shd w:val="clear" w:color="FFFFFF" w:fill="FFFFFF"/>
            <w:vAlign w:val="center"/>
          </w:tcPr>
          <w:p w14:paraId="218930B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271F225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12.200</w:t>
            </w:r>
          </w:p>
        </w:tc>
        <w:tc>
          <w:tcPr>
            <w:tcW w:w="787" w:type="pct"/>
            <w:shd w:val="clear" w:color="000000" w:fill="FFFFFF"/>
            <w:noWrap/>
            <w:vAlign w:val="center"/>
          </w:tcPr>
          <w:p w14:paraId="70763EF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3,84 </w:t>
            </w:r>
          </w:p>
        </w:tc>
        <w:tc>
          <w:tcPr>
            <w:tcW w:w="534" w:type="pct"/>
            <w:shd w:val="clear" w:color="000000" w:fill="FFFFFF"/>
            <w:noWrap/>
            <w:vAlign w:val="center"/>
          </w:tcPr>
          <w:p w14:paraId="035AB39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46.848,00 </w:t>
            </w:r>
          </w:p>
        </w:tc>
      </w:tr>
      <w:tr w14:paraId="5251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69" w:hRule="atLeast"/>
        </w:trPr>
        <w:tc>
          <w:tcPr>
            <w:tcW w:w="177" w:type="pct"/>
            <w:shd w:val="clear" w:color="FFFFCC" w:fill="FFFFFF"/>
            <w:vAlign w:val="center"/>
          </w:tcPr>
          <w:p w14:paraId="6502279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w:t>
            </w:r>
          </w:p>
        </w:tc>
        <w:tc>
          <w:tcPr>
            <w:tcW w:w="451" w:type="pct"/>
            <w:shd w:val="clear" w:color="FFFFCC" w:fill="FFFFFF"/>
            <w:vAlign w:val="center"/>
          </w:tcPr>
          <w:p w14:paraId="1EB63FE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BR269833</w:t>
            </w:r>
          </w:p>
        </w:tc>
        <w:tc>
          <w:tcPr>
            <w:tcW w:w="854" w:type="pct"/>
            <w:shd w:val="clear" w:color="FFFFCC" w:fill="FFFFFF"/>
            <w:vAlign w:val="center"/>
          </w:tcPr>
          <w:p w14:paraId="50BE252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PRILOCAINA COMPOSICAO ASSOCIADA COM FELIPRESSINA, DOSAGEM 3%+0,03UI/ML, APRESENTACAO INJETAVEL</w:t>
            </w:r>
          </w:p>
        </w:tc>
        <w:tc>
          <w:tcPr>
            <w:tcW w:w="468" w:type="pct"/>
            <w:shd w:val="clear" w:color="FFFFFF" w:fill="FFFFFF"/>
            <w:vAlign w:val="center"/>
          </w:tcPr>
          <w:p w14:paraId="29A5529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TUBETE 1,80 ML</w:t>
            </w:r>
          </w:p>
        </w:tc>
        <w:tc>
          <w:tcPr>
            <w:tcW w:w="392" w:type="pct"/>
            <w:shd w:val="clear" w:color="FFFFFF" w:fill="FFFFFF"/>
            <w:vAlign w:val="center"/>
          </w:tcPr>
          <w:p w14:paraId="465F49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391" w:type="pct"/>
            <w:shd w:val="clear" w:color="FFFFFF" w:fill="FFFFFF"/>
            <w:vAlign w:val="center"/>
          </w:tcPr>
          <w:p w14:paraId="508E906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69" w:type="pct"/>
            <w:shd w:val="clear" w:color="FFFFFF" w:fill="FFFFFF"/>
            <w:vAlign w:val="center"/>
          </w:tcPr>
          <w:p w14:paraId="0846F0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247B948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4.000</w:t>
            </w:r>
          </w:p>
        </w:tc>
        <w:tc>
          <w:tcPr>
            <w:tcW w:w="787" w:type="pct"/>
            <w:shd w:val="clear" w:color="000000" w:fill="FFFFFF"/>
            <w:noWrap/>
            <w:vAlign w:val="center"/>
          </w:tcPr>
          <w:p w14:paraId="33FCD6C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4,58 </w:t>
            </w:r>
          </w:p>
        </w:tc>
        <w:tc>
          <w:tcPr>
            <w:tcW w:w="534" w:type="pct"/>
            <w:shd w:val="clear" w:color="000000" w:fill="FFFFFF"/>
            <w:noWrap/>
            <w:vAlign w:val="center"/>
          </w:tcPr>
          <w:p w14:paraId="05C7854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18.320,00 </w:t>
            </w:r>
          </w:p>
        </w:tc>
      </w:tr>
      <w:tr w14:paraId="4728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98" w:hRule="atLeast"/>
        </w:trPr>
        <w:tc>
          <w:tcPr>
            <w:tcW w:w="177" w:type="pct"/>
            <w:shd w:val="clear" w:color="FFFFCC" w:fill="FFFFFF"/>
            <w:vAlign w:val="center"/>
          </w:tcPr>
          <w:p w14:paraId="23E5BD7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w:t>
            </w:r>
          </w:p>
        </w:tc>
        <w:tc>
          <w:tcPr>
            <w:tcW w:w="451" w:type="pct"/>
            <w:shd w:val="clear" w:color="FFFFCC" w:fill="FFFFFF"/>
            <w:vAlign w:val="center"/>
          </w:tcPr>
          <w:p w14:paraId="3FA313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BR268115</w:t>
            </w:r>
          </w:p>
        </w:tc>
        <w:tc>
          <w:tcPr>
            <w:tcW w:w="854" w:type="pct"/>
            <w:shd w:val="clear" w:color="FFFFCC" w:fill="FFFFFF"/>
            <w:vAlign w:val="center"/>
          </w:tcPr>
          <w:p w14:paraId="6E1D598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HIDRALAZINA, DOSAGEM: 20 MG,ML, INDICAÇÃO: SOLUÇÃO INJETÁVEL</w:t>
            </w:r>
          </w:p>
        </w:tc>
        <w:tc>
          <w:tcPr>
            <w:tcW w:w="468" w:type="pct"/>
            <w:shd w:val="clear" w:color="FFFFFF" w:fill="FFFFFF"/>
            <w:vAlign w:val="center"/>
          </w:tcPr>
          <w:p w14:paraId="7701023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392" w:type="pct"/>
            <w:shd w:val="clear" w:color="FFFFFF" w:fill="FFFFFF"/>
            <w:vAlign w:val="center"/>
          </w:tcPr>
          <w:p w14:paraId="7CBEAD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391" w:type="pct"/>
            <w:shd w:val="clear" w:color="FFFFFF" w:fill="FFFFFF"/>
            <w:vAlign w:val="center"/>
          </w:tcPr>
          <w:p w14:paraId="3A20751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469" w:type="pct"/>
            <w:shd w:val="clear" w:color="FFFFFF" w:fill="FFFFFF"/>
            <w:vAlign w:val="center"/>
          </w:tcPr>
          <w:p w14:paraId="0A39A9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611C4D2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1.300</w:t>
            </w:r>
          </w:p>
        </w:tc>
        <w:tc>
          <w:tcPr>
            <w:tcW w:w="787" w:type="pct"/>
            <w:shd w:val="clear" w:color="000000" w:fill="FFFFFF"/>
            <w:noWrap/>
            <w:vAlign w:val="center"/>
          </w:tcPr>
          <w:p w14:paraId="15C8021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7,29 </w:t>
            </w:r>
          </w:p>
        </w:tc>
        <w:tc>
          <w:tcPr>
            <w:tcW w:w="534" w:type="pct"/>
            <w:shd w:val="clear" w:color="000000" w:fill="FFFFFF"/>
            <w:noWrap/>
            <w:vAlign w:val="center"/>
          </w:tcPr>
          <w:p w14:paraId="350620E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9.477,00 </w:t>
            </w:r>
          </w:p>
        </w:tc>
      </w:tr>
      <w:tr w14:paraId="2402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40" w:hRule="atLeast"/>
        </w:trPr>
        <w:tc>
          <w:tcPr>
            <w:tcW w:w="177" w:type="pct"/>
            <w:shd w:val="clear" w:color="FFFFCC" w:fill="FFFFFF"/>
            <w:vAlign w:val="center"/>
          </w:tcPr>
          <w:p w14:paraId="096DF99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17</w:t>
            </w:r>
          </w:p>
        </w:tc>
        <w:tc>
          <w:tcPr>
            <w:tcW w:w="451" w:type="pct"/>
            <w:shd w:val="clear" w:color="FFFFCC" w:fill="FFFFFF"/>
            <w:vAlign w:val="center"/>
          </w:tcPr>
          <w:p w14:paraId="5B0D779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BR274806</w:t>
            </w:r>
          </w:p>
        </w:tc>
        <w:tc>
          <w:tcPr>
            <w:tcW w:w="854" w:type="pct"/>
            <w:shd w:val="clear" w:color="FFFFCC" w:fill="FFFFFF"/>
            <w:vAlign w:val="center"/>
          </w:tcPr>
          <w:p w14:paraId="2EB2A6B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ACETILCISTEÍNA, DOSAGEM: 600 MG, INDICAÇÃO: PÓ PARA SOLUÇÃO ORAL</w:t>
            </w:r>
          </w:p>
        </w:tc>
        <w:tc>
          <w:tcPr>
            <w:tcW w:w="468" w:type="pct"/>
            <w:shd w:val="clear" w:color="FFFFFF" w:fill="FFFFFF"/>
            <w:vAlign w:val="center"/>
          </w:tcPr>
          <w:p w14:paraId="16B37F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ENVELOPE</w:t>
            </w:r>
          </w:p>
        </w:tc>
        <w:tc>
          <w:tcPr>
            <w:tcW w:w="392" w:type="pct"/>
            <w:shd w:val="clear" w:color="FFFFFF" w:fill="FFFFFF"/>
            <w:vAlign w:val="center"/>
          </w:tcPr>
          <w:p w14:paraId="7F2749E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91" w:type="pct"/>
            <w:shd w:val="clear" w:color="FFFFFF" w:fill="FFFFFF"/>
            <w:vAlign w:val="center"/>
          </w:tcPr>
          <w:p w14:paraId="214AB4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469" w:type="pct"/>
            <w:shd w:val="clear" w:color="FFFFFF" w:fill="FFFFFF"/>
            <w:vAlign w:val="center"/>
          </w:tcPr>
          <w:p w14:paraId="49F6AD2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175D88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787" w:type="pct"/>
            <w:shd w:val="clear" w:color="000000" w:fill="FFFFFF"/>
            <w:noWrap/>
            <w:vAlign w:val="center"/>
          </w:tcPr>
          <w:p w14:paraId="7A51816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0,92 </w:t>
            </w:r>
          </w:p>
        </w:tc>
        <w:tc>
          <w:tcPr>
            <w:tcW w:w="534" w:type="pct"/>
            <w:shd w:val="clear" w:color="000000" w:fill="FFFFFF"/>
            <w:noWrap/>
            <w:vAlign w:val="center"/>
          </w:tcPr>
          <w:p w14:paraId="23DE58D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1.840,00 </w:t>
            </w:r>
          </w:p>
        </w:tc>
      </w:tr>
      <w:tr w14:paraId="34FC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98" w:hRule="atLeast"/>
        </w:trPr>
        <w:tc>
          <w:tcPr>
            <w:tcW w:w="177" w:type="pct"/>
            <w:shd w:val="clear" w:color="FFFFCC" w:fill="FFFFFF"/>
            <w:vAlign w:val="center"/>
          </w:tcPr>
          <w:p w14:paraId="1A6C44A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w:t>
            </w:r>
          </w:p>
        </w:tc>
        <w:tc>
          <w:tcPr>
            <w:tcW w:w="451" w:type="pct"/>
            <w:shd w:val="clear" w:color="FFFFCC" w:fill="FFFFFF"/>
            <w:vAlign w:val="center"/>
          </w:tcPr>
          <w:p w14:paraId="4691D78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BR279493</w:t>
            </w:r>
          </w:p>
        </w:tc>
        <w:tc>
          <w:tcPr>
            <w:tcW w:w="854" w:type="pct"/>
            <w:shd w:val="clear" w:color="FFFFCC" w:fill="FFFFFF"/>
            <w:vAlign w:val="center"/>
          </w:tcPr>
          <w:p w14:paraId="6406970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ÓXIDO DE ZINCO, PRINCÍPIO ATIVO: ASSOCIADO COM VITAMINA A + VITAMINA D, DOSAGEM: 150MG + 5.000UI + 900UI, G, APRESENTAÇÃO: POMADA</w:t>
            </w:r>
          </w:p>
        </w:tc>
        <w:tc>
          <w:tcPr>
            <w:tcW w:w="468" w:type="pct"/>
            <w:shd w:val="clear" w:color="FFFFFF" w:fill="FFFFFF"/>
            <w:vAlign w:val="center"/>
          </w:tcPr>
          <w:p w14:paraId="6BDDF0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BISNAGA 30,00 G</w:t>
            </w:r>
          </w:p>
        </w:tc>
        <w:tc>
          <w:tcPr>
            <w:tcW w:w="392" w:type="pct"/>
            <w:shd w:val="clear" w:color="FFFFFF" w:fill="FFFFFF"/>
            <w:vAlign w:val="center"/>
          </w:tcPr>
          <w:p w14:paraId="3C6792C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391" w:type="pct"/>
            <w:shd w:val="clear" w:color="FFFFFF" w:fill="FFFFFF"/>
            <w:vAlign w:val="center"/>
          </w:tcPr>
          <w:p w14:paraId="6C7622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69" w:type="pct"/>
            <w:shd w:val="clear" w:color="FFFFFF" w:fill="FFFFFF"/>
            <w:vAlign w:val="center"/>
          </w:tcPr>
          <w:p w14:paraId="0B11870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3A76F7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1.600</w:t>
            </w:r>
          </w:p>
        </w:tc>
        <w:tc>
          <w:tcPr>
            <w:tcW w:w="787" w:type="pct"/>
            <w:shd w:val="clear" w:color="000000" w:fill="FFFFFF"/>
            <w:noWrap/>
            <w:vAlign w:val="center"/>
          </w:tcPr>
          <w:p w14:paraId="00FB4A2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4,50 </w:t>
            </w:r>
          </w:p>
        </w:tc>
        <w:tc>
          <w:tcPr>
            <w:tcW w:w="534" w:type="pct"/>
            <w:shd w:val="clear" w:color="000000" w:fill="FFFFFF"/>
            <w:noWrap/>
            <w:vAlign w:val="center"/>
          </w:tcPr>
          <w:p w14:paraId="43587E9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7.200,00 </w:t>
            </w:r>
          </w:p>
        </w:tc>
      </w:tr>
      <w:tr w14:paraId="59CE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63" w:hRule="atLeast"/>
        </w:trPr>
        <w:tc>
          <w:tcPr>
            <w:tcW w:w="177" w:type="pct"/>
            <w:shd w:val="clear" w:color="FFFFCC" w:fill="FFFFFF"/>
            <w:vAlign w:val="center"/>
          </w:tcPr>
          <w:p w14:paraId="6079FB2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19</w:t>
            </w:r>
          </w:p>
        </w:tc>
        <w:tc>
          <w:tcPr>
            <w:tcW w:w="451" w:type="pct"/>
            <w:shd w:val="clear" w:color="FFFFCC" w:fill="FFFFFF"/>
            <w:vAlign w:val="center"/>
          </w:tcPr>
          <w:p w14:paraId="42A5E1D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BR449101</w:t>
            </w:r>
          </w:p>
        </w:tc>
        <w:tc>
          <w:tcPr>
            <w:tcW w:w="854" w:type="pct"/>
            <w:shd w:val="clear" w:color="FFFFCC" w:fill="FFFFFF"/>
            <w:vAlign w:val="center"/>
          </w:tcPr>
          <w:p w14:paraId="70D6A01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MULTIVITAMINAS, COMPOSIÇÃO DE VITAMINAS: VITS: A, B1, B2, B3, B5, B6, C, D, E, H, FORMA FARMACÊUTICA 1: SOLUÇÃO ORAL GOTAS</w:t>
            </w:r>
          </w:p>
        </w:tc>
        <w:tc>
          <w:tcPr>
            <w:tcW w:w="468" w:type="pct"/>
            <w:shd w:val="clear" w:color="FFFFFF" w:fill="FFFFFF"/>
            <w:vAlign w:val="center"/>
          </w:tcPr>
          <w:p w14:paraId="74C7A2A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20,00 ML</w:t>
            </w:r>
          </w:p>
        </w:tc>
        <w:tc>
          <w:tcPr>
            <w:tcW w:w="392" w:type="pct"/>
            <w:shd w:val="clear" w:color="FFFFFF" w:fill="FFFFFF"/>
            <w:vAlign w:val="center"/>
          </w:tcPr>
          <w:p w14:paraId="29B727C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391" w:type="pct"/>
            <w:shd w:val="clear" w:color="FFFFFF" w:fill="FFFFFF"/>
            <w:vAlign w:val="center"/>
          </w:tcPr>
          <w:p w14:paraId="727E9C3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w:t>
            </w:r>
          </w:p>
        </w:tc>
        <w:tc>
          <w:tcPr>
            <w:tcW w:w="469" w:type="pct"/>
            <w:shd w:val="clear" w:color="FFFFFF" w:fill="FFFFFF"/>
            <w:vAlign w:val="center"/>
          </w:tcPr>
          <w:p w14:paraId="7E3AF0E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36386D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410</w:t>
            </w:r>
          </w:p>
        </w:tc>
        <w:tc>
          <w:tcPr>
            <w:tcW w:w="787" w:type="pct"/>
            <w:shd w:val="clear" w:color="000000" w:fill="FFFFFF"/>
            <w:noWrap/>
            <w:vAlign w:val="center"/>
          </w:tcPr>
          <w:p w14:paraId="2DBAF49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8,77 </w:t>
            </w:r>
          </w:p>
        </w:tc>
        <w:tc>
          <w:tcPr>
            <w:tcW w:w="534" w:type="pct"/>
            <w:shd w:val="clear" w:color="000000" w:fill="FFFFFF"/>
            <w:noWrap/>
            <w:vAlign w:val="center"/>
          </w:tcPr>
          <w:p w14:paraId="784713C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3.595,70 </w:t>
            </w:r>
          </w:p>
        </w:tc>
      </w:tr>
      <w:tr w14:paraId="07C1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89" w:hRule="atLeast"/>
        </w:trPr>
        <w:tc>
          <w:tcPr>
            <w:tcW w:w="177" w:type="pct"/>
            <w:shd w:val="clear" w:color="FFFFCC" w:fill="FFFFFF"/>
            <w:vAlign w:val="center"/>
          </w:tcPr>
          <w:p w14:paraId="700D111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51" w:type="pct"/>
            <w:shd w:val="clear" w:color="FFFFCC" w:fill="FFFFFF"/>
            <w:vAlign w:val="center"/>
          </w:tcPr>
          <w:p w14:paraId="40548C3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BR309441</w:t>
            </w:r>
          </w:p>
        </w:tc>
        <w:tc>
          <w:tcPr>
            <w:tcW w:w="854" w:type="pct"/>
            <w:shd w:val="clear" w:color="FFFFCC" w:fill="FFFFFF"/>
            <w:vAlign w:val="center"/>
          </w:tcPr>
          <w:p w14:paraId="06933DE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TRAMADOL CLORIDRATO, DOSAGEM: 100 MG</w:t>
            </w:r>
          </w:p>
        </w:tc>
        <w:tc>
          <w:tcPr>
            <w:tcW w:w="468" w:type="pct"/>
            <w:shd w:val="clear" w:color="FFFFFF" w:fill="FFFFFF"/>
            <w:vAlign w:val="center"/>
          </w:tcPr>
          <w:p w14:paraId="59BA4AF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2,00ML</w:t>
            </w:r>
          </w:p>
        </w:tc>
        <w:tc>
          <w:tcPr>
            <w:tcW w:w="392" w:type="pct"/>
            <w:shd w:val="clear" w:color="FFFFFF" w:fill="FFFFFF"/>
            <w:vAlign w:val="center"/>
          </w:tcPr>
          <w:p w14:paraId="5ADAB83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391" w:type="pct"/>
            <w:shd w:val="clear" w:color="FFFFFF" w:fill="FFFFFF"/>
            <w:vAlign w:val="center"/>
          </w:tcPr>
          <w:p w14:paraId="13DA62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8.400</w:t>
            </w:r>
          </w:p>
        </w:tc>
        <w:tc>
          <w:tcPr>
            <w:tcW w:w="469" w:type="pct"/>
            <w:shd w:val="clear" w:color="FFFFFF" w:fill="FFFFFF"/>
            <w:vAlign w:val="center"/>
          </w:tcPr>
          <w:p w14:paraId="3BFD373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170</w:t>
            </w:r>
          </w:p>
        </w:tc>
        <w:tc>
          <w:tcPr>
            <w:tcW w:w="472" w:type="pct"/>
            <w:shd w:val="clear" w:color="FFFFCC" w:fill="FFFFFF"/>
            <w:vAlign w:val="center"/>
          </w:tcPr>
          <w:p w14:paraId="7C3C559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14.570</w:t>
            </w:r>
          </w:p>
        </w:tc>
        <w:tc>
          <w:tcPr>
            <w:tcW w:w="787" w:type="pct"/>
            <w:shd w:val="clear" w:color="000000" w:fill="FFFFFF"/>
            <w:noWrap/>
            <w:vAlign w:val="center"/>
          </w:tcPr>
          <w:p w14:paraId="31AC00B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1,75 </w:t>
            </w:r>
          </w:p>
        </w:tc>
        <w:tc>
          <w:tcPr>
            <w:tcW w:w="534" w:type="pct"/>
            <w:shd w:val="clear" w:color="000000" w:fill="FFFFFF"/>
            <w:noWrap/>
            <w:vAlign w:val="center"/>
          </w:tcPr>
          <w:p w14:paraId="2EA4EA6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25.497,50 </w:t>
            </w:r>
          </w:p>
        </w:tc>
      </w:tr>
      <w:tr w14:paraId="42C5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8" w:hRule="atLeast"/>
        </w:trPr>
        <w:tc>
          <w:tcPr>
            <w:tcW w:w="177" w:type="pct"/>
            <w:shd w:val="clear" w:color="FFFFCC" w:fill="FFFFFF"/>
            <w:vAlign w:val="center"/>
          </w:tcPr>
          <w:p w14:paraId="2C4629C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w:t>
            </w:r>
          </w:p>
        </w:tc>
        <w:tc>
          <w:tcPr>
            <w:tcW w:w="451" w:type="pct"/>
            <w:shd w:val="clear" w:color="FFFFCC" w:fill="FFFFFF"/>
            <w:vAlign w:val="center"/>
          </w:tcPr>
          <w:p w14:paraId="1ABEC74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BR269842</w:t>
            </w:r>
          </w:p>
        </w:tc>
        <w:tc>
          <w:tcPr>
            <w:tcW w:w="854" w:type="pct"/>
            <w:shd w:val="clear" w:color="FFFFCC" w:fill="FFFFFF"/>
            <w:vAlign w:val="center"/>
          </w:tcPr>
          <w:p w14:paraId="23EF1FB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LIDOCAÍNA CLORIDRATO, DOSAGEM: 1%, APRESENTAÇÃO: INJETÁVEL</w:t>
            </w:r>
          </w:p>
        </w:tc>
        <w:tc>
          <w:tcPr>
            <w:tcW w:w="468" w:type="pct"/>
            <w:shd w:val="clear" w:color="FFFFFF" w:fill="FFFFFF"/>
            <w:vAlign w:val="center"/>
          </w:tcPr>
          <w:p w14:paraId="27A1A40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20,00 ML</w:t>
            </w:r>
          </w:p>
        </w:tc>
        <w:tc>
          <w:tcPr>
            <w:tcW w:w="392" w:type="pct"/>
            <w:shd w:val="clear" w:color="FFFFFF" w:fill="FFFFFF"/>
            <w:vAlign w:val="center"/>
          </w:tcPr>
          <w:p w14:paraId="7F1E58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391" w:type="pct"/>
            <w:shd w:val="clear" w:color="FFFFFF" w:fill="FFFFFF"/>
            <w:vAlign w:val="center"/>
          </w:tcPr>
          <w:p w14:paraId="4A368DB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29E807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170</w:t>
            </w:r>
          </w:p>
        </w:tc>
        <w:tc>
          <w:tcPr>
            <w:tcW w:w="472" w:type="pct"/>
            <w:shd w:val="clear" w:color="FFFFCC" w:fill="FFFFFF"/>
            <w:vAlign w:val="center"/>
          </w:tcPr>
          <w:p w14:paraId="4570539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270</w:t>
            </w:r>
          </w:p>
        </w:tc>
        <w:tc>
          <w:tcPr>
            <w:tcW w:w="787" w:type="pct"/>
            <w:shd w:val="clear" w:color="000000" w:fill="FFFFFF"/>
            <w:noWrap/>
            <w:vAlign w:val="center"/>
          </w:tcPr>
          <w:p w14:paraId="014437B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8,66 </w:t>
            </w:r>
          </w:p>
        </w:tc>
        <w:tc>
          <w:tcPr>
            <w:tcW w:w="534" w:type="pct"/>
            <w:shd w:val="clear" w:color="000000" w:fill="FFFFFF"/>
            <w:noWrap/>
            <w:vAlign w:val="center"/>
          </w:tcPr>
          <w:p w14:paraId="3119B86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2.338,20 </w:t>
            </w:r>
          </w:p>
        </w:tc>
      </w:tr>
      <w:tr w14:paraId="2C34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58" w:hRule="atLeast"/>
        </w:trPr>
        <w:tc>
          <w:tcPr>
            <w:tcW w:w="177" w:type="pct"/>
            <w:shd w:val="clear" w:color="FFFFCC" w:fill="FFFFFF"/>
            <w:vAlign w:val="center"/>
          </w:tcPr>
          <w:p w14:paraId="1B53B5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22</w:t>
            </w:r>
          </w:p>
        </w:tc>
        <w:tc>
          <w:tcPr>
            <w:tcW w:w="451" w:type="pct"/>
            <w:shd w:val="clear" w:color="FFFFCC" w:fill="FFFFFF"/>
            <w:vAlign w:val="center"/>
          </w:tcPr>
          <w:p w14:paraId="75676BD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BR273412</w:t>
            </w:r>
          </w:p>
        </w:tc>
        <w:tc>
          <w:tcPr>
            <w:tcW w:w="854" w:type="pct"/>
            <w:shd w:val="clear" w:color="FFFFCC" w:fill="FFFFFF"/>
            <w:vAlign w:val="center"/>
          </w:tcPr>
          <w:p w14:paraId="1BA1A7C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LINEZOLIDA, DOSAGEM: 600 MG</w:t>
            </w:r>
          </w:p>
        </w:tc>
        <w:tc>
          <w:tcPr>
            <w:tcW w:w="468" w:type="pct"/>
            <w:shd w:val="clear" w:color="FFFFFF" w:fill="FFFFFF"/>
            <w:vAlign w:val="center"/>
          </w:tcPr>
          <w:p w14:paraId="23AE0A1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300,00 ML</w:t>
            </w:r>
          </w:p>
        </w:tc>
        <w:tc>
          <w:tcPr>
            <w:tcW w:w="392" w:type="pct"/>
            <w:shd w:val="clear" w:color="FFFFFF" w:fill="FFFFFF"/>
            <w:vAlign w:val="center"/>
          </w:tcPr>
          <w:p w14:paraId="66C689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391" w:type="pct"/>
            <w:shd w:val="clear" w:color="FFFFFF" w:fill="FFFFFF"/>
            <w:vAlign w:val="center"/>
          </w:tcPr>
          <w:p w14:paraId="69A7D8F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w:t>
            </w:r>
          </w:p>
        </w:tc>
        <w:tc>
          <w:tcPr>
            <w:tcW w:w="469" w:type="pct"/>
            <w:shd w:val="clear" w:color="FFFFFF" w:fill="FFFFFF"/>
            <w:vAlign w:val="center"/>
          </w:tcPr>
          <w:p w14:paraId="673B6ED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6E17482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1.100</w:t>
            </w:r>
          </w:p>
        </w:tc>
        <w:tc>
          <w:tcPr>
            <w:tcW w:w="787" w:type="pct"/>
            <w:shd w:val="clear" w:color="000000" w:fill="FFFFFF"/>
            <w:noWrap/>
            <w:vAlign w:val="center"/>
          </w:tcPr>
          <w:p w14:paraId="0E36EBA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18,54 </w:t>
            </w:r>
          </w:p>
        </w:tc>
        <w:tc>
          <w:tcPr>
            <w:tcW w:w="534" w:type="pct"/>
            <w:shd w:val="clear" w:color="000000" w:fill="FFFFFF"/>
            <w:noWrap/>
            <w:vAlign w:val="center"/>
          </w:tcPr>
          <w:p w14:paraId="6BFB8B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20.394,00 </w:t>
            </w:r>
          </w:p>
        </w:tc>
      </w:tr>
      <w:tr w14:paraId="33D3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49" w:hRule="atLeast"/>
        </w:trPr>
        <w:tc>
          <w:tcPr>
            <w:tcW w:w="177" w:type="pct"/>
            <w:shd w:val="clear" w:color="FFFFCC" w:fill="FFFFFF"/>
            <w:vAlign w:val="center"/>
          </w:tcPr>
          <w:p w14:paraId="68884C9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23</w:t>
            </w:r>
          </w:p>
        </w:tc>
        <w:tc>
          <w:tcPr>
            <w:tcW w:w="451" w:type="pct"/>
            <w:shd w:val="clear" w:color="FFFFCC" w:fill="FFFFFF"/>
            <w:vAlign w:val="center"/>
          </w:tcPr>
          <w:p w14:paraId="4FEE57B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BR272217</w:t>
            </w:r>
          </w:p>
        </w:tc>
        <w:tc>
          <w:tcPr>
            <w:tcW w:w="854" w:type="pct"/>
            <w:shd w:val="clear" w:color="FFFFCC" w:fill="FFFFFF"/>
            <w:vAlign w:val="center"/>
          </w:tcPr>
          <w:p w14:paraId="05A765F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DIFENIDRAMINA CLORIDRATO, CONCENTRAÇÃO: 50MG,ML, USO: SOLUÇÃO INJETÁVEL</w:t>
            </w:r>
          </w:p>
        </w:tc>
        <w:tc>
          <w:tcPr>
            <w:tcW w:w="468" w:type="pct"/>
            <w:shd w:val="clear" w:color="FFFFFF" w:fill="FFFFFF"/>
            <w:vAlign w:val="center"/>
          </w:tcPr>
          <w:p w14:paraId="02006D5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392" w:type="pct"/>
            <w:shd w:val="clear" w:color="FFFFFF" w:fill="FFFFFF"/>
            <w:vAlign w:val="center"/>
          </w:tcPr>
          <w:p w14:paraId="656F283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w:t>
            </w:r>
          </w:p>
        </w:tc>
        <w:tc>
          <w:tcPr>
            <w:tcW w:w="391" w:type="pct"/>
            <w:shd w:val="clear" w:color="FFFFFF" w:fill="FFFFFF"/>
            <w:vAlign w:val="center"/>
          </w:tcPr>
          <w:p w14:paraId="746704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69" w:type="pct"/>
            <w:shd w:val="clear" w:color="FFFFFF" w:fill="FFFFFF"/>
            <w:vAlign w:val="center"/>
          </w:tcPr>
          <w:p w14:paraId="2F22964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5CEC0E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3.400</w:t>
            </w:r>
          </w:p>
        </w:tc>
        <w:tc>
          <w:tcPr>
            <w:tcW w:w="787" w:type="pct"/>
            <w:shd w:val="clear" w:color="000000" w:fill="FFFFFF"/>
            <w:noWrap/>
            <w:vAlign w:val="center"/>
          </w:tcPr>
          <w:p w14:paraId="66EA277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22,24 </w:t>
            </w:r>
          </w:p>
        </w:tc>
        <w:tc>
          <w:tcPr>
            <w:tcW w:w="534" w:type="pct"/>
            <w:shd w:val="clear" w:color="000000" w:fill="FFFFFF"/>
            <w:noWrap/>
            <w:vAlign w:val="center"/>
          </w:tcPr>
          <w:p w14:paraId="3FF84DF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75.616,00 </w:t>
            </w:r>
          </w:p>
        </w:tc>
      </w:tr>
      <w:tr w14:paraId="172C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52" w:hRule="atLeast"/>
        </w:trPr>
        <w:tc>
          <w:tcPr>
            <w:tcW w:w="177" w:type="pct"/>
            <w:shd w:val="clear" w:color="FFFFCC" w:fill="FFFFFF"/>
            <w:vAlign w:val="center"/>
          </w:tcPr>
          <w:p w14:paraId="504B8F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w:t>
            </w:r>
          </w:p>
        </w:tc>
        <w:tc>
          <w:tcPr>
            <w:tcW w:w="451" w:type="pct"/>
            <w:shd w:val="clear" w:color="FFFFCC" w:fill="FFFFFF"/>
            <w:vAlign w:val="center"/>
          </w:tcPr>
          <w:p w14:paraId="7DCBB2C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BR292427</w:t>
            </w:r>
          </w:p>
        </w:tc>
        <w:tc>
          <w:tcPr>
            <w:tcW w:w="854" w:type="pct"/>
            <w:shd w:val="clear" w:color="FFFFCC" w:fill="FFFFFF"/>
            <w:vAlign w:val="center"/>
          </w:tcPr>
          <w:p w14:paraId="0A96616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DEXAMETASONA, DOSAGEM: 4 MG,ML, FORMA FARMACÊUTICA: SOLUÇÃO INJETÁVEL</w:t>
            </w:r>
          </w:p>
        </w:tc>
        <w:tc>
          <w:tcPr>
            <w:tcW w:w="468" w:type="pct"/>
            <w:shd w:val="clear" w:color="FFFFFF" w:fill="FFFFFF"/>
            <w:vAlign w:val="center"/>
          </w:tcPr>
          <w:p w14:paraId="462254B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2,50 ML</w:t>
            </w:r>
          </w:p>
        </w:tc>
        <w:tc>
          <w:tcPr>
            <w:tcW w:w="392" w:type="pct"/>
            <w:shd w:val="clear" w:color="FFFFFF" w:fill="FFFFFF"/>
            <w:vAlign w:val="center"/>
          </w:tcPr>
          <w:p w14:paraId="2E18330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4200</w:t>
            </w:r>
          </w:p>
        </w:tc>
        <w:tc>
          <w:tcPr>
            <w:tcW w:w="391" w:type="pct"/>
            <w:shd w:val="clear" w:color="FFFFFF" w:fill="FFFFFF"/>
            <w:vAlign w:val="center"/>
          </w:tcPr>
          <w:p w14:paraId="716AE29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24.000</w:t>
            </w:r>
          </w:p>
        </w:tc>
        <w:tc>
          <w:tcPr>
            <w:tcW w:w="469" w:type="pct"/>
            <w:shd w:val="clear" w:color="FFFFFF" w:fill="FFFFFF"/>
            <w:vAlign w:val="center"/>
          </w:tcPr>
          <w:p w14:paraId="2C82D0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72" w:type="pct"/>
            <w:shd w:val="clear" w:color="FFFFCC" w:fill="FFFFFF"/>
            <w:vAlign w:val="center"/>
          </w:tcPr>
          <w:p w14:paraId="3172B5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28.300</w:t>
            </w:r>
          </w:p>
        </w:tc>
        <w:tc>
          <w:tcPr>
            <w:tcW w:w="787" w:type="pct"/>
            <w:shd w:val="clear" w:color="000000" w:fill="FFFFFF"/>
            <w:noWrap/>
            <w:vAlign w:val="center"/>
          </w:tcPr>
          <w:p w14:paraId="18BBAB6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2,15 </w:t>
            </w:r>
          </w:p>
        </w:tc>
        <w:tc>
          <w:tcPr>
            <w:tcW w:w="534" w:type="pct"/>
            <w:shd w:val="clear" w:color="000000" w:fill="FFFFFF"/>
            <w:noWrap/>
            <w:vAlign w:val="center"/>
          </w:tcPr>
          <w:p w14:paraId="72AAA2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60.845,00 </w:t>
            </w:r>
          </w:p>
        </w:tc>
      </w:tr>
      <w:tr w14:paraId="2F8A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78" w:hRule="atLeast"/>
        </w:trPr>
        <w:tc>
          <w:tcPr>
            <w:tcW w:w="177" w:type="pct"/>
            <w:shd w:val="clear" w:color="FFFFCC" w:fill="FFFFFF"/>
            <w:vAlign w:val="center"/>
          </w:tcPr>
          <w:p w14:paraId="2408F72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w:t>
            </w:r>
          </w:p>
        </w:tc>
        <w:tc>
          <w:tcPr>
            <w:tcW w:w="451" w:type="pct"/>
            <w:shd w:val="clear" w:color="FFFFCC" w:fill="FFFFFF"/>
            <w:vAlign w:val="center"/>
          </w:tcPr>
          <w:p w14:paraId="06FD5D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BR271599</w:t>
            </w:r>
          </w:p>
        </w:tc>
        <w:tc>
          <w:tcPr>
            <w:tcW w:w="854" w:type="pct"/>
            <w:shd w:val="clear" w:color="FFFFCC" w:fill="FFFFFF"/>
            <w:vAlign w:val="center"/>
          </w:tcPr>
          <w:p w14:paraId="410BAB2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METILPREDNISOLONA, PRINCÍPIO ATIVO:SAL SUCCINATO, DOSAGEM:500 MG, APRESENTAÇÃO:PÓ LIOFILIZADO + DILUENTE, INJETÁVEL.</w:t>
            </w:r>
          </w:p>
        </w:tc>
        <w:tc>
          <w:tcPr>
            <w:tcW w:w="468" w:type="pct"/>
            <w:shd w:val="clear" w:color="FFFFFF" w:fill="FFFFFF"/>
            <w:vAlign w:val="center"/>
          </w:tcPr>
          <w:p w14:paraId="77B27EE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15BBBF3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391" w:type="pct"/>
            <w:shd w:val="clear" w:color="FFFFFF" w:fill="FFFFFF"/>
            <w:vAlign w:val="center"/>
          </w:tcPr>
          <w:p w14:paraId="5EA42DB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4.200</w:t>
            </w:r>
          </w:p>
        </w:tc>
        <w:tc>
          <w:tcPr>
            <w:tcW w:w="469" w:type="pct"/>
            <w:shd w:val="clear" w:color="FFFFFF" w:fill="FFFFFF"/>
            <w:vAlign w:val="center"/>
          </w:tcPr>
          <w:p w14:paraId="5B7BE7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3B5EC8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5.700</w:t>
            </w:r>
          </w:p>
        </w:tc>
        <w:tc>
          <w:tcPr>
            <w:tcW w:w="787" w:type="pct"/>
            <w:shd w:val="clear" w:color="000000" w:fill="FFFFFF"/>
            <w:noWrap/>
            <w:vAlign w:val="center"/>
          </w:tcPr>
          <w:p w14:paraId="3E44D5E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42,51 </w:t>
            </w:r>
          </w:p>
        </w:tc>
        <w:tc>
          <w:tcPr>
            <w:tcW w:w="534" w:type="pct"/>
            <w:shd w:val="clear" w:color="000000" w:fill="FFFFFF"/>
            <w:noWrap/>
            <w:vAlign w:val="center"/>
          </w:tcPr>
          <w:p w14:paraId="71CF0F4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242.307,00 </w:t>
            </w:r>
          </w:p>
        </w:tc>
      </w:tr>
      <w:tr w14:paraId="468B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38" w:hRule="atLeast"/>
        </w:trPr>
        <w:tc>
          <w:tcPr>
            <w:tcW w:w="177" w:type="pct"/>
            <w:shd w:val="clear" w:color="FFFFCC" w:fill="FFFFFF"/>
            <w:vAlign w:val="center"/>
          </w:tcPr>
          <w:p w14:paraId="023F17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26</w:t>
            </w:r>
          </w:p>
        </w:tc>
        <w:tc>
          <w:tcPr>
            <w:tcW w:w="451" w:type="pct"/>
            <w:shd w:val="clear" w:color="FFFFCC" w:fill="FFFFFF"/>
            <w:vAlign w:val="center"/>
          </w:tcPr>
          <w:p w14:paraId="497EDAB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BR272362</w:t>
            </w:r>
          </w:p>
        </w:tc>
        <w:tc>
          <w:tcPr>
            <w:tcW w:w="854" w:type="pct"/>
            <w:shd w:val="clear" w:color="FFFFCC" w:fill="FFFFFF"/>
            <w:vAlign w:val="center"/>
          </w:tcPr>
          <w:p w14:paraId="229A9B7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PROTAMINA CLORIDRATO, CONCENTRAÇÃO: 1%, APRESENTAÇÃO: SOLUÇÃO NJETÃVEL.</w:t>
            </w:r>
          </w:p>
        </w:tc>
        <w:tc>
          <w:tcPr>
            <w:tcW w:w="468" w:type="pct"/>
            <w:shd w:val="clear" w:color="FFFFFF" w:fill="FFFFFF"/>
            <w:vAlign w:val="center"/>
          </w:tcPr>
          <w:p w14:paraId="204C13E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392" w:type="pct"/>
            <w:shd w:val="clear" w:color="FFFFFF" w:fill="FFFFFF"/>
            <w:vAlign w:val="center"/>
          </w:tcPr>
          <w:p w14:paraId="21A46AA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7500</w:t>
            </w:r>
          </w:p>
        </w:tc>
        <w:tc>
          <w:tcPr>
            <w:tcW w:w="391" w:type="pct"/>
            <w:shd w:val="clear" w:color="FFFFFF" w:fill="FFFFFF"/>
            <w:vAlign w:val="center"/>
          </w:tcPr>
          <w:p w14:paraId="3B9D15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1.300</w:t>
            </w:r>
          </w:p>
        </w:tc>
        <w:tc>
          <w:tcPr>
            <w:tcW w:w="469" w:type="pct"/>
            <w:shd w:val="clear" w:color="FFFFFF" w:fill="FFFFFF"/>
            <w:vAlign w:val="center"/>
          </w:tcPr>
          <w:p w14:paraId="1451F1D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26B675A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8.800</w:t>
            </w:r>
          </w:p>
        </w:tc>
        <w:tc>
          <w:tcPr>
            <w:tcW w:w="787" w:type="pct"/>
            <w:shd w:val="clear" w:color="000000" w:fill="FFFFFF"/>
            <w:noWrap/>
            <w:vAlign w:val="center"/>
          </w:tcPr>
          <w:p w14:paraId="40CB7CC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4,72 </w:t>
            </w:r>
          </w:p>
        </w:tc>
        <w:tc>
          <w:tcPr>
            <w:tcW w:w="534" w:type="pct"/>
            <w:shd w:val="clear" w:color="000000" w:fill="FFFFFF"/>
            <w:noWrap/>
            <w:vAlign w:val="center"/>
          </w:tcPr>
          <w:p w14:paraId="597DB4B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41.536,00 </w:t>
            </w:r>
          </w:p>
        </w:tc>
      </w:tr>
      <w:tr w14:paraId="541A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18" w:hRule="atLeast"/>
        </w:trPr>
        <w:tc>
          <w:tcPr>
            <w:tcW w:w="177" w:type="pct"/>
            <w:shd w:val="clear" w:color="FFFFCC" w:fill="FFFFFF"/>
            <w:vAlign w:val="center"/>
          </w:tcPr>
          <w:p w14:paraId="6766381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27</w:t>
            </w:r>
          </w:p>
        </w:tc>
        <w:tc>
          <w:tcPr>
            <w:tcW w:w="451" w:type="pct"/>
            <w:shd w:val="clear" w:color="FFFFCC" w:fill="FFFFFF"/>
            <w:vAlign w:val="center"/>
          </w:tcPr>
          <w:p w14:paraId="5782C64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BR268236</w:t>
            </w:r>
          </w:p>
        </w:tc>
        <w:tc>
          <w:tcPr>
            <w:tcW w:w="854" w:type="pct"/>
            <w:shd w:val="clear" w:color="FFFFCC" w:fill="FFFFFF"/>
            <w:vAlign w:val="center"/>
          </w:tcPr>
          <w:p w14:paraId="4EFDC8F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CLORETO DE SÓDIO PRINCÍPIO ATIVO: 0,9%_ SOLUÇÃO INJETÁVEL, APLICAÇÃO: SISTEMA FECHADO. CARACTERISTICAS ADICIONAIS: BOLSA COM INVÓLUCRO PROTETOR (SOBREBOLSA), PLÁSTICAS ESTERIL FLEXIVEL VIA FLEX EM SISTEMA FECHADO</w:t>
            </w:r>
          </w:p>
        </w:tc>
        <w:tc>
          <w:tcPr>
            <w:tcW w:w="468" w:type="pct"/>
            <w:shd w:val="clear" w:color="FFFFFF" w:fill="FFFFFF"/>
            <w:vAlign w:val="center"/>
          </w:tcPr>
          <w:p w14:paraId="791496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1000,00 ML</w:t>
            </w:r>
          </w:p>
        </w:tc>
        <w:tc>
          <w:tcPr>
            <w:tcW w:w="392" w:type="pct"/>
            <w:shd w:val="clear" w:color="FFFFFF" w:fill="FFFFFF"/>
            <w:vAlign w:val="center"/>
          </w:tcPr>
          <w:p w14:paraId="25DA0CD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391" w:type="pct"/>
            <w:shd w:val="clear" w:color="FFFFFF" w:fill="FFFFFF"/>
            <w:vAlign w:val="center"/>
          </w:tcPr>
          <w:p w14:paraId="392B427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469" w:type="pct"/>
            <w:shd w:val="clear" w:color="FFFFFF" w:fill="FFFFFF"/>
            <w:vAlign w:val="center"/>
          </w:tcPr>
          <w:p w14:paraId="4BA279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331FA1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31.000</w:t>
            </w:r>
          </w:p>
        </w:tc>
        <w:tc>
          <w:tcPr>
            <w:tcW w:w="787" w:type="pct"/>
            <w:shd w:val="clear" w:color="000000" w:fill="FFFFFF"/>
            <w:noWrap/>
            <w:vAlign w:val="center"/>
          </w:tcPr>
          <w:p w14:paraId="5F7BBBB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9,43 </w:t>
            </w:r>
          </w:p>
        </w:tc>
        <w:tc>
          <w:tcPr>
            <w:tcW w:w="534" w:type="pct"/>
            <w:shd w:val="clear" w:color="000000" w:fill="FFFFFF"/>
            <w:noWrap/>
            <w:vAlign w:val="center"/>
          </w:tcPr>
          <w:p w14:paraId="28DD7D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292.330,00 </w:t>
            </w:r>
          </w:p>
        </w:tc>
      </w:tr>
      <w:tr w14:paraId="61C1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58" w:hRule="atLeast"/>
        </w:trPr>
        <w:tc>
          <w:tcPr>
            <w:tcW w:w="177" w:type="pct"/>
            <w:shd w:val="clear" w:color="FFFFCC" w:fill="FFFFFF"/>
            <w:vAlign w:val="center"/>
          </w:tcPr>
          <w:p w14:paraId="261C0B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28</w:t>
            </w:r>
          </w:p>
        </w:tc>
        <w:tc>
          <w:tcPr>
            <w:tcW w:w="451" w:type="pct"/>
            <w:shd w:val="clear" w:color="FFFFCC" w:fill="FFFFFF"/>
            <w:vAlign w:val="center"/>
          </w:tcPr>
          <w:p w14:paraId="1CEA18D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BR268236</w:t>
            </w:r>
          </w:p>
        </w:tc>
        <w:tc>
          <w:tcPr>
            <w:tcW w:w="854" w:type="pct"/>
            <w:shd w:val="clear" w:color="FFFFCC" w:fill="FFFFFF"/>
            <w:vAlign w:val="center"/>
          </w:tcPr>
          <w:p w14:paraId="5BC876E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CLORETO DE SÓDIO PRINCÍPIO ATIVO: 0,9%_ SOLUÇÃO INJETÁVEL, APLICAÇÃO: SISTEMA FECHADO. CARACTERISTICAS ADICIONAIS: BOLSA COM INVÓLUCRO PROTETOR (SOBREBOLSA), PLÁSTICAS ESTERIL FLEXIVEL VIA FLEX EM SISTEMA FECHADO</w:t>
            </w:r>
          </w:p>
        </w:tc>
        <w:tc>
          <w:tcPr>
            <w:tcW w:w="468" w:type="pct"/>
            <w:shd w:val="clear" w:color="FFFFFF" w:fill="FFFFFF"/>
            <w:vAlign w:val="center"/>
          </w:tcPr>
          <w:p w14:paraId="3485701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500,00 ML</w:t>
            </w:r>
          </w:p>
        </w:tc>
        <w:tc>
          <w:tcPr>
            <w:tcW w:w="392" w:type="pct"/>
            <w:shd w:val="clear" w:color="FFFFFF" w:fill="FFFFFF"/>
            <w:vAlign w:val="center"/>
          </w:tcPr>
          <w:p w14:paraId="7E2A718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391" w:type="pct"/>
            <w:shd w:val="clear" w:color="FFFFFF" w:fill="FFFFFF"/>
            <w:vAlign w:val="center"/>
          </w:tcPr>
          <w:p w14:paraId="3D52515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36.000</w:t>
            </w:r>
          </w:p>
        </w:tc>
        <w:tc>
          <w:tcPr>
            <w:tcW w:w="469" w:type="pct"/>
            <w:shd w:val="clear" w:color="FFFFFF" w:fill="FFFFFF"/>
            <w:vAlign w:val="center"/>
          </w:tcPr>
          <w:p w14:paraId="1A063AE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w:t>
            </w:r>
          </w:p>
        </w:tc>
        <w:tc>
          <w:tcPr>
            <w:tcW w:w="472" w:type="pct"/>
            <w:shd w:val="clear" w:color="FFFFCC" w:fill="FFFFFF"/>
            <w:vAlign w:val="center"/>
          </w:tcPr>
          <w:p w14:paraId="7C0ED61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37.250</w:t>
            </w:r>
          </w:p>
        </w:tc>
        <w:tc>
          <w:tcPr>
            <w:tcW w:w="787" w:type="pct"/>
            <w:shd w:val="clear" w:color="000000" w:fill="FFFFFF"/>
            <w:noWrap/>
            <w:vAlign w:val="center"/>
          </w:tcPr>
          <w:p w14:paraId="6038C55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7,03 </w:t>
            </w:r>
          </w:p>
        </w:tc>
        <w:tc>
          <w:tcPr>
            <w:tcW w:w="534" w:type="pct"/>
            <w:shd w:val="clear" w:color="000000" w:fill="FFFFFF"/>
            <w:noWrap/>
            <w:vAlign w:val="center"/>
          </w:tcPr>
          <w:p w14:paraId="7CF86E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261.867,50 </w:t>
            </w:r>
          </w:p>
        </w:tc>
      </w:tr>
      <w:tr w14:paraId="7E0A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0" w:hRule="atLeast"/>
        </w:trPr>
        <w:tc>
          <w:tcPr>
            <w:tcW w:w="177" w:type="pct"/>
            <w:shd w:val="clear" w:color="FFFFCC" w:fill="FFFFFF"/>
            <w:vAlign w:val="center"/>
          </w:tcPr>
          <w:p w14:paraId="5B5F82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29</w:t>
            </w:r>
          </w:p>
        </w:tc>
        <w:tc>
          <w:tcPr>
            <w:tcW w:w="451" w:type="pct"/>
            <w:shd w:val="clear" w:color="FFFFCC" w:fill="FFFFFF"/>
            <w:vAlign w:val="center"/>
          </w:tcPr>
          <w:p w14:paraId="7A30977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BR268575</w:t>
            </w:r>
          </w:p>
        </w:tc>
        <w:tc>
          <w:tcPr>
            <w:tcW w:w="854" w:type="pct"/>
            <w:shd w:val="clear" w:color="FFFFCC" w:fill="FFFFFF"/>
            <w:vAlign w:val="center"/>
          </w:tcPr>
          <w:p w14:paraId="352FD0F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DESMOPRESSINA ACETATO, DOSAGEM: 4 MCG,ML, APRESENTAÇÃO: SOLUÇÃO INJETÁVEL</w:t>
            </w:r>
          </w:p>
        </w:tc>
        <w:tc>
          <w:tcPr>
            <w:tcW w:w="468" w:type="pct"/>
            <w:shd w:val="clear" w:color="FFFFFF" w:fill="FFFFFF"/>
            <w:vAlign w:val="center"/>
          </w:tcPr>
          <w:p w14:paraId="066FEB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392" w:type="pct"/>
            <w:shd w:val="clear" w:color="FFFFFF" w:fill="FFFFFF"/>
            <w:vAlign w:val="center"/>
          </w:tcPr>
          <w:p w14:paraId="0EBB6B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91" w:type="pct"/>
            <w:shd w:val="clear" w:color="FFFFFF" w:fill="FFFFFF"/>
            <w:vAlign w:val="center"/>
          </w:tcPr>
          <w:p w14:paraId="4715C7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69" w:type="pct"/>
            <w:shd w:val="clear" w:color="FFFFFF" w:fill="FFFFFF"/>
            <w:vAlign w:val="center"/>
          </w:tcPr>
          <w:p w14:paraId="299970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7E84148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1.300</w:t>
            </w:r>
          </w:p>
        </w:tc>
        <w:tc>
          <w:tcPr>
            <w:tcW w:w="787" w:type="pct"/>
            <w:shd w:val="clear" w:color="000000" w:fill="FFFFFF"/>
            <w:noWrap/>
            <w:vAlign w:val="center"/>
          </w:tcPr>
          <w:p w14:paraId="2C14790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30,02 </w:t>
            </w:r>
          </w:p>
        </w:tc>
        <w:tc>
          <w:tcPr>
            <w:tcW w:w="534" w:type="pct"/>
            <w:shd w:val="clear" w:color="000000" w:fill="FFFFFF"/>
            <w:noWrap/>
            <w:vAlign w:val="center"/>
          </w:tcPr>
          <w:p w14:paraId="2873D0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39.026,00 </w:t>
            </w:r>
          </w:p>
        </w:tc>
      </w:tr>
      <w:tr w14:paraId="7B5E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09" w:hRule="atLeast"/>
        </w:trPr>
        <w:tc>
          <w:tcPr>
            <w:tcW w:w="177" w:type="pct"/>
            <w:shd w:val="clear" w:color="FFFFCC" w:fill="FFFFFF"/>
            <w:vAlign w:val="center"/>
          </w:tcPr>
          <w:p w14:paraId="792BEE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451" w:type="pct"/>
            <w:shd w:val="clear" w:color="FFFFCC" w:fill="FFFFFF"/>
            <w:vAlign w:val="center"/>
          </w:tcPr>
          <w:p w14:paraId="257CB69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BR442689</w:t>
            </w:r>
          </w:p>
        </w:tc>
        <w:tc>
          <w:tcPr>
            <w:tcW w:w="854" w:type="pct"/>
            <w:shd w:val="clear" w:color="FFFFCC" w:fill="FFFFFF"/>
            <w:vAlign w:val="center"/>
          </w:tcPr>
          <w:p w14:paraId="3C75350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AMPICILINA, COMPOSIÇÃO: ASSOCIADA AO SULBACTAM, CONCENTRAÇÃO: 2 G + 1 G, FORMA FARMACEUTICA: PÓ P/ SOLUÇÃO INJETÁVEL.</w:t>
            </w:r>
          </w:p>
        </w:tc>
        <w:tc>
          <w:tcPr>
            <w:tcW w:w="468" w:type="pct"/>
            <w:shd w:val="clear" w:color="FFFFFF" w:fill="FFFFFF"/>
            <w:vAlign w:val="center"/>
          </w:tcPr>
          <w:p w14:paraId="7780A25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1CE0B80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91" w:type="pct"/>
            <w:shd w:val="clear" w:color="FFFFFF" w:fill="FFFFFF"/>
            <w:vAlign w:val="center"/>
          </w:tcPr>
          <w:p w14:paraId="7401997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w:t>
            </w:r>
          </w:p>
        </w:tc>
        <w:tc>
          <w:tcPr>
            <w:tcW w:w="469" w:type="pct"/>
            <w:shd w:val="clear" w:color="FFFFFF" w:fill="FFFFFF"/>
            <w:vAlign w:val="center"/>
          </w:tcPr>
          <w:p w14:paraId="7C698D1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7857DA4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w:t>
            </w:r>
          </w:p>
        </w:tc>
        <w:tc>
          <w:tcPr>
            <w:tcW w:w="787" w:type="pct"/>
            <w:shd w:val="clear" w:color="000000" w:fill="FFFFFF"/>
            <w:noWrap/>
            <w:vAlign w:val="center"/>
          </w:tcPr>
          <w:p w14:paraId="5D5D543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12,06 </w:t>
            </w:r>
          </w:p>
        </w:tc>
        <w:tc>
          <w:tcPr>
            <w:tcW w:w="534" w:type="pct"/>
            <w:shd w:val="clear" w:color="000000" w:fill="FFFFFF"/>
            <w:noWrap/>
            <w:vAlign w:val="center"/>
          </w:tcPr>
          <w:p w14:paraId="6074C9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25.326,00 </w:t>
            </w:r>
          </w:p>
        </w:tc>
      </w:tr>
      <w:tr w14:paraId="48EE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52" w:hRule="atLeast"/>
        </w:trPr>
        <w:tc>
          <w:tcPr>
            <w:tcW w:w="177" w:type="pct"/>
            <w:shd w:val="clear" w:color="FFFFCC" w:fill="FFFFFF"/>
            <w:vAlign w:val="center"/>
          </w:tcPr>
          <w:p w14:paraId="6B566C4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31</w:t>
            </w:r>
          </w:p>
        </w:tc>
        <w:tc>
          <w:tcPr>
            <w:tcW w:w="451" w:type="pct"/>
            <w:shd w:val="clear" w:color="FFFFCC" w:fill="FFFFFF"/>
            <w:vAlign w:val="center"/>
          </w:tcPr>
          <w:p w14:paraId="6D84D20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BR272042</w:t>
            </w:r>
          </w:p>
        </w:tc>
        <w:tc>
          <w:tcPr>
            <w:tcW w:w="854" w:type="pct"/>
            <w:shd w:val="clear" w:color="FFFFCC" w:fill="FFFFFF"/>
            <w:vAlign w:val="center"/>
          </w:tcPr>
          <w:p w14:paraId="1B7B637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CLONIDINA CLORIDRATO, CONCENTRAÇÃO: 0,2 MG</w:t>
            </w:r>
          </w:p>
        </w:tc>
        <w:tc>
          <w:tcPr>
            <w:tcW w:w="468" w:type="pct"/>
            <w:shd w:val="clear" w:color="FFFFFF" w:fill="FFFFFF"/>
            <w:vAlign w:val="center"/>
          </w:tcPr>
          <w:p w14:paraId="67A29F5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392" w:type="pct"/>
            <w:shd w:val="clear" w:color="FFFFFF" w:fill="FFFFFF"/>
            <w:vAlign w:val="center"/>
          </w:tcPr>
          <w:p w14:paraId="64C8D7A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391" w:type="pct"/>
            <w:shd w:val="clear" w:color="FFFFFF" w:fill="FFFFFF"/>
            <w:vAlign w:val="center"/>
          </w:tcPr>
          <w:p w14:paraId="0805065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43D1230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493A95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787" w:type="pct"/>
            <w:shd w:val="clear" w:color="000000" w:fill="FFFFFF"/>
            <w:noWrap/>
            <w:vAlign w:val="center"/>
          </w:tcPr>
          <w:p w14:paraId="678D9DA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0,54 </w:t>
            </w:r>
          </w:p>
        </w:tc>
        <w:tc>
          <w:tcPr>
            <w:tcW w:w="534" w:type="pct"/>
            <w:shd w:val="clear" w:color="000000" w:fill="FFFFFF"/>
            <w:noWrap/>
            <w:vAlign w:val="center"/>
          </w:tcPr>
          <w:p w14:paraId="3EE7427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270,00 </w:t>
            </w:r>
          </w:p>
        </w:tc>
      </w:tr>
      <w:tr w14:paraId="00DC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03" w:hRule="atLeast"/>
        </w:trPr>
        <w:tc>
          <w:tcPr>
            <w:tcW w:w="177" w:type="pct"/>
            <w:shd w:val="clear" w:color="FFFFCC" w:fill="FFFFFF"/>
            <w:vAlign w:val="center"/>
          </w:tcPr>
          <w:p w14:paraId="72143E8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32</w:t>
            </w:r>
          </w:p>
        </w:tc>
        <w:tc>
          <w:tcPr>
            <w:tcW w:w="451" w:type="pct"/>
            <w:shd w:val="clear" w:color="FFFFCC" w:fill="FFFFFF"/>
            <w:vAlign w:val="center"/>
          </w:tcPr>
          <w:p w14:paraId="0DB0C0A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BR614408</w:t>
            </w:r>
          </w:p>
        </w:tc>
        <w:tc>
          <w:tcPr>
            <w:tcW w:w="854" w:type="pct"/>
            <w:shd w:val="clear" w:color="FFFFCC" w:fill="FFFFFF"/>
            <w:vAlign w:val="center"/>
          </w:tcPr>
          <w:p w14:paraId="50DC86B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SOLUÇÃO PARA HEMODIÁLISE, COMPONENTES: SÓDIO, CLORETO, MAGNÉSIO, SULFATO, CONCENTRAÇÃO:105 MEQ/L + 105 MEQ/L + 1,5 MEQ/L + 1,5 MEQ/L, FORMA FARMACÊUTICA:SOLUÇÃO ESTÉRIL APIROGÊNICA, ADICIONAL:SISTEMA FECHADO.</w:t>
            </w:r>
          </w:p>
        </w:tc>
        <w:tc>
          <w:tcPr>
            <w:tcW w:w="468" w:type="pct"/>
            <w:shd w:val="clear" w:color="FFFFFF" w:fill="FFFFFF"/>
            <w:vAlign w:val="center"/>
          </w:tcPr>
          <w:p w14:paraId="3727DF9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5000,00 ML</w:t>
            </w:r>
          </w:p>
        </w:tc>
        <w:tc>
          <w:tcPr>
            <w:tcW w:w="392" w:type="pct"/>
            <w:shd w:val="clear" w:color="FFFFFF" w:fill="FFFFFF"/>
            <w:vAlign w:val="center"/>
          </w:tcPr>
          <w:p w14:paraId="0FBA3D1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391" w:type="pct"/>
            <w:shd w:val="clear" w:color="FFFFFF" w:fill="FFFFFF"/>
            <w:vAlign w:val="center"/>
          </w:tcPr>
          <w:p w14:paraId="76C55D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69" w:type="pct"/>
            <w:shd w:val="clear" w:color="FFFFFF" w:fill="FFFFFF"/>
            <w:vAlign w:val="center"/>
          </w:tcPr>
          <w:p w14:paraId="0C8F14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680DE6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787" w:type="pct"/>
            <w:shd w:val="clear" w:color="000000" w:fill="FFFFFF"/>
            <w:noWrap/>
            <w:vAlign w:val="center"/>
          </w:tcPr>
          <w:p w14:paraId="783E0F4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50,90 </w:t>
            </w:r>
          </w:p>
        </w:tc>
        <w:tc>
          <w:tcPr>
            <w:tcW w:w="534" w:type="pct"/>
            <w:shd w:val="clear" w:color="000000" w:fill="FFFFFF"/>
            <w:noWrap/>
            <w:vAlign w:val="center"/>
          </w:tcPr>
          <w:p w14:paraId="7FDDF3B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101.800,00 </w:t>
            </w:r>
          </w:p>
        </w:tc>
      </w:tr>
      <w:tr w14:paraId="43E1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80" w:hRule="atLeast"/>
        </w:trPr>
        <w:tc>
          <w:tcPr>
            <w:tcW w:w="177" w:type="pct"/>
            <w:shd w:val="clear" w:color="FFFFCC" w:fill="FFFFFF"/>
            <w:vAlign w:val="center"/>
          </w:tcPr>
          <w:p w14:paraId="1DF84F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33</w:t>
            </w:r>
          </w:p>
        </w:tc>
        <w:tc>
          <w:tcPr>
            <w:tcW w:w="451" w:type="pct"/>
            <w:shd w:val="clear" w:color="FFFFCC" w:fill="FFFFFF"/>
            <w:vAlign w:val="center"/>
          </w:tcPr>
          <w:p w14:paraId="5A1F25B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BR0396567</w:t>
            </w:r>
          </w:p>
        </w:tc>
        <w:tc>
          <w:tcPr>
            <w:tcW w:w="854" w:type="pct"/>
            <w:shd w:val="clear" w:color="FFFFCC" w:fill="FFFFFF"/>
            <w:vAlign w:val="center"/>
          </w:tcPr>
          <w:p w14:paraId="77F5E08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MICAFUNGINA, COMPOSIÇÃO SÓDICA, CONCENTRAÇAO 50, FORMA FARMACEUTICA PÓ LIÓFILO P/ INJETÁVEL</w:t>
            </w:r>
          </w:p>
        </w:tc>
        <w:tc>
          <w:tcPr>
            <w:tcW w:w="468" w:type="pct"/>
            <w:shd w:val="clear" w:color="FFFFFF" w:fill="FFFFFF"/>
            <w:vAlign w:val="center"/>
          </w:tcPr>
          <w:p w14:paraId="2EB3D9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44A0C6C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391" w:type="pct"/>
            <w:shd w:val="clear" w:color="FFFFFF" w:fill="FFFFFF"/>
            <w:vAlign w:val="center"/>
          </w:tcPr>
          <w:p w14:paraId="66F5C7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7DF967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63FCC4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787" w:type="pct"/>
            <w:shd w:val="clear" w:color="000000" w:fill="FFFFFF"/>
            <w:noWrap/>
            <w:vAlign w:val="center"/>
          </w:tcPr>
          <w:p w14:paraId="7312C4B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203,40 </w:t>
            </w:r>
          </w:p>
        </w:tc>
        <w:tc>
          <w:tcPr>
            <w:tcW w:w="534" w:type="pct"/>
            <w:shd w:val="clear" w:color="000000" w:fill="FFFFFF"/>
            <w:noWrap/>
            <w:vAlign w:val="center"/>
          </w:tcPr>
          <w:p w14:paraId="3210A6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61.020,00 </w:t>
            </w:r>
          </w:p>
        </w:tc>
      </w:tr>
      <w:tr w14:paraId="6915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83" w:hRule="atLeast"/>
        </w:trPr>
        <w:tc>
          <w:tcPr>
            <w:tcW w:w="177" w:type="pct"/>
            <w:shd w:val="clear" w:color="FFFFCC" w:fill="FFFFFF"/>
            <w:vAlign w:val="center"/>
          </w:tcPr>
          <w:p w14:paraId="3C23037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34</w:t>
            </w:r>
          </w:p>
        </w:tc>
        <w:tc>
          <w:tcPr>
            <w:tcW w:w="451" w:type="pct"/>
            <w:shd w:val="clear" w:color="FFFFCC" w:fill="FFFFFF"/>
            <w:vAlign w:val="center"/>
          </w:tcPr>
          <w:p w14:paraId="2647B6F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BR396568</w:t>
            </w:r>
          </w:p>
        </w:tc>
        <w:tc>
          <w:tcPr>
            <w:tcW w:w="854" w:type="pct"/>
            <w:shd w:val="clear" w:color="FFFFCC" w:fill="FFFFFF"/>
            <w:vAlign w:val="center"/>
          </w:tcPr>
          <w:p w14:paraId="2843861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MICAFUNGINA, COMPOSIÇÃO: SÓDICA, CONCENTRAÇAO: 100 MG, FORMA FARMACEUTICA: PÓ LIÓFILO P, INJETÁVEL</w:t>
            </w:r>
          </w:p>
        </w:tc>
        <w:tc>
          <w:tcPr>
            <w:tcW w:w="468" w:type="pct"/>
            <w:shd w:val="clear" w:color="FFFFFF" w:fill="FFFFFF"/>
            <w:vAlign w:val="center"/>
          </w:tcPr>
          <w:p w14:paraId="417CD2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6CA7AC5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391" w:type="pct"/>
            <w:shd w:val="clear" w:color="FFFFFF" w:fill="FFFFFF"/>
            <w:vAlign w:val="center"/>
          </w:tcPr>
          <w:p w14:paraId="778B7C5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1.800</w:t>
            </w:r>
          </w:p>
        </w:tc>
        <w:tc>
          <w:tcPr>
            <w:tcW w:w="469" w:type="pct"/>
            <w:shd w:val="clear" w:color="FFFFFF" w:fill="FFFFFF"/>
            <w:vAlign w:val="center"/>
          </w:tcPr>
          <w:p w14:paraId="3D2EF8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4DF6311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w:t>
            </w:r>
          </w:p>
        </w:tc>
        <w:tc>
          <w:tcPr>
            <w:tcW w:w="787" w:type="pct"/>
            <w:shd w:val="clear" w:color="000000" w:fill="FFFFFF"/>
            <w:noWrap/>
            <w:vAlign w:val="center"/>
          </w:tcPr>
          <w:p w14:paraId="78C760D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405,00 </w:t>
            </w:r>
          </w:p>
        </w:tc>
        <w:tc>
          <w:tcPr>
            <w:tcW w:w="534" w:type="pct"/>
            <w:shd w:val="clear" w:color="000000" w:fill="FFFFFF"/>
            <w:noWrap/>
            <w:vAlign w:val="center"/>
          </w:tcPr>
          <w:p w14:paraId="13DB8F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850.500,00 </w:t>
            </w:r>
          </w:p>
        </w:tc>
      </w:tr>
      <w:tr w14:paraId="47B8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90" w:hRule="atLeast"/>
        </w:trPr>
        <w:tc>
          <w:tcPr>
            <w:tcW w:w="177" w:type="pct"/>
            <w:shd w:val="clear" w:color="FFFFCC" w:fill="FFFFFF"/>
            <w:vAlign w:val="center"/>
          </w:tcPr>
          <w:p w14:paraId="6889B02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35</w:t>
            </w:r>
          </w:p>
        </w:tc>
        <w:tc>
          <w:tcPr>
            <w:tcW w:w="451" w:type="pct"/>
            <w:shd w:val="clear" w:color="FFFFCC" w:fill="FFFFFF"/>
            <w:vAlign w:val="center"/>
          </w:tcPr>
          <w:p w14:paraId="0537590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BR293981</w:t>
            </w:r>
          </w:p>
        </w:tc>
        <w:tc>
          <w:tcPr>
            <w:tcW w:w="854" w:type="pct"/>
            <w:shd w:val="clear" w:color="FFFFCC" w:fill="FFFFFF"/>
            <w:vAlign w:val="center"/>
          </w:tcPr>
          <w:p w14:paraId="375F365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MACROGOL PRINCÍPIO ATIVO: MACROGOL 3350 , FORMA FARMACÊUTICA: PÓ PARA PREPARAÇÃO EXTEMPORÂNEA , COMPOSIÇÃO: BICARBONATO DE SÓDIO, CLORETOS DE SÓDIO E POTÁSSIO , CONCENTRAÇÃO: 13,125 G + 177,5 MG + 46,6 MG + 350,7 M</w:t>
            </w:r>
          </w:p>
        </w:tc>
        <w:tc>
          <w:tcPr>
            <w:tcW w:w="468" w:type="pct"/>
            <w:shd w:val="clear" w:color="FFFFFF" w:fill="FFFFFF"/>
            <w:vAlign w:val="center"/>
          </w:tcPr>
          <w:p w14:paraId="5AB558F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SACHÊ 14,00 G</w:t>
            </w:r>
          </w:p>
        </w:tc>
        <w:tc>
          <w:tcPr>
            <w:tcW w:w="392" w:type="pct"/>
            <w:shd w:val="clear" w:color="FFFFFF" w:fill="FFFFFF"/>
            <w:vAlign w:val="center"/>
          </w:tcPr>
          <w:p w14:paraId="7A21D02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91" w:type="pct"/>
            <w:shd w:val="clear" w:color="FFFFFF" w:fill="FFFFFF"/>
            <w:vAlign w:val="center"/>
          </w:tcPr>
          <w:p w14:paraId="7E3AF6E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9.000</w:t>
            </w:r>
          </w:p>
        </w:tc>
        <w:tc>
          <w:tcPr>
            <w:tcW w:w="469" w:type="pct"/>
            <w:shd w:val="clear" w:color="FFFFFF" w:fill="FFFFFF"/>
            <w:vAlign w:val="center"/>
          </w:tcPr>
          <w:p w14:paraId="371FDA0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5BFD43F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21.000</w:t>
            </w:r>
          </w:p>
        </w:tc>
        <w:tc>
          <w:tcPr>
            <w:tcW w:w="787" w:type="pct"/>
            <w:shd w:val="clear" w:color="000000" w:fill="FFFFFF"/>
            <w:noWrap/>
            <w:vAlign w:val="center"/>
          </w:tcPr>
          <w:p w14:paraId="1E24743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3,09 </w:t>
            </w:r>
          </w:p>
        </w:tc>
        <w:tc>
          <w:tcPr>
            <w:tcW w:w="534" w:type="pct"/>
            <w:shd w:val="clear" w:color="000000" w:fill="FFFFFF"/>
            <w:noWrap/>
            <w:vAlign w:val="center"/>
          </w:tcPr>
          <w:p w14:paraId="778BC2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64.890,00 </w:t>
            </w:r>
          </w:p>
        </w:tc>
      </w:tr>
      <w:tr w14:paraId="5A83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38" w:hRule="atLeast"/>
        </w:trPr>
        <w:tc>
          <w:tcPr>
            <w:tcW w:w="177" w:type="pct"/>
            <w:shd w:val="clear" w:color="FFFFCC" w:fill="FFFFFF"/>
            <w:vAlign w:val="center"/>
          </w:tcPr>
          <w:p w14:paraId="18171A1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w:t>
            </w:r>
          </w:p>
        </w:tc>
        <w:tc>
          <w:tcPr>
            <w:tcW w:w="451" w:type="pct"/>
            <w:shd w:val="clear" w:color="FFFFCC" w:fill="FFFFFF"/>
            <w:vAlign w:val="center"/>
          </w:tcPr>
          <w:p w14:paraId="4951236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BR0267614</w:t>
            </w:r>
          </w:p>
        </w:tc>
        <w:tc>
          <w:tcPr>
            <w:tcW w:w="854" w:type="pct"/>
            <w:shd w:val="clear" w:color="FFFFCC" w:fill="FFFFFF"/>
            <w:vAlign w:val="center"/>
          </w:tcPr>
          <w:p w14:paraId="48C8C71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CAPTOPRIL, DOSAGEM 12,5MG</w:t>
            </w:r>
          </w:p>
        </w:tc>
        <w:tc>
          <w:tcPr>
            <w:tcW w:w="468" w:type="pct"/>
            <w:shd w:val="clear" w:color="FFFFFF" w:fill="FFFFFF"/>
            <w:vAlign w:val="center"/>
          </w:tcPr>
          <w:p w14:paraId="598B9E6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392" w:type="pct"/>
            <w:shd w:val="clear" w:color="FFFFFF" w:fill="FFFFFF"/>
            <w:vAlign w:val="center"/>
          </w:tcPr>
          <w:p w14:paraId="5C4944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91" w:type="pct"/>
            <w:shd w:val="clear" w:color="FFFFFF" w:fill="FFFFFF"/>
            <w:vAlign w:val="center"/>
          </w:tcPr>
          <w:p w14:paraId="01D647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146FD7E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21BA4BC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787" w:type="pct"/>
            <w:shd w:val="clear" w:color="000000" w:fill="FFFFFF"/>
            <w:noWrap/>
            <w:vAlign w:val="center"/>
          </w:tcPr>
          <w:p w14:paraId="02FADFA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0,81 </w:t>
            </w:r>
          </w:p>
        </w:tc>
        <w:tc>
          <w:tcPr>
            <w:tcW w:w="534" w:type="pct"/>
            <w:shd w:val="clear" w:color="000000" w:fill="FFFFFF"/>
            <w:noWrap/>
            <w:vAlign w:val="center"/>
          </w:tcPr>
          <w:p w14:paraId="6D61C30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9.720,00 </w:t>
            </w:r>
          </w:p>
        </w:tc>
      </w:tr>
      <w:tr w14:paraId="38A2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09" w:hRule="atLeast"/>
        </w:trPr>
        <w:tc>
          <w:tcPr>
            <w:tcW w:w="177" w:type="pct"/>
            <w:shd w:val="clear" w:color="FFFFCC" w:fill="FFFFFF"/>
            <w:vAlign w:val="center"/>
          </w:tcPr>
          <w:p w14:paraId="1379BFF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37</w:t>
            </w:r>
          </w:p>
        </w:tc>
        <w:tc>
          <w:tcPr>
            <w:tcW w:w="451" w:type="pct"/>
            <w:shd w:val="clear" w:color="FFFFCC" w:fill="FFFFFF"/>
            <w:vAlign w:val="center"/>
          </w:tcPr>
          <w:p w14:paraId="40C668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BR268513</w:t>
            </w:r>
          </w:p>
        </w:tc>
        <w:tc>
          <w:tcPr>
            <w:tcW w:w="854" w:type="pct"/>
            <w:shd w:val="clear" w:color="FFFFCC" w:fill="FFFFFF"/>
            <w:vAlign w:val="center"/>
          </w:tcPr>
          <w:p w14:paraId="16A9CD8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OXACILINA, DOSAGEM 500, COMPOSIÇÃO INJETÁVEL</w:t>
            </w:r>
          </w:p>
        </w:tc>
        <w:tc>
          <w:tcPr>
            <w:tcW w:w="468" w:type="pct"/>
            <w:shd w:val="clear" w:color="FFFFFF" w:fill="FFFFFF"/>
            <w:vAlign w:val="center"/>
          </w:tcPr>
          <w:p w14:paraId="0B3E55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71502A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391" w:type="pct"/>
            <w:shd w:val="clear" w:color="FFFFFF" w:fill="FFFFFF"/>
            <w:vAlign w:val="center"/>
          </w:tcPr>
          <w:p w14:paraId="2B8BDA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22.000</w:t>
            </w:r>
          </w:p>
        </w:tc>
        <w:tc>
          <w:tcPr>
            <w:tcW w:w="469" w:type="pct"/>
            <w:shd w:val="clear" w:color="FFFFFF" w:fill="FFFFFF"/>
            <w:vAlign w:val="center"/>
          </w:tcPr>
          <w:p w14:paraId="2F42C74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2FE348E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26.800</w:t>
            </w:r>
          </w:p>
        </w:tc>
        <w:tc>
          <w:tcPr>
            <w:tcW w:w="787" w:type="pct"/>
            <w:shd w:val="clear" w:color="000000" w:fill="FFFFFF"/>
            <w:noWrap/>
            <w:vAlign w:val="center"/>
          </w:tcPr>
          <w:p w14:paraId="3D6FBD0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4,00 </w:t>
            </w:r>
          </w:p>
        </w:tc>
        <w:tc>
          <w:tcPr>
            <w:tcW w:w="534" w:type="pct"/>
            <w:shd w:val="clear" w:color="000000" w:fill="FFFFFF"/>
            <w:noWrap/>
            <w:vAlign w:val="center"/>
          </w:tcPr>
          <w:p w14:paraId="02B36E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107.200,00 </w:t>
            </w:r>
          </w:p>
        </w:tc>
      </w:tr>
      <w:tr w14:paraId="1E76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20" w:hRule="atLeast"/>
        </w:trPr>
        <w:tc>
          <w:tcPr>
            <w:tcW w:w="177" w:type="pct"/>
            <w:shd w:val="clear" w:color="FFFFCC" w:fill="FFFFFF"/>
            <w:vAlign w:val="center"/>
          </w:tcPr>
          <w:p w14:paraId="4F09E4D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38</w:t>
            </w:r>
          </w:p>
        </w:tc>
        <w:tc>
          <w:tcPr>
            <w:tcW w:w="451" w:type="pct"/>
            <w:shd w:val="clear" w:color="FFFFCC" w:fill="FFFFFF"/>
            <w:vAlign w:val="center"/>
          </w:tcPr>
          <w:p w14:paraId="499C268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BR448841</w:t>
            </w:r>
          </w:p>
        </w:tc>
        <w:tc>
          <w:tcPr>
            <w:tcW w:w="854" w:type="pct"/>
            <w:shd w:val="clear" w:color="FFFFCC" w:fill="FFFFFF"/>
            <w:vAlign w:val="center"/>
          </w:tcPr>
          <w:p w14:paraId="067DF10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AMOXICILINA, PRINCÍPIO ATIVO: ASSOCIADA COM CLAVULANATO DE POTÁSSIO, CONCENTRAÇÃO: 50 MG, ML + 12,5 MG,ML, FORMA FARMACÊUTICA: SUSPENSÃO ORAL</w:t>
            </w:r>
          </w:p>
        </w:tc>
        <w:tc>
          <w:tcPr>
            <w:tcW w:w="468" w:type="pct"/>
            <w:shd w:val="clear" w:color="FFFFFF" w:fill="FFFFFF"/>
            <w:vAlign w:val="center"/>
          </w:tcPr>
          <w:p w14:paraId="2893EB3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100,00 ML</w:t>
            </w:r>
          </w:p>
        </w:tc>
        <w:tc>
          <w:tcPr>
            <w:tcW w:w="392" w:type="pct"/>
            <w:shd w:val="clear" w:color="FFFFFF" w:fill="FFFFFF"/>
            <w:vAlign w:val="center"/>
          </w:tcPr>
          <w:p w14:paraId="4DB4534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391" w:type="pct"/>
            <w:shd w:val="clear" w:color="FFFFFF" w:fill="FFFFFF"/>
            <w:vAlign w:val="center"/>
          </w:tcPr>
          <w:p w14:paraId="19EAEB7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69" w:type="pct"/>
            <w:shd w:val="clear" w:color="FFFFFF" w:fill="FFFFFF"/>
            <w:vAlign w:val="center"/>
          </w:tcPr>
          <w:p w14:paraId="6458CC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3D9A52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787" w:type="pct"/>
            <w:shd w:val="clear" w:color="000000" w:fill="FFFFFF"/>
            <w:noWrap/>
            <w:vAlign w:val="center"/>
          </w:tcPr>
          <w:p w14:paraId="6451DDB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36,83 </w:t>
            </w:r>
          </w:p>
        </w:tc>
        <w:tc>
          <w:tcPr>
            <w:tcW w:w="534" w:type="pct"/>
            <w:shd w:val="clear" w:color="000000" w:fill="FFFFFF"/>
            <w:noWrap/>
            <w:vAlign w:val="center"/>
          </w:tcPr>
          <w:p w14:paraId="33B4142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7.366,00 </w:t>
            </w:r>
          </w:p>
        </w:tc>
      </w:tr>
      <w:tr w14:paraId="03EA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88" w:hRule="atLeast"/>
        </w:trPr>
        <w:tc>
          <w:tcPr>
            <w:tcW w:w="177" w:type="pct"/>
            <w:shd w:val="clear" w:color="FFFFCC" w:fill="FFFFFF"/>
            <w:vAlign w:val="center"/>
          </w:tcPr>
          <w:p w14:paraId="4478FE6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w:t>
            </w:r>
          </w:p>
        </w:tc>
        <w:tc>
          <w:tcPr>
            <w:tcW w:w="451" w:type="pct"/>
            <w:shd w:val="clear" w:color="FFFFCC" w:fill="FFFFFF"/>
            <w:vAlign w:val="center"/>
          </w:tcPr>
          <w:p w14:paraId="70C48FB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BR484669</w:t>
            </w:r>
          </w:p>
        </w:tc>
        <w:tc>
          <w:tcPr>
            <w:tcW w:w="854" w:type="pct"/>
            <w:shd w:val="clear" w:color="FFFFCC" w:fill="FFFFFF"/>
            <w:vAlign w:val="center"/>
          </w:tcPr>
          <w:p w14:paraId="3FC9E7D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SOLUÇÃO PARA HEMODIÁLISE COMPONENTES: SOLUÇÃO A: MAGNÉSIO , COMPONENTES ADICIONAIS: SOLUÇÃO B: NA+, K+, CL-, FOSFATO, BICARBONATO , FORMA FARMACÊUTICA: SOLUÇÃO ESTÉRIL APIROGÊNICA , ADICIONAL: SISTEMA FECHADO, FORMA FARMACÊUTICA:SOLUÇÃO ESTÉRIL 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APIROGÊNICA: CARACTERISTICA ADICIONAL : BOLSA SISTEMA FECHADO PRONTA PARA USO, CONCENTRAÇÃO POTASSIO 2MMOL/L</w:t>
            </w:r>
          </w:p>
        </w:tc>
        <w:tc>
          <w:tcPr>
            <w:tcW w:w="468" w:type="pct"/>
            <w:shd w:val="clear" w:color="FFFFFF" w:fill="FFFFFF"/>
            <w:vAlign w:val="center"/>
          </w:tcPr>
          <w:p w14:paraId="3FD13D0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5000,00 ML</w:t>
            </w:r>
          </w:p>
        </w:tc>
        <w:tc>
          <w:tcPr>
            <w:tcW w:w="392" w:type="pct"/>
            <w:shd w:val="clear" w:color="FFFFFF" w:fill="FFFFFF"/>
            <w:vAlign w:val="center"/>
          </w:tcPr>
          <w:p w14:paraId="591F791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391" w:type="pct"/>
            <w:shd w:val="clear" w:color="FFFFFF" w:fill="FFFFFF"/>
            <w:vAlign w:val="center"/>
          </w:tcPr>
          <w:p w14:paraId="2775DDC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469" w:type="pct"/>
            <w:shd w:val="clear" w:color="FFFFFF" w:fill="FFFFFF"/>
            <w:vAlign w:val="center"/>
          </w:tcPr>
          <w:p w14:paraId="6FCA9E8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4B31269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3.900</w:t>
            </w:r>
          </w:p>
        </w:tc>
        <w:tc>
          <w:tcPr>
            <w:tcW w:w="787" w:type="pct"/>
            <w:shd w:val="clear" w:color="000000" w:fill="FFFFFF"/>
            <w:noWrap/>
            <w:vAlign w:val="center"/>
          </w:tcPr>
          <w:p w14:paraId="37A3596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95,93 </w:t>
            </w:r>
          </w:p>
        </w:tc>
        <w:tc>
          <w:tcPr>
            <w:tcW w:w="534" w:type="pct"/>
            <w:shd w:val="clear" w:color="000000" w:fill="FFFFFF"/>
            <w:noWrap/>
            <w:vAlign w:val="center"/>
          </w:tcPr>
          <w:p w14:paraId="10AACF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374.127,00 </w:t>
            </w:r>
          </w:p>
        </w:tc>
      </w:tr>
      <w:tr w14:paraId="6E15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90" w:hRule="atLeast"/>
        </w:trPr>
        <w:tc>
          <w:tcPr>
            <w:tcW w:w="177" w:type="pct"/>
            <w:shd w:val="clear" w:color="FFFFCC" w:fill="FFFFFF"/>
            <w:vAlign w:val="center"/>
          </w:tcPr>
          <w:p w14:paraId="5CEE192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w:t>
            </w:r>
          </w:p>
        </w:tc>
        <w:tc>
          <w:tcPr>
            <w:tcW w:w="451" w:type="pct"/>
            <w:shd w:val="clear" w:color="FFFFCC" w:fill="FFFFFF"/>
            <w:vAlign w:val="center"/>
          </w:tcPr>
          <w:p w14:paraId="35478D2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BR484669</w:t>
            </w:r>
          </w:p>
        </w:tc>
        <w:tc>
          <w:tcPr>
            <w:tcW w:w="854" w:type="pct"/>
            <w:shd w:val="clear" w:color="FFFFCC" w:fill="FFFFFF"/>
            <w:vAlign w:val="center"/>
          </w:tcPr>
          <w:p w14:paraId="14FF4D3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SOLUÇÃO PARA HEMODIÁLISE COMPONENTES: SOLUÇÃO A: MAGNÉSIO , COMPONENTES ADICIONAIS: SOLUÇÃO B: NA+, K+, CL-, FOSFATO, BICARBONATO , FORMA FARMACÊUTICA: SOLUÇÃO ESTÉRIL APIROGÊNICA , ADICIONAL: SISTEMA FECHADO, FORMA FARMACÊUTICA:SOLUÇÃO ESTÉRIL E</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APIROGÊNICA: CARACTERISTICA ADICIONAL : BOLSA SISTEMA FECHADO PRONTA PARA USO, CONCENTRAÇÃO POTASSIO 4MMOL/L</w:t>
            </w:r>
          </w:p>
        </w:tc>
        <w:tc>
          <w:tcPr>
            <w:tcW w:w="468" w:type="pct"/>
            <w:shd w:val="clear" w:color="FFFFFF" w:fill="FFFFFF"/>
            <w:vAlign w:val="center"/>
          </w:tcPr>
          <w:p w14:paraId="2142F3D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5000,00 ML</w:t>
            </w:r>
          </w:p>
        </w:tc>
        <w:tc>
          <w:tcPr>
            <w:tcW w:w="392" w:type="pct"/>
            <w:shd w:val="clear" w:color="FFFFFF" w:fill="FFFFFF"/>
            <w:vAlign w:val="center"/>
          </w:tcPr>
          <w:p w14:paraId="2091D21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391" w:type="pct"/>
            <w:shd w:val="clear" w:color="FFFFFF" w:fill="FFFFFF"/>
            <w:vAlign w:val="center"/>
          </w:tcPr>
          <w:p w14:paraId="15361C7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69" w:type="pct"/>
            <w:shd w:val="clear" w:color="FFFFFF" w:fill="FFFFFF"/>
            <w:vAlign w:val="center"/>
          </w:tcPr>
          <w:p w14:paraId="57EEE61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02FDA03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787" w:type="pct"/>
            <w:shd w:val="clear" w:color="000000" w:fill="FFFFFF"/>
            <w:noWrap/>
            <w:vAlign w:val="center"/>
          </w:tcPr>
          <w:p w14:paraId="56F7A5E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98,04 </w:t>
            </w:r>
          </w:p>
        </w:tc>
        <w:tc>
          <w:tcPr>
            <w:tcW w:w="534" w:type="pct"/>
            <w:shd w:val="clear" w:color="000000" w:fill="FFFFFF"/>
            <w:noWrap/>
            <w:vAlign w:val="center"/>
          </w:tcPr>
          <w:p w14:paraId="75A5A0C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235.296,00 </w:t>
            </w:r>
          </w:p>
        </w:tc>
      </w:tr>
      <w:tr w14:paraId="7900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90" w:hRule="atLeast"/>
        </w:trPr>
        <w:tc>
          <w:tcPr>
            <w:tcW w:w="177" w:type="pct"/>
            <w:shd w:val="clear" w:color="FFFFCC" w:fill="FFFFFF"/>
            <w:vAlign w:val="center"/>
          </w:tcPr>
          <w:p w14:paraId="3CC4E04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41</w:t>
            </w:r>
          </w:p>
        </w:tc>
        <w:tc>
          <w:tcPr>
            <w:tcW w:w="451" w:type="pct"/>
            <w:shd w:val="clear" w:color="FFFFCC" w:fill="FFFFFF"/>
            <w:vAlign w:val="center"/>
          </w:tcPr>
          <w:p w14:paraId="67DD40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BR431260</w:t>
            </w:r>
          </w:p>
        </w:tc>
        <w:tc>
          <w:tcPr>
            <w:tcW w:w="854" w:type="pct"/>
            <w:shd w:val="clear" w:color="FFFFCC" w:fill="FFFFFF"/>
            <w:vAlign w:val="center"/>
          </w:tcPr>
          <w:p w14:paraId="2DF0779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HEMOSTÁTICO ABSORVÍVEL, APRESENTAÇÃO: ESPONJA, PRINCÍPIO ATIVO: COLÁGENO MICROFIBRILAR, DIMENSÕES: CERCA DE 5 X 5 CM, ESTERILIDADE:DESCARTÁVEL E ESTÉRIL. CARACTERÍSTICAS ADICIONAIS: REVESTIDA COM NHS-PEG (PENTAERITRITOL POLIETILENO GLICOL ÉTER TETRASUCCINIMIDIL GLUTARATO).</w:t>
            </w:r>
          </w:p>
        </w:tc>
        <w:tc>
          <w:tcPr>
            <w:tcW w:w="468" w:type="pct"/>
            <w:shd w:val="clear" w:color="FFFFFF" w:fill="FFFFFF"/>
            <w:vAlign w:val="center"/>
          </w:tcPr>
          <w:p w14:paraId="7D28AF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UNIDADE</w:t>
            </w:r>
          </w:p>
        </w:tc>
        <w:tc>
          <w:tcPr>
            <w:tcW w:w="392" w:type="pct"/>
            <w:shd w:val="clear" w:color="FFFFFF" w:fill="FFFFFF"/>
            <w:vAlign w:val="center"/>
          </w:tcPr>
          <w:p w14:paraId="1CDDCA3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w:t>
            </w:r>
          </w:p>
        </w:tc>
        <w:tc>
          <w:tcPr>
            <w:tcW w:w="391" w:type="pct"/>
            <w:shd w:val="clear" w:color="FFFFFF" w:fill="FFFFFF"/>
            <w:vAlign w:val="center"/>
          </w:tcPr>
          <w:p w14:paraId="03A2E0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1A9D46C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1EB16BC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w:t>
            </w:r>
          </w:p>
        </w:tc>
        <w:tc>
          <w:tcPr>
            <w:tcW w:w="787" w:type="pct"/>
            <w:shd w:val="clear" w:color="000000" w:fill="FFFFFF"/>
            <w:noWrap/>
            <w:vAlign w:val="center"/>
          </w:tcPr>
          <w:p w14:paraId="17818F1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1.235,25 </w:t>
            </w:r>
          </w:p>
        </w:tc>
        <w:tc>
          <w:tcPr>
            <w:tcW w:w="534" w:type="pct"/>
            <w:shd w:val="clear" w:color="000000" w:fill="FFFFFF"/>
            <w:noWrap/>
            <w:vAlign w:val="center"/>
          </w:tcPr>
          <w:p w14:paraId="605A08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29.646,00 </w:t>
            </w:r>
          </w:p>
        </w:tc>
      </w:tr>
      <w:tr w14:paraId="7A08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63" w:hRule="atLeast"/>
        </w:trPr>
        <w:tc>
          <w:tcPr>
            <w:tcW w:w="177" w:type="pct"/>
            <w:shd w:val="clear" w:color="FFFFCC" w:fill="FFFFFF"/>
            <w:vAlign w:val="center"/>
          </w:tcPr>
          <w:p w14:paraId="2E8352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w:t>
            </w:r>
          </w:p>
        </w:tc>
        <w:tc>
          <w:tcPr>
            <w:tcW w:w="451" w:type="pct"/>
            <w:shd w:val="clear" w:color="FFFFCC" w:fill="FFFFFF"/>
            <w:vAlign w:val="center"/>
          </w:tcPr>
          <w:p w14:paraId="7F06FE9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BR340148</w:t>
            </w:r>
          </w:p>
        </w:tc>
        <w:tc>
          <w:tcPr>
            <w:tcW w:w="854" w:type="pct"/>
            <w:shd w:val="clear" w:color="FFFFCC" w:fill="FFFFFF"/>
            <w:vAlign w:val="center"/>
          </w:tcPr>
          <w:p w14:paraId="4A613DC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CICLOFOSFAMIDA, CONCENTRAÇÃO: 1 G, FORMA FARMACÊUTICA: PÓ LIÓFILO P, INJETÁVEL</w:t>
            </w:r>
          </w:p>
        </w:tc>
        <w:tc>
          <w:tcPr>
            <w:tcW w:w="468" w:type="pct"/>
            <w:shd w:val="clear" w:color="FFFFFF" w:fill="FFFFFF"/>
            <w:vAlign w:val="center"/>
          </w:tcPr>
          <w:p w14:paraId="0F8C804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1C21A3A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w:t>
            </w:r>
          </w:p>
        </w:tc>
        <w:tc>
          <w:tcPr>
            <w:tcW w:w="391" w:type="pct"/>
            <w:shd w:val="clear" w:color="FFFFFF" w:fill="FFFFFF"/>
            <w:vAlign w:val="center"/>
          </w:tcPr>
          <w:p w14:paraId="518FBCD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2.200</w:t>
            </w:r>
          </w:p>
        </w:tc>
        <w:tc>
          <w:tcPr>
            <w:tcW w:w="469" w:type="pct"/>
            <w:shd w:val="clear" w:color="FFFFFF" w:fill="FFFFFF"/>
            <w:vAlign w:val="center"/>
          </w:tcPr>
          <w:p w14:paraId="124C84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1C7F7C3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2.350</w:t>
            </w:r>
          </w:p>
        </w:tc>
        <w:tc>
          <w:tcPr>
            <w:tcW w:w="787" w:type="pct"/>
            <w:shd w:val="clear" w:color="000000" w:fill="FFFFFF"/>
            <w:noWrap/>
            <w:vAlign w:val="center"/>
          </w:tcPr>
          <w:p w14:paraId="61CE2BC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56,40 </w:t>
            </w:r>
          </w:p>
        </w:tc>
        <w:tc>
          <w:tcPr>
            <w:tcW w:w="534" w:type="pct"/>
            <w:shd w:val="clear" w:color="000000" w:fill="FFFFFF"/>
            <w:noWrap/>
            <w:vAlign w:val="center"/>
          </w:tcPr>
          <w:p w14:paraId="3D72D9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132.540,00 </w:t>
            </w:r>
          </w:p>
        </w:tc>
      </w:tr>
      <w:tr w14:paraId="42E7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8" w:hRule="atLeast"/>
        </w:trPr>
        <w:tc>
          <w:tcPr>
            <w:tcW w:w="177" w:type="pct"/>
            <w:shd w:val="clear" w:color="FFFFCC" w:fill="FFFFFF"/>
            <w:vAlign w:val="center"/>
          </w:tcPr>
          <w:p w14:paraId="4474B9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w:t>
            </w:r>
          </w:p>
        </w:tc>
        <w:tc>
          <w:tcPr>
            <w:tcW w:w="451" w:type="pct"/>
            <w:shd w:val="clear" w:color="FFFFCC" w:fill="FFFFFF"/>
            <w:vAlign w:val="center"/>
          </w:tcPr>
          <w:p w14:paraId="4CEBE4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BR305725</w:t>
            </w:r>
          </w:p>
        </w:tc>
        <w:tc>
          <w:tcPr>
            <w:tcW w:w="854" w:type="pct"/>
            <w:shd w:val="clear" w:color="FFFFCC" w:fill="FFFFFF"/>
            <w:vAlign w:val="center"/>
          </w:tcPr>
          <w:p w14:paraId="109DF5A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OCTREOTIDA FORMA FARMACÊUTICA: SOLUÇÃO INJETÁVEL , DOSAGEM: 0,1 MG/ML.</w:t>
            </w:r>
          </w:p>
        </w:tc>
        <w:tc>
          <w:tcPr>
            <w:tcW w:w="468" w:type="pct"/>
            <w:shd w:val="clear" w:color="FFFFFF" w:fill="FFFFFF"/>
            <w:vAlign w:val="center"/>
          </w:tcPr>
          <w:p w14:paraId="16E6F1C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392" w:type="pct"/>
            <w:shd w:val="clear" w:color="FFFFFF" w:fill="FFFFFF"/>
            <w:vAlign w:val="center"/>
          </w:tcPr>
          <w:p w14:paraId="34D6F3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391" w:type="pct"/>
            <w:shd w:val="clear" w:color="FFFFFF" w:fill="FFFFFF"/>
            <w:vAlign w:val="center"/>
          </w:tcPr>
          <w:p w14:paraId="3558BC9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3.600</w:t>
            </w:r>
          </w:p>
        </w:tc>
        <w:tc>
          <w:tcPr>
            <w:tcW w:w="469" w:type="pct"/>
            <w:shd w:val="clear" w:color="FFFFFF" w:fill="FFFFFF"/>
            <w:vAlign w:val="center"/>
          </w:tcPr>
          <w:p w14:paraId="2848B3F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082DF2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4.600</w:t>
            </w:r>
          </w:p>
        </w:tc>
        <w:tc>
          <w:tcPr>
            <w:tcW w:w="787" w:type="pct"/>
            <w:shd w:val="clear" w:color="000000" w:fill="FFFFFF"/>
            <w:noWrap/>
            <w:vAlign w:val="center"/>
          </w:tcPr>
          <w:p w14:paraId="65C6F45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50,47 </w:t>
            </w:r>
          </w:p>
        </w:tc>
        <w:tc>
          <w:tcPr>
            <w:tcW w:w="534" w:type="pct"/>
            <w:shd w:val="clear" w:color="000000" w:fill="FFFFFF"/>
            <w:noWrap/>
            <w:vAlign w:val="center"/>
          </w:tcPr>
          <w:p w14:paraId="1C995F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232.162,00 </w:t>
            </w:r>
          </w:p>
        </w:tc>
      </w:tr>
      <w:tr w14:paraId="408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03" w:hRule="atLeast"/>
        </w:trPr>
        <w:tc>
          <w:tcPr>
            <w:tcW w:w="177" w:type="pct"/>
            <w:shd w:val="clear" w:color="FFFFCC" w:fill="FFFFFF"/>
            <w:vAlign w:val="center"/>
          </w:tcPr>
          <w:p w14:paraId="45CB54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w:t>
            </w:r>
          </w:p>
        </w:tc>
        <w:tc>
          <w:tcPr>
            <w:tcW w:w="451" w:type="pct"/>
            <w:shd w:val="clear" w:color="FFFFCC" w:fill="FFFFFF"/>
            <w:vAlign w:val="center"/>
          </w:tcPr>
          <w:p w14:paraId="247538C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BR267657</w:t>
            </w:r>
          </w:p>
        </w:tc>
        <w:tc>
          <w:tcPr>
            <w:tcW w:w="854" w:type="pct"/>
            <w:shd w:val="clear" w:color="FFFFCC" w:fill="FFFFFF"/>
            <w:vAlign w:val="center"/>
          </w:tcPr>
          <w:p w14:paraId="4010A77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FENITOINA SODICA, DOSAGEM 100MG</w:t>
            </w:r>
          </w:p>
        </w:tc>
        <w:tc>
          <w:tcPr>
            <w:tcW w:w="468" w:type="pct"/>
            <w:shd w:val="clear" w:color="FFFFFF" w:fill="FFFFFF"/>
            <w:vAlign w:val="center"/>
          </w:tcPr>
          <w:p w14:paraId="59F5C41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392" w:type="pct"/>
            <w:shd w:val="clear" w:color="FFFFFF" w:fill="FFFFFF"/>
            <w:vAlign w:val="center"/>
          </w:tcPr>
          <w:p w14:paraId="44709F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391" w:type="pct"/>
            <w:shd w:val="clear" w:color="FFFFFF" w:fill="FFFFFF"/>
            <w:vAlign w:val="center"/>
          </w:tcPr>
          <w:p w14:paraId="2F98DA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69" w:type="pct"/>
            <w:shd w:val="clear" w:color="FFFFFF" w:fill="FFFFFF"/>
            <w:vAlign w:val="center"/>
          </w:tcPr>
          <w:p w14:paraId="15FB5C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672680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2.500</w:t>
            </w:r>
          </w:p>
        </w:tc>
        <w:tc>
          <w:tcPr>
            <w:tcW w:w="787" w:type="pct"/>
            <w:shd w:val="clear" w:color="000000" w:fill="FFFFFF"/>
            <w:noWrap/>
            <w:vAlign w:val="center"/>
          </w:tcPr>
          <w:p w14:paraId="4B1D604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0,38 </w:t>
            </w:r>
          </w:p>
        </w:tc>
        <w:tc>
          <w:tcPr>
            <w:tcW w:w="534" w:type="pct"/>
            <w:shd w:val="clear" w:color="000000" w:fill="FFFFFF"/>
            <w:noWrap/>
            <w:vAlign w:val="center"/>
          </w:tcPr>
          <w:p w14:paraId="41038E8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950,00 </w:t>
            </w:r>
          </w:p>
        </w:tc>
      </w:tr>
      <w:tr w14:paraId="10B8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8" w:hRule="atLeast"/>
        </w:trPr>
        <w:tc>
          <w:tcPr>
            <w:tcW w:w="177" w:type="pct"/>
            <w:shd w:val="clear" w:color="FFFFCC" w:fill="FFFFFF"/>
            <w:vAlign w:val="center"/>
          </w:tcPr>
          <w:p w14:paraId="2D13C5A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w:t>
            </w:r>
          </w:p>
        </w:tc>
        <w:tc>
          <w:tcPr>
            <w:tcW w:w="451" w:type="pct"/>
            <w:shd w:val="clear" w:color="FFFFCC" w:fill="FFFFFF"/>
            <w:vAlign w:val="center"/>
          </w:tcPr>
          <w:p w14:paraId="6A93342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BR304870</w:t>
            </w:r>
          </w:p>
        </w:tc>
        <w:tc>
          <w:tcPr>
            <w:tcW w:w="854" w:type="pct"/>
            <w:shd w:val="clear" w:color="FFFFCC" w:fill="FFFFFF"/>
            <w:vAlign w:val="center"/>
          </w:tcPr>
          <w:p w14:paraId="2C4549E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MORFINA, APRESENTAÇÃO SULFATO, CONCENTRAÇÃO 1MG/ML, FORMA FARMACÊUTICA SOLUÇÃO INJETÁVEL</w:t>
            </w:r>
          </w:p>
        </w:tc>
        <w:tc>
          <w:tcPr>
            <w:tcW w:w="468" w:type="pct"/>
            <w:shd w:val="clear" w:color="FFFFFF" w:fill="FFFFFF"/>
            <w:vAlign w:val="center"/>
          </w:tcPr>
          <w:p w14:paraId="793145E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2ML</w:t>
            </w:r>
          </w:p>
        </w:tc>
        <w:tc>
          <w:tcPr>
            <w:tcW w:w="392" w:type="pct"/>
            <w:shd w:val="clear" w:color="FFFFFF" w:fill="FFFFFF"/>
            <w:vAlign w:val="center"/>
          </w:tcPr>
          <w:p w14:paraId="7252F1E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391" w:type="pct"/>
            <w:shd w:val="clear" w:color="FFFFFF" w:fill="FFFFFF"/>
            <w:vAlign w:val="center"/>
          </w:tcPr>
          <w:p w14:paraId="7317F0A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9.600</w:t>
            </w:r>
          </w:p>
        </w:tc>
        <w:tc>
          <w:tcPr>
            <w:tcW w:w="469" w:type="pct"/>
            <w:shd w:val="clear" w:color="FFFFFF" w:fill="FFFFFF"/>
            <w:vAlign w:val="center"/>
          </w:tcPr>
          <w:p w14:paraId="7877411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w:t>
            </w:r>
          </w:p>
        </w:tc>
        <w:tc>
          <w:tcPr>
            <w:tcW w:w="472" w:type="pct"/>
            <w:shd w:val="clear" w:color="FFFFCC" w:fill="FFFFFF"/>
            <w:vAlign w:val="center"/>
          </w:tcPr>
          <w:p w14:paraId="120982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15.670</w:t>
            </w:r>
          </w:p>
        </w:tc>
        <w:tc>
          <w:tcPr>
            <w:tcW w:w="787" w:type="pct"/>
            <w:shd w:val="clear" w:color="000000" w:fill="FFFFFF"/>
            <w:noWrap/>
            <w:vAlign w:val="center"/>
          </w:tcPr>
          <w:p w14:paraId="11F16B8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7,94 </w:t>
            </w:r>
          </w:p>
        </w:tc>
        <w:tc>
          <w:tcPr>
            <w:tcW w:w="534" w:type="pct"/>
            <w:shd w:val="clear" w:color="000000" w:fill="FFFFFF"/>
            <w:noWrap/>
            <w:vAlign w:val="center"/>
          </w:tcPr>
          <w:p w14:paraId="75B736A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124.419,80 </w:t>
            </w:r>
          </w:p>
        </w:tc>
      </w:tr>
      <w:tr w14:paraId="1961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78" w:hRule="atLeast"/>
        </w:trPr>
        <w:tc>
          <w:tcPr>
            <w:tcW w:w="177" w:type="pct"/>
            <w:shd w:val="clear" w:color="FFFFCC" w:fill="FFFFFF"/>
            <w:vAlign w:val="center"/>
          </w:tcPr>
          <w:p w14:paraId="03386FF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46</w:t>
            </w:r>
          </w:p>
        </w:tc>
        <w:tc>
          <w:tcPr>
            <w:tcW w:w="451" w:type="pct"/>
            <w:shd w:val="clear" w:color="FFFFCC" w:fill="FFFFFF"/>
            <w:vAlign w:val="center"/>
          </w:tcPr>
          <w:p w14:paraId="272C938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BR271157</w:t>
            </w:r>
          </w:p>
        </w:tc>
        <w:tc>
          <w:tcPr>
            <w:tcW w:w="854" w:type="pct"/>
            <w:shd w:val="clear" w:color="FFFFCC" w:fill="FFFFFF"/>
            <w:vAlign w:val="center"/>
          </w:tcPr>
          <w:p w14:paraId="742557D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INSULINA, ORIGEM HUMANA, TIPO NPH, DOSAGEM 100U/ML, APLICAÇÃO INJETÁVEL</w:t>
            </w:r>
          </w:p>
        </w:tc>
        <w:tc>
          <w:tcPr>
            <w:tcW w:w="468" w:type="pct"/>
            <w:shd w:val="clear" w:color="FFFFFF" w:fill="FFFFFF"/>
            <w:vAlign w:val="center"/>
          </w:tcPr>
          <w:p w14:paraId="57A8FA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10ML</w:t>
            </w:r>
          </w:p>
        </w:tc>
        <w:tc>
          <w:tcPr>
            <w:tcW w:w="392" w:type="pct"/>
            <w:shd w:val="clear" w:color="FFFFFF" w:fill="FFFFFF"/>
            <w:vAlign w:val="center"/>
          </w:tcPr>
          <w:p w14:paraId="088E92A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391" w:type="pct"/>
            <w:shd w:val="clear" w:color="FFFFFF" w:fill="FFFFFF"/>
            <w:vAlign w:val="center"/>
          </w:tcPr>
          <w:p w14:paraId="609DE6A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469" w:type="pct"/>
            <w:shd w:val="clear" w:color="FFFFFF" w:fill="FFFFFF"/>
            <w:vAlign w:val="center"/>
          </w:tcPr>
          <w:p w14:paraId="24A5FBB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72" w:type="pct"/>
            <w:shd w:val="clear" w:color="FFFFCC" w:fill="FFFFFF"/>
            <w:vAlign w:val="center"/>
          </w:tcPr>
          <w:p w14:paraId="0EB6890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1.410</w:t>
            </w:r>
          </w:p>
        </w:tc>
        <w:tc>
          <w:tcPr>
            <w:tcW w:w="787" w:type="pct"/>
            <w:shd w:val="clear" w:color="000000" w:fill="FFFFFF"/>
            <w:noWrap/>
            <w:vAlign w:val="center"/>
          </w:tcPr>
          <w:p w14:paraId="0BB39A7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34,00 </w:t>
            </w:r>
          </w:p>
        </w:tc>
        <w:tc>
          <w:tcPr>
            <w:tcW w:w="534" w:type="pct"/>
            <w:shd w:val="clear" w:color="000000" w:fill="FFFFFF"/>
            <w:noWrap/>
            <w:vAlign w:val="center"/>
          </w:tcPr>
          <w:p w14:paraId="0438FD8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47.940,00 </w:t>
            </w:r>
          </w:p>
        </w:tc>
      </w:tr>
      <w:tr w14:paraId="1EA9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83" w:hRule="atLeast"/>
        </w:trPr>
        <w:tc>
          <w:tcPr>
            <w:tcW w:w="177" w:type="pct"/>
            <w:shd w:val="clear" w:color="FFFFCC" w:fill="FFFFFF"/>
            <w:vAlign w:val="center"/>
          </w:tcPr>
          <w:p w14:paraId="5EFB56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47</w:t>
            </w:r>
          </w:p>
        </w:tc>
        <w:tc>
          <w:tcPr>
            <w:tcW w:w="451" w:type="pct"/>
            <w:shd w:val="clear" w:color="FFFFCC" w:fill="FFFFFF"/>
            <w:vAlign w:val="center"/>
          </w:tcPr>
          <w:p w14:paraId="6B3986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BR271154</w:t>
            </w:r>
          </w:p>
        </w:tc>
        <w:tc>
          <w:tcPr>
            <w:tcW w:w="854" w:type="pct"/>
            <w:shd w:val="clear" w:color="FFFFCC" w:fill="FFFFFF"/>
            <w:vAlign w:val="center"/>
          </w:tcPr>
          <w:p w14:paraId="18E285E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INSULINA, ORIGEM HUMANA, TIPO REGULAR, DOSAGEM 100U/ML, APLICAÇÃO INJETÁVEL</w:t>
            </w:r>
          </w:p>
        </w:tc>
        <w:tc>
          <w:tcPr>
            <w:tcW w:w="468" w:type="pct"/>
            <w:shd w:val="clear" w:color="FFFFFF" w:fill="FFFFFF"/>
            <w:vAlign w:val="center"/>
          </w:tcPr>
          <w:p w14:paraId="4536C1E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10ML</w:t>
            </w:r>
          </w:p>
        </w:tc>
        <w:tc>
          <w:tcPr>
            <w:tcW w:w="392" w:type="pct"/>
            <w:shd w:val="clear" w:color="FFFFFF" w:fill="FFFFFF"/>
            <w:vAlign w:val="center"/>
          </w:tcPr>
          <w:p w14:paraId="60B9D1D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391" w:type="pct"/>
            <w:shd w:val="clear" w:color="FFFFFF" w:fill="FFFFFF"/>
            <w:vAlign w:val="center"/>
          </w:tcPr>
          <w:p w14:paraId="53B35EB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469" w:type="pct"/>
            <w:shd w:val="clear" w:color="FFFFFF" w:fill="FFFFFF"/>
            <w:vAlign w:val="center"/>
          </w:tcPr>
          <w:p w14:paraId="2346B0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72" w:type="pct"/>
            <w:shd w:val="clear" w:color="FFFFCC" w:fill="FFFFFF"/>
            <w:vAlign w:val="center"/>
          </w:tcPr>
          <w:p w14:paraId="69DE08A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1.410</w:t>
            </w:r>
          </w:p>
        </w:tc>
        <w:tc>
          <w:tcPr>
            <w:tcW w:w="787" w:type="pct"/>
            <w:shd w:val="clear" w:color="000000" w:fill="FFFFFF"/>
            <w:noWrap/>
            <w:vAlign w:val="center"/>
          </w:tcPr>
          <w:p w14:paraId="05FE74D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31,88 </w:t>
            </w:r>
          </w:p>
        </w:tc>
        <w:tc>
          <w:tcPr>
            <w:tcW w:w="534" w:type="pct"/>
            <w:shd w:val="clear" w:color="000000" w:fill="FFFFFF"/>
            <w:noWrap/>
            <w:vAlign w:val="center"/>
          </w:tcPr>
          <w:p w14:paraId="0DD4255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44.950,80 </w:t>
            </w:r>
          </w:p>
        </w:tc>
      </w:tr>
      <w:tr w14:paraId="63A1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40" w:hRule="atLeast"/>
        </w:trPr>
        <w:tc>
          <w:tcPr>
            <w:tcW w:w="177" w:type="pct"/>
            <w:shd w:val="clear" w:color="FFFFCC" w:fill="FFFFFF"/>
            <w:vAlign w:val="center"/>
          </w:tcPr>
          <w:p w14:paraId="77F8C3A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w:t>
            </w:r>
          </w:p>
        </w:tc>
        <w:tc>
          <w:tcPr>
            <w:tcW w:w="451" w:type="pct"/>
            <w:shd w:val="clear" w:color="FFFFCC" w:fill="FFFFFF"/>
            <w:vAlign w:val="center"/>
          </w:tcPr>
          <w:p w14:paraId="1D7697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BR0267647</w:t>
            </w:r>
          </w:p>
        </w:tc>
        <w:tc>
          <w:tcPr>
            <w:tcW w:w="854" w:type="pct"/>
            <w:shd w:val="clear" w:color="FFFFCC" w:fill="FFFFFF"/>
            <w:vAlign w:val="center"/>
          </w:tcPr>
          <w:p w14:paraId="69A51F0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DIGOXINA, DOSAGEM 0,25</w:t>
            </w:r>
          </w:p>
        </w:tc>
        <w:tc>
          <w:tcPr>
            <w:tcW w:w="468" w:type="pct"/>
            <w:shd w:val="clear" w:color="FFFFFF" w:fill="FFFFFF"/>
            <w:vAlign w:val="center"/>
          </w:tcPr>
          <w:p w14:paraId="7EA3902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392" w:type="pct"/>
            <w:shd w:val="clear" w:color="FFFFFF" w:fill="FFFFFF"/>
            <w:vAlign w:val="center"/>
          </w:tcPr>
          <w:p w14:paraId="63DE0EB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1000</w:t>
            </w:r>
          </w:p>
        </w:tc>
        <w:tc>
          <w:tcPr>
            <w:tcW w:w="391" w:type="pct"/>
            <w:shd w:val="clear" w:color="FFFFFF" w:fill="FFFFFF"/>
            <w:vAlign w:val="center"/>
          </w:tcPr>
          <w:p w14:paraId="58E8827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469" w:type="pct"/>
            <w:shd w:val="clear" w:color="FFFFFF" w:fill="FFFFFF"/>
            <w:vAlign w:val="center"/>
          </w:tcPr>
          <w:p w14:paraId="6AE2CBB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19AE820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787" w:type="pct"/>
            <w:shd w:val="clear" w:color="000000" w:fill="FFFFFF"/>
            <w:noWrap/>
            <w:vAlign w:val="center"/>
          </w:tcPr>
          <w:p w14:paraId="56BE155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0,38 </w:t>
            </w:r>
          </w:p>
        </w:tc>
        <w:tc>
          <w:tcPr>
            <w:tcW w:w="534" w:type="pct"/>
            <w:shd w:val="clear" w:color="000000" w:fill="FFFFFF"/>
            <w:noWrap/>
            <w:vAlign w:val="center"/>
          </w:tcPr>
          <w:p w14:paraId="55456E3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570,00 </w:t>
            </w:r>
          </w:p>
        </w:tc>
      </w:tr>
      <w:tr w14:paraId="0382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00" w:hRule="atLeast"/>
        </w:trPr>
        <w:tc>
          <w:tcPr>
            <w:tcW w:w="177" w:type="pct"/>
            <w:shd w:val="clear" w:color="FFFFCC" w:fill="FFFFFF"/>
            <w:vAlign w:val="center"/>
          </w:tcPr>
          <w:p w14:paraId="378EDAD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49</w:t>
            </w:r>
          </w:p>
        </w:tc>
        <w:tc>
          <w:tcPr>
            <w:tcW w:w="451" w:type="pct"/>
            <w:shd w:val="clear" w:color="FFFFCC" w:fill="FFFFFF"/>
            <w:vAlign w:val="center"/>
          </w:tcPr>
          <w:p w14:paraId="7E6ED59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BR436418</w:t>
            </w:r>
          </w:p>
        </w:tc>
        <w:tc>
          <w:tcPr>
            <w:tcW w:w="854" w:type="pct"/>
            <w:shd w:val="clear" w:color="FFFFCC" w:fill="FFFFFF"/>
            <w:vAlign w:val="center"/>
          </w:tcPr>
          <w:p w14:paraId="7D05712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ALTEPLASE, CONCENTRAÇÃO: 50 MG, FORMA FARMACÊUTICA: PÓ LIÓFILO P, INJETÁVEL + DILUENTE</w:t>
            </w:r>
          </w:p>
        </w:tc>
        <w:tc>
          <w:tcPr>
            <w:tcW w:w="468" w:type="pct"/>
            <w:shd w:val="clear" w:color="FFFFFF" w:fill="FFFFFF"/>
            <w:vAlign w:val="center"/>
          </w:tcPr>
          <w:p w14:paraId="54D3AB7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5766695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391" w:type="pct"/>
            <w:shd w:val="clear" w:color="FFFFFF" w:fill="FFFFFF"/>
            <w:vAlign w:val="center"/>
          </w:tcPr>
          <w:p w14:paraId="0EE34E40">
            <w:pPr>
              <w:jc w:val="center"/>
              <w:rPr>
                <w:rFonts w:eastAsia="Times New Roman" w:asciiTheme="minorHAnsi" w:hAnsiTheme="minorHAnsi" w:cstheme="minorHAnsi"/>
                <w:b/>
                <w:sz w:val="22"/>
                <w:szCs w:val="22"/>
              </w:rPr>
            </w:pPr>
            <w:r>
              <w:rPr>
                <w:rFonts w:hint="default" w:eastAsia="Times New Roman" w:asciiTheme="minorHAnsi" w:hAnsiTheme="minorHAnsi" w:cstheme="minorHAnsi"/>
                <w:b/>
                <w:sz w:val="22"/>
                <w:szCs w:val="22"/>
                <w:lang w:val="pt-BR"/>
              </w:rPr>
              <w:t>6</w:t>
            </w:r>
            <w:r>
              <w:rPr>
                <w:rFonts w:eastAsia="Times New Roman" w:asciiTheme="minorHAnsi" w:hAnsiTheme="minorHAnsi" w:cstheme="minorHAnsi"/>
                <w:b/>
                <w:sz w:val="22"/>
                <w:szCs w:val="22"/>
              </w:rPr>
              <w:t>0</w:t>
            </w:r>
          </w:p>
        </w:tc>
        <w:tc>
          <w:tcPr>
            <w:tcW w:w="469" w:type="pct"/>
            <w:shd w:val="clear" w:color="FFFFFF" w:fill="FFFFFF"/>
            <w:vAlign w:val="center"/>
          </w:tcPr>
          <w:p w14:paraId="413DB07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76A7761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w:t>
            </w:r>
            <w:r>
              <w:rPr>
                <w:rFonts w:hint="default" w:eastAsia="Times New Roman" w:asciiTheme="minorHAnsi" w:hAnsiTheme="minorHAnsi" w:cstheme="minorHAnsi"/>
                <w:b/>
                <w:sz w:val="22"/>
                <w:szCs w:val="22"/>
                <w:lang w:val="pt-BR"/>
              </w:rPr>
              <w:t>1</w:t>
            </w:r>
            <w:r>
              <w:rPr>
                <w:rFonts w:eastAsia="Times New Roman" w:asciiTheme="minorHAnsi" w:hAnsiTheme="minorHAnsi" w:cstheme="minorHAnsi"/>
                <w:b/>
                <w:sz w:val="22"/>
                <w:szCs w:val="22"/>
              </w:rPr>
              <w:t>0</w:t>
            </w:r>
          </w:p>
        </w:tc>
        <w:tc>
          <w:tcPr>
            <w:tcW w:w="787" w:type="pct"/>
            <w:shd w:val="clear" w:color="000000" w:fill="FFFFFF"/>
            <w:noWrap/>
            <w:vAlign w:val="center"/>
          </w:tcPr>
          <w:p w14:paraId="1169EDF5">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2.748,79 </w:t>
            </w:r>
          </w:p>
        </w:tc>
        <w:tc>
          <w:tcPr>
            <w:tcW w:w="534" w:type="pct"/>
            <w:shd w:val="clear" w:color="000000" w:fill="FFFFFF"/>
            <w:noWrap/>
            <w:vAlign w:val="center"/>
          </w:tcPr>
          <w:p w14:paraId="27DA79E4">
            <w:pPr>
              <w:jc w:val="center"/>
              <w:rPr>
                <w:rFonts w:hint="default" w:eastAsia="Times New Roman" w:asciiTheme="minorHAnsi" w:hAnsiTheme="minorHAnsi" w:cstheme="minorHAnsi"/>
                <w:b/>
                <w:sz w:val="22"/>
                <w:szCs w:val="22"/>
                <w:lang w:val="pt-BR"/>
              </w:rPr>
            </w:pPr>
            <w:r>
              <w:rPr>
                <w:rFonts w:eastAsia="Times New Roman" w:asciiTheme="minorHAnsi" w:hAnsiTheme="minorHAnsi" w:cstheme="minorHAnsi"/>
                <w:b/>
                <w:sz w:val="22"/>
                <w:szCs w:val="22"/>
              </w:rPr>
              <w:t xml:space="preserve"> R$   </w:t>
            </w:r>
            <w:r>
              <w:rPr>
                <w:rFonts w:hint="default" w:eastAsia="Times New Roman" w:asciiTheme="minorHAnsi" w:hAnsiTheme="minorHAnsi" w:cstheme="minorHAnsi"/>
                <w:b/>
                <w:sz w:val="22"/>
                <w:szCs w:val="22"/>
                <w:lang w:val="pt-BR"/>
              </w:rPr>
              <w:t>302.366,90</w:t>
            </w:r>
          </w:p>
        </w:tc>
      </w:tr>
      <w:tr w14:paraId="4592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52" w:hRule="atLeast"/>
        </w:trPr>
        <w:tc>
          <w:tcPr>
            <w:tcW w:w="177" w:type="pct"/>
            <w:shd w:val="clear" w:color="FFFFCC" w:fill="FFFFFF"/>
            <w:vAlign w:val="center"/>
          </w:tcPr>
          <w:p w14:paraId="5007A57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451" w:type="pct"/>
            <w:shd w:val="clear" w:color="FFFFCC" w:fill="FFFFFF"/>
            <w:vAlign w:val="center"/>
          </w:tcPr>
          <w:p w14:paraId="5062CB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BR285686</w:t>
            </w:r>
          </w:p>
        </w:tc>
        <w:tc>
          <w:tcPr>
            <w:tcW w:w="854" w:type="pct"/>
            <w:shd w:val="clear" w:color="FFFFCC" w:fill="FFFFFF"/>
            <w:vAlign w:val="center"/>
          </w:tcPr>
          <w:p w14:paraId="791473E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EZETIMIBA, DOSAGEM 10 mg</w:t>
            </w:r>
          </w:p>
        </w:tc>
        <w:tc>
          <w:tcPr>
            <w:tcW w:w="468" w:type="pct"/>
            <w:shd w:val="clear" w:color="FFFFFF" w:fill="FFFFFF"/>
            <w:vAlign w:val="center"/>
          </w:tcPr>
          <w:p w14:paraId="20AE8DD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392" w:type="pct"/>
            <w:shd w:val="clear" w:color="FFFFFF" w:fill="FFFFFF"/>
            <w:vAlign w:val="center"/>
          </w:tcPr>
          <w:p w14:paraId="6384BBA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7000</w:t>
            </w:r>
          </w:p>
        </w:tc>
        <w:tc>
          <w:tcPr>
            <w:tcW w:w="391" w:type="pct"/>
            <w:shd w:val="clear" w:color="FFFFFF" w:fill="FFFFFF"/>
            <w:vAlign w:val="center"/>
          </w:tcPr>
          <w:p w14:paraId="761F351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26442A7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201CF35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7.000</w:t>
            </w:r>
          </w:p>
        </w:tc>
        <w:tc>
          <w:tcPr>
            <w:tcW w:w="787" w:type="pct"/>
            <w:shd w:val="clear" w:color="000000" w:fill="FFFFFF"/>
            <w:noWrap/>
            <w:vAlign w:val="center"/>
          </w:tcPr>
          <w:p w14:paraId="11B1071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0,77 </w:t>
            </w:r>
          </w:p>
        </w:tc>
        <w:tc>
          <w:tcPr>
            <w:tcW w:w="534" w:type="pct"/>
            <w:shd w:val="clear" w:color="000000" w:fill="FFFFFF"/>
            <w:noWrap/>
            <w:vAlign w:val="center"/>
          </w:tcPr>
          <w:p w14:paraId="4F6A8C3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5.390,00 </w:t>
            </w:r>
          </w:p>
        </w:tc>
      </w:tr>
      <w:tr w14:paraId="3AB3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49" w:hRule="atLeast"/>
        </w:trPr>
        <w:tc>
          <w:tcPr>
            <w:tcW w:w="177" w:type="pct"/>
            <w:shd w:val="clear" w:color="FFFFCC" w:fill="FFFFFF"/>
            <w:vAlign w:val="center"/>
          </w:tcPr>
          <w:p w14:paraId="14A3C4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51</w:t>
            </w:r>
          </w:p>
        </w:tc>
        <w:tc>
          <w:tcPr>
            <w:tcW w:w="451" w:type="pct"/>
            <w:shd w:val="clear" w:color="FFFFCC" w:fill="FFFFFF"/>
            <w:vAlign w:val="center"/>
          </w:tcPr>
          <w:p w14:paraId="69C8697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BR448766</w:t>
            </w:r>
          </w:p>
        </w:tc>
        <w:tc>
          <w:tcPr>
            <w:tcW w:w="854" w:type="pct"/>
            <w:shd w:val="clear" w:color="FFFFCC" w:fill="FFFFFF"/>
            <w:vAlign w:val="center"/>
          </w:tcPr>
          <w:p w14:paraId="4882A80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TENECTEPLASE, CONCENTRAÇÃO 40, FORMA FARMACEUTICA PÓ LIÓFILO P/ INJETÁVEL, CARACTERISTICA ADICIONAL SERINGA PREENCHIDA</w:t>
            </w:r>
          </w:p>
        </w:tc>
        <w:tc>
          <w:tcPr>
            <w:tcW w:w="468" w:type="pct"/>
            <w:shd w:val="clear" w:color="FFFFFF" w:fill="FFFFFF"/>
            <w:vAlign w:val="center"/>
          </w:tcPr>
          <w:p w14:paraId="577454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392" w:type="pct"/>
            <w:shd w:val="clear" w:color="FFFFFF" w:fill="FFFFFF"/>
            <w:vAlign w:val="center"/>
          </w:tcPr>
          <w:p w14:paraId="24D121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91" w:type="pct"/>
            <w:shd w:val="clear" w:color="FFFFFF" w:fill="FFFFFF"/>
            <w:vAlign w:val="center"/>
          </w:tcPr>
          <w:p w14:paraId="05F738B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7848026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7D91D4A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787" w:type="pct"/>
            <w:shd w:val="clear" w:color="000000" w:fill="FFFFFF"/>
            <w:noWrap/>
            <w:vAlign w:val="center"/>
          </w:tcPr>
          <w:p w14:paraId="5E990355">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6.528,13 </w:t>
            </w:r>
          </w:p>
        </w:tc>
        <w:tc>
          <w:tcPr>
            <w:tcW w:w="534" w:type="pct"/>
            <w:shd w:val="clear" w:color="000000" w:fill="FFFFFF"/>
            <w:noWrap/>
            <w:vAlign w:val="center"/>
          </w:tcPr>
          <w:p w14:paraId="2F21B1E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65.281,30 </w:t>
            </w:r>
          </w:p>
        </w:tc>
      </w:tr>
      <w:tr w14:paraId="4529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63" w:hRule="atLeast"/>
        </w:trPr>
        <w:tc>
          <w:tcPr>
            <w:tcW w:w="177" w:type="pct"/>
            <w:shd w:val="clear" w:color="FFFFCC" w:fill="FFFFFF"/>
            <w:vAlign w:val="center"/>
          </w:tcPr>
          <w:p w14:paraId="0835F43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52</w:t>
            </w:r>
          </w:p>
        </w:tc>
        <w:tc>
          <w:tcPr>
            <w:tcW w:w="451" w:type="pct"/>
            <w:shd w:val="clear" w:color="FFFFCC" w:fill="FFFFFF"/>
            <w:vAlign w:val="center"/>
          </w:tcPr>
          <w:p w14:paraId="18E6EB8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BR268236</w:t>
            </w:r>
          </w:p>
        </w:tc>
        <w:tc>
          <w:tcPr>
            <w:tcW w:w="854" w:type="pct"/>
            <w:shd w:val="clear" w:color="FFFFCC" w:fill="FFFFFF"/>
            <w:vAlign w:val="center"/>
          </w:tcPr>
          <w:p w14:paraId="6DE7469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CLORETO DE SÓDIO, PRINCÍPIO ATIVO:0,9%_ SOLUÇÃO INJETÁVEL, APLICAÇÃO:SISTEMA FECHADO</w:t>
            </w:r>
          </w:p>
        </w:tc>
        <w:tc>
          <w:tcPr>
            <w:tcW w:w="468" w:type="pct"/>
            <w:shd w:val="clear" w:color="FFFFFF" w:fill="FFFFFF"/>
            <w:vAlign w:val="center"/>
          </w:tcPr>
          <w:p w14:paraId="5C8B8B1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FRASCO/BOLSA 250ML</w:t>
            </w:r>
          </w:p>
        </w:tc>
        <w:tc>
          <w:tcPr>
            <w:tcW w:w="392" w:type="pct"/>
            <w:shd w:val="clear" w:color="FFFFFF" w:fill="FFFFFF"/>
            <w:vAlign w:val="center"/>
          </w:tcPr>
          <w:p w14:paraId="7064880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21000</w:t>
            </w:r>
          </w:p>
        </w:tc>
        <w:tc>
          <w:tcPr>
            <w:tcW w:w="391" w:type="pct"/>
            <w:shd w:val="clear" w:color="FFFFFF" w:fill="FFFFFF"/>
            <w:vAlign w:val="center"/>
          </w:tcPr>
          <w:p w14:paraId="5BC2C8E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36.000</w:t>
            </w:r>
          </w:p>
        </w:tc>
        <w:tc>
          <w:tcPr>
            <w:tcW w:w="469" w:type="pct"/>
            <w:shd w:val="clear" w:color="FFFFFF" w:fill="FFFFFF"/>
            <w:vAlign w:val="center"/>
          </w:tcPr>
          <w:p w14:paraId="5AA35D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1600</w:t>
            </w:r>
          </w:p>
        </w:tc>
        <w:tc>
          <w:tcPr>
            <w:tcW w:w="472" w:type="pct"/>
            <w:shd w:val="clear" w:color="FFFFCC" w:fill="FFFFFF"/>
            <w:vAlign w:val="center"/>
          </w:tcPr>
          <w:p w14:paraId="4850824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58.600</w:t>
            </w:r>
          </w:p>
        </w:tc>
        <w:tc>
          <w:tcPr>
            <w:tcW w:w="787" w:type="pct"/>
            <w:shd w:val="clear" w:color="000000" w:fill="FFFFFF"/>
            <w:noWrap/>
            <w:vAlign w:val="center"/>
          </w:tcPr>
          <w:p w14:paraId="53A32E2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4,82 </w:t>
            </w:r>
          </w:p>
        </w:tc>
        <w:tc>
          <w:tcPr>
            <w:tcW w:w="534" w:type="pct"/>
            <w:shd w:val="clear" w:color="000000" w:fill="FFFFFF"/>
            <w:noWrap/>
            <w:vAlign w:val="center"/>
          </w:tcPr>
          <w:p w14:paraId="362F06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282.452,00 </w:t>
            </w:r>
          </w:p>
        </w:tc>
      </w:tr>
      <w:tr w14:paraId="5A16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29" w:hRule="atLeast"/>
        </w:trPr>
        <w:tc>
          <w:tcPr>
            <w:tcW w:w="177" w:type="pct"/>
            <w:shd w:val="clear" w:color="FFFFCC" w:fill="FFFFFF"/>
            <w:vAlign w:val="center"/>
          </w:tcPr>
          <w:p w14:paraId="6BEF028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53</w:t>
            </w:r>
          </w:p>
        </w:tc>
        <w:tc>
          <w:tcPr>
            <w:tcW w:w="451" w:type="pct"/>
            <w:shd w:val="clear" w:color="FFFFCC" w:fill="FFFFFF"/>
            <w:vAlign w:val="center"/>
          </w:tcPr>
          <w:p w14:paraId="4B4151B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BR309094</w:t>
            </w:r>
          </w:p>
        </w:tc>
        <w:tc>
          <w:tcPr>
            <w:tcW w:w="854" w:type="pct"/>
            <w:shd w:val="clear" w:color="FFFFCC" w:fill="FFFFFF"/>
            <w:vAlign w:val="center"/>
          </w:tcPr>
          <w:p w14:paraId="23E8640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FORMOTEROL, FUMARATO + BUDESONIDA (12MCG + 400MCG)/DOSE, PÓ INALATORIO (ENCAPSULADO OU NAO), EMBALAGEM COM 60 DOSES + SISTEMA DE INALACAO.</w:t>
            </w:r>
          </w:p>
        </w:tc>
        <w:tc>
          <w:tcPr>
            <w:tcW w:w="468" w:type="pct"/>
            <w:shd w:val="clear" w:color="FFFFFF" w:fill="FFFFFF"/>
            <w:vAlign w:val="center"/>
          </w:tcPr>
          <w:p w14:paraId="2552EB4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60 DOSES</w:t>
            </w:r>
          </w:p>
        </w:tc>
        <w:tc>
          <w:tcPr>
            <w:tcW w:w="392" w:type="pct"/>
            <w:shd w:val="clear" w:color="FFFFFF" w:fill="FFFFFF"/>
            <w:vAlign w:val="center"/>
          </w:tcPr>
          <w:p w14:paraId="791941E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w:t>
            </w:r>
          </w:p>
        </w:tc>
        <w:tc>
          <w:tcPr>
            <w:tcW w:w="391" w:type="pct"/>
            <w:shd w:val="clear" w:color="FFFFFF" w:fill="FFFFFF"/>
            <w:vAlign w:val="center"/>
          </w:tcPr>
          <w:p w14:paraId="590355A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69" w:type="pct"/>
            <w:shd w:val="clear" w:color="FFFFFF" w:fill="FFFFFF"/>
            <w:vAlign w:val="center"/>
          </w:tcPr>
          <w:p w14:paraId="6FFA9E6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7C9B6CA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w:t>
            </w:r>
          </w:p>
        </w:tc>
        <w:tc>
          <w:tcPr>
            <w:tcW w:w="787" w:type="pct"/>
            <w:shd w:val="clear" w:color="000000" w:fill="FFFFFF"/>
            <w:noWrap/>
            <w:vAlign w:val="center"/>
          </w:tcPr>
          <w:p w14:paraId="71A3DBC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86,34 </w:t>
            </w:r>
          </w:p>
        </w:tc>
        <w:tc>
          <w:tcPr>
            <w:tcW w:w="534" w:type="pct"/>
            <w:shd w:val="clear" w:color="000000" w:fill="FFFFFF"/>
            <w:noWrap/>
            <w:vAlign w:val="center"/>
          </w:tcPr>
          <w:p w14:paraId="3632E8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34.536,00 </w:t>
            </w:r>
          </w:p>
        </w:tc>
      </w:tr>
      <w:tr w14:paraId="29AB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8" w:hRule="atLeast"/>
        </w:trPr>
        <w:tc>
          <w:tcPr>
            <w:tcW w:w="177" w:type="pct"/>
            <w:shd w:val="clear" w:color="FFFFCC" w:fill="FFFFFF"/>
            <w:vAlign w:val="center"/>
          </w:tcPr>
          <w:p w14:paraId="2887F4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54</w:t>
            </w:r>
          </w:p>
        </w:tc>
        <w:tc>
          <w:tcPr>
            <w:tcW w:w="451" w:type="pct"/>
            <w:shd w:val="clear" w:color="FFFFCC" w:fill="FFFFFF"/>
            <w:vAlign w:val="center"/>
          </w:tcPr>
          <w:p w14:paraId="02C3BE1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 392111</w:t>
            </w:r>
          </w:p>
        </w:tc>
        <w:tc>
          <w:tcPr>
            <w:tcW w:w="854" w:type="pct"/>
            <w:shd w:val="clear" w:color="FFFFCC" w:fill="FFFFFF"/>
            <w:vAlign w:val="center"/>
          </w:tcPr>
          <w:p w14:paraId="2A6129C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PREGABALINA, CONCENTRAÇÃO: 75 MG</w:t>
            </w:r>
          </w:p>
        </w:tc>
        <w:tc>
          <w:tcPr>
            <w:tcW w:w="468" w:type="pct"/>
            <w:shd w:val="clear" w:color="FFFFFF" w:fill="FFFFFF"/>
            <w:vAlign w:val="center"/>
          </w:tcPr>
          <w:p w14:paraId="6C8C05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392" w:type="pct"/>
            <w:shd w:val="clear" w:color="FFFFFF" w:fill="FFFFFF"/>
            <w:vAlign w:val="center"/>
          </w:tcPr>
          <w:p w14:paraId="52C61E9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9000</w:t>
            </w:r>
          </w:p>
        </w:tc>
        <w:tc>
          <w:tcPr>
            <w:tcW w:w="391" w:type="pct"/>
            <w:shd w:val="clear" w:color="FFFFFF" w:fill="FFFFFF"/>
            <w:vAlign w:val="center"/>
          </w:tcPr>
          <w:p w14:paraId="158FB6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469" w:type="pct"/>
            <w:shd w:val="clear" w:color="FFFFFF" w:fill="FFFFFF"/>
            <w:vAlign w:val="center"/>
          </w:tcPr>
          <w:p w14:paraId="4551C46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6CE9474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11.400</w:t>
            </w:r>
          </w:p>
        </w:tc>
        <w:tc>
          <w:tcPr>
            <w:tcW w:w="787" w:type="pct"/>
            <w:shd w:val="clear" w:color="000000" w:fill="FFFFFF"/>
            <w:noWrap/>
            <w:vAlign w:val="center"/>
          </w:tcPr>
          <w:p w14:paraId="4C5FC1F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3,73 </w:t>
            </w:r>
          </w:p>
        </w:tc>
        <w:tc>
          <w:tcPr>
            <w:tcW w:w="534" w:type="pct"/>
            <w:shd w:val="clear" w:color="000000" w:fill="FFFFFF"/>
            <w:noWrap/>
            <w:vAlign w:val="center"/>
          </w:tcPr>
          <w:p w14:paraId="10A1C9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42.522,00 </w:t>
            </w:r>
          </w:p>
        </w:tc>
      </w:tr>
      <w:tr w14:paraId="73A8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38" w:hRule="atLeast"/>
        </w:trPr>
        <w:tc>
          <w:tcPr>
            <w:tcW w:w="177" w:type="pct"/>
            <w:shd w:val="clear" w:color="FFFFCC" w:fill="FFFFFF"/>
            <w:vAlign w:val="center"/>
          </w:tcPr>
          <w:p w14:paraId="38310E2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55</w:t>
            </w:r>
          </w:p>
        </w:tc>
        <w:tc>
          <w:tcPr>
            <w:tcW w:w="451" w:type="pct"/>
            <w:shd w:val="clear" w:color="FFFFCC" w:fill="FFFFFF"/>
            <w:vAlign w:val="center"/>
          </w:tcPr>
          <w:p w14:paraId="4CF99F4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BR293981</w:t>
            </w:r>
          </w:p>
        </w:tc>
        <w:tc>
          <w:tcPr>
            <w:tcW w:w="854" w:type="pct"/>
            <w:shd w:val="clear" w:color="FFFFCC" w:fill="FFFFFF"/>
            <w:vAlign w:val="center"/>
          </w:tcPr>
          <w:p w14:paraId="1F6032D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MACROGOL PRINCÍPIO ATIVO: MACROGOL 3350 , FORMA FARMACÊUTICA: PÓ PARA PREPARAÇÃO EXTEMPORÂNEA</w:t>
            </w:r>
          </w:p>
        </w:tc>
        <w:tc>
          <w:tcPr>
            <w:tcW w:w="468" w:type="pct"/>
            <w:shd w:val="clear" w:color="FFFFFF" w:fill="FFFFFF"/>
            <w:vAlign w:val="center"/>
          </w:tcPr>
          <w:p w14:paraId="488B705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SACHÊ 17,50 G</w:t>
            </w:r>
          </w:p>
        </w:tc>
        <w:tc>
          <w:tcPr>
            <w:tcW w:w="392" w:type="pct"/>
            <w:shd w:val="clear" w:color="FFFFFF" w:fill="FFFFFF"/>
            <w:vAlign w:val="center"/>
          </w:tcPr>
          <w:p w14:paraId="2860CA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12000</w:t>
            </w:r>
          </w:p>
        </w:tc>
        <w:tc>
          <w:tcPr>
            <w:tcW w:w="391" w:type="pct"/>
            <w:shd w:val="clear" w:color="FFFFFF" w:fill="FFFFFF"/>
            <w:vAlign w:val="center"/>
          </w:tcPr>
          <w:p w14:paraId="2439697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7.000</w:t>
            </w:r>
          </w:p>
        </w:tc>
        <w:tc>
          <w:tcPr>
            <w:tcW w:w="469" w:type="pct"/>
            <w:shd w:val="clear" w:color="FFFFFF" w:fill="FFFFFF"/>
            <w:vAlign w:val="center"/>
          </w:tcPr>
          <w:p w14:paraId="498F750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0</w:t>
            </w:r>
          </w:p>
        </w:tc>
        <w:tc>
          <w:tcPr>
            <w:tcW w:w="472" w:type="pct"/>
            <w:shd w:val="clear" w:color="FFFFCC" w:fill="FFFFFF"/>
            <w:vAlign w:val="center"/>
          </w:tcPr>
          <w:p w14:paraId="1F8AAC3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19.000</w:t>
            </w:r>
          </w:p>
        </w:tc>
        <w:tc>
          <w:tcPr>
            <w:tcW w:w="787" w:type="pct"/>
            <w:shd w:val="clear" w:color="000000" w:fill="FFFFFF"/>
            <w:noWrap/>
            <w:vAlign w:val="center"/>
          </w:tcPr>
          <w:p w14:paraId="25FCDBA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3,04 </w:t>
            </w:r>
          </w:p>
        </w:tc>
        <w:tc>
          <w:tcPr>
            <w:tcW w:w="534" w:type="pct"/>
            <w:shd w:val="clear" w:color="000000" w:fill="FFFFFF"/>
            <w:noWrap/>
            <w:vAlign w:val="center"/>
          </w:tcPr>
          <w:p w14:paraId="70832ED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57.760,00 </w:t>
            </w:r>
          </w:p>
        </w:tc>
      </w:tr>
      <w:tr w14:paraId="7C50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5" w:hRule="atLeast"/>
        </w:trPr>
        <w:tc>
          <w:tcPr>
            <w:tcW w:w="1952" w:type="pct"/>
            <w:gridSpan w:val="4"/>
            <w:shd w:val="clear" w:color="auto" w:fill="A5A5A5" w:themeFill="background1" w:themeFillShade="A6"/>
            <w:noWrap/>
            <w:vAlign w:val="center"/>
          </w:tcPr>
          <w:p w14:paraId="32F91C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Valor Total Estimado R$ </w:t>
            </w:r>
          </w:p>
        </w:tc>
        <w:tc>
          <w:tcPr>
            <w:tcW w:w="392" w:type="pct"/>
            <w:shd w:val="clear" w:color="auto" w:fill="A5A5A5" w:themeFill="background1" w:themeFillShade="A6"/>
            <w:noWrap/>
            <w:vAlign w:val="center"/>
          </w:tcPr>
          <w:p w14:paraId="19C27A1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1" w:type="pct"/>
            <w:shd w:val="clear" w:color="auto" w:fill="A5A5A5" w:themeFill="background1" w:themeFillShade="A6"/>
            <w:noWrap/>
            <w:vAlign w:val="center"/>
          </w:tcPr>
          <w:p w14:paraId="54D2E82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469" w:type="pct"/>
            <w:shd w:val="clear" w:color="auto" w:fill="A5A5A5" w:themeFill="background1" w:themeFillShade="A6"/>
            <w:noWrap/>
            <w:vAlign w:val="center"/>
          </w:tcPr>
          <w:p w14:paraId="3A20D63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1794" w:type="pct"/>
            <w:gridSpan w:val="3"/>
            <w:shd w:val="clear" w:color="auto" w:fill="A5A5A5" w:themeFill="background1" w:themeFillShade="A6"/>
            <w:noWrap/>
            <w:vAlign w:val="center"/>
          </w:tcPr>
          <w:p w14:paraId="18C5EE3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w:t>
            </w:r>
            <w:r>
              <w:rPr>
                <w:rFonts w:hint="default" w:eastAsia="Times New Roman" w:asciiTheme="minorHAnsi" w:hAnsiTheme="minorHAnsi" w:cstheme="minorHAnsi"/>
                <w:b/>
                <w:sz w:val="22"/>
                <w:szCs w:val="22"/>
                <w:lang w:val="pt-BR"/>
              </w:rPr>
              <w:t>566.936,25</w:t>
            </w:r>
            <w:r>
              <w:rPr>
                <w:rFonts w:eastAsia="Times New Roman" w:asciiTheme="minorHAnsi" w:hAnsiTheme="minorHAnsi" w:cstheme="minorHAnsi"/>
                <w:b/>
                <w:sz w:val="22"/>
                <w:szCs w:val="22"/>
              </w:rPr>
              <w:t xml:space="preserve"> </w:t>
            </w:r>
          </w:p>
        </w:tc>
      </w:tr>
    </w:tbl>
    <w:p w14:paraId="3B4BECB8">
      <w:pPr>
        <w:tabs>
          <w:tab w:val="left" w:pos="9356"/>
        </w:tabs>
        <w:ind w:right="140"/>
        <w:rPr>
          <w:rFonts w:asciiTheme="minorHAnsi" w:hAnsiTheme="minorHAnsi" w:cstheme="minorHAnsi"/>
          <w:sz w:val="22"/>
          <w:szCs w:val="22"/>
        </w:rPr>
      </w:pPr>
    </w:p>
    <w:p w14:paraId="6AC51619">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Os bens objeto desta contratação são caracterizados como comuns, conforme justificativa constante do Estudo Técnico Preliminar.</w:t>
      </w:r>
    </w:p>
    <w:p w14:paraId="25EDB352">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O objeto desta contratação não se enquadra como sendo de bem de luxo, conforme Decreto nº 10.818, de 27 de setembro de 2021.</w:t>
      </w:r>
    </w:p>
    <w:p w14:paraId="2B051C8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7E24CC7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64C51ED6">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caso de divergência entre as descrições e especificações constantes do CATMAT e do presente Termo de Referência, prevalecem estas últimas.</w:t>
      </w:r>
    </w:p>
    <w:p w14:paraId="793CF2B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contrato oferece maior detalhamento das regras que serão aplicadas em relação à vigência da contratação.</w:t>
      </w:r>
    </w:p>
    <w:p w14:paraId="323799A4">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 unidades participantes deste pregão são: Hospital Ana Nery (HAN), Hospital Universitário Professor Edgard Santos – HUPES e Hospital de Medicina Veterinária Renato Rodemburg de Medeiros Neto.</w:t>
      </w:r>
    </w:p>
    <w:p w14:paraId="1A0DEF8A">
      <w:pPr>
        <w:pStyle w:val="82"/>
        <w:ind w:left="567"/>
        <w:rPr>
          <w:rFonts w:asciiTheme="minorHAnsi" w:hAnsiTheme="minorHAnsi" w:cstheme="minorHAnsi"/>
          <w:sz w:val="22"/>
          <w:szCs w:val="22"/>
        </w:rPr>
      </w:pPr>
    </w:p>
    <w:p w14:paraId="23AB3523">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FUNDAMENTAÇÃO E DESCRIÇÃO DA NECESSIDADE DA CONTRATAÇÃO</w:t>
      </w:r>
    </w:p>
    <w:p w14:paraId="7A22356F">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A Fundamentação da Contratação e de seus quantitativos encontra-se pormenorizada em tópico específico dos Estudos Técnicos Preliminares, apêndice deste Termo de Referência.</w:t>
      </w:r>
    </w:p>
    <w:p w14:paraId="0D68EC9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Hospital Ana Nery (HAN) é uma instituição de ensino, referência nas áreas de cardiologia, nefrologia e cirurgia vascular que atende exclusivamente pacientes do Sistema Único de Saúde – SUS, prestando a esta população importantes serviços nas áreas de cirurgia cardíaca (adulto e pediátrico), cirurgia vascular, implantação de marca-passo, transplante renal e cirurgia geral, dentre outros.</w:t>
      </w:r>
    </w:p>
    <w:p w14:paraId="0D49541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Considerando a importância da continuidade e do pleno exercício dos serviços oferecidos pelo Hospital Ana Nery (HAN), a referida contratação, a fim de manter o pleno funcionamento das atividades, visando o suporte planejado às tarefas e ações operacionais.</w:t>
      </w:r>
    </w:p>
    <w:p w14:paraId="512AE9A4">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Trata-se da aquisição de MEDICAMENTO onde se justifica que são insumos cruciais para garantir a qualidade e a segurança dos procedimentos médicos.</w:t>
      </w:r>
    </w:p>
    <w:p w14:paraId="76520DC5">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Ressalta-se que em cumprimento ao disposto no art. 47 da Lei Complementar n° 123/2006 (147/2014) e de igual modo sob disciplina a Orientação Normativa n° 47 de 25 de Abril de 2014 da AGU, que estabelecem a realização de processo licitatório destinado exclusivamente á participação de microempresas e empresas de pequeno porte nos itens de contratação cujo valor seja de até R$ 80.000,00 (oitenta mil reais), a unidade não adotará critério estabelecido conforme justificativa abaixo.</w:t>
      </w:r>
    </w:p>
    <w:p w14:paraId="44E72C9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14:paraId="73A55CA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fornecedores aptos a abastecer o Hospital, ocasionando a paralisação de procedimentos cirúrgicos, bem como prejudicando os pacientes internados.</w:t>
      </w:r>
    </w:p>
    <w:p w14:paraId="29E0C31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Em virtude do quanto explanado, reforçamos que os MEDICAMENTOS MANIPULADOS são essenciais e de caráter ininterrupto para o atendimento através dos procedimentos cirúrgicos específicos realizados nesta unidade.  </w:t>
      </w:r>
    </w:p>
    <w:p w14:paraId="2EAA3C54">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Respeitando, assim, o Princípio da Continuidade do Serviço Público, o Princípio da Economicidade e da Supremacia do Interesse Público e diante da circunstância fática acima narrada visando continuar com a qualidade e segurança no atendimento aos pacientes do SUS, solicito que haja ampla participação em todos os itens desta ARP, mesmo que o valor seja de até R$ 80.000,00 (oitenta mil reais).</w:t>
      </w:r>
    </w:p>
    <w:p w14:paraId="53D9219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HAN não tem como dimensionar a demanda de seus atendimentos, sendo assim, esta Administração suprimiu a informação dos quantitativos mínimo e máximo valendo-se do Art. 3º, I, II e V do Decreto 11.462/23.</w:t>
      </w:r>
    </w:p>
    <w:p w14:paraId="4BEB0EE6">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13A7745C">
      <w:pPr>
        <w:pStyle w:val="19"/>
        <w:spacing w:after="0"/>
        <w:ind w:left="2268" w:right="140"/>
        <w:jc w:val="both"/>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1A27A8FE">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7E8ADB41">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300A5BA7">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186AE612">
      <w:pPr>
        <w:pStyle w:val="19"/>
        <w:spacing w:after="0"/>
        <w:ind w:left="2268" w:right="140"/>
        <w:jc w:val="both"/>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5808F031">
      <w:pPr>
        <w:spacing w:line="360" w:lineRule="auto"/>
        <w:ind w:right="140"/>
        <w:rPr>
          <w:rFonts w:asciiTheme="minorHAnsi" w:hAnsiTheme="minorHAnsi" w:cstheme="minorHAnsi"/>
          <w:sz w:val="22"/>
          <w:szCs w:val="22"/>
        </w:rPr>
      </w:pPr>
    </w:p>
    <w:p w14:paraId="69F375B8">
      <w:pPr>
        <w:spacing w:line="360" w:lineRule="auto"/>
        <w:ind w:right="140"/>
        <w:rPr>
          <w:rFonts w:asciiTheme="minorHAnsi" w:hAnsiTheme="minorHAnsi" w:cstheme="minorHAnsi"/>
          <w:sz w:val="22"/>
          <w:szCs w:val="22"/>
        </w:rPr>
      </w:pPr>
    </w:p>
    <w:p w14:paraId="3BF7FF97">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REQUISITOS DA CONTRATAÇÃO</w:t>
      </w:r>
    </w:p>
    <w:p w14:paraId="34152557">
      <w:pPr>
        <w:pStyle w:val="82"/>
        <w:rPr>
          <w:rFonts w:asciiTheme="minorHAnsi" w:hAnsiTheme="minorHAnsi" w:cstheme="minorHAnsi"/>
          <w:sz w:val="22"/>
          <w:szCs w:val="22"/>
        </w:rPr>
      </w:pPr>
      <w:r>
        <w:rPr>
          <w:rFonts w:asciiTheme="minorHAnsi" w:hAnsiTheme="minorHAnsi" w:cstheme="minorHAnsi"/>
          <w:sz w:val="22"/>
          <w:szCs w:val="22"/>
        </w:rPr>
        <w:t>Sustentabilidade</w:t>
      </w:r>
    </w:p>
    <w:p w14:paraId="2A463A25">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Além dos critérios de sustentabilidade eventualmente inseridos na descrição do objeto, devem ser atendidos os seguintes requisitos, que se baseiam no Guia Nacional de Contratações Sustentáveis:</w:t>
      </w:r>
    </w:p>
    <w:p w14:paraId="6331787A">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fornecedores deverão oferecer material (is) que atendam o disposto no art.  5º da Instrução Normativa 01, de 19 de janeiro de 2010, a saber:</w:t>
      </w:r>
    </w:p>
    <w:p w14:paraId="7BE7D4C1">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07D9FAA9">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5071D353">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39C4FE41">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555ADB0E">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199280F4">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2469D474">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0B082861">
      <w:pPr>
        <w:pStyle w:val="82"/>
        <w:ind w:left="567"/>
        <w:rPr>
          <w:rFonts w:asciiTheme="minorHAnsi" w:hAnsiTheme="minorHAnsi" w:cstheme="minorHAnsi"/>
          <w:sz w:val="22"/>
          <w:szCs w:val="22"/>
          <w:shd w:val="clear" w:color="auto" w:fill="FFFFFF"/>
        </w:rPr>
      </w:pPr>
    </w:p>
    <w:p w14:paraId="5301DA98">
      <w:pPr>
        <w:pStyle w:val="65"/>
        <w:rPr>
          <w:rFonts w:asciiTheme="minorHAnsi" w:hAnsiTheme="minorHAnsi" w:cstheme="minorHAnsi"/>
          <w:sz w:val="22"/>
          <w:szCs w:val="22"/>
        </w:rPr>
      </w:pPr>
      <w:r>
        <w:rPr>
          <w:rFonts w:asciiTheme="minorHAnsi" w:hAnsiTheme="minorHAnsi" w:cstheme="minorHAnsi"/>
          <w:sz w:val="22"/>
          <w:szCs w:val="22"/>
        </w:rPr>
        <w:t>Da exigência de amostra</w:t>
      </w:r>
    </w:p>
    <w:p w14:paraId="092BCC65">
      <w:pPr>
        <w:pStyle w:val="71"/>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704CE3A1">
      <w:pPr>
        <w:pStyle w:val="71"/>
        <w:numPr>
          <w:ilvl w:val="1"/>
          <w:numId w:val="4"/>
        </w:numPr>
        <w:spacing w:line="360" w:lineRule="auto"/>
        <w:ind w:left="0" w:right="14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50C58662">
      <w:pPr>
        <w:numPr>
          <w:ilvl w:val="1"/>
          <w:numId w:val="4"/>
        </w:numPr>
        <w:spacing w:line="360" w:lineRule="auto"/>
        <w:ind w:left="0" w:right="14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44C130D9">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427BC71A">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21921B38">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7D2B06F6">
      <w:pPr>
        <w:pStyle w:val="71"/>
        <w:numPr>
          <w:ilvl w:val="2"/>
          <w:numId w:val="4"/>
        </w:numPr>
        <w:tabs>
          <w:tab w:val="left" w:pos="2835"/>
        </w:tabs>
        <w:spacing w:line="360" w:lineRule="auto"/>
        <w:ind w:left="930" w:right="14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76B7007A">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659A44ED">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6A5314A2">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104B7135">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3942B660">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4F5B5C96">
      <w:pPr>
        <w:pStyle w:val="71"/>
        <w:numPr>
          <w:ilvl w:val="2"/>
          <w:numId w:val="4"/>
        </w:numPr>
        <w:spacing w:line="360" w:lineRule="auto"/>
        <w:ind w:left="845" w:right="140"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7EFBCCEA">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1CF138D4">
      <w:pPr>
        <w:numPr>
          <w:ilvl w:val="1"/>
          <w:numId w:val="4"/>
        </w:numPr>
        <w:spacing w:line="360" w:lineRule="auto"/>
        <w:ind w:left="0" w:right="14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6D1DCE64">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2B83C711">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7978B103">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262BB820">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76437D29">
      <w:pPr>
        <w:spacing w:line="360" w:lineRule="auto"/>
        <w:ind w:right="140"/>
        <w:jc w:val="both"/>
        <w:rPr>
          <w:rFonts w:asciiTheme="minorHAnsi" w:hAnsiTheme="minorHAnsi" w:eastAsiaTheme="minorEastAsia" w:cstheme="minorHAnsi"/>
          <w:bCs/>
          <w:iCs/>
          <w:sz w:val="22"/>
          <w:szCs w:val="22"/>
        </w:rPr>
      </w:pPr>
    </w:p>
    <w:p w14:paraId="1625906C">
      <w:pPr>
        <w:spacing w:line="360" w:lineRule="auto"/>
        <w:ind w:right="140"/>
        <w:jc w:val="both"/>
        <w:rPr>
          <w:rFonts w:asciiTheme="minorHAnsi" w:hAnsiTheme="minorHAnsi" w:eastAsiaTheme="minorEastAsia" w:cstheme="minorHAnsi"/>
          <w:b/>
          <w:bCs/>
          <w:iCs/>
          <w:sz w:val="22"/>
          <w:szCs w:val="22"/>
        </w:rPr>
      </w:pPr>
      <w:r>
        <w:rPr>
          <w:rFonts w:asciiTheme="minorHAnsi" w:hAnsiTheme="minorHAnsi" w:eastAsiaTheme="minorEastAsia" w:cstheme="minorHAnsi"/>
          <w:b/>
          <w:bCs/>
          <w:iCs/>
          <w:sz w:val="22"/>
          <w:szCs w:val="22"/>
        </w:rPr>
        <w:t>Reserva de cotas para microempresas e empresas de pequeno porte</w:t>
      </w:r>
    </w:p>
    <w:p w14:paraId="3A2242E5">
      <w:pPr>
        <w:numPr>
          <w:ilvl w:val="1"/>
          <w:numId w:val="4"/>
        </w:numPr>
        <w:spacing w:line="360" w:lineRule="auto"/>
        <w:ind w:left="0" w:right="140" w:firstLine="0"/>
        <w:jc w:val="both"/>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4F6D25DB">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Preliminarmente, importante salientar que todo procedimento licitatório antecede de um planejamento adequado à realidade e necessidade das unidades solicitantes.</w:t>
      </w:r>
    </w:p>
    <w:p w14:paraId="29521428">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4CDC14F4">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321CA6FD">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103F034B">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5C6DFD61">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029E67BB">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11FE1D38">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5CB3AE3C">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Argumentando ainda obter dictum,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in verbis:</w:t>
      </w:r>
    </w:p>
    <w:p w14:paraId="743009D0">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71F55E7B">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6D368081">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5EECBD63">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3B2A67CA">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64DC8EA4">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Diante do exposto, embora a lei complementar 123/2006, modificada pela lei complementar 147/2014, estabeleça o dever de a Administração reservar cota de até 25% do objeto licitado, a mesma norma excepciona a regra, quando esse tratamento não for vantajoso, in verbis: </w:t>
      </w:r>
    </w:p>
    <w:p w14:paraId="7C5916BF">
      <w:pPr>
        <w:pStyle w:val="228"/>
        <w:spacing w:beforeAutospacing="0" w:afterAutospacing="0"/>
        <w:ind w:left="2268" w:right="142"/>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00CA902E">
      <w:pPr>
        <w:pStyle w:val="228"/>
        <w:spacing w:beforeAutospacing="0" w:afterAutospacing="0"/>
        <w:ind w:left="2268" w:right="142"/>
        <w:rPr>
          <w:rFonts w:asciiTheme="minorHAnsi" w:hAnsiTheme="minorHAnsi" w:cstheme="minorHAnsi"/>
          <w:b/>
          <w:sz w:val="22"/>
          <w:szCs w:val="22"/>
        </w:rPr>
      </w:pPr>
      <w:bookmarkStart w:id="62" w:name="art48i"/>
      <w:bookmarkEnd w:id="62"/>
      <w:bookmarkStart w:id="63" w:name="art48iii."/>
      <w:bookmarkEnd w:id="63"/>
      <w:r>
        <w:rPr>
          <w:rFonts w:asciiTheme="minorHAnsi" w:hAnsiTheme="minorHAnsi" w:cstheme="minorHAnsi"/>
          <w:b/>
          <w:sz w:val="22"/>
          <w:szCs w:val="22"/>
        </w:rPr>
        <w:t>(...)</w:t>
      </w:r>
    </w:p>
    <w:p w14:paraId="7609F2AC">
      <w:pPr>
        <w:pStyle w:val="228"/>
        <w:spacing w:beforeAutospacing="0" w:afterAutospacing="0"/>
        <w:ind w:left="2268" w:right="142"/>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76AFB900">
      <w:pPr>
        <w:pStyle w:val="24"/>
        <w:spacing w:line="240" w:lineRule="auto"/>
        <w:ind w:left="2268" w:right="142"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fldChar w:fldCharType="begin"/>
      </w:r>
      <w:r>
        <w:rPr>
          <w:rFonts w:asciiTheme="minorHAnsi" w:hAnsiTheme="minorHAnsi" w:cstheme="minorHAnsi"/>
          <w:sz w:val="22"/>
          <w:szCs w:val="22"/>
        </w:rPr>
        <w:instrText xml:space="preserve"> HYPERLINK "http://www.planalto.gov.br/ccivil_03/leis/LCP/Lcp123.htm" \l "art47" </w:instrText>
      </w:r>
      <w: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rPr>
        <w:t> quando:</w:t>
      </w:r>
    </w:p>
    <w:p w14:paraId="4E593ECB">
      <w:pPr>
        <w:pStyle w:val="24"/>
        <w:spacing w:line="240" w:lineRule="auto"/>
        <w:ind w:left="1068" w:right="142"/>
        <w:jc w:val="both"/>
        <w:rPr>
          <w:rFonts w:asciiTheme="minorHAnsi" w:hAnsiTheme="minorHAnsi" w:cstheme="minorHAnsi"/>
          <w:b/>
          <w:sz w:val="22"/>
          <w:szCs w:val="22"/>
        </w:rPr>
      </w:pPr>
      <w:r>
        <w:rPr>
          <w:rFonts w:asciiTheme="minorHAnsi" w:hAnsiTheme="minorHAnsi" w:cstheme="minorHAnsi"/>
          <w:b/>
          <w:sz w:val="22"/>
          <w:szCs w:val="22"/>
        </w:rPr>
        <w:t>(...)</w:t>
      </w:r>
    </w:p>
    <w:p w14:paraId="50CACD15">
      <w:pPr>
        <w:pStyle w:val="24"/>
        <w:spacing w:line="240" w:lineRule="auto"/>
        <w:ind w:left="2268" w:right="142"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0F2A8895">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6DC66975">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6FC8A995">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sequência, o art. 9º, do mesmo modo, excepciona a regra:</w:t>
      </w:r>
    </w:p>
    <w:p w14:paraId="001EB18B">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348DD114">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3F9AACDB">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2BE62573">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w:t>
      </w:r>
    </w:p>
    <w:p w14:paraId="37378917">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689308CD">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6BC58B51">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147EA361">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594E8AF1">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35351D1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Resta cristalino o tratamento diferenciado não é vantajoso para este Complexo Hospitalar e de Saúde da UFBA, por tudo quando exposto acima.</w:t>
      </w:r>
    </w:p>
    <w:p w14:paraId="51A8BCA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515A9508">
      <w:pPr>
        <w:pStyle w:val="24"/>
        <w:spacing w:line="240" w:lineRule="auto"/>
        <w:ind w:left="2268" w:right="142"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1B14347E">
      <w:pPr>
        <w:spacing w:line="360" w:lineRule="auto"/>
        <w:ind w:right="140"/>
        <w:jc w:val="both"/>
        <w:rPr>
          <w:rFonts w:asciiTheme="minorHAnsi" w:hAnsiTheme="minorHAnsi" w:eastAsiaTheme="minorEastAsia" w:cstheme="minorHAnsi"/>
          <w:bCs/>
          <w:iCs/>
          <w:sz w:val="22"/>
          <w:szCs w:val="22"/>
        </w:rPr>
      </w:pPr>
    </w:p>
    <w:p w14:paraId="712E7E6B">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MODELO DE EXECUÇÃO DO OBJETO</w:t>
      </w:r>
    </w:p>
    <w:p w14:paraId="1FB4B500">
      <w:pPr>
        <w:pStyle w:val="372"/>
      </w:pPr>
      <w:r>
        <w:t>Condições de Entrega</w:t>
      </w:r>
    </w:p>
    <w:p w14:paraId="72908AA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08:00 às 16h</w:t>
      </w:r>
      <w:r>
        <w:rPr>
          <w:rFonts w:asciiTheme="minorHAnsi" w:hAnsiTheme="minorHAnsi" w:cstheme="minorHAnsi"/>
          <w:b/>
          <w:sz w:val="22"/>
          <w:szCs w:val="22"/>
          <w:u w:val="single"/>
        </w:rPr>
        <w:t>. nos dias úteis.</w:t>
      </w:r>
    </w:p>
    <w:p w14:paraId="2E2417B7">
      <w:pPr>
        <w:pStyle w:val="71"/>
        <w:widowControl w:val="0"/>
        <w:spacing w:line="360" w:lineRule="auto"/>
        <w:ind w:left="0" w:right="140"/>
        <w:jc w:val="both"/>
        <w:rPr>
          <w:rFonts w:asciiTheme="minorHAnsi" w:hAnsiTheme="minorHAnsi" w:cstheme="minorHAnsi"/>
          <w:b/>
          <w:sz w:val="22"/>
          <w:szCs w:val="22"/>
          <w:u w:val="single"/>
        </w:rPr>
      </w:pP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6463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39AE8273">
            <w:pPr>
              <w:pStyle w:val="71"/>
              <w:widowControl w:val="0"/>
              <w:spacing w:line="360" w:lineRule="auto"/>
              <w:ind w:left="0" w:right="140"/>
              <w:jc w:val="both"/>
              <w:rPr>
                <w:rFonts w:eastAsia="Calibri" w:asciiTheme="minorHAnsi" w:hAnsiTheme="minorHAnsi" w:cstheme="minorHAnsi"/>
                <w:b/>
                <w:sz w:val="22"/>
                <w:szCs w:val="22"/>
                <w:lang w:eastAsia="en-US"/>
              </w:rPr>
            </w:pPr>
          </w:p>
          <w:p w14:paraId="76CF4DBD">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Hospital Ana Nery</w:t>
            </w:r>
          </w:p>
        </w:tc>
        <w:tc>
          <w:tcPr>
            <w:tcW w:w="5670" w:type="dxa"/>
          </w:tcPr>
          <w:p w14:paraId="09E6554F">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Almoxarifado Central do HAN, sito à Rua Saldanha Marinho, s/n, Caixa D’ Água, Salvador. CEP 40.323-010</w:t>
            </w:r>
          </w:p>
        </w:tc>
      </w:tr>
      <w:tr w14:paraId="7B89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5336447D">
            <w:pPr>
              <w:pStyle w:val="71"/>
              <w:widowControl w:val="0"/>
              <w:spacing w:line="360" w:lineRule="auto"/>
              <w:ind w:left="0" w:right="140" w:firstLine="708"/>
              <w:jc w:val="both"/>
              <w:rPr>
                <w:rFonts w:eastAsia="Calibri" w:asciiTheme="minorHAnsi" w:hAnsiTheme="minorHAnsi" w:cstheme="minorHAnsi"/>
                <w:b/>
                <w:sz w:val="22"/>
                <w:szCs w:val="22"/>
                <w:lang w:eastAsia="en-US"/>
              </w:rPr>
            </w:pPr>
          </w:p>
          <w:p w14:paraId="63EE425B">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Hospital de Medicina Veterinária Prof. Renato Rodemburg de Medeiros Neto – HOSPMEV / UFBA</w:t>
            </w:r>
          </w:p>
        </w:tc>
        <w:tc>
          <w:tcPr>
            <w:tcW w:w="5670" w:type="dxa"/>
          </w:tcPr>
          <w:p w14:paraId="467479D2">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Av. Milton Santos nº 500 Ondina, Hospital de Medicina Veterinária UFBA, CEP 40170-110, Salvador-BA, das 08h às 16h, em dias úteis.</w:t>
            </w:r>
          </w:p>
          <w:p w14:paraId="7D72422E">
            <w:pPr>
              <w:pStyle w:val="71"/>
              <w:widowControl w:val="0"/>
              <w:spacing w:line="360" w:lineRule="auto"/>
              <w:ind w:left="0" w:right="140"/>
              <w:jc w:val="both"/>
              <w:rPr>
                <w:rFonts w:eastAsia="Calibri" w:asciiTheme="minorHAnsi" w:hAnsiTheme="minorHAnsi" w:cstheme="minorHAnsi"/>
                <w:b/>
                <w:sz w:val="22"/>
                <w:szCs w:val="22"/>
                <w:lang w:eastAsia="en-US"/>
              </w:rPr>
            </w:pPr>
          </w:p>
          <w:p w14:paraId="2361D733">
            <w:pPr>
              <w:pStyle w:val="71"/>
              <w:widowControl w:val="0"/>
              <w:spacing w:line="360" w:lineRule="auto"/>
              <w:ind w:left="0" w:right="140"/>
              <w:jc w:val="both"/>
              <w:rPr>
                <w:rFonts w:eastAsia="Calibri" w:asciiTheme="minorHAnsi" w:hAnsiTheme="minorHAnsi" w:cstheme="minorHAnsi"/>
                <w:b/>
                <w:sz w:val="22"/>
                <w:szCs w:val="22"/>
                <w:lang w:eastAsia="en-US"/>
              </w:rPr>
            </w:pPr>
          </w:p>
        </w:tc>
      </w:tr>
      <w:tr w14:paraId="7B7A8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6380B9DC">
            <w:pPr>
              <w:pStyle w:val="71"/>
              <w:widowControl w:val="0"/>
              <w:spacing w:line="360" w:lineRule="auto"/>
              <w:ind w:left="0" w:right="140" w:firstLine="708"/>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HOSPITAL UNIVERSITÁRIO PROFESSOR EDGARD SANTOS – HUPES</w:t>
            </w:r>
          </w:p>
        </w:tc>
        <w:tc>
          <w:tcPr>
            <w:tcW w:w="5670" w:type="dxa"/>
          </w:tcPr>
          <w:p w14:paraId="5C67216F">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Almoxarifado – HUPES, 1º subsolo, na Rua Augusto Viana, s/n,Canela –Salvador/BA, CEP: 40.110-060</w:t>
            </w:r>
          </w:p>
        </w:tc>
      </w:tr>
    </w:tbl>
    <w:p w14:paraId="271F140F">
      <w:pPr>
        <w:pStyle w:val="221"/>
        <w:spacing w:line="360" w:lineRule="auto"/>
        <w:ind w:left="360" w:right="140"/>
        <w:jc w:val="both"/>
        <w:rPr>
          <w:rFonts w:asciiTheme="minorHAnsi" w:hAnsiTheme="minorHAnsi" w:cstheme="minorHAnsi"/>
          <w:color w:val="auto"/>
          <w:sz w:val="22"/>
          <w:szCs w:val="22"/>
        </w:rPr>
      </w:pPr>
    </w:p>
    <w:p w14:paraId="6E513DA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3DB7A821">
      <w:pPr>
        <w:pStyle w:val="71"/>
        <w:widowControl w:val="0"/>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Prazo de validade dos medicamentos: </w:t>
      </w:r>
      <w:r>
        <w:rPr>
          <w:rFonts w:asciiTheme="minorHAnsi" w:hAnsiTheme="minorHAnsi" w:cstheme="minorHAnsi"/>
          <w:b/>
          <w:bCs/>
          <w:sz w:val="22"/>
          <w:szCs w:val="22"/>
          <w:u w:val="single"/>
        </w:rPr>
        <w:t>não inferior a 12 (doze) meses</w:t>
      </w:r>
      <w:r>
        <w:rPr>
          <w:rFonts w:asciiTheme="minorHAnsi" w:hAnsiTheme="minorHAnsi" w:cstheme="minorHAnsi"/>
          <w:bCs/>
          <w:sz w:val="22"/>
          <w:szCs w:val="22"/>
        </w:rPr>
        <w:t>, a contar da data da entrega dos mesmos.</w:t>
      </w:r>
    </w:p>
    <w:p w14:paraId="49B9E01E">
      <w:pPr>
        <w:pStyle w:val="71"/>
        <w:widowControl w:val="0"/>
        <w:spacing w:line="360" w:lineRule="auto"/>
        <w:ind w:left="0" w:right="140"/>
        <w:jc w:val="both"/>
        <w:rPr>
          <w:rFonts w:asciiTheme="minorHAnsi" w:hAnsiTheme="minorHAnsi" w:cstheme="minorHAnsi"/>
          <w:bCs/>
          <w:sz w:val="22"/>
          <w:szCs w:val="22"/>
        </w:rPr>
      </w:pPr>
    </w:p>
    <w:p w14:paraId="7AD7A87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DOS PRAZOS</w:t>
      </w:r>
    </w:p>
    <w:p w14:paraId="0B72BE9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entrega do(s) material (is) deverá ser realizada em até 15 (quinze) dias corridos, a partir do recebimento da Nota de Empenho ou documento equivalente, pelo CONTRATADO.</w:t>
      </w:r>
    </w:p>
    <w:p w14:paraId="0DB2251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sz w:val="22"/>
          <w:szCs w:val="22"/>
          <w:u w:val="single"/>
        </w:rPr>
        <w:t xml:space="preserve">O consumo dos materiais será realizado de forma parcelada, por meio de notas de empenho emitidas em remessas únicas, tantas quantas forem necessárias até o consumo total do quantitativo registrado na Ata de Registro de Preços. A entrega dos materiais deverá ocorrer por conta e risco da contratada, </w:t>
      </w:r>
      <w:r>
        <w:rPr>
          <w:rFonts w:asciiTheme="minorHAnsi" w:hAnsiTheme="minorHAnsi" w:cstheme="minorHAnsi"/>
          <w:b/>
          <w:bCs/>
          <w:sz w:val="22"/>
          <w:szCs w:val="22"/>
          <w:u w:val="single"/>
        </w:rPr>
        <w:t>sem quaisquer ônus para o Hospital Ana Nery</w:t>
      </w:r>
      <w:r>
        <w:rPr>
          <w:rFonts w:asciiTheme="minorHAnsi" w:hAnsiTheme="minorHAnsi" w:cstheme="minorHAnsi"/>
          <w:b/>
          <w:sz w:val="22"/>
          <w:szCs w:val="22"/>
          <w:u w:val="single"/>
        </w:rPr>
        <w:t>, conforme a necessidade da unidade requisitante, mediante solicitação formal através da respectiva nota de empenho.</w:t>
      </w:r>
    </w:p>
    <w:p w14:paraId="18D1632A">
      <w:pPr>
        <w:pStyle w:val="71"/>
        <w:widowControl w:val="0"/>
        <w:spacing w:line="360" w:lineRule="auto"/>
        <w:ind w:left="0" w:right="140"/>
        <w:jc w:val="both"/>
        <w:rPr>
          <w:rFonts w:asciiTheme="minorHAnsi" w:hAnsiTheme="minorHAnsi" w:cstheme="minorHAnsi"/>
          <w:b/>
          <w:sz w:val="22"/>
          <w:szCs w:val="22"/>
          <w:u w:val="single"/>
          <w:lang w:eastAsia="en-US"/>
        </w:rPr>
      </w:pPr>
    </w:p>
    <w:p w14:paraId="33D606D1">
      <w:pPr>
        <w:pStyle w:val="77"/>
        <w:numPr>
          <w:ilvl w:val="0"/>
          <w:numId w:val="4"/>
        </w:numPr>
        <w:tabs>
          <w:tab w:val="left" w:pos="284"/>
        </w:tabs>
        <w:spacing w:before="0" w:after="0" w:line="360" w:lineRule="auto"/>
        <w:ind w:left="0" w:right="140" w:firstLine="0"/>
        <w:rPr>
          <w:rFonts w:asciiTheme="minorHAnsi" w:hAnsiTheme="minorHAnsi" w:eastAsiaTheme="minorEastAsia" w:cstheme="minorHAnsi"/>
          <w:color w:val="auto"/>
          <w:sz w:val="22"/>
          <w:szCs w:val="22"/>
        </w:rPr>
      </w:pPr>
      <w:r>
        <w:rPr>
          <w:rFonts w:asciiTheme="minorHAnsi" w:hAnsiTheme="minorHAnsi" w:eastAsiaTheme="minorEastAsia" w:cstheme="minorHAnsi"/>
          <w:color w:val="auto"/>
          <w:sz w:val="22"/>
          <w:szCs w:val="22"/>
        </w:rPr>
        <w:t>MODELO DE GESTÃO DO CONTRATO</w:t>
      </w:r>
    </w:p>
    <w:p w14:paraId="34D0617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3938988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4B41568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24A0615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37C21AB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87EAD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75485C4B">
      <w:pPr>
        <w:pStyle w:val="71"/>
        <w:widowControl w:val="0"/>
        <w:spacing w:line="360" w:lineRule="auto"/>
        <w:ind w:left="0" w:right="140"/>
        <w:jc w:val="both"/>
        <w:rPr>
          <w:rFonts w:asciiTheme="minorHAnsi" w:hAnsiTheme="minorHAnsi" w:eastAsiaTheme="majorEastAsia" w:cstheme="minorHAnsi"/>
          <w:bCs/>
          <w:sz w:val="22"/>
          <w:szCs w:val="22"/>
        </w:rPr>
      </w:pPr>
    </w:p>
    <w:p w14:paraId="74099990">
      <w:pPr>
        <w:pStyle w:val="77"/>
        <w:numPr>
          <w:ilvl w:val="0"/>
          <w:numId w:val="4"/>
        </w:numPr>
        <w:tabs>
          <w:tab w:val="left" w:pos="284"/>
        </w:tabs>
        <w:spacing w:before="0" w:after="0" w:line="360" w:lineRule="auto"/>
        <w:ind w:left="0" w:right="140" w:firstLine="0"/>
        <w:rPr>
          <w:rFonts w:asciiTheme="minorHAnsi" w:hAnsiTheme="minorHAnsi" w:cstheme="minorHAnsi"/>
          <w:bCs/>
          <w:color w:val="auto"/>
          <w:sz w:val="22"/>
          <w:szCs w:val="22"/>
        </w:rPr>
      </w:pPr>
      <w:r>
        <w:rPr>
          <w:rFonts w:asciiTheme="minorHAnsi" w:hAnsiTheme="minorHAnsi" w:eastAsiaTheme="minorEastAsia" w:cstheme="minorHAnsi"/>
          <w:color w:val="auto"/>
          <w:sz w:val="22"/>
          <w:szCs w:val="22"/>
        </w:rPr>
        <w:t>CRITÉRIOS</w:t>
      </w:r>
      <w:r>
        <w:rPr>
          <w:rFonts w:asciiTheme="minorHAnsi" w:hAnsiTheme="minorHAnsi" w:cstheme="minorHAnsi"/>
          <w:color w:val="auto"/>
          <w:sz w:val="22"/>
          <w:szCs w:val="22"/>
        </w:rPr>
        <w:t xml:space="preserve"> DE MEDIÇÃO E DE PAGAMENTO</w:t>
      </w:r>
    </w:p>
    <w:p w14:paraId="2F550DF1">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6D04AE4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679F419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63A54A9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572BC79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Em caso de não conformidade, a Comissão/ Servidor designado devolverá Nota Fiscal / Materiais, para as devidas correções.</w:t>
      </w:r>
    </w:p>
    <w:p w14:paraId="4595D1C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Durante o recebimento provisório, o Hospital Ana Nery (HAN) poderá exigir a substituição de qualquer do(s) material (is) que não esteja (m) de acordo com a(s) especificação(ões) desta solicitação.</w:t>
      </w:r>
    </w:p>
    <w:p w14:paraId="1F9E009C">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Não serão pagos o(s) material(is) entregue(s) em locais diferentes do mencionado no item 6.1 desta solicitação, ou materiais entregues a funcionários do Hospital Ana Nery não autorizados.</w:t>
      </w:r>
    </w:p>
    <w:p w14:paraId="0B8A2C6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Na hipótese de a verificação, a que se refere o subitem anterior não ser procedida dentro do prazo fixado, reputar-se-á como realizada, consumando-se o recebimento definitivo no dia do esgotamento do prazo.</w:t>
      </w:r>
    </w:p>
    <w:p w14:paraId="4ED71D9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bens que não atenderem as especificações deverão ser substituídos pela Contratada, no prazo máximo de dez (10) dias corridos, sob pena de aplicação das sanções previstas no Termo de Referência.</w:t>
      </w:r>
    </w:p>
    <w:p w14:paraId="2D96714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administração rejeitará, no todo ou em parte, a entrega dos bens em desacordo com as especificações técnicas exigidas.</w:t>
      </w:r>
    </w:p>
    <w:p w14:paraId="7F84D20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257A9F4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6C3D31F2">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2B1F1E0">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7F98D3A5">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24FC66C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01FF477F">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396681E5">
      <w:pPr>
        <w:pStyle w:val="71"/>
        <w:widowControl w:val="0"/>
        <w:numPr>
          <w:ilvl w:val="1"/>
          <w:numId w:val="4"/>
        </w:numPr>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2C91EEDC">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 prazo de validade;</w:t>
      </w:r>
    </w:p>
    <w:p w14:paraId="75852F08">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a data da emissão; </w:t>
      </w:r>
    </w:p>
    <w:p w14:paraId="116A403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os dados do contrato e do órgão contratante; </w:t>
      </w:r>
    </w:p>
    <w:p w14:paraId="342D5C1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período respectivo de execução do contrato; </w:t>
      </w:r>
    </w:p>
    <w:p w14:paraId="4B31977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valor a pagar; e </w:t>
      </w:r>
    </w:p>
    <w:p w14:paraId="488DBA2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eventual destaque do valor de retenções tributárias cabíveis.</w:t>
      </w:r>
    </w:p>
    <w:p w14:paraId="002A596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3B4C75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794F54C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7374432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E417940">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0D561B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5513998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6BF5B246">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4BC5064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608F1D39">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6D60F37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3B68FB5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457E193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119ADF3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7D727208">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A8DA56D">
      <w:pPr>
        <w:pStyle w:val="65"/>
        <w:rPr>
          <w:rFonts w:asciiTheme="minorHAnsi" w:hAnsiTheme="minorHAnsi" w:cstheme="minorHAnsi"/>
          <w:sz w:val="22"/>
          <w:szCs w:val="22"/>
        </w:rPr>
      </w:pPr>
    </w:p>
    <w:p w14:paraId="17101EA4">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INFRAÇÕES E SANÇÕES ADMINISTRATIVAS</w:t>
      </w:r>
    </w:p>
    <w:p w14:paraId="60743D7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6666C76F">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w:t>
      </w:r>
    </w:p>
    <w:p w14:paraId="0FFDD8ED">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 que cause grave dano à Administração ou ao funcionamento dos serviços públicos ou ao interesse coletivo;</w:t>
      </w:r>
    </w:p>
    <w:p w14:paraId="1877A948">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total do contrato;</w:t>
      </w:r>
    </w:p>
    <w:p w14:paraId="41A5F6F0">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ensejar o retardamento da execução ou da entrega do objeto da contratação sem motivo justificado;</w:t>
      </w:r>
    </w:p>
    <w:p w14:paraId="16FF2F7B">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apresentar documentação falsa ou prestar declaração falsa durante a execução do contrato;</w:t>
      </w:r>
    </w:p>
    <w:p w14:paraId="56CD3070">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fraudulento na execução do contrato;</w:t>
      </w:r>
    </w:p>
    <w:p w14:paraId="18C81FB7">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comportar-se de modo inidôneo ou cometer fraude de qualquer natureza;</w:t>
      </w:r>
    </w:p>
    <w:p w14:paraId="50757FF4">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lesivo previsto no art. 5º da Lei nº 12.846, de 1º de agosto de 2013.</w:t>
      </w:r>
    </w:p>
    <w:p w14:paraId="46BA90A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Serão aplicadas ao Contratado que incorrer nas infrações acima descritas as seguintes sanções:</w:t>
      </w:r>
    </w:p>
    <w:p w14:paraId="7E4B33EC">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Advertência, quando o Contratado der causa à inexecução parcial do contrato, sempre que não se justificar a imposição de penalidade mais grave;</w:t>
      </w:r>
    </w:p>
    <w:p w14:paraId="2613D0DC">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Impedimento de licitar e contratar, quando praticadas as condutas descritas nas alíneas “b”, “c” e “d” do subitem acima, sempre que não se justificar a imposição de penalidade mais grave;</w:t>
      </w:r>
    </w:p>
    <w:p w14:paraId="61403F98">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Declaração de inidoneidade para licitar e contratar, quando praticadas as condutas descritas nas alíneas “e”, “f”, “g” e “h” do subitem acima, bem como nas alíneas “b”, “c” e “d”, que justifiquem a imposição de penalidade mais grave.</w:t>
      </w:r>
    </w:p>
    <w:p w14:paraId="78D4827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Multa:</w:t>
      </w:r>
    </w:p>
    <w:p w14:paraId="0B9EA7D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Moratória, para as infrações descritas no </w:t>
      </w:r>
      <w:r>
        <w:rPr>
          <w:rFonts w:asciiTheme="minorHAnsi" w:hAnsiTheme="minorHAnsi" w:cstheme="minorHAnsi"/>
          <w:b/>
          <w:sz w:val="22"/>
          <w:szCs w:val="22"/>
          <w:u w:val="single"/>
        </w:rPr>
        <w:t>item “d”, de 0,5% a 30%</w:t>
      </w:r>
      <w:r>
        <w:rPr>
          <w:rFonts w:asciiTheme="minorHAnsi" w:hAnsiTheme="minorHAnsi" w:cstheme="minorHAnsi"/>
          <w:sz w:val="22"/>
          <w:szCs w:val="22"/>
        </w:rPr>
        <w:t xml:space="preserve"> por dia de atraso injustificado sobre o valor da parcela inadimplida, até o limite de 30 (trinta) dias.</w:t>
      </w:r>
    </w:p>
    <w:p w14:paraId="6099A005">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as infrações descritas acima </w:t>
      </w:r>
      <w:r>
        <w:rPr>
          <w:rFonts w:asciiTheme="minorHAnsi" w:hAnsiTheme="minorHAnsi" w:cstheme="minorHAnsi"/>
          <w:b/>
          <w:sz w:val="22"/>
          <w:szCs w:val="22"/>
          <w:u w:val="single"/>
        </w:rPr>
        <w:t>alíneas “e” a “h” de 0,5% a 30%</w:t>
      </w:r>
      <w:r>
        <w:rPr>
          <w:rFonts w:asciiTheme="minorHAnsi" w:hAnsiTheme="minorHAnsi" w:cstheme="minorHAnsi"/>
          <w:sz w:val="22"/>
          <w:szCs w:val="22"/>
        </w:rPr>
        <w:t xml:space="preserve"> do valor da contratação.</w:t>
      </w:r>
    </w:p>
    <w:p w14:paraId="009CD38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inexecução total do contrato prevista acima na </w:t>
      </w:r>
      <w:r>
        <w:rPr>
          <w:rFonts w:asciiTheme="minorHAnsi" w:hAnsiTheme="minorHAnsi" w:cstheme="minorHAnsi"/>
          <w:b/>
          <w:sz w:val="22"/>
          <w:szCs w:val="22"/>
          <w:u w:val="single"/>
        </w:rPr>
        <w:t>alínea “c”, de 0,5% a 30%</w:t>
      </w:r>
      <w:r>
        <w:rPr>
          <w:rFonts w:asciiTheme="minorHAnsi" w:hAnsiTheme="minorHAnsi" w:cstheme="minorHAnsi"/>
          <w:sz w:val="22"/>
          <w:szCs w:val="22"/>
        </w:rPr>
        <w:t xml:space="preserve"> do valor da contratação.</w:t>
      </w:r>
    </w:p>
    <w:p w14:paraId="1B6AE71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“b”, de 0,5% a 30%</w:t>
      </w:r>
      <w:r>
        <w:rPr>
          <w:rFonts w:asciiTheme="minorHAnsi" w:hAnsiTheme="minorHAnsi" w:cstheme="minorHAnsi"/>
          <w:sz w:val="22"/>
          <w:szCs w:val="22"/>
        </w:rPr>
        <w:t xml:space="preserve"> do valor da contratação.</w:t>
      </w:r>
    </w:p>
    <w:p w14:paraId="6F300E0F">
      <w:pPr>
        <w:pStyle w:val="332"/>
        <w:numPr>
          <w:ilvl w:val="2"/>
          <w:numId w:val="4"/>
        </w:numPr>
        <w:tabs>
          <w:tab w:val="clear" w:pos="360"/>
        </w:tabs>
        <w:spacing w:line="360" w:lineRule="auto"/>
        <w:ind w:left="929"/>
        <w:rPr>
          <w:rFonts w:asciiTheme="minorHAnsi" w:hAnsiTheme="minorHAnsi" w:cstheme="minorHAnsi"/>
          <w:sz w:val="22"/>
          <w:szCs w:val="22"/>
        </w:rPr>
      </w:pPr>
      <w:bookmarkStart w:id="67" w:name="_Hlk175669195"/>
      <w:r>
        <w:rPr>
          <w:rFonts w:asciiTheme="minorHAnsi" w:hAnsiTheme="minorHAnsi" w:cstheme="minorHAnsi"/>
          <w:sz w:val="22"/>
          <w:szCs w:val="22"/>
        </w:rPr>
        <w:t>Compensatória, em substituição à multa moratória para a infração descrita acima na</w:t>
      </w:r>
      <w:r>
        <w:rPr>
          <w:rFonts w:asciiTheme="minorHAnsi" w:hAnsiTheme="minorHAnsi" w:cstheme="minorHAnsi"/>
          <w:b/>
          <w:sz w:val="22"/>
          <w:szCs w:val="22"/>
          <w:u w:val="single"/>
        </w:rPr>
        <w:t xml:space="preserve"> alínea “d”, de 0,5% a 30%</w:t>
      </w:r>
      <w:r>
        <w:rPr>
          <w:rFonts w:asciiTheme="minorHAnsi" w:hAnsiTheme="minorHAnsi" w:cstheme="minorHAnsi"/>
          <w:sz w:val="22"/>
          <w:szCs w:val="22"/>
        </w:rPr>
        <w:t xml:space="preserve"> do valor da contratação.</w:t>
      </w:r>
    </w:p>
    <w:bookmarkEnd w:id="67"/>
    <w:p w14:paraId="21983D5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“a”, de 0,5% a 30%</w:t>
      </w:r>
      <w:r>
        <w:rPr>
          <w:rFonts w:asciiTheme="minorHAnsi" w:hAnsiTheme="minorHAnsi" w:cstheme="minorHAnsi"/>
          <w:sz w:val="22"/>
          <w:szCs w:val="22"/>
        </w:rPr>
        <w:t xml:space="preserve"> do valor da contratação </w:t>
      </w:r>
    </w:p>
    <w:p w14:paraId="6875F36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previstas neste Termo de Referência não exclui, em hipótese alguma, a obrigação de reparação integral do dano causado ao Contratante.</w:t>
      </w:r>
    </w:p>
    <w:p w14:paraId="10082E4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Todas as sanções previstas neste Termo de Referência poderão ser aplicadas cumulativamente com a multa.</w:t>
      </w:r>
    </w:p>
    <w:p w14:paraId="24E454E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Antes da aplicação da multa será facultada a defesa do interessado no prazo de 15 (quinze) dias úteis, contado da data de sua intimação.</w:t>
      </w:r>
    </w:p>
    <w:p w14:paraId="6699E61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391D588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multa poderá ser recolhida administrativamente no prazo máximo de 15 (quinze) dias úteis, a contar da data do recebimento da comunicação enviada pela autoridade competente.</w:t>
      </w:r>
    </w:p>
    <w:p w14:paraId="35D9E7C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39E2BC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a garantia da ampla defesa e contraditório, as notificações serão enviadas eletronicamente para os endereços de e-mail informados na proposta comercial, bem como os cadastrados pela empresa no SICAF.</w:t>
      </w:r>
    </w:p>
    <w:p w14:paraId="6602C47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endereços de e-mail informados na proposta comercial e/ou cadastrados no Sicaf serão considerados de uso contínuo da empresa, não cabendo alegação de desconhecimento das comunicações a eles comprovadamente enviadas.</w:t>
      </w:r>
    </w:p>
    <w:p w14:paraId="1336F7A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3EC7518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natureza e a gravidade da infração cometida;</w:t>
      </w:r>
    </w:p>
    <w:p w14:paraId="7F907B8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peculiaridades do caso concreto;</w:t>
      </w:r>
    </w:p>
    <w:p w14:paraId="64E05DDC">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circunstâncias agravantes ou atenuantes;</w:t>
      </w:r>
    </w:p>
    <w:p w14:paraId="0E7D9D2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danos que dela provierem para o Contratante; e</w:t>
      </w:r>
    </w:p>
    <w:p w14:paraId="0402F86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implantação ou o aperfeiçoamento de programa de integridade, conforme normas e orientações dos órgãos de controle.</w:t>
      </w:r>
    </w:p>
    <w:p w14:paraId="00FF437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BCC9FE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A personalidade jurídica do Contratado poderá ser desconsiderada sempre que utilizada com abuso do direito para facilitar, encobrir ou dissimular a prática dos atos ilícitos </w:t>
      </w:r>
      <w:bookmarkStart w:id="68" w:name="_Hlk170830482"/>
      <w:r>
        <w:rPr>
          <w:rFonts w:asciiTheme="minorHAnsi" w:hAnsiTheme="minorHAnsi" w:cstheme="minorHAnsi"/>
          <w:sz w:val="22"/>
          <w:szCs w:val="22"/>
        </w:rPr>
        <w:t>previstos neste Termo de Referência</w:t>
      </w:r>
      <w:bookmarkEnd w:id="68"/>
      <w:r>
        <w:rPr>
          <w:rFonts w:asciiTheme="minorHAnsi" w:hAnsiTheme="minorHAnsi" w:cstheme="minorHAnsi"/>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41F08B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459DD80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sanções de impedimento de licitar e contratar e declaração de inidoneidade para licitar ou contratar são passíveis de reabilitação na forma do art. 163 da Lei nº 14.133, de 2021.</w:t>
      </w:r>
    </w:p>
    <w:p w14:paraId="5374667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338AF33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 aplicação das sanções previstas neste edital não exclui, em hipótese alguma, a obrigação de reparação integral dos danos causados ao Complexo Hospitalar e de Saúde-CHS/UFBA.</w:t>
      </w:r>
    </w:p>
    <w:p w14:paraId="74A1499D">
      <w:pPr>
        <w:pStyle w:val="77"/>
        <w:tabs>
          <w:tab w:val="left" w:pos="284"/>
        </w:tabs>
        <w:spacing w:before="0" w:line="360" w:lineRule="auto"/>
        <w:ind w:left="0" w:right="140" w:firstLine="0"/>
        <w:rPr>
          <w:rFonts w:asciiTheme="minorHAnsi" w:hAnsiTheme="minorHAnsi" w:cstheme="minorHAnsi"/>
          <w:color w:val="auto"/>
          <w:sz w:val="22"/>
          <w:szCs w:val="22"/>
        </w:rPr>
      </w:pPr>
    </w:p>
    <w:p w14:paraId="6A91F48F">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FORMA</w:t>
      </w:r>
      <w:r>
        <w:rPr>
          <w:rFonts w:asciiTheme="minorHAnsi" w:hAnsiTheme="minorHAnsi" w:cstheme="minorHAnsi"/>
          <w:color w:val="auto"/>
          <w:sz w:val="22"/>
          <w:szCs w:val="22"/>
        </w:rPr>
        <w:t xml:space="preserve"> E CRITÉRIOS DE SELEÇÃO DO FORNECEDOR E FORMA DE FORNECIMENTO</w:t>
      </w:r>
    </w:p>
    <w:p w14:paraId="7C5FFAC5">
      <w:pPr>
        <w:pStyle w:val="374"/>
      </w:pPr>
    </w:p>
    <w:p w14:paraId="09245C31">
      <w:pPr>
        <w:pStyle w:val="374"/>
      </w:pPr>
      <w:r>
        <w:t>Forma de seleção e critério de julgamento da proposta</w:t>
      </w:r>
    </w:p>
    <w:p w14:paraId="52F18AC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17650ED8">
      <w:pPr>
        <w:pStyle w:val="82"/>
        <w:ind w:left="567"/>
        <w:rPr>
          <w:rFonts w:asciiTheme="minorHAnsi" w:hAnsiTheme="minorHAnsi" w:cstheme="minorHAnsi"/>
          <w:sz w:val="22"/>
          <w:szCs w:val="22"/>
        </w:rPr>
      </w:pPr>
    </w:p>
    <w:p w14:paraId="1AF72A32">
      <w:pPr>
        <w:pStyle w:val="374"/>
      </w:pPr>
      <w:r>
        <w:t>Exigências de habilitação</w:t>
      </w:r>
    </w:p>
    <w:p w14:paraId="171A7CB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6E2EFC99">
      <w:pPr>
        <w:pStyle w:val="374"/>
      </w:pPr>
      <w:r>
        <w:t>Habilitação jurídica</w:t>
      </w:r>
    </w:p>
    <w:p w14:paraId="1B9D796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bookmarkStart w:id="69" w:name="_Ref115800561"/>
      <w:r>
        <w:rPr>
          <w:rFonts w:asciiTheme="minorHAnsi" w:hAnsiTheme="minorHAnsi" w:cstheme="minorHAnsi"/>
          <w:sz w:val="22"/>
          <w:szCs w:val="22"/>
        </w:rPr>
        <w:t>Pessoa física: cédula de identidade (RG) ou documento equivalente que, por força de lei, tenha validade para fins de identificação em todo o território nacional;</w:t>
      </w:r>
      <w:bookmarkEnd w:id="69"/>
    </w:p>
    <w:p w14:paraId="0347867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Empresário individual: inscrição no Registro Público de Empresas Mercantis, a cargo da Junta Comercial da respectiva sede; </w:t>
      </w:r>
    </w:p>
    <w:p w14:paraId="69FF3EF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2"/>
          <w:szCs w:val="22"/>
        </w:rPr>
        <w:t>https://www.gov.br/empresas-e-negocios/pt-br/empreendedor</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p w14:paraId="001FE74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2F91D5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2"/>
          <w:szCs w:val="22"/>
        </w:rPr>
        <w:t>Normativa DREI/ME n.º 77, de 18 de março de 2020</w:t>
      </w:r>
      <w:r>
        <w:rPr>
          <w:rFonts w:asciiTheme="minorHAnsi" w:hAnsiTheme="minorHAnsi" w:cstheme="minorHAnsi"/>
          <w:sz w:val="22"/>
          <w:szCs w:val="22"/>
        </w:rPr>
        <w:fldChar w:fldCharType="end"/>
      </w:r>
      <w:r>
        <w:rPr>
          <w:rFonts w:asciiTheme="minorHAnsi" w:hAnsiTheme="minorHAnsi" w:cstheme="minorHAnsi"/>
          <w:sz w:val="22"/>
          <w:szCs w:val="22"/>
        </w:rPr>
        <w:t>.</w:t>
      </w:r>
    </w:p>
    <w:p w14:paraId="09E8289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simples: inscrição do ato constitutivo no Registro Civil de Pessoas Jurídicas do local de sua sede, acompanhada de documento comprobatório de seus administradores;</w:t>
      </w:r>
    </w:p>
    <w:p w14:paraId="2A6A0CB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0" w:name="_Int_ySfCXwr4"/>
      <w:r>
        <w:rPr>
          <w:rFonts w:asciiTheme="minorHAnsi" w:hAnsiTheme="minorHAnsi" w:cstheme="minorHAnsi"/>
          <w:sz w:val="22"/>
          <w:szCs w:val="22"/>
        </w:rPr>
        <w:t>Mercantis onde</w:t>
      </w:r>
      <w:bookmarkEnd w:id="70"/>
      <w:r>
        <w:rPr>
          <w:rFonts w:asciiTheme="minorHAnsi" w:hAnsiTheme="minorHAnsi" w:cstheme="minorHAnsi"/>
          <w:sz w:val="22"/>
          <w:szCs w:val="22"/>
        </w:rPr>
        <w:t xml:space="preserve"> opera, com averbação no Registro onde tem sede a matriz</w:t>
      </w:r>
    </w:p>
    <w:p w14:paraId="4177670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rPr>
        <w:t>art. 107 da Lei nº 5.764, de 16 de dezembro 1971</w:t>
      </w:r>
      <w:r>
        <w:rPr>
          <w:rFonts w:asciiTheme="minorHAnsi" w:hAnsiTheme="minorHAnsi" w:cstheme="minorHAnsi"/>
          <w:sz w:val="22"/>
          <w:szCs w:val="22"/>
        </w:rPr>
        <w:fldChar w:fldCharType="end"/>
      </w:r>
      <w:r>
        <w:rPr>
          <w:rFonts w:asciiTheme="minorHAnsi" w:hAnsiTheme="minorHAnsi" w:cstheme="minorHAnsi"/>
          <w:sz w:val="22"/>
          <w:szCs w:val="22"/>
        </w:rPr>
        <w:t>.</w:t>
      </w:r>
    </w:p>
    <w:p w14:paraId="1CB781F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Fonts w:asciiTheme="minorHAnsi" w:hAnsiTheme="minorHAnsi" w:cstheme="minorHAnsi"/>
          <w:sz w:val="22"/>
          <w:szCs w:val="22"/>
        </w:rPr>
        <w:t xml:space="preserve"> art. 4º, §2º do Decreto nº 10.880, de 2 de dezembro de 2021</w:t>
      </w:r>
      <w:r>
        <w:rPr>
          <w:rFonts w:asciiTheme="minorHAnsi" w:hAnsiTheme="minorHAnsi" w:cstheme="minorHAnsi"/>
          <w:sz w:val="22"/>
          <w:szCs w:val="22"/>
        </w:rPr>
        <w:fldChar w:fldCharType="end"/>
      </w:r>
      <w:r>
        <w:rPr>
          <w:rFonts w:asciiTheme="minorHAnsi" w:hAnsiTheme="minorHAnsi" w:cstheme="minorHAnsi"/>
          <w:sz w:val="22"/>
          <w:szCs w:val="22"/>
        </w:rPr>
        <w:t>.</w:t>
      </w:r>
    </w:p>
    <w:p w14:paraId="4702543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Theme="minorHAnsi" w:hAnsiTheme="minorHAnsi" w:cstheme="minorHAnsi"/>
          <w:sz w:val="22"/>
          <w:szCs w:val="22"/>
        </w:rPr>
        <w:t>Instrução Normativa RFB n. 971, de 13 de novembro de 2009</w:t>
      </w:r>
      <w:r>
        <w:rPr>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3F66DB7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67FE3141">
      <w:pPr>
        <w:pStyle w:val="374"/>
      </w:pPr>
      <w:r>
        <w:t>Habilitação fiscal, social e trabalhista</w:t>
      </w:r>
    </w:p>
    <w:p w14:paraId="1DB4805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30ABD7B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B7EEF4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5FAE5D4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F3DF2A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Estadual e Municipal, relativo ao domicílio ou sede do fornecedor, pertinente ao seu ramo de atividade e compatível com o objeto contratual; </w:t>
      </w:r>
    </w:p>
    <w:p w14:paraId="46935D9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a Fazenda Estadual e Municipal, do domicílio ou sede do fornecedor, relativa à atividade em cujo exercício contrata ou concorre;</w:t>
      </w:r>
    </w:p>
    <w:p w14:paraId="1E7A510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55837E5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091BE2C">
      <w:pPr>
        <w:pStyle w:val="374"/>
      </w:pPr>
      <w:r>
        <w:t>Qualificação Econômico-Financeira</w:t>
      </w:r>
    </w:p>
    <w:p w14:paraId="6239622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Fonts w:asciiTheme="minorHAnsi" w:hAnsiTheme="minorHAnsi" w:cstheme="minorHAnsi"/>
          <w:sz w:val="22"/>
          <w:szCs w:val="22"/>
        </w:rPr>
        <w:t>Lei nº 14.133, de 2021, art. 69, caput, inciso II</w:t>
      </w:r>
      <w:r>
        <w:rPr>
          <w:rFonts w:asciiTheme="minorHAnsi" w:hAnsiTheme="minorHAnsi" w:cstheme="minorHAnsi"/>
          <w:sz w:val="22"/>
          <w:szCs w:val="22"/>
        </w:rPr>
        <w:fldChar w:fldCharType="end"/>
      </w:r>
      <w:r>
        <w:rPr>
          <w:rFonts w:asciiTheme="minorHAnsi" w:hAnsiTheme="minorHAnsi" w:cstheme="minorHAnsi"/>
          <w:sz w:val="22"/>
          <w:szCs w:val="22"/>
        </w:rPr>
        <w:t>);</w:t>
      </w:r>
    </w:p>
    <w:p w14:paraId="4E77F0B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6A59DE2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Índices de Liquidez Geral (LG), Liquidez Corrente (LC), e Solvência Geral (SG) superiores a 1 (um);</w:t>
      </w:r>
    </w:p>
    <w:p w14:paraId="14ABE02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w:t>
      </w:r>
    </w:p>
    <w:p w14:paraId="20C1E55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limitar-se-ão ao último exercício no caso de a pessoa jurídica ter sido constituída há menos de 2 (dois) anos;</w:t>
      </w:r>
    </w:p>
    <w:p w14:paraId="49874F6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deverão ser exigidos com base no limite definido pela Receita Federal do Brasil para transmissão da Escrituração Contábil Digital - ECD ao Sped.</w:t>
      </w:r>
    </w:p>
    <w:p w14:paraId="66FD3F3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 ou do item pertinente.</w:t>
      </w:r>
    </w:p>
    <w:p w14:paraId="1C6EE7F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65C4BC8D">
      <w:pPr>
        <w:pStyle w:val="374"/>
      </w:pPr>
      <w:r>
        <w:t>Qualificação Técnica</w:t>
      </w:r>
    </w:p>
    <w:p w14:paraId="4782494F">
      <w:pPr>
        <w:pStyle w:val="71"/>
        <w:widowControl w:val="0"/>
        <w:numPr>
          <w:ilvl w:val="1"/>
          <w:numId w:val="4"/>
        </w:numPr>
        <w:spacing w:line="360" w:lineRule="auto"/>
        <w:ind w:left="0" w:right="140" w:firstLine="0"/>
        <w:contextualSpacing/>
        <w:jc w:val="both"/>
        <w:rPr>
          <w:rFonts w:eastAsia="Arial" w:asciiTheme="minorHAnsi" w:hAnsiTheme="minorHAnsi" w:cstheme="minorHAnsi"/>
          <w:b/>
          <w:bCs/>
          <w:sz w:val="22"/>
          <w:szCs w:val="22"/>
        </w:rPr>
      </w:pPr>
      <w:r>
        <w:rPr>
          <w:rFonts w:asciiTheme="minorHAnsi" w:hAnsiTheme="minorHAnsi" w:cstheme="minorHAnsi"/>
          <w:b/>
          <w:sz w:val="22"/>
          <w:szCs w:val="22"/>
        </w:rPr>
        <w:t>Quanto</w:t>
      </w:r>
      <w:r>
        <w:rPr>
          <w:rFonts w:eastAsia="Arial" w:asciiTheme="minorHAnsi" w:hAnsiTheme="minorHAnsi" w:cstheme="minorHAnsi"/>
          <w:b/>
          <w:bCs/>
          <w:sz w:val="22"/>
          <w:szCs w:val="22"/>
        </w:rPr>
        <w:t xml:space="preserve"> à forma:</w:t>
      </w:r>
    </w:p>
    <w:p w14:paraId="6C433E9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6AC5912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materiais informativos utilizados para comprovar as especificações dos produtos cotados, que estejam impressos em idioma diverso do nacional, deverão ser apresentados com tradução para o português.</w:t>
      </w:r>
    </w:p>
    <w:p w14:paraId="385E851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distribuidoras devem se referir a cada marca/laboratório dos produtos cotados.</w:t>
      </w:r>
    </w:p>
    <w:p w14:paraId="1D23DFC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poderão ser apresentados em original, cópia autenticada ou cópia simples acompanhada do original, para que possa ser autenticada.</w:t>
      </w:r>
    </w:p>
    <w:p w14:paraId="044C9FC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meio de publicação no Diário Oficial deve(m), preferencialmente, destacar, com marca-texto, o(s) produto(s) cotado(s).</w:t>
      </w:r>
    </w:p>
    <w:p w14:paraId="0A9A378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registros ou publicações no DOU devem ser identificados com o número do item/lote a que se referem, a fim de facilitar o julgamento das Propostas de Preços.</w:t>
      </w:r>
    </w:p>
    <w:p w14:paraId="59515CF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Quando se fizer necessário, nos termos da Portaria nº 1818/97 do Ministério da Saúde, serão exigidos os originais ou cópias autenticadas dos protocolos dos métodos de controle de qualidade, Rede Brasileira de Laboratórios Analíticos em Saúde (REBLAS).</w:t>
      </w:r>
    </w:p>
    <w:p w14:paraId="2168FDB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 Quanto ao conteúdo, deverão ser apresentados:</w:t>
      </w:r>
    </w:p>
    <w:p w14:paraId="53D980D0">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Certificado de registro de cada produto no Ministério da Saúde, fornecido através do seu órgão competente, conforme o art. 7 do Decreto Federal nº 8077, ou publicação no D.O.U.</w:t>
      </w:r>
    </w:p>
    <w:p w14:paraId="5A2F7BA9">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6AA7E2E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45B88FF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Quando se fizer necessário, nos termos da Portaria nº 1818/97 do Ministério da Saúde, serão exigidos os originais ou cópias autenticadas dos protocolos dos métodos de controle de qualidade e Registro da ANVISA.</w:t>
      </w:r>
    </w:p>
    <w:p w14:paraId="54779440">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No caso de atividade de fabricação, importação ou distribuição de materiais para uso em saúde, deverá fornecer:</w:t>
      </w:r>
    </w:p>
    <w:p w14:paraId="0A7F4AD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50661F8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78D42B39">
      <w:pPr>
        <w:pStyle w:val="71"/>
        <w:widowControl w:val="0"/>
        <w:spacing w:line="360" w:lineRule="auto"/>
        <w:ind w:left="0" w:right="140"/>
        <w:jc w:val="both"/>
        <w:rPr>
          <w:rFonts w:asciiTheme="minorHAnsi" w:hAnsiTheme="minorHAnsi" w:cstheme="minorHAnsi"/>
          <w:b/>
          <w:sz w:val="22"/>
          <w:szCs w:val="22"/>
          <w:u w:val="single"/>
        </w:rPr>
      </w:pPr>
    </w:p>
    <w:p w14:paraId="7E8B17D9">
      <w:pPr>
        <w:pStyle w:val="71"/>
        <w:widowControl w:val="0"/>
        <w:spacing w:line="360" w:lineRule="auto"/>
        <w:ind w:left="0" w:right="140"/>
        <w:jc w:val="both"/>
        <w:rPr>
          <w:rFonts w:asciiTheme="minorHAnsi" w:hAnsiTheme="minorHAnsi" w:cstheme="minorHAnsi"/>
          <w:b/>
          <w:sz w:val="22"/>
          <w:szCs w:val="22"/>
          <w:u w:val="single"/>
        </w:rPr>
      </w:pPr>
    </w:p>
    <w:p w14:paraId="391EE0A2">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ESTIMATIVAS</w:t>
      </w:r>
      <w:r>
        <w:rPr>
          <w:rFonts w:asciiTheme="minorHAnsi" w:hAnsiTheme="minorHAnsi" w:cstheme="minorHAnsi"/>
          <w:color w:val="auto"/>
          <w:sz w:val="22"/>
          <w:szCs w:val="22"/>
        </w:rPr>
        <w:t xml:space="preserve"> DO VALOR DA CONTRATAÇÃO</w:t>
      </w:r>
    </w:p>
    <w:p w14:paraId="709C89F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custo estimado da contratação, que corresponde ao valor máximo aceitável, é de R$</w:t>
      </w:r>
      <w:r>
        <w:rPr>
          <w:rFonts w:asciiTheme="minorHAnsi" w:hAnsiTheme="minorHAnsi" w:cstheme="minorHAnsi"/>
          <w:b/>
          <w:bCs/>
          <w:sz w:val="22"/>
          <w:szCs w:val="22"/>
          <w:u w:val="single"/>
        </w:rPr>
        <w:t xml:space="preserve">            </w:t>
      </w:r>
      <w:r>
        <w:rPr>
          <w:rFonts w:eastAsia="Times New Roman" w:asciiTheme="minorHAnsi" w:hAnsiTheme="minorHAnsi" w:cstheme="minorHAnsi"/>
          <w:b/>
          <w:sz w:val="22"/>
          <w:szCs w:val="22"/>
          <w:u w:val="single"/>
        </w:rPr>
        <w:t xml:space="preserve"> 4.</w:t>
      </w:r>
      <w:r>
        <w:rPr>
          <w:rFonts w:hint="default" w:eastAsia="Times New Roman" w:asciiTheme="minorHAnsi" w:hAnsiTheme="minorHAnsi" w:cstheme="minorHAnsi"/>
          <w:b/>
          <w:sz w:val="22"/>
          <w:szCs w:val="22"/>
          <w:u w:val="single"/>
          <w:lang w:val="pt-BR"/>
        </w:rPr>
        <w:t>566.936,25</w:t>
      </w:r>
      <w:r>
        <w:rPr>
          <w:rFonts w:eastAsia="Times New Roman" w:asciiTheme="minorHAnsi" w:hAnsiTheme="minorHAnsi" w:cstheme="minorHAnsi"/>
          <w:b/>
          <w:sz w:val="22"/>
          <w:szCs w:val="22"/>
          <w:u w:val="single"/>
        </w:rPr>
        <w:t xml:space="preserve">  </w:t>
      </w:r>
      <w:r>
        <w:rPr>
          <w:rFonts w:eastAsia="Times New Roman" w:asciiTheme="minorHAnsi" w:hAnsiTheme="minorHAnsi" w:cstheme="minorHAnsi"/>
          <w:b/>
          <w:bCs/>
          <w:sz w:val="22"/>
          <w:szCs w:val="22"/>
          <w:u w:val="single"/>
        </w:rPr>
        <w:t xml:space="preserve">(quatro </w:t>
      </w:r>
      <w:r>
        <w:rPr>
          <w:rFonts w:eastAsia="Times New Roman" w:asciiTheme="minorHAnsi" w:hAnsiTheme="minorHAnsi" w:cstheme="minorHAnsi"/>
          <w:b/>
          <w:bCs/>
          <w:sz w:val="22"/>
          <w:szCs w:val="22"/>
          <w:u w:val="single"/>
          <w:lang w:val="pt-BR"/>
        </w:rPr>
        <w:t>milhões</w:t>
      </w:r>
      <w:r>
        <w:rPr>
          <w:rFonts w:eastAsia="Times New Roman" w:asciiTheme="minorHAnsi" w:hAnsiTheme="minorHAnsi" w:cstheme="minorHAnsi"/>
          <w:b/>
          <w:bCs/>
          <w:sz w:val="22"/>
          <w:szCs w:val="22"/>
          <w:u w:val="single"/>
        </w:rPr>
        <w:t xml:space="preserve"> </w:t>
      </w:r>
      <w:r>
        <w:rPr>
          <w:rFonts w:hint="default" w:eastAsia="Times New Roman" w:asciiTheme="minorHAnsi" w:hAnsiTheme="minorHAnsi" w:cstheme="minorHAnsi"/>
          <w:b/>
          <w:bCs/>
          <w:sz w:val="22"/>
          <w:szCs w:val="22"/>
          <w:u w:val="single"/>
          <w:lang w:val="pt-BR"/>
        </w:rPr>
        <w:t xml:space="preserve">quinhentos e sessenta e seis </w:t>
      </w:r>
      <w:r>
        <w:rPr>
          <w:rFonts w:eastAsia="Times New Roman" w:asciiTheme="minorHAnsi" w:hAnsiTheme="minorHAnsi" w:cstheme="minorHAnsi"/>
          <w:b/>
          <w:bCs/>
          <w:sz w:val="22"/>
          <w:szCs w:val="22"/>
          <w:u w:val="single"/>
        </w:rPr>
        <w:t xml:space="preserve"> mil e novecentos e </w:t>
      </w:r>
      <w:r>
        <w:rPr>
          <w:rFonts w:hint="default" w:eastAsia="Times New Roman" w:asciiTheme="minorHAnsi" w:hAnsiTheme="minorHAnsi" w:cstheme="minorHAnsi"/>
          <w:b/>
          <w:bCs/>
          <w:sz w:val="22"/>
          <w:szCs w:val="22"/>
          <w:u w:val="single"/>
          <w:lang w:val="pt-BR"/>
        </w:rPr>
        <w:t xml:space="preserve">trinta e seis </w:t>
      </w:r>
      <w:r>
        <w:rPr>
          <w:rFonts w:eastAsia="Times New Roman" w:asciiTheme="minorHAnsi" w:hAnsiTheme="minorHAnsi" w:cstheme="minorHAnsi"/>
          <w:b/>
          <w:bCs/>
          <w:sz w:val="22"/>
          <w:szCs w:val="22"/>
          <w:u w:val="single"/>
        </w:rPr>
        <w:t xml:space="preserve"> reais e </w:t>
      </w:r>
      <w:r>
        <w:rPr>
          <w:rFonts w:hint="default" w:eastAsia="Times New Roman" w:asciiTheme="minorHAnsi" w:hAnsiTheme="minorHAnsi" w:cstheme="minorHAnsi"/>
          <w:b/>
          <w:bCs/>
          <w:sz w:val="22"/>
          <w:szCs w:val="22"/>
          <w:u w:val="single"/>
          <w:lang w:val="pt-BR"/>
        </w:rPr>
        <w:t xml:space="preserve">vinte e </w:t>
      </w:r>
      <w:r>
        <w:rPr>
          <w:rFonts w:eastAsia="Times New Roman" w:asciiTheme="minorHAnsi" w:hAnsiTheme="minorHAnsi" w:cstheme="minorHAnsi"/>
          <w:b/>
          <w:bCs/>
          <w:sz w:val="22"/>
          <w:szCs w:val="22"/>
          <w:u w:val="single"/>
        </w:rPr>
        <w:t>cinco centavos)</w:t>
      </w:r>
      <w:r>
        <w:rPr>
          <w:rFonts w:asciiTheme="minorHAnsi" w:hAnsiTheme="minorHAnsi" w:cstheme="minorHAnsi"/>
          <w:b/>
          <w:sz w:val="22"/>
          <w:szCs w:val="22"/>
          <w:u w:val="single"/>
        </w:rPr>
        <w:t>, conforme custos unitários apostos na tabela contida no item1.1 acima.</w:t>
      </w:r>
      <w:bookmarkStart w:id="83" w:name="_GoBack"/>
      <w:bookmarkEnd w:id="83"/>
    </w:p>
    <w:p w14:paraId="406647F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2EE28F7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Para os itens 25, 27, 28, 32, 34, 37,  39, 40, 42, 43, 45, 49 e 52 , os valores encontram-se acima de R$ 80.000,00, não sendo aplicado o critério de exclusividade.</w:t>
      </w:r>
    </w:p>
    <w:p w14:paraId="44A59FF1">
      <w:pPr>
        <w:pStyle w:val="332"/>
        <w:numPr>
          <w:ilvl w:val="2"/>
          <w:numId w:val="4"/>
        </w:numPr>
        <w:tabs>
          <w:tab w:val="clear" w:pos="360"/>
        </w:tabs>
        <w:spacing w:line="360" w:lineRule="auto"/>
        <w:ind w:left="993"/>
        <w:rPr>
          <w:rFonts w:asciiTheme="minorHAnsi" w:hAnsiTheme="minorHAnsi" w:cstheme="minorHAnsi"/>
          <w:b/>
          <w:sz w:val="22"/>
          <w:szCs w:val="22"/>
          <w:u w:val="single"/>
        </w:rPr>
      </w:pPr>
      <w:r>
        <w:rPr>
          <w:rFonts w:asciiTheme="minorHAnsi" w:hAnsiTheme="minorHAnsi" w:cstheme="minorHAnsi"/>
          <w:b/>
          <w:sz w:val="22"/>
          <w:szCs w:val="22"/>
          <w:u w:val="single"/>
        </w:rPr>
        <w:t>Por determinação do Hospital Ana Nery, documento anexo aos autos, para os  itens 01 até 24, 26, 29 30, 31, 33, 35, 36, 38, 41, 44, 46, 47, 48, 50, 51, 53, 54 e 55, muito embora estejam abaixo de R$ 80.000,00 (oitenta mil reais) não será aplicado o critério de exclusividade, em atendimento ao Art. 49, III da Lei Complementar nº 123, de 2006, in verbis:</w:t>
      </w:r>
    </w:p>
    <w:p w14:paraId="20F5BBBE">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Art. 49. Não se aplica o disposto nos </w:t>
      </w:r>
      <w:r>
        <w:fldChar w:fldCharType="begin"/>
      </w:r>
      <w:r>
        <w:rPr>
          <w:rFonts w:asciiTheme="minorHAnsi" w:hAnsiTheme="minorHAnsi" w:cstheme="minorHAnsi"/>
          <w:sz w:val="22"/>
          <w:szCs w:val="22"/>
        </w:rPr>
        <w:instrText xml:space="preserve"> HYPERLINK "http://www.planalto.gov.br/ccivil_03/LEIS/LCP/Lcp123.htm" \l "art47" </w:instrText>
      </w:r>
      <w: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quando:</w:t>
      </w:r>
    </w:p>
    <w:p w14:paraId="0E301DAD">
      <w:pPr>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66EF2B6B">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0061A33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p>
    <w:p w14:paraId="3CBEDAF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00E3A7E8">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38AD0D2E">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criação, alteração ou extinção de quaisquer tributos ou encargos legais ou superveniência de disposições legais, com comprovada repercussão sobre os preços registrados;</w:t>
      </w:r>
    </w:p>
    <w:p w14:paraId="61DF6365">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serão reajustados os preços registrados, respeitada a contagem da anualidade e o índice previsto para a contratação; ou</w:t>
      </w:r>
    </w:p>
    <w:p w14:paraId="51F4FC25">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poderão ser repactuados, a pedido do interessado, conforme critérios definidos para a contratação.</w:t>
      </w:r>
    </w:p>
    <w:p w14:paraId="3E7A0B35">
      <w:pPr>
        <w:pStyle w:val="332"/>
        <w:spacing w:line="240" w:lineRule="auto"/>
        <w:ind w:left="929" w:firstLine="0"/>
        <w:rPr>
          <w:rFonts w:asciiTheme="minorHAnsi" w:hAnsiTheme="minorHAnsi" w:eastAsiaTheme="minorEastAsia" w:cstheme="minorHAnsi"/>
          <w:sz w:val="22"/>
          <w:szCs w:val="22"/>
        </w:rPr>
      </w:pPr>
    </w:p>
    <w:p w14:paraId="6B0CBC14">
      <w:pPr>
        <w:pStyle w:val="77"/>
        <w:numPr>
          <w:ilvl w:val="0"/>
          <w:numId w:val="4"/>
        </w:numPr>
        <w:tabs>
          <w:tab w:val="left" w:pos="284"/>
        </w:tabs>
        <w:spacing w:before="0" w:after="0" w:line="24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LEI</w:t>
      </w:r>
      <w:r>
        <w:rPr>
          <w:rFonts w:asciiTheme="minorHAnsi" w:hAnsiTheme="minorHAnsi" w:cstheme="minorHAnsi"/>
          <w:color w:val="auto"/>
          <w:sz w:val="22"/>
          <w:szCs w:val="22"/>
        </w:rPr>
        <w:t xml:space="preserve"> DE ACESSO À INFORMAÇÃO, Nº 12.527, DE 18 DE NOVEMBRO DE 2011</w:t>
      </w:r>
    </w:p>
    <w:p w14:paraId="62984493">
      <w:pPr>
        <w:pStyle w:val="71"/>
        <w:widowControl w:val="0"/>
        <w:numPr>
          <w:ilvl w:val="1"/>
          <w:numId w:val="4"/>
        </w:numPr>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Nos termos da Lei nº 12.527, de 18 de novembro de 2011, esta Equipe de Planejamento entende que: </w:t>
      </w:r>
    </w:p>
    <w:p w14:paraId="068B983E">
      <w:pPr>
        <w:pStyle w:val="71"/>
        <w:widowControl w:val="0"/>
        <w:numPr>
          <w:ilvl w:val="1"/>
          <w:numId w:val="4"/>
        </w:numPr>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345C3806">
      <w:pPr>
        <w:pStyle w:val="71"/>
        <w:widowControl w:val="0"/>
        <w:numPr>
          <w:ilvl w:val="1"/>
          <w:numId w:val="4"/>
        </w:numPr>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 As informações contidas no presente Termo de Referência ASSUMEM CARÁTER SIGILOSO, nos termos do art. 23 da Lei nº 12.527/2011, e, portanto, deverão ter acesso restrito.</w:t>
      </w:r>
    </w:p>
    <w:p w14:paraId="50DE0C2E">
      <w:pPr>
        <w:pStyle w:val="370"/>
        <w:numPr>
          <w:ilvl w:val="0"/>
          <w:numId w:val="0"/>
        </w:numPr>
        <w:spacing w:line="240" w:lineRule="auto"/>
        <w:rPr>
          <w:rFonts w:asciiTheme="minorHAnsi" w:hAnsiTheme="minorHAnsi" w:cstheme="minorHAnsi"/>
          <w:color w:val="auto"/>
          <w:sz w:val="22"/>
          <w:szCs w:val="22"/>
        </w:rPr>
      </w:pPr>
    </w:p>
    <w:p w14:paraId="71861DEB">
      <w:pPr>
        <w:pStyle w:val="77"/>
        <w:numPr>
          <w:ilvl w:val="0"/>
          <w:numId w:val="4"/>
        </w:numPr>
        <w:tabs>
          <w:tab w:val="left" w:pos="284"/>
        </w:tabs>
        <w:spacing w:before="0" w:after="0" w:line="24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ADEQUAÇÃO</w:t>
      </w:r>
      <w:r>
        <w:rPr>
          <w:rFonts w:asciiTheme="minorHAnsi" w:hAnsiTheme="minorHAnsi" w:cstheme="minorHAnsi"/>
          <w:color w:val="auto"/>
          <w:sz w:val="22"/>
          <w:szCs w:val="22"/>
        </w:rPr>
        <w:t xml:space="preserve"> ORÇAMENTÁRIA</w:t>
      </w:r>
    </w:p>
    <w:p w14:paraId="4136BF13">
      <w:pPr>
        <w:pStyle w:val="71"/>
        <w:widowControl w:val="0"/>
        <w:numPr>
          <w:ilvl w:val="1"/>
          <w:numId w:val="4"/>
        </w:numPr>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As despesas decorrentes da presente contratação correrão à conta de recursos específicos consignados no Orçamento Geral da União.</w:t>
      </w:r>
      <w:bookmarkEnd w:id="59"/>
    </w:p>
    <w:p w14:paraId="6C4D1BBC">
      <w:pPr>
        <w:pStyle w:val="82"/>
        <w:spacing w:line="240" w:lineRule="auto"/>
        <w:rPr>
          <w:rFonts w:asciiTheme="minorHAnsi" w:hAnsiTheme="minorHAnsi" w:cstheme="minorHAnsi"/>
          <w:sz w:val="22"/>
          <w:szCs w:val="22"/>
        </w:rPr>
      </w:pPr>
    </w:p>
    <w:p w14:paraId="652DE159">
      <w:pPr>
        <w:ind w:right="140"/>
        <w:jc w:val="both"/>
        <w:rPr>
          <w:rFonts w:asciiTheme="minorHAnsi" w:hAnsiTheme="minorHAnsi" w:cstheme="minorHAnsi"/>
          <w:sz w:val="22"/>
          <w:szCs w:val="22"/>
        </w:rPr>
      </w:pPr>
      <w:r>
        <w:rPr>
          <w:rFonts w:asciiTheme="minorHAnsi" w:hAnsiTheme="minorHAnsi" w:cstheme="minorHAnsi"/>
          <w:sz w:val="22"/>
          <w:szCs w:val="22"/>
        </w:rPr>
        <w:t>Salvador, 30 de maio de 2025.</w:t>
      </w:r>
    </w:p>
    <w:p w14:paraId="2C2AFC75">
      <w:pPr>
        <w:ind w:right="140"/>
        <w:jc w:val="both"/>
        <w:rPr>
          <w:rFonts w:asciiTheme="minorHAnsi" w:hAnsiTheme="minorHAnsi" w:cstheme="minorHAnsi"/>
          <w:sz w:val="22"/>
          <w:szCs w:val="22"/>
        </w:rPr>
      </w:pPr>
      <w:r>
        <w:rPr>
          <w:rFonts w:asciiTheme="minorHAnsi" w:hAnsiTheme="minorHAnsi" w:cstheme="minorHAnsi"/>
          <w:sz w:val="22"/>
          <w:szCs w:val="22"/>
        </w:rPr>
        <w:t>Solicitado por:</w:t>
      </w:r>
    </w:p>
    <w:p w14:paraId="0823E847">
      <w:pPr>
        <w:ind w:right="140"/>
        <w:jc w:val="both"/>
        <w:rPr>
          <w:rFonts w:asciiTheme="minorHAnsi" w:hAnsiTheme="minorHAnsi" w:cstheme="minorHAnsi"/>
          <w:b/>
          <w:sz w:val="22"/>
          <w:szCs w:val="22"/>
        </w:rPr>
      </w:pPr>
    </w:p>
    <w:p w14:paraId="6492A21D">
      <w:pPr>
        <w:ind w:right="140"/>
        <w:jc w:val="both"/>
        <w:rPr>
          <w:rFonts w:asciiTheme="minorHAnsi" w:hAnsiTheme="minorHAnsi" w:cstheme="minorHAnsi"/>
          <w:b/>
          <w:sz w:val="22"/>
          <w:szCs w:val="22"/>
        </w:rPr>
      </w:pPr>
    </w:p>
    <w:p w14:paraId="686226D2">
      <w:pPr>
        <w:tabs>
          <w:tab w:val="left" w:pos="0"/>
        </w:tabs>
        <w:ind w:right="140"/>
        <w:rPr>
          <w:rFonts w:asciiTheme="minorHAnsi" w:hAnsiTheme="minorHAnsi" w:cstheme="minorHAnsi"/>
          <w:b/>
          <w:bCs/>
          <w:sz w:val="22"/>
          <w:szCs w:val="22"/>
        </w:rPr>
      </w:pPr>
    </w:p>
    <w:p w14:paraId="187842E6">
      <w:pPr>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58AB27A7">
      <w:pPr>
        <w:tabs>
          <w:tab w:val="left" w:pos="0"/>
        </w:tabs>
        <w:ind w:right="140"/>
        <w:jc w:val="center"/>
        <w:rPr>
          <w:rFonts w:asciiTheme="minorHAnsi" w:hAnsiTheme="minorHAnsi" w:cstheme="minorHAnsi"/>
          <w:b/>
          <w:sz w:val="22"/>
          <w:szCs w:val="22"/>
        </w:rPr>
      </w:pPr>
      <w:r>
        <w:rPr>
          <w:rFonts w:asciiTheme="minorHAnsi" w:hAnsiTheme="minorHAnsi" w:cstheme="minorHAnsi"/>
          <w:b/>
          <w:sz w:val="22"/>
          <w:szCs w:val="22"/>
        </w:rPr>
        <w:t xml:space="preserve">Luciano Pacheco </w:t>
      </w:r>
    </w:p>
    <w:p w14:paraId="391D110D">
      <w:pPr>
        <w:tabs>
          <w:tab w:val="left" w:pos="0"/>
        </w:tabs>
        <w:ind w:right="140"/>
        <w:jc w:val="center"/>
        <w:rPr>
          <w:rFonts w:asciiTheme="minorHAnsi" w:hAnsiTheme="minorHAnsi" w:cstheme="minorHAnsi"/>
          <w:b/>
          <w:sz w:val="22"/>
          <w:szCs w:val="22"/>
        </w:rPr>
      </w:pPr>
      <w:r>
        <w:rPr>
          <w:rFonts w:asciiTheme="minorHAnsi" w:hAnsiTheme="minorHAnsi" w:cstheme="minorHAnsi"/>
          <w:b/>
          <w:sz w:val="22"/>
          <w:szCs w:val="22"/>
        </w:rPr>
        <w:t>Coordenador de Farmácia / HAN</w:t>
      </w:r>
    </w:p>
    <w:p w14:paraId="2B240254">
      <w:pPr>
        <w:ind w:right="140"/>
        <w:rPr>
          <w:rFonts w:asciiTheme="minorHAnsi" w:hAnsiTheme="minorHAnsi" w:cstheme="minorHAnsi"/>
          <w:b/>
          <w:sz w:val="22"/>
          <w:szCs w:val="22"/>
        </w:rPr>
      </w:pPr>
    </w:p>
    <w:p w14:paraId="1F7A2BDB">
      <w:pPr>
        <w:ind w:right="140"/>
        <w:jc w:val="center"/>
        <w:rPr>
          <w:rFonts w:asciiTheme="minorHAnsi" w:hAnsiTheme="minorHAnsi" w:cstheme="minorHAnsi"/>
          <w:b/>
          <w:sz w:val="22"/>
          <w:szCs w:val="22"/>
        </w:rPr>
      </w:pPr>
    </w:p>
    <w:p w14:paraId="2CF13425">
      <w:pPr>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3C6A4323">
      <w:pPr>
        <w:tabs>
          <w:tab w:val="left" w:pos="0"/>
        </w:tabs>
        <w:ind w:right="140"/>
        <w:jc w:val="center"/>
        <w:rPr>
          <w:rFonts w:asciiTheme="minorHAnsi" w:hAnsiTheme="minorHAnsi" w:cstheme="minorHAnsi"/>
          <w:b/>
          <w:sz w:val="22"/>
          <w:szCs w:val="22"/>
        </w:rPr>
      </w:pPr>
      <w:r>
        <w:rPr>
          <w:rFonts w:asciiTheme="minorHAnsi" w:hAnsiTheme="minorHAnsi" w:cstheme="minorHAnsi"/>
          <w:b/>
          <w:sz w:val="22"/>
          <w:szCs w:val="22"/>
        </w:rPr>
        <w:t>Jefferson Oliveira</w:t>
      </w:r>
    </w:p>
    <w:p w14:paraId="539E6B6F">
      <w:pPr>
        <w:tabs>
          <w:tab w:val="left" w:pos="0"/>
        </w:tabs>
        <w:ind w:right="140"/>
        <w:jc w:val="center"/>
        <w:rPr>
          <w:rFonts w:asciiTheme="minorHAnsi" w:hAnsiTheme="minorHAnsi" w:cstheme="minorHAnsi"/>
          <w:b/>
          <w:sz w:val="22"/>
          <w:szCs w:val="22"/>
        </w:rPr>
      </w:pPr>
      <w:r>
        <w:rPr>
          <w:rFonts w:asciiTheme="minorHAnsi" w:hAnsiTheme="minorHAnsi" w:cstheme="minorHAnsi"/>
          <w:b/>
          <w:sz w:val="22"/>
          <w:szCs w:val="22"/>
        </w:rPr>
        <w:t>Gerente de Suprimentos/HAN</w:t>
      </w:r>
    </w:p>
    <w:p w14:paraId="7F8C535E">
      <w:pPr>
        <w:tabs>
          <w:tab w:val="left" w:pos="0"/>
        </w:tabs>
        <w:ind w:right="140"/>
        <w:jc w:val="center"/>
        <w:rPr>
          <w:rFonts w:asciiTheme="minorHAnsi" w:hAnsiTheme="minorHAnsi" w:cstheme="minorHAnsi"/>
          <w:b/>
          <w:sz w:val="22"/>
          <w:szCs w:val="22"/>
        </w:rPr>
      </w:pPr>
    </w:p>
    <w:p w14:paraId="45673961">
      <w:pPr>
        <w:tabs>
          <w:tab w:val="left" w:pos="0"/>
        </w:tabs>
        <w:ind w:right="140"/>
        <w:jc w:val="center"/>
        <w:rPr>
          <w:rFonts w:asciiTheme="minorHAnsi" w:hAnsiTheme="minorHAnsi" w:cstheme="minorHAnsi"/>
          <w:b/>
          <w:sz w:val="22"/>
          <w:szCs w:val="22"/>
        </w:rPr>
      </w:pPr>
    </w:p>
    <w:p w14:paraId="24111E60">
      <w:pPr>
        <w:ind w:right="140"/>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3FC6FE13">
      <w:pPr>
        <w:autoSpaceDE w:val="0"/>
        <w:autoSpaceDN w:val="0"/>
        <w:adjustRightInd w:val="0"/>
        <w:ind w:right="140"/>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500DF764">
      <w:pPr>
        <w:autoSpaceDE w:val="0"/>
        <w:autoSpaceDN w:val="0"/>
        <w:adjustRightInd w:val="0"/>
        <w:ind w:right="140"/>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42D8A506">
      <w:pPr>
        <w:autoSpaceDE w:val="0"/>
        <w:autoSpaceDN w:val="0"/>
        <w:adjustRightInd w:val="0"/>
        <w:ind w:right="140"/>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0C3FAE06">
      <w:pPr>
        <w:autoSpaceDE w:val="0"/>
        <w:autoSpaceDN w:val="0"/>
        <w:adjustRightInd w:val="0"/>
        <w:ind w:right="140"/>
        <w:jc w:val="center"/>
        <w:rPr>
          <w:rFonts w:asciiTheme="minorHAnsi" w:hAnsiTheme="minorHAnsi" w:cstheme="minorHAnsi"/>
          <w:sz w:val="22"/>
          <w:szCs w:val="22"/>
        </w:rPr>
      </w:pPr>
      <w:r>
        <w:rPr>
          <w:rFonts w:asciiTheme="minorHAnsi" w:hAnsiTheme="minorHAnsi" w:cstheme="minorHAnsi"/>
          <w:sz w:val="22"/>
          <w:szCs w:val="22"/>
        </w:rPr>
        <w:t>Diretor Geral – HAN</w:t>
      </w:r>
    </w:p>
    <w:p w14:paraId="0203E3AA">
      <w:pPr>
        <w:ind w:right="140"/>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3D58E24D">
      <w:pPr>
        <w:spacing w:line="360" w:lineRule="auto"/>
        <w:ind w:left="284"/>
        <w:jc w:val="center"/>
        <w:rPr>
          <w:rFonts w:asciiTheme="minorHAnsi" w:hAnsiTheme="minorHAnsi" w:cstheme="minorHAnsi"/>
          <w:b/>
          <w:sz w:val="22"/>
          <w:szCs w:val="22"/>
          <w:u w:val="single"/>
        </w:rPr>
      </w:pPr>
    </w:p>
    <w:p w14:paraId="6481D375">
      <w:pPr>
        <w:spacing w:line="360" w:lineRule="auto"/>
        <w:ind w:left="284"/>
        <w:jc w:val="center"/>
        <w:rPr>
          <w:rFonts w:asciiTheme="minorHAnsi" w:hAnsiTheme="minorHAnsi" w:cstheme="minorHAnsi"/>
          <w:b/>
          <w:sz w:val="22"/>
          <w:szCs w:val="22"/>
          <w:u w:val="single"/>
        </w:rPr>
      </w:pPr>
    </w:p>
    <w:p w14:paraId="4F3C33FD">
      <w:pPr>
        <w:spacing w:line="360" w:lineRule="auto"/>
        <w:ind w:left="284"/>
        <w:jc w:val="center"/>
        <w:rPr>
          <w:rFonts w:asciiTheme="minorHAnsi" w:hAnsiTheme="minorHAnsi" w:cstheme="minorHAnsi"/>
          <w:b/>
          <w:sz w:val="22"/>
          <w:szCs w:val="22"/>
          <w:u w:val="single"/>
        </w:rPr>
      </w:pPr>
    </w:p>
    <w:p w14:paraId="3D48F8F6">
      <w:pPr>
        <w:spacing w:line="360" w:lineRule="auto"/>
        <w:ind w:left="284"/>
        <w:jc w:val="center"/>
        <w:rPr>
          <w:rFonts w:asciiTheme="minorHAnsi" w:hAnsiTheme="minorHAnsi" w:cstheme="minorHAnsi"/>
          <w:b/>
          <w:sz w:val="22"/>
          <w:szCs w:val="22"/>
          <w:u w:val="single"/>
        </w:rPr>
      </w:pPr>
    </w:p>
    <w:p w14:paraId="62D6543E">
      <w:pPr>
        <w:spacing w:line="360" w:lineRule="auto"/>
        <w:ind w:left="284"/>
        <w:jc w:val="center"/>
        <w:rPr>
          <w:rFonts w:asciiTheme="minorHAnsi" w:hAnsiTheme="minorHAnsi" w:cstheme="minorHAnsi"/>
          <w:b/>
          <w:sz w:val="22"/>
          <w:szCs w:val="22"/>
          <w:u w:val="single"/>
        </w:rPr>
      </w:pPr>
    </w:p>
    <w:p w14:paraId="685C1656">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w:t>
      </w: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90054/2025</w:t>
      </w:r>
    </w:p>
    <w:p w14:paraId="20052565">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PROCESSO Nº 23066.025834/2025-25</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spacing w:line="360" w:lineRule="auto"/>
        <w:ind w:left="284"/>
        <w:jc w:val="both"/>
        <w:rPr>
          <w:rFonts w:asciiTheme="minorHAnsi" w:hAnsiTheme="minorHAnsi" w:cstheme="minorHAnsi"/>
          <w:b/>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90054/2025</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nº 23066.025834/2025-25</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30F9294B">
      <w:pPr>
        <w:pStyle w:val="71"/>
        <w:numPr>
          <w:ilvl w:val="0"/>
          <w:numId w:val="7"/>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7"/>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b/>
          <w:bCs/>
          <w:sz w:val="22"/>
          <w:szCs w:val="22"/>
          <w:u w:val="single"/>
        </w:rPr>
        <w:t>MEDICAMENTOS, visando atender as necessidades do Hospital Ana Nery, Hospital Universitário Professor Edgard Santos – HUPES e Hospital de Medicina Veterinária Renato Rodemburg de Medeiros Neto, Unidade integrante do Complexo Hospitalar e de Saúde/UFBA, pelo período de 12 (doze) meses</w:t>
      </w:r>
      <w:r>
        <w:rPr>
          <w:rFonts w:asciiTheme="minorHAnsi" w:hAnsiTheme="minorHAnsi" w:cstheme="minorHAnsi"/>
          <w:sz w:val="22"/>
          <w:szCs w:val="22"/>
        </w:rPr>
        <w:t xml:space="preserve">, especificado (s) no(s) item (ns).......... do Termo de Referência, Anexo I do Edital de Licitação Pregão Eletrônico nº </w:t>
      </w:r>
      <w:r>
        <w:rPr>
          <w:rFonts w:asciiTheme="minorHAnsi" w:hAnsiTheme="minorHAnsi" w:cstheme="minorHAnsi"/>
          <w:b/>
          <w:sz w:val="22"/>
          <w:szCs w:val="22"/>
        </w:rPr>
        <w:t>90054/2025</w:t>
      </w:r>
      <w:r>
        <w:rPr>
          <w:rFonts w:asciiTheme="minorHAnsi" w:hAnsiTheme="minorHAnsi" w:cstheme="minorHAnsi"/>
          <w:sz w:val="22"/>
          <w:szCs w:val="22"/>
        </w:rPr>
        <w:t>, que é parte integrante desta Ata, assim como a proposta vencedora, independentemente de transcrição.</w:t>
      </w:r>
    </w:p>
    <w:p w14:paraId="32D21A48">
      <w:pPr>
        <w:widowControl w:val="0"/>
        <w:suppressAutoHyphens/>
        <w:spacing w:line="360" w:lineRule="auto"/>
        <w:ind w:left="284"/>
        <w:jc w:val="both"/>
        <w:rPr>
          <w:rFonts w:asciiTheme="minorHAnsi" w:hAnsiTheme="minorHAnsi" w:cstheme="minorHAnsi"/>
          <w:sz w:val="22"/>
          <w:szCs w:val="22"/>
        </w:rPr>
      </w:pPr>
    </w:p>
    <w:p w14:paraId="34EE0D13">
      <w:pPr>
        <w:pStyle w:val="71"/>
        <w:numPr>
          <w:ilvl w:val="0"/>
          <w:numId w:val="8"/>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8"/>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8"/>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2"/>
        <w:widowControl w:val="0"/>
        <w:numPr>
          <w:ilvl w:val="1"/>
          <w:numId w:val="9"/>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71" w:name="cadastro_reserva"/>
      <w:bookmarkEnd w:id="71"/>
    </w:p>
    <w:p w14:paraId="1F6C903C">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2" w:name="habilitacao_reserva"/>
      <w:bookmarkEnd w:id="72"/>
    </w:p>
    <w:p w14:paraId="381EBF33">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2"/>
        <w:numPr>
          <w:ilvl w:val="1"/>
          <w:numId w:val="9"/>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2"/>
        <w:numPr>
          <w:ilvl w:val="1"/>
          <w:numId w:val="9"/>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3" w:name="recusa_dos_que_baixaram_preco"/>
      <w:bookmarkEnd w:id="73"/>
    </w:p>
    <w:p w14:paraId="664AF7EA">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9"/>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7FA92F1">
      <w:pPr>
        <w:pStyle w:val="71"/>
        <w:numPr>
          <w:ilvl w:val="1"/>
          <w:numId w:val="9"/>
        </w:numPr>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Após o interregno de um ano, caso tenha prorrogação da ata de registro de preços,  independentemente de pedido do licitante, os preços iniciais</w:t>
      </w:r>
      <w:r>
        <w:rPr>
          <w:rFonts w:asciiTheme="minorHAnsi" w:hAnsiTheme="minorHAnsi" w:cstheme="minorHAnsi"/>
          <w:sz w:val="22"/>
          <w:szCs w:val="22"/>
        </w:rPr>
        <w:br w:type="textWrapping"/>
      </w:r>
      <w:r>
        <w:rPr>
          <w:rFonts w:asciiTheme="minorHAnsi" w:hAnsiTheme="minorHAnsi" w:cstheme="minorHAnsi"/>
          <w:sz w:val="22"/>
          <w:szCs w:val="22"/>
        </w:rPr>
        <w:t>serão reajustados, mediante a aplicação do índice INPC, IGPM, OU outros que</w:t>
      </w:r>
      <w:r>
        <w:rPr>
          <w:rFonts w:asciiTheme="minorHAnsi" w:hAnsiTheme="minorHAnsi" w:cstheme="minorHAnsi"/>
          <w:sz w:val="22"/>
          <w:szCs w:val="22"/>
        </w:rPr>
        <w:br w:type="textWrapping"/>
      </w:r>
      <w:r>
        <w:rPr>
          <w:rFonts w:asciiTheme="minorHAnsi" w:hAnsiTheme="minorHAnsi" w:cstheme="minorHAnsi"/>
          <w:sz w:val="22"/>
          <w:szCs w:val="22"/>
        </w:rPr>
        <w:t>melhor atenderem a Administração Pública.</w:t>
      </w:r>
    </w:p>
    <w:p w14:paraId="491463A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9"/>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12D2B06D">
      <w:pPr>
        <w:pStyle w:val="366"/>
        <w:numPr>
          <w:ilvl w:val="0"/>
          <w:numId w:val="9"/>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4" w:name="reducao_preco_mercado_negociacao_frustra"/>
      <w:bookmarkEnd w:id="74"/>
    </w:p>
    <w:p w14:paraId="7F15A136">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5" w:name="hipotese_preco_mercado_maior"/>
      <w:bookmarkEnd w:id="75"/>
    </w:p>
    <w:p w14:paraId="70B39E12">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6" w:name="prova_preco_mercado_maior"/>
      <w:bookmarkEnd w:id="76"/>
    </w:p>
    <w:p w14:paraId="35C40543">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7" w:name="nao_comprovacao_majoracao_mercado"/>
      <w:bookmarkEnd w:id="77"/>
    </w:p>
    <w:p w14:paraId="3C0AA465">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8" w:name="majora_preco_mercado_negociacao_frustra"/>
      <w:bookmarkEnd w:id="78"/>
    </w:p>
    <w:p w14:paraId="77B51C7B">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7"/>
        <w:numPr>
          <w:ilvl w:val="2"/>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7"/>
        <w:numPr>
          <w:ilvl w:val="0"/>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9" w:name="gerenciador_estimador_é_partic_em_remane"/>
      <w:bookmarkEnd w:id="79"/>
    </w:p>
    <w:p w14:paraId="0F73022C">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2"/>
        <w:autoSpaceDE w:val="0"/>
        <w:autoSpaceDN w:val="0"/>
        <w:adjustRightInd w:val="0"/>
        <w:spacing w:line="240" w:lineRule="auto"/>
        <w:ind w:left="284"/>
        <w:rPr>
          <w:rFonts w:asciiTheme="minorHAnsi" w:hAnsiTheme="minorHAnsi" w:cstheme="minorHAnsi"/>
          <w:sz w:val="22"/>
          <w:szCs w:val="22"/>
        </w:rPr>
      </w:pPr>
    </w:p>
    <w:p w14:paraId="782B60E0">
      <w:pPr>
        <w:pStyle w:val="82"/>
        <w:numPr>
          <w:ilvl w:val="0"/>
          <w:numId w:val="9"/>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80" w:name="cancelamento"/>
      <w:bookmarkEnd w:id="80"/>
    </w:p>
    <w:p w14:paraId="3330636B">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81" w:name="cancelamento_do_fornecedor"/>
      <w:bookmarkEnd w:id="81"/>
    </w:p>
    <w:p w14:paraId="6262C507">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6"/>
        <w:numPr>
          <w:ilvl w:val="3"/>
          <w:numId w:val="9"/>
        </w:numPr>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2"/>
        <w:numPr>
          <w:ilvl w:val="1"/>
          <w:numId w:val="9"/>
        </w:numPr>
        <w:tabs>
          <w:tab w:val="left" w:pos="426"/>
        </w:tabs>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9"/>
        </w:numPr>
        <w:tabs>
          <w:tab w:val="left" w:pos="426"/>
        </w:tabs>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2" w:name="cancelamento_da_ata"/>
      <w:bookmarkEnd w:id="82"/>
      <w:r>
        <w:rPr>
          <w:rFonts w:asciiTheme="minorHAnsi" w:hAnsiTheme="minorHAnsi" w:cstheme="minorHAnsi"/>
          <w:sz w:val="22"/>
          <w:szCs w:val="22"/>
        </w:rPr>
        <w:t xml:space="preserve"> </w:t>
      </w:r>
    </w:p>
    <w:p w14:paraId="281E7941">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240" w:lineRule="auto"/>
        <w:ind w:left="284"/>
        <w:rPr>
          <w:rFonts w:asciiTheme="minorHAnsi" w:hAnsiTheme="minorHAnsi" w:cstheme="minorHAnsi"/>
          <w:color w:val="auto"/>
          <w:sz w:val="22"/>
          <w:szCs w:val="22"/>
        </w:rPr>
      </w:pPr>
    </w:p>
    <w:p w14:paraId="320703EB">
      <w:pPr>
        <w:pStyle w:val="367"/>
        <w:numPr>
          <w:ilvl w:val="0"/>
          <w:numId w:val="9"/>
        </w:numPr>
        <w:tabs>
          <w:tab w:val="left" w:pos="851"/>
        </w:tabs>
        <w:spacing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7"/>
        <w:numPr>
          <w:ilvl w:val="2"/>
          <w:numId w:val="9"/>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957F99C">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20C59335">
      <w:pPr>
        <w:pStyle w:val="82"/>
        <w:autoSpaceDE w:val="0"/>
        <w:autoSpaceDN w:val="0"/>
        <w:adjustRightInd w:val="0"/>
        <w:spacing w:line="240" w:lineRule="auto"/>
        <w:ind w:left="284"/>
        <w:rPr>
          <w:rFonts w:asciiTheme="minorHAnsi" w:hAnsiTheme="minorHAnsi" w:cstheme="minorHAnsi"/>
          <w:sz w:val="22"/>
          <w:szCs w:val="22"/>
        </w:rPr>
      </w:pPr>
    </w:p>
    <w:p w14:paraId="61BA55B0">
      <w:pPr>
        <w:pStyle w:val="82"/>
        <w:numPr>
          <w:ilvl w:val="0"/>
          <w:numId w:val="9"/>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1A8907FA">
      <w:pPr>
        <w:ind w:left="284"/>
        <w:jc w:val="both"/>
        <w:rPr>
          <w:rFonts w:asciiTheme="minorHAnsi" w:hAnsiTheme="minorHAnsi" w:cstheme="minorHAnsi"/>
          <w:b/>
          <w:color w:val="000000"/>
          <w:sz w:val="22"/>
          <w:szCs w:val="22"/>
          <w:u w:val="single"/>
        </w:rPr>
      </w:pPr>
      <w:r>
        <w:rPr>
          <w:rFonts w:asciiTheme="minorHAnsi" w:hAnsiTheme="minorHAnsi" w:cstheme="minorHAnsi"/>
          <w:sz w:val="22"/>
          <w:szCs w:val="22"/>
        </w:rPr>
        <w:t>Representante da Empresa</w:t>
      </w:r>
    </w:p>
    <w:p w14:paraId="226C3C2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7A2AA7">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5FCB083">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4066A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9184BFE">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439A9A5">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30D56760">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228ACFD">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Seguindo a ordem de classificação, segue relação de fornecedores que </w:t>
      </w:r>
    </w:p>
    <w:p w14:paraId="6C7E92B3">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34"/>
        <w:gridCol w:w="1134"/>
        <w:gridCol w:w="850"/>
        <w:gridCol w:w="993"/>
        <w:gridCol w:w="992"/>
        <w:gridCol w:w="850"/>
        <w:gridCol w:w="1465"/>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34"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Marca</w:t>
            </w:r>
          </w:p>
          <w:p w14:paraId="14143C08">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exigida no edital)</w:t>
            </w:r>
          </w:p>
        </w:tc>
        <w:tc>
          <w:tcPr>
            <w:tcW w:w="1134"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Modelo</w:t>
            </w:r>
          </w:p>
          <w:p w14:paraId="79B451AA">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exigido no edital)</w:t>
            </w:r>
          </w:p>
        </w:tc>
        <w:tc>
          <w:tcPr>
            <w:tcW w:w="850"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9"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12"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09"/>
        <w:gridCol w:w="1159"/>
        <w:gridCol w:w="850"/>
        <w:gridCol w:w="993"/>
        <w:gridCol w:w="992"/>
        <w:gridCol w:w="850"/>
        <w:gridCol w:w="1465"/>
      </w:tblGrid>
      <w:tr w14:paraId="69BF58E1">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09"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Marca</w:t>
            </w:r>
          </w:p>
          <w:p w14:paraId="6B1A8963">
            <w:pPr>
              <w:widowControl w:val="0"/>
              <w:autoSpaceDE w:val="0"/>
              <w:autoSpaceDN w:val="0"/>
              <w:adjustRightInd w:val="0"/>
              <w:spacing w:line="360" w:lineRule="auto"/>
              <w:ind w:left="-10" w:right="-30"/>
              <w:jc w:val="center"/>
              <w:rPr>
                <w:rFonts w:asciiTheme="minorHAnsi" w:hAnsiTheme="minorHAnsi" w:cstheme="minorHAnsi"/>
                <w:sz w:val="22"/>
                <w:szCs w:val="22"/>
              </w:rPr>
            </w:pPr>
            <w:r>
              <w:rPr>
                <w:rFonts w:asciiTheme="minorHAnsi" w:hAnsiTheme="minorHAnsi" w:cstheme="minorHAnsi"/>
                <w:sz w:val="22"/>
                <w:szCs w:val="22"/>
              </w:rPr>
              <w:t>(se exigida no edital)</w:t>
            </w:r>
          </w:p>
        </w:tc>
        <w:tc>
          <w:tcPr>
            <w:tcW w:w="1159"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Modelo</w:t>
            </w:r>
          </w:p>
          <w:p w14:paraId="7A22A70F">
            <w:pPr>
              <w:widowControl w:val="0"/>
              <w:autoSpaceDE w:val="0"/>
              <w:autoSpaceDN w:val="0"/>
              <w:adjustRightInd w:val="0"/>
              <w:spacing w:line="360" w:lineRule="auto"/>
              <w:ind w:left="14" w:right="-30"/>
              <w:jc w:val="center"/>
              <w:rPr>
                <w:rFonts w:asciiTheme="minorHAnsi" w:hAnsiTheme="minorHAnsi" w:cstheme="minorHAnsi"/>
                <w:sz w:val="22"/>
                <w:szCs w:val="22"/>
              </w:rPr>
            </w:pPr>
            <w:r>
              <w:rPr>
                <w:rFonts w:asciiTheme="minorHAnsi" w:hAnsiTheme="minorHAnsi" w:cstheme="minorHAnsi"/>
                <w:sz w:val="22"/>
                <w:szCs w:val="22"/>
              </w:rPr>
              <w:t>(se exigido no edital)</w:t>
            </w:r>
          </w:p>
        </w:tc>
        <w:tc>
          <w:tcPr>
            <w:tcW w:w="850"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09"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59"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492B24B3">
      <w:pPr>
        <w:spacing w:line="360" w:lineRule="auto"/>
        <w:ind w:left="284"/>
        <w:jc w:val="center"/>
        <w:rPr>
          <w:rFonts w:asciiTheme="minorHAnsi" w:hAnsiTheme="minorHAnsi" w:cstheme="minorHAnsi"/>
          <w:b/>
          <w:sz w:val="22"/>
          <w:szCs w:val="22"/>
          <w:u w:val="single"/>
        </w:rPr>
      </w:pPr>
    </w:p>
    <w:p w14:paraId="3F0A8403">
      <w:pPr>
        <w:spacing w:line="360" w:lineRule="auto"/>
        <w:ind w:left="284"/>
        <w:jc w:val="center"/>
        <w:rPr>
          <w:rFonts w:asciiTheme="minorHAnsi" w:hAnsiTheme="minorHAnsi" w:cstheme="minorHAnsi"/>
          <w:b/>
          <w:sz w:val="22"/>
          <w:szCs w:val="22"/>
          <w:u w:val="single"/>
        </w:rPr>
      </w:pPr>
    </w:p>
    <w:p w14:paraId="258EC76F">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90054/2025</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10"/>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0A31420D">
      <w:pPr>
        <w:tabs>
          <w:tab w:val="left" w:pos="709"/>
        </w:tabs>
        <w:spacing w:line="360" w:lineRule="auto"/>
        <w:ind w:right="474"/>
        <w:jc w:val="both"/>
        <w:rPr>
          <w:rFonts w:asciiTheme="minorHAnsi" w:hAnsiTheme="minorHAnsi" w:cstheme="minorHAnsi"/>
          <w:b/>
          <w:sz w:val="22"/>
          <w:szCs w:val="22"/>
        </w:rPr>
      </w:pPr>
    </w:p>
    <w:sectPr>
      <w:headerReference r:id="rId3" w:type="default"/>
      <w:footerReference r:id="rId4" w:type="default"/>
      <w:pgSz w:w="12240" w:h="15840"/>
      <w:pgMar w:top="2410" w:right="1134" w:bottom="1560" w:left="1134" w:header="709" w:footer="294"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entury Gothic">
    <w:panose1 w:val="020B0502020202020204"/>
    <w:charset w:val="00"/>
    <w:family w:val="swiss"/>
    <w:pitch w:val="default"/>
    <w:sig w:usb0="00000287" w:usb1="00000000" w:usb2="00000000" w:usb3="00000000" w:csb0="2000009F" w:csb1="DFD70000"/>
  </w:font>
  <w:font w:name="Futura Lt BT">
    <w:altName w:val="Arial"/>
    <w:panose1 w:val="00000000000000000000"/>
    <w:charset w:val="00"/>
    <w:family w:val="swiss"/>
    <w:pitch w:val="default"/>
    <w:sig w:usb0="00000000" w:usb1="00000000" w:usb2="00000000" w:usb3="00000000" w:csb0="00000011"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1">
    <w:altName w:val="Cambria"/>
    <w:panose1 w:val="00000000000000000000"/>
    <w:charset w:val="00"/>
    <w:family w:val="roman"/>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C7D77">
    <w:pPr>
      <w:pStyle w:val="65"/>
      <w:rPr>
        <w:rFonts w:asciiTheme="minorHAnsi" w:hAnsiTheme="minorHAnsi" w:cstheme="minorHAnsi"/>
        <w:sz w:val="12"/>
        <w:szCs w:val="12"/>
        <w:shd w:val="clear" w:color="auto" w:fill="FFFFFF"/>
      </w:rPr>
    </w:pPr>
    <w:r>
      <w:rPr>
        <w:rFonts w:asciiTheme="minorHAnsi" w:hAnsiTheme="minorHAnsi" w:cstheme="minorHAnsi"/>
        <w:sz w:val="12"/>
        <w:szCs w:val="12"/>
      </w:rPr>
      <w:t xml:space="preserve">EDITAL </w:t>
    </w:r>
    <w:r>
      <w:rPr>
        <w:rFonts w:asciiTheme="minorHAnsi" w:hAnsiTheme="minorHAnsi" w:cstheme="minorHAnsi"/>
        <w:b w:val="0"/>
        <w:sz w:val="12"/>
        <w:szCs w:val="12"/>
      </w:rPr>
      <w:t>90054/2025</w:t>
    </w:r>
    <w:r>
      <w:rPr>
        <w:rFonts w:asciiTheme="minorHAnsi" w:hAnsiTheme="minorHAnsi" w:cstheme="minorHAnsi"/>
        <w:sz w:val="12"/>
        <w:szCs w:val="12"/>
      </w:rPr>
      <w:t xml:space="preserve">        PROCESSO Nº </w:t>
    </w:r>
    <w:r>
      <w:rPr>
        <w:rFonts w:asciiTheme="minorHAnsi" w:hAnsiTheme="minorHAnsi" w:cstheme="minorHAnsi"/>
        <w:sz w:val="12"/>
        <w:szCs w:val="12"/>
        <w:shd w:val="clear" w:color="auto" w:fill="FFFFFF"/>
      </w:rPr>
      <w:t>23066.028542/2025-44</w:t>
    </w:r>
  </w:p>
  <w:p w14:paraId="03D418C3">
    <w:pPr>
      <w:rPr>
        <w:rFonts w:ascii="Calibri" w:hAnsi="Calibri" w:cs="Calibri"/>
        <w:sz w:val="14"/>
        <w:szCs w:val="14"/>
      </w:rPr>
    </w:pPr>
    <w:r>
      <w:rPr>
        <w:rFonts w:ascii="Calibri" w:hAnsi="Calibri" w:cs="Calibri"/>
        <w:b/>
        <w:sz w:val="14"/>
        <w:szCs w:val="14"/>
      </w:rPr>
      <w:t xml:space="preserve">COMPLEXO HOSPITALAR E DE SAÚDE/UFBA, </w:t>
    </w:r>
    <w:r>
      <w:rPr>
        <w:rFonts w:ascii="Calibri" w:hAnsi="Calibri" w:cs="Calibri"/>
        <w:color w:val="000000"/>
        <w:sz w:val="14"/>
        <w:szCs w:val="14"/>
      </w:rPr>
      <w:t xml:space="preserve">no </w:t>
    </w:r>
    <w:r>
      <w:rPr>
        <w:rFonts w:ascii="Calibri" w:hAnsi="Calibri" w:cs="Calibri"/>
        <w:sz w:val="14"/>
        <w:szCs w:val="14"/>
      </w:rPr>
      <w:t xml:space="preserve">Campus Universitário de Ondina, PAF IV, </w:t>
    </w:r>
    <w:r>
      <w:rPr>
        <w:rStyle w:val="51"/>
        <w:rFonts w:ascii="Calibri" w:hAnsi="Calibri" w:cs="Calibri"/>
        <w:sz w:val="14"/>
        <w:szCs w:val="14"/>
      </w:rPr>
      <w:t>Rua Barão de Jeremoabo</w:t>
    </w:r>
    <w:r>
      <w:rPr>
        <w:rFonts w:ascii="Calibri" w:hAnsi="Calibri" w:cs="Calibri"/>
        <w:sz w:val="14"/>
        <w:szCs w:val="14"/>
      </w:rPr>
      <w:t>,</w:t>
    </w:r>
    <w:r>
      <w:rPr>
        <w:rStyle w:val="50"/>
        <w:rFonts w:ascii="Calibri" w:hAnsi="Calibri" w:cs="Calibri"/>
        <w:sz w:val="14"/>
        <w:szCs w:val="14"/>
      </w:rPr>
      <w:t> </w:t>
    </w:r>
    <w:r>
      <w:rPr>
        <w:rStyle w:val="51"/>
        <w:rFonts w:ascii="Calibri" w:hAnsi="Calibri" w:cs="Calibri"/>
        <w:sz w:val="14"/>
        <w:szCs w:val="14"/>
      </w:rPr>
      <w:t>s/n</w:t>
    </w:r>
    <w:r>
      <w:rPr>
        <w:rStyle w:val="50"/>
        <w:rFonts w:ascii="Calibri" w:hAnsi="Calibri" w:cs="Calibri"/>
        <w:sz w:val="14"/>
        <w:szCs w:val="14"/>
      </w:rPr>
      <w:t>,</w:t>
    </w:r>
    <w:r>
      <w:rPr>
        <w:rFonts w:ascii="Calibri" w:hAnsi="Calibri" w:cs="Calibri"/>
        <w:sz w:val="14"/>
        <w:szCs w:val="14"/>
      </w:rPr>
      <w:t xml:space="preserve"> 1º andar,</w:t>
    </w:r>
    <w:r>
      <w:rPr>
        <w:rStyle w:val="51"/>
        <w:rFonts w:ascii="Calibri" w:hAnsi="Calibri" w:cs="Calibri"/>
        <w:sz w:val="14"/>
        <w:szCs w:val="14"/>
      </w:rPr>
      <w:t xml:space="preserve"> Ondina</w:t>
    </w:r>
    <w:r>
      <w:rPr>
        <w:rFonts w:ascii="Calibri" w:hAnsi="Calibri" w:cs="Calibri"/>
        <w:sz w:val="14"/>
        <w:szCs w:val="14"/>
      </w:rPr>
      <w:t>,</w:t>
    </w:r>
    <w:r>
      <w:rPr>
        <w:rStyle w:val="50"/>
        <w:rFonts w:ascii="Calibri" w:hAnsi="Calibri" w:cs="Calibri"/>
        <w:sz w:val="14"/>
        <w:szCs w:val="14"/>
      </w:rPr>
      <w:t xml:space="preserve"> CEP: </w:t>
    </w:r>
    <w:r>
      <w:rPr>
        <w:rStyle w:val="51"/>
        <w:rFonts w:ascii="Calibri" w:hAnsi="Calibri" w:cs="Calibri"/>
        <w:sz w:val="14"/>
        <w:szCs w:val="14"/>
      </w:rPr>
      <w:t>40170-115</w:t>
    </w:r>
    <w:r>
      <w:rPr>
        <w:rFonts w:ascii="Calibri" w:hAnsi="Calibri" w:cs="Calibri"/>
        <w:sz w:val="14"/>
        <w:szCs w:val="14"/>
      </w:rPr>
      <w:t xml:space="preserve">, Salvador-Ba, telefone 71 3283-5846, e-mail </w:t>
    </w:r>
    <w:r>
      <w:fldChar w:fldCharType="begin"/>
    </w:r>
    <w:r>
      <w:instrText xml:space="preserve"> HYPERLINK "mailto:licitacaosiunis@ufba.br" \h </w:instrText>
    </w:r>
    <w:r>
      <w:fldChar w:fldCharType="separate"/>
    </w:r>
    <w:r>
      <w:rPr>
        <w:rStyle w:val="47"/>
        <w:rFonts w:ascii="Calibri" w:hAnsi="Calibri" w:cs="Calibri"/>
        <w:b/>
        <w:sz w:val="14"/>
        <w:szCs w:val="14"/>
      </w:rPr>
      <w:t>licitacaosiunis@ufba.br</w:t>
    </w:r>
    <w:r>
      <w:rPr>
        <w:rStyle w:val="47"/>
        <w:rFonts w:ascii="Calibri" w:hAnsi="Calibri" w:cs="Calibri"/>
        <w:b/>
        <w:sz w:val="14"/>
        <w:szCs w:val="1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eastAsia="Calibri" w:asciiTheme="minorHAnsi" w:hAnsiTheme="minorHAnsi" w:cstheme="minorHAnsi"/>
        <w:b/>
        <w:i w:val="0"/>
        <w:sz w:val="22"/>
      </w:rPr>
    </w:lvl>
    <w:lvl w:ilvl="1" w:tentative="0">
      <w:start w:val="1"/>
      <w:numFmt w:val="decimal"/>
      <w:pStyle w:val="370"/>
      <w:suff w:val="space"/>
      <w:lvlText w:val="%1.%2."/>
      <w:lvlJc w:val="left"/>
      <w:pPr>
        <w:ind w:left="0" w:firstLine="0"/>
      </w:pPr>
      <w:rPr>
        <w:rFonts w:hint="default" w:asciiTheme="minorHAnsi" w:hAnsiTheme="minorHAnsi" w:cstheme="minorHAnsi"/>
        <w:b/>
        <w:i w:val="0"/>
        <w:color w:val="00000A"/>
        <w:sz w:val="22"/>
        <w:szCs w:val="22"/>
      </w:rPr>
    </w:lvl>
    <w:lvl w:ilvl="2" w:tentative="0">
      <w:start w:val="1"/>
      <w:numFmt w:val="decimal"/>
      <w:pStyle w:val="363"/>
      <w:suff w:val="space"/>
      <w:lvlText w:val="%1.%2.%3."/>
      <w:lvlJc w:val="left"/>
      <w:pPr>
        <w:ind w:left="851" w:firstLine="0"/>
      </w:pPr>
      <w:rPr>
        <w:rFonts w:hint="default" w:asciiTheme="minorHAnsi" w:hAnsiTheme="minorHAnsi" w:cstheme="minorHAnsi"/>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3B441A2"/>
    <w:multiLevelType w:val="multilevel"/>
    <w:tmpl w:val="33B441A2"/>
    <w:lvl w:ilvl="0" w:tentative="0">
      <w:start w:val="0"/>
      <w:numFmt w:val="decimal"/>
      <w:lvlText w:val="%1)"/>
      <w:lvlJc w:val="left"/>
      <w:pPr>
        <w:ind w:left="360" w:hanging="360"/>
      </w:pPr>
      <w:rPr>
        <w:rFonts w:ascii="1" w:hAnsi="1"/>
      </w:rPr>
    </w:lvl>
    <w:lvl w:ilvl="1" w:tentative="0">
      <w:start w:val="1"/>
      <w:numFmt w:val="lowerLetter"/>
      <w:pStyle w:val="432"/>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6">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9">
    <w:nsid w:val="68696376"/>
    <w:multiLevelType w:val="multilevel"/>
    <w:tmpl w:val="68696376"/>
    <w:lvl w:ilvl="0" w:tentative="0">
      <w:start w:val="1"/>
      <w:numFmt w:val="lowerLetter"/>
      <w:lvlText w:val="%1)"/>
      <w:lvlJc w:val="left"/>
      <w:pPr>
        <w:ind w:left="2130" w:hanging="360"/>
      </w:pPr>
      <w:rPr>
        <w:b/>
      </w:rPr>
    </w:lvl>
    <w:lvl w:ilvl="1" w:tentative="0">
      <w:start w:val="1"/>
      <w:numFmt w:val="lowerLetter"/>
      <w:lvlText w:val="%2."/>
      <w:lvlJc w:val="left"/>
      <w:pPr>
        <w:ind w:left="2850" w:hanging="360"/>
      </w:pPr>
    </w:lvl>
    <w:lvl w:ilvl="2" w:tentative="0">
      <w:start w:val="1"/>
      <w:numFmt w:val="lowerRoman"/>
      <w:lvlText w:val="%3."/>
      <w:lvlJc w:val="right"/>
      <w:pPr>
        <w:ind w:left="3570" w:hanging="180"/>
      </w:pPr>
    </w:lvl>
    <w:lvl w:ilvl="3" w:tentative="0">
      <w:start w:val="1"/>
      <w:numFmt w:val="decimal"/>
      <w:lvlText w:val="%4."/>
      <w:lvlJc w:val="left"/>
      <w:pPr>
        <w:ind w:left="4290" w:hanging="360"/>
      </w:pPr>
    </w:lvl>
    <w:lvl w:ilvl="4" w:tentative="0">
      <w:start w:val="1"/>
      <w:numFmt w:val="lowerLetter"/>
      <w:lvlText w:val="%5."/>
      <w:lvlJc w:val="left"/>
      <w:pPr>
        <w:ind w:left="5010" w:hanging="360"/>
      </w:pPr>
    </w:lvl>
    <w:lvl w:ilvl="5" w:tentative="0">
      <w:start w:val="1"/>
      <w:numFmt w:val="lowerRoman"/>
      <w:lvlText w:val="%6."/>
      <w:lvlJc w:val="right"/>
      <w:pPr>
        <w:ind w:left="5730" w:hanging="180"/>
      </w:pPr>
    </w:lvl>
    <w:lvl w:ilvl="6" w:tentative="0">
      <w:start w:val="1"/>
      <w:numFmt w:val="decimal"/>
      <w:lvlText w:val="%7."/>
      <w:lvlJc w:val="left"/>
      <w:pPr>
        <w:ind w:left="6450" w:hanging="360"/>
      </w:pPr>
    </w:lvl>
    <w:lvl w:ilvl="7" w:tentative="0">
      <w:start w:val="1"/>
      <w:numFmt w:val="lowerLetter"/>
      <w:lvlText w:val="%8."/>
      <w:lvlJc w:val="left"/>
      <w:pPr>
        <w:ind w:left="7170" w:hanging="360"/>
      </w:pPr>
    </w:lvl>
    <w:lvl w:ilvl="8" w:tentative="0">
      <w:start w:val="1"/>
      <w:numFmt w:val="lowerRoman"/>
      <w:lvlText w:val="%9."/>
      <w:lvlJc w:val="right"/>
      <w:pPr>
        <w:ind w:left="7890" w:hanging="180"/>
      </w:pPr>
    </w:lvl>
  </w:abstractNum>
  <w:num w:numId="1">
    <w:abstractNumId w:val="1"/>
  </w:num>
  <w:num w:numId="2">
    <w:abstractNumId w:val="6"/>
  </w:num>
  <w:num w:numId="3">
    <w:abstractNumId w:val="4"/>
  </w:num>
  <w:num w:numId="4">
    <w:abstractNumId w:val="2"/>
  </w:num>
  <w:num w:numId="5">
    <w:abstractNumId w:val="7"/>
  </w:num>
  <w:num w:numId="6">
    <w:abstractNumId w:val="9"/>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23"/>
    <w:rsid w:val="000400C9"/>
    <w:rsid w:val="00040F81"/>
    <w:rsid w:val="00042D89"/>
    <w:rsid w:val="00050573"/>
    <w:rsid w:val="00050B54"/>
    <w:rsid w:val="0006433E"/>
    <w:rsid w:val="0006502A"/>
    <w:rsid w:val="00067E1A"/>
    <w:rsid w:val="0008002B"/>
    <w:rsid w:val="000816E8"/>
    <w:rsid w:val="00082126"/>
    <w:rsid w:val="00091FF6"/>
    <w:rsid w:val="00095EC1"/>
    <w:rsid w:val="000A10D7"/>
    <w:rsid w:val="000B0787"/>
    <w:rsid w:val="000B5EFC"/>
    <w:rsid w:val="000B6C93"/>
    <w:rsid w:val="000C0138"/>
    <w:rsid w:val="000C0320"/>
    <w:rsid w:val="000D5E38"/>
    <w:rsid w:val="000D68E2"/>
    <w:rsid w:val="000E3214"/>
    <w:rsid w:val="000E5B4B"/>
    <w:rsid w:val="000F076E"/>
    <w:rsid w:val="000F23BF"/>
    <w:rsid w:val="00101047"/>
    <w:rsid w:val="00111681"/>
    <w:rsid w:val="00111BF0"/>
    <w:rsid w:val="00114565"/>
    <w:rsid w:val="0011650B"/>
    <w:rsid w:val="001306F2"/>
    <w:rsid w:val="00136A3F"/>
    <w:rsid w:val="00140CC9"/>
    <w:rsid w:val="00146630"/>
    <w:rsid w:val="001664AC"/>
    <w:rsid w:val="00167E4B"/>
    <w:rsid w:val="001722AC"/>
    <w:rsid w:val="001733A8"/>
    <w:rsid w:val="00175B99"/>
    <w:rsid w:val="0017630B"/>
    <w:rsid w:val="00176741"/>
    <w:rsid w:val="00177EB2"/>
    <w:rsid w:val="00181CCE"/>
    <w:rsid w:val="001833CC"/>
    <w:rsid w:val="001912EC"/>
    <w:rsid w:val="001931D0"/>
    <w:rsid w:val="00196A2C"/>
    <w:rsid w:val="001A466A"/>
    <w:rsid w:val="001B44CF"/>
    <w:rsid w:val="001B5661"/>
    <w:rsid w:val="001B7B4C"/>
    <w:rsid w:val="001C347B"/>
    <w:rsid w:val="001C581E"/>
    <w:rsid w:val="001D08CD"/>
    <w:rsid w:val="001D175E"/>
    <w:rsid w:val="001D546B"/>
    <w:rsid w:val="001E485A"/>
    <w:rsid w:val="001E624F"/>
    <w:rsid w:val="001F49E2"/>
    <w:rsid w:val="0020188E"/>
    <w:rsid w:val="00203F6C"/>
    <w:rsid w:val="00211D74"/>
    <w:rsid w:val="002147F0"/>
    <w:rsid w:val="00214ADB"/>
    <w:rsid w:val="0021595B"/>
    <w:rsid w:val="00217D62"/>
    <w:rsid w:val="002201D1"/>
    <w:rsid w:val="0022114A"/>
    <w:rsid w:val="00222011"/>
    <w:rsid w:val="0023382B"/>
    <w:rsid w:val="00233CB9"/>
    <w:rsid w:val="00234E37"/>
    <w:rsid w:val="00237AF7"/>
    <w:rsid w:val="0024149C"/>
    <w:rsid w:val="00245CF2"/>
    <w:rsid w:val="00253B5C"/>
    <w:rsid w:val="0025686C"/>
    <w:rsid w:val="00257515"/>
    <w:rsid w:val="0025761D"/>
    <w:rsid w:val="00260284"/>
    <w:rsid w:val="00265AC0"/>
    <w:rsid w:val="00271AAC"/>
    <w:rsid w:val="00280DAF"/>
    <w:rsid w:val="002820F2"/>
    <w:rsid w:val="00285B25"/>
    <w:rsid w:val="0028739B"/>
    <w:rsid w:val="002877F3"/>
    <w:rsid w:val="002A727F"/>
    <w:rsid w:val="002A7768"/>
    <w:rsid w:val="002B0374"/>
    <w:rsid w:val="002B0976"/>
    <w:rsid w:val="002B1C75"/>
    <w:rsid w:val="002B30A8"/>
    <w:rsid w:val="002C0113"/>
    <w:rsid w:val="002C471F"/>
    <w:rsid w:val="002C66DA"/>
    <w:rsid w:val="002D16FB"/>
    <w:rsid w:val="002D1DDE"/>
    <w:rsid w:val="002D215A"/>
    <w:rsid w:val="002D49A7"/>
    <w:rsid w:val="002D57FD"/>
    <w:rsid w:val="002E2411"/>
    <w:rsid w:val="002E577B"/>
    <w:rsid w:val="002F4AC7"/>
    <w:rsid w:val="002F582A"/>
    <w:rsid w:val="003006F5"/>
    <w:rsid w:val="003009B1"/>
    <w:rsid w:val="00301080"/>
    <w:rsid w:val="00304F5D"/>
    <w:rsid w:val="00305998"/>
    <w:rsid w:val="00305B9F"/>
    <w:rsid w:val="0030649B"/>
    <w:rsid w:val="00314A96"/>
    <w:rsid w:val="003179C1"/>
    <w:rsid w:val="003213FE"/>
    <w:rsid w:val="0032767D"/>
    <w:rsid w:val="0032788C"/>
    <w:rsid w:val="00327FD6"/>
    <w:rsid w:val="003300C2"/>
    <w:rsid w:val="0033252F"/>
    <w:rsid w:val="003346D8"/>
    <w:rsid w:val="00336606"/>
    <w:rsid w:val="00336A37"/>
    <w:rsid w:val="0034051B"/>
    <w:rsid w:val="003450E9"/>
    <w:rsid w:val="00346AC7"/>
    <w:rsid w:val="00346FE8"/>
    <w:rsid w:val="00347D36"/>
    <w:rsid w:val="0035432C"/>
    <w:rsid w:val="00356A11"/>
    <w:rsid w:val="003610CB"/>
    <w:rsid w:val="00361CFE"/>
    <w:rsid w:val="00361FD1"/>
    <w:rsid w:val="003703C3"/>
    <w:rsid w:val="00372994"/>
    <w:rsid w:val="003747E8"/>
    <w:rsid w:val="00387DD9"/>
    <w:rsid w:val="003A1E7C"/>
    <w:rsid w:val="003A78C6"/>
    <w:rsid w:val="003B0EDA"/>
    <w:rsid w:val="003B7225"/>
    <w:rsid w:val="003C58DC"/>
    <w:rsid w:val="003C5E74"/>
    <w:rsid w:val="003E19E7"/>
    <w:rsid w:val="003E2B05"/>
    <w:rsid w:val="003E5851"/>
    <w:rsid w:val="003F5FA0"/>
    <w:rsid w:val="003F6FEB"/>
    <w:rsid w:val="004004BA"/>
    <w:rsid w:val="00401B39"/>
    <w:rsid w:val="00402231"/>
    <w:rsid w:val="0040587E"/>
    <w:rsid w:val="004101EB"/>
    <w:rsid w:val="004102B2"/>
    <w:rsid w:val="004115F5"/>
    <w:rsid w:val="00412F6E"/>
    <w:rsid w:val="00417EB6"/>
    <w:rsid w:val="00422E87"/>
    <w:rsid w:val="00423B88"/>
    <w:rsid w:val="0042594B"/>
    <w:rsid w:val="00426394"/>
    <w:rsid w:val="004355DC"/>
    <w:rsid w:val="00437422"/>
    <w:rsid w:val="0044137C"/>
    <w:rsid w:val="00442031"/>
    <w:rsid w:val="00445BE5"/>
    <w:rsid w:val="00447141"/>
    <w:rsid w:val="00451AFD"/>
    <w:rsid w:val="004548CB"/>
    <w:rsid w:val="00456EB0"/>
    <w:rsid w:val="00460F51"/>
    <w:rsid w:val="00463BCB"/>
    <w:rsid w:val="00466B9B"/>
    <w:rsid w:val="0047062F"/>
    <w:rsid w:val="00470DF2"/>
    <w:rsid w:val="004841EC"/>
    <w:rsid w:val="00485D10"/>
    <w:rsid w:val="00485EC9"/>
    <w:rsid w:val="00491401"/>
    <w:rsid w:val="004A6DF8"/>
    <w:rsid w:val="004B2EF6"/>
    <w:rsid w:val="004C4F37"/>
    <w:rsid w:val="004C79B4"/>
    <w:rsid w:val="004E3B88"/>
    <w:rsid w:val="004E71A6"/>
    <w:rsid w:val="004F54F5"/>
    <w:rsid w:val="00500E47"/>
    <w:rsid w:val="005030C5"/>
    <w:rsid w:val="00504948"/>
    <w:rsid w:val="00513282"/>
    <w:rsid w:val="005167CF"/>
    <w:rsid w:val="00525CBC"/>
    <w:rsid w:val="00532E59"/>
    <w:rsid w:val="00533B93"/>
    <w:rsid w:val="00537F8E"/>
    <w:rsid w:val="0054292E"/>
    <w:rsid w:val="00546501"/>
    <w:rsid w:val="0054663D"/>
    <w:rsid w:val="00547F5F"/>
    <w:rsid w:val="0055469D"/>
    <w:rsid w:val="00564527"/>
    <w:rsid w:val="00565C59"/>
    <w:rsid w:val="005702E0"/>
    <w:rsid w:val="005703E9"/>
    <w:rsid w:val="00570965"/>
    <w:rsid w:val="00572738"/>
    <w:rsid w:val="00572DE9"/>
    <w:rsid w:val="00580414"/>
    <w:rsid w:val="00581701"/>
    <w:rsid w:val="00585B53"/>
    <w:rsid w:val="00586009"/>
    <w:rsid w:val="00592E7A"/>
    <w:rsid w:val="005A0F3E"/>
    <w:rsid w:val="005A274B"/>
    <w:rsid w:val="005A5927"/>
    <w:rsid w:val="005D62DA"/>
    <w:rsid w:val="005E18D8"/>
    <w:rsid w:val="005F2807"/>
    <w:rsid w:val="005F3CDB"/>
    <w:rsid w:val="005F64D4"/>
    <w:rsid w:val="00602CBB"/>
    <w:rsid w:val="00620D79"/>
    <w:rsid w:val="00621F7D"/>
    <w:rsid w:val="006276CD"/>
    <w:rsid w:val="006278A2"/>
    <w:rsid w:val="00632323"/>
    <w:rsid w:val="0064061B"/>
    <w:rsid w:val="00641083"/>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D2B0A"/>
    <w:rsid w:val="006D7A49"/>
    <w:rsid w:val="006E1007"/>
    <w:rsid w:val="006E1804"/>
    <w:rsid w:val="006E3FAB"/>
    <w:rsid w:val="006E4A8D"/>
    <w:rsid w:val="006E5870"/>
    <w:rsid w:val="006E6595"/>
    <w:rsid w:val="006E6B9A"/>
    <w:rsid w:val="006F4FEE"/>
    <w:rsid w:val="00710EAA"/>
    <w:rsid w:val="00721110"/>
    <w:rsid w:val="007226AB"/>
    <w:rsid w:val="00722F5A"/>
    <w:rsid w:val="007243B7"/>
    <w:rsid w:val="007322C0"/>
    <w:rsid w:val="00732F06"/>
    <w:rsid w:val="00733D0C"/>
    <w:rsid w:val="00736488"/>
    <w:rsid w:val="00745009"/>
    <w:rsid w:val="007508A7"/>
    <w:rsid w:val="00750DC7"/>
    <w:rsid w:val="00752863"/>
    <w:rsid w:val="007530A5"/>
    <w:rsid w:val="007657C4"/>
    <w:rsid w:val="00771293"/>
    <w:rsid w:val="0077283A"/>
    <w:rsid w:val="00773031"/>
    <w:rsid w:val="0077748B"/>
    <w:rsid w:val="00780342"/>
    <w:rsid w:val="0078053A"/>
    <w:rsid w:val="00781631"/>
    <w:rsid w:val="0078508B"/>
    <w:rsid w:val="00785134"/>
    <w:rsid w:val="00786DF8"/>
    <w:rsid w:val="007A0556"/>
    <w:rsid w:val="007B0072"/>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20497"/>
    <w:rsid w:val="00824BFD"/>
    <w:rsid w:val="008262F2"/>
    <w:rsid w:val="00832ECB"/>
    <w:rsid w:val="00847D35"/>
    <w:rsid w:val="00850D8B"/>
    <w:rsid w:val="0085155F"/>
    <w:rsid w:val="008535FF"/>
    <w:rsid w:val="008536F0"/>
    <w:rsid w:val="00853F13"/>
    <w:rsid w:val="008660A1"/>
    <w:rsid w:val="00870A05"/>
    <w:rsid w:val="00870F66"/>
    <w:rsid w:val="00875C1E"/>
    <w:rsid w:val="00876476"/>
    <w:rsid w:val="0088438A"/>
    <w:rsid w:val="0088504E"/>
    <w:rsid w:val="00885F93"/>
    <w:rsid w:val="0089060F"/>
    <w:rsid w:val="008929F9"/>
    <w:rsid w:val="00893BE4"/>
    <w:rsid w:val="008A3716"/>
    <w:rsid w:val="008A6156"/>
    <w:rsid w:val="008B3D45"/>
    <w:rsid w:val="008B7017"/>
    <w:rsid w:val="008B746B"/>
    <w:rsid w:val="008C182B"/>
    <w:rsid w:val="008C5BC5"/>
    <w:rsid w:val="008C7168"/>
    <w:rsid w:val="008D1F36"/>
    <w:rsid w:val="008D37CE"/>
    <w:rsid w:val="008E1227"/>
    <w:rsid w:val="008F2CD1"/>
    <w:rsid w:val="00912A81"/>
    <w:rsid w:val="00912D5C"/>
    <w:rsid w:val="00921D92"/>
    <w:rsid w:val="00927931"/>
    <w:rsid w:val="00930112"/>
    <w:rsid w:val="00931214"/>
    <w:rsid w:val="00934BCF"/>
    <w:rsid w:val="009508EA"/>
    <w:rsid w:val="00951AA1"/>
    <w:rsid w:val="009553A8"/>
    <w:rsid w:val="00961169"/>
    <w:rsid w:val="00970FF6"/>
    <w:rsid w:val="0097296D"/>
    <w:rsid w:val="00982321"/>
    <w:rsid w:val="00982550"/>
    <w:rsid w:val="0099052B"/>
    <w:rsid w:val="00994FC8"/>
    <w:rsid w:val="00996B96"/>
    <w:rsid w:val="00997AC0"/>
    <w:rsid w:val="009A154D"/>
    <w:rsid w:val="009A1A6C"/>
    <w:rsid w:val="009A6072"/>
    <w:rsid w:val="009C43AD"/>
    <w:rsid w:val="009C7F00"/>
    <w:rsid w:val="009D2647"/>
    <w:rsid w:val="009D4268"/>
    <w:rsid w:val="009D457A"/>
    <w:rsid w:val="009E0ADB"/>
    <w:rsid w:val="009E2FFB"/>
    <w:rsid w:val="009E46E9"/>
    <w:rsid w:val="009E5008"/>
    <w:rsid w:val="009F77AC"/>
    <w:rsid w:val="00A009DB"/>
    <w:rsid w:val="00A02280"/>
    <w:rsid w:val="00A10793"/>
    <w:rsid w:val="00A20450"/>
    <w:rsid w:val="00A20903"/>
    <w:rsid w:val="00A21ADD"/>
    <w:rsid w:val="00A323FA"/>
    <w:rsid w:val="00A3494A"/>
    <w:rsid w:val="00A50B98"/>
    <w:rsid w:val="00A60C33"/>
    <w:rsid w:val="00A650C9"/>
    <w:rsid w:val="00A663DC"/>
    <w:rsid w:val="00A707CE"/>
    <w:rsid w:val="00A71D57"/>
    <w:rsid w:val="00A72F5A"/>
    <w:rsid w:val="00A75E59"/>
    <w:rsid w:val="00A768AE"/>
    <w:rsid w:val="00A858B9"/>
    <w:rsid w:val="00A914B9"/>
    <w:rsid w:val="00A93062"/>
    <w:rsid w:val="00A97119"/>
    <w:rsid w:val="00AA5D06"/>
    <w:rsid w:val="00AA5D78"/>
    <w:rsid w:val="00AA6F08"/>
    <w:rsid w:val="00AB05BF"/>
    <w:rsid w:val="00AB574C"/>
    <w:rsid w:val="00AB62DF"/>
    <w:rsid w:val="00AC042B"/>
    <w:rsid w:val="00AC1567"/>
    <w:rsid w:val="00AD138D"/>
    <w:rsid w:val="00AD6A8F"/>
    <w:rsid w:val="00AE2FDC"/>
    <w:rsid w:val="00AF2103"/>
    <w:rsid w:val="00AF4BEE"/>
    <w:rsid w:val="00AF7196"/>
    <w:rsid w:val="00B02935"/>
    <w:rsid w:val="00B114B0"/>
    <w:rsid w:val="00B12F2F"/>
    <w:rsid w:val="00B14B71"/>
    <w:rsid w:val="00B207DF"/>
    <w:rsid w:val="00B247BF"/>
    <w:rsid w:val="00B27196"/>
    <w:rsid w:val="00B308F7"/>
    <w:rsid w:val="00B34CC7"/>
    <w:rsid w:val="00B43207"/>
    <w:rsid w:val="00B43D4A"/>
    <w:rsid w:val="00B4452D"/>
    <w:rsid w:val="00B45A79"/>
    <w:rsid w:val="00B55751"/>
    <w:rsid w:val="00B63C7D"/>
    <w:rsid w:val="00B72727"/>
    <w:rsid w:val="00B74AD4"/>
    <w:rsid w:val="00B8028D"/>
    <w:rsid w:val="00B81547"/>
    <w:rsid w:val="00B821CE"/>
    <w:rsid w:val="00B824C4"/>
    <w:rsid w:val="00B860F3"/>
    <w:rsid w:val="00B948C6"/>
    <w:rsid w:val="00B960B4"/>
    <w:rsid w:val="00B9773C"/>
    <w:rsid w:val="00BA6C20"/>
    <w:rsid w:val="00BB2696"/>
    <w:rsid w:val="00BC3D58"/>
    <w:rsid w:val="00BE1D77"/>
    <w:rsid w:val="00BE39A9"/>
    <w:rsid w:val="00BF55DA"/>
    <w:rsid w:val="00BF66C5"/>
    <w:rsid w:val="00BF7E36"/>
    <w:rsid w:val="00C032EA"/>
    <w:rsid w:val="00C063F4"/>
    <w:rsid w:val="00C0785C"/>
    <w:rsid w:val="00C12849"/>
    <w:rsid w:val="00C13992"/>
    <w:rsid w:val="00C179A7"/>
    <w:rsid w:val="00C200CB"/>
    <w:rsid w:val="00C22BAC"/>
    <w:rsid w:val="00C23C22"/>
    <w:rsid w:val="00C2587A"/>
    <w:rsid w:val="00C270CA"/>
    <w:rsid w:val="00C33593"/>
    <w:rsid w:val="00C36421"/>
    <w:rsid w:val="00C37642"/>
    <w:rsid w:val="00C404EF"/>
    <w:rsid w:val="00C466E9"/>
    <w:rsid w:val="00C47041"/>
    <w:rsid w:val="00C50093"/>
    <w:rsid w:val="00C51C91"/>
    <w:rsid w:val="00C52C11"/>
    <w:rsid w:val="00C54D4A"/>
    <w:rsid w:val="00C5698F"/>
    <w:rsid w:val="00C633E7"/>
    <w:rsid w:val="00C671CF"/>
    <w:rsid w:val="00C800B3"/>
    <w:rsid w:val="00C812E5"/>
    <w:rsid w:val="00C815F1"/>
    <w:rsid w:val="00C833BC"/>
    <w:rsid w:val="00C83477"/>
    <w:rsid w:val="00C8570B"/>
    <w:rsid w:val="00C87FCB"/>
    <w:rsid w:val="00C9207D"/>
    <w:rsid w:val="00C934D3"/>
    <w:rsid w:val="00C93807"/>
    <w:rsid w:val="00CA284E"/>
    <w:rsid w:val="00CB057D"/>
    <w:rsid w:val="00CB4707"/>
    <w:rsid w:val="00CB6F33"/>
    <w:rsid w:val="00CC00C8"/>
    <w:rsid w:val="00CC3961"/>
    <w:rsid w:val="00CC78AE"/>
    <w:rsid w:val="00CD1DD3"/>
    <w:rsid w:val="00CD4955"/>
    <w:rsid w:val="00CE0866"/>
    <w:rsid w:val="00CE0B54"/>
    <w:rsid w:val="00CE661A"/>
    <w:rsid w:val="00CF27CE"/>
    <w:rsid w:val="00CF7D69"/>
    <w:rsid w:val="00D02ABC"/>
    <w:rsid w:val="00D06AF0"/>
    <w:rsid w:val="00D111C2"/>
    <w:rsid w:val="00D12C01"/>
    <w:rsid w:val="00D13D9D"/>
    <w:rsid w:val="00D22E79"/>
    <w:rsid w:val="00D26083"/>
    <w:rsid w:val="00D2680D"/>
    <w:rsid w:val="00D26BE8"/>
    <w:rsid w:val="00D27AE0"/>
    <w:rsid w:val="00D3080C"/>
    <w:rsid w:val="00D356BB"/>
    <w:rsid w:val="00D52642"/>
    <w:rsid w:val="00D53886"/>
    <w:rsid w:val="00D53CB2"/>
    <w:rsid w:val="00D6482E"/>
    <w:rsid w:val="00D65664"/>
    <w:rsid w:val="00D715A0"/>
    <w:rsid w:val="00D71F23"/>
    <w:rsid w:val="00D72D0F"/>
    <w:rsid w:val="00D73680"/>
    <w:rsid w:val="00D7438A"/>
    <w:rsid w:val="00D744B3"/>
    <w:rsid w:val="00D77DD1"/>
    <w:rsid w:val="00D86874"/>
    <w:rsid w:val="00D91BAC"/>
    <w:rsid w:val="00D947F0"/>
    <w:rsid w:val="00D950B5"/>
    <w:rsid w:val="00D96FE5"/>
    <w:rsid w:val="00DA4B29"/>
    <w:rsid w:val="00DA51B4"/>
    <w:rsid w:val="00DA6047"/>
    <w:rsid w:val="00DB729C"/>
    <w:rsid w:val="00DC0E93"/>
    <w:rsid w:val="00DC306C"/>
    <w:rsid w:val="00DC62D1"/>
    <w:rsid w:val="00DD3201"/>
    <w:rsid w:val="00DD6171"/>
    <w:rsid w:val="00DE2674"/>
    <w:rsid w:val="00DE466F"/>
    <w:rsid w:val="00DE46A9"/>
    <w:rsid w:val="00DF0CD5"/>
    <w:rsid w:val="00E00207"/>
    <w:rsid w:val="00E011F5"/>
    <w:rsid w:val="00E04A0A"/>
    <w:rsid w:val="00E06D4E"/>
    <w:rsid w:val="00E200B0"/>
    <w:rsid w:val="00E20F85"/>
    <w:rsid w:val="00E2399D"/>
    <w:rsid w:val="00E32737"/>
    <w:rsid w:val="00E37F5F"/>
    <w:rsid w:val="00E4358C"/>
    <w:rsid w:val="00E50AB1"/>
    <w:rsid w:val="00E52079"/>
    <w:rsid w:val="00E55543"/>
    <w:rsid w:val="00E56A95"/>
    <w:rsid w:val="00E5776A"/>
    <w:rsid w:val="00E622CD"/>
    <w:rsid w:val="00E63786"/>
    <w:rsid w:val="00E718EA"/>
    <w:rsid w:val="00E750A2"/>
    <w:rsid w:val="00E769AA"/>
    <w:rsid w:val="00E80C73"/>
    <w:rsid w:val="00E81A73"/>
    <w:rsid w:val="00E8544B"/>
    <w:rsid w:val="00E9097D"/>
    <w:rsid w:val="00E917E1"/>
    <w:rsid w:val="00EB049E"/>
    <w:rsid w:val="00EB1B71"/>
    <w:rsid w:val="00EC109E"/>
    <w:rsid w:val="00EC3188"/>
    <w:rsid w:val="00EC3C3F"/>
    <w:rsid w:val="00EC6DBA"/>
    <w:rsid w:val="00ED07EC"/>
    <w:rsid w:val="00ED2203"/>
    <w:rsid w:val="00ED2BBB"/>
    <w:rsid w:val="00EE2122"/>
    <w:rsid w:val="00EE2C66"/>
    <w:rsid w:val="00EF2FE6"/>
    <w:rsid w:val="00EF6E4B"/>
    <w:rsid w:val="00F034C8"/>
    <w:rsid w:val="00F0391A"/>
    <w:rsid w:val="00F0570C"/>
    <w:rsid w:val="00F11437"/>
    <w:rsid w:val="00F16849"/>
    <w:rsid w:val="00F175C2"/>
    <w:rsid w:val="00F2033D"/>
    <w:rsid w:val="00F241D8"/>
    <w:rsid w:val="00F25001"/>
    <w:rsid w:val="00F31576"/>
    <w:rsid w:val="00F36B7C"/>
    <w:rsid w:val="00F46D00"/>
    <w:rsid w:val="00F47B9B"/>
    <w:rsid w:val="00F5092A"/>
    <w:rsid w:val="00F54021"/>
    <w:rsid w:val="00F67A9A"/>
    <w:rsid w:val="00F70589"/>
    <w:rsid w:val="00F7314D"/>
    <w:rsid w:val="00F7384C"/>
    <w:rsid w:val="00F746ED"/>
    <w:rsid w:val="00F82E81"/>
    <w:rsid w:val="00F83214"/>
    <w:rsid w:val="00F91224"/>
    <w:rsid w:val="00F963A0"/>
    <w:rsid w:val="00FA24E3"/>
    <w:rsid w:val="00FA5628"/>
    <w:rsid w:val="00FB74F4"/>
    <w:rsid w:val="00FC7712"/>
    <w:rsid w:val="00FC7918"/>
    <w:rsid w:val="00FD1E8F"/>
    <w:rsid w:val="00FD2E1A"/>
    <w:rsid w:val="00FD454A"/>
    <w:rsid w:val="00FD4B8F"/>
    <w:rsid w:val="00FD5C5E"/>
    <w:rsid w:val="00FE10F2"/>
    <w:rsid w:val="00FE28A3"/>
    <w:rsid w:val="0D2224A5"/>
    <w:rsid w:val="105946CD"/>
    <w:rsid w:val="505A7A56"/>
    <w:rsid w:val="54C05F9B"/>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semiHidden="0" w:name="toc 1" w:locked="1"/>
    <w:lsdException w:qFormat="1"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qFormat="1"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qFormat="1"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qFormat="1" w:unhideWhenUsed="0" w:uiPriority="67" w:name="Placeholder Text"/>
    <w:lsdException w:qFormat="1" w:unhideWhenUsed="0" w:uiPriority="0" w:semiHidden="0" w:name="No Spacing"/>
    <w:lsdException w:qFormat="1" w:unhideWhenUsed="0" w:uiPriority="1"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1"/>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qFormat/>
    <w:locked/>
    <w:uiPriority w:val="39"/>
    <w:pPr>
      <w:spacing w:after="100"/>
      <w:ind w:left="240"/>
    </w:pPr>
  </w:style>
  <w:style w:type="paragraph" w:styleId="18">
    <w:name w:val="List"/>
    <w:basedOn w:val="19"/>
    <w:uiPriority w:val="0"/>
    <w:rPr>
      <w:rFonts w:cs="Arial"/>
    </w:rPr>
  </w:style>
  <w:style w:type="paragraph" w:styleId="19">
    <w:name w:val="Body Text"/>
    <w:basedOn w:val="1"/>
    <w:link w:val="55"/>
    <w:qFormat/>
    <w:uiPriority w:val="99"/>
    <w:pPr>
      <w:spacing w:after="120"/>
    </w:pPr>
    <w:rPr>
      <w:rFonts w:eastAsia="Times New Roman"/>
    </w:rPr>
  </w:style>
  <w:style w:type="paragraph" w:styleId="20">
    <w:name w:val="annotation text"/>
    <w:basedOn w:val="1"/>
    <w:link w:val="73"/>
    <w:unhideWhenUsed/>
    <w:qFormat/>
    <w:locked/>
    <w:uiPriority w:val="99"/>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qFormat/>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1"/>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qFormat/>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1"/>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99"/>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3">
    <w:name w:val="Nível 1-Sem Num Char"/>
    <w:basedOn w:val="64"/>
    <w:link w:val="372"/>
    <w:uiPriority w:val="0"/>
    <w:rPr>
      <w:rFonts w:asciiTheme="minorHAnsi" w:hAnsiTheme="minorHAnsi" w:eastAsiaTheme="majorEastAsia" w:cstheme="minorHAnsi"/>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uiPriority w:val="0"/>
    <w:pPr>
      <w:spacing w:before="100" w:beforeAutospacing="1" w:after="100" w:afterAutospacing="1"/>
    </w:pPr>
    <w:rPr>
      <w:rFonts w:eastAsia="Times New Roman"/>
    </w:rPr>
  </w:style>
  <w:style w:type="paragraph" w:customStyle="1" w:styleId="384">
    <w:name w:val="em_0020ementa"/>
    <w:basedOn w:val="1"/>
    <w:uiPriority w:val="0"/>
    <w:pPr>
      <w:ind w:left="4160"/>
      <w:jc w:val="both"/>
    </w:pPr>
    <w:rPr>
      <w:rFonts w:eastAsia="Times New Roman"/>
      <w:sz w:val="28"/>
      <w:szCs w:val="28"/>
    </w:rPr>
  </w:style>
  <w:style w:type="character" w:customStyle="1" w:styleId="385">
    <w:name w:val="cp_0020corpodespacho__char1"/>
    <w:uiPriority w:val="0"/>
    <w:rPr>
      <w:rFonts w:hint="default" w:ascii="Times New Roman" w:hAnsi="Times New Roman" w:cs="Times New Roman"/>
      <w:sz w:val="26"/>
      <w:szCs w:val="26"/>
      <w:u w:val="none"/>
    </w:rPr>
  </w:style>
  <w:style w:type="character" w:customStyle="1" w:styleId="386">
    <w:name w:val="em_0020ementa__char1"/>
    <w:uiPriority w:val="0"/>
    <w:rPr>
      <w:rFonts w:hint="default" w:ascii="Times New Roman" w:hAnsi="Times New Roman" w:cs="Times New Roman"/>
      <w:sz w:val="28"/>
      <w:szCs w:val="28"/>
      <w:u w:val="none"/>
    </w:rPr>
  </w:style>
  <w:style w:type="character" w:customStyle="1" w:styleId="387">
    <w:name w:val="Manoel"/>
    <w:uiPriority w:val="0"/>
    <w:rPr>
      <w:rFonts w:ascii="Arial" w:hAnsi="Arial" w:cs="Arial"/>
      <w:color w:val="7030A0"/>
      <w:sz w:val="20"/>
    </w:rPr>
  </w:style>
  <w:style w:type="paragraph" w:customStyle="1" w:styleId="388">
    <w:name w:val="texto1"/>
    <w:basedOn w:val="1"/>
    <w:uiPriority w:val="0"/>
    <w:pPr>
      <w:spacing w:before="100" w:beforeAutospacing="1" w:after="100" w:afterAutospacing="1"/>
    </w:pPr>
    <w:rPr>
      <w:rFonts w:eastAsia="Times New Roman"/>
    </w:rPr>
  </w:style>
  <w:style w:type="paragraph" w:customStyle="1" w:styleId="389">
    <w:name w:val="x_western"/>
    <w:basedOn w:val="1"/>
    <w:uiPriority w:val="0"/>
    <w:pPr>
      <w:spacing w:before="100" w:beforeAutospacing="1" w:after="100" w:afterAutospacing="1"/>
    </w:pPr>
    <w:rPr>
      <w:rFonts w:eastAsia="Times New Roman"/>
    </w:rPr>
  </w:style>
  <w:style w:type="paragraph" w:customStyle="1" w:styleId="390">
    <w:name w:val="TCU - Ac - item 9 - §§_0"/>
    <w:basedOn w:val="1"/>
    <w:uiPriority w:val="0"/>
    <w:pPr>
      <w:ind w:firstLine="1134"/>
      <w:jc w:val="both"/>
    </w:pPr>
    <w:rPr>
      <w:rFonts w:eastAsia="Times New Roman"/>
      <w:szCs w:val="22"/>
      <w:lang w:eastAsia="en-US"/>
    </w:rPr>
  </w:style>
  <w:style w:type="paragraph" w:customStyle="1" w:styleId="391">
    <w:name w:val="Normal_1"/>
    <w:qFormat/>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qFormat/>
    <w:uiPriority w:val="0"/>
    <w:pPr>
      <w:spacing w:before="100" w:beforeAutospacing="1" w:after="100" w:afterAutospacing="1"/>
    </w:pPr>
    <w:rPr>
      <w:rFonts w:eastAsia="Times New Roman"/>
    </w:rPr>
  </w:style>
  <w:style w:type="paragraph" w:customStyle="1" w:styleId="393">
    <w:name w:val="texto_justificado_recuo_primeira_linha"/>
    <w:basedOn w:val="1"/>
    <w:qFormat/>
    <w:uiPriority w:val="0"/>
    <w:pPr>
      <w:spacing w:before="100" w:beforeAutospacing="1" w:after="100" w:afterAutospacing="1"/>
    </w:pPr>
    <w:rPr>
      <w:rFonts w:eastAsia="Times New Roman"/>
    </w:rPr>
  </w:style>
  <w:style w:type="character" w:customStyle="1" w:styleId="394">
    <w:name w:val="highlight"/>
    <w:basedOn w:val="9"/>
    <w:qFormat/>
    <w:uiPriority w:val="0"/>
  </w:style>
  <w:style w:type="paragraph" w:customStyle="1" w:styleId="395">
    <w:name w:val="texto_justificado"/>
    <w:basedOn w:val="1"/>
    <w:qFormat/>
    <w:uiPriority w:val="0"/>
    <w:pPr>
      <w:spacing w:before="100" w:beforeAutospacing="1" w:after="100" w:afterAutospacing="1"/>
    </w:pPr>
    <w:rPr>
      <w:rFonts w:eastAsia="Times New Roman"/>
    </w:rPr>
  </w:style>
  <w:style w:type="character" w:customStyle="1" w:styleId="396">
    <w:name w:val="Menção Pendente1"/>
    <w:basedOn w:val="9"/>
    <w:semiHidden/>
    <w:unhideWhenUsed/>
    <w:qFormat/>
    <w:uiPriority w:val="99"/>
    <w:rPr>
      <w:color w:val="605E5C"/>
      <w:shd w:val="clear" w:color="auto" w:fill="E1DFDD"/>
    </w:rPr>
  </w:style>
  <w:style w:type="character" w:customStyle="1" w:styleId="397">
    <w:name w:val="Menção Pendente2"/>
    <w:basedOn w:val="9"/>
    <w:semiHidden/>
    <w:unhideWhenUsed/>
    <w:qFormat/>
    <w:uiPriority w:val="99"/>
    <w:rPr>
      <w:color w:val="605E5C"/>
      <w:shd w:val="clear" w:color="auto" w:fill="E1DFDD"/>
    </w:rPr>
  </w:style>
  <w:style w:type="paragraph" w:customStyle="1" w:styleId="398">
    <w:name w:val="Nível 2 Opcional"/>
    <w:basedOn w:val="82"/>
    <w:link w:val="400"/>
    <w:qFormat/>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qFormat/>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qFormat/>
    <w:uiPriority w:val="0"/>
    <w:rPr>
      <w:rFonts w:ascii="Arial" w:hAnsi="Arial" w:eastAsia="Times New Roman" w:cs="Arial"/>
      <w:i/>
      <w:color w:val="FF0000"/>
      <w:sz w:val="18"/>
      <w:szCs w:val="18"/>
      <w:lang w:eastAsia="en-US"/>
    </w:rPr>
  </w:style>
  <w:style w:type="character" w:customStyle="1" w:styleId="401">
    <w:name w:val="Nível 3 Opcional Char"/>
    <w:basedOn w:val="9"/>
    <w:link w:val="399"/>
    <w:qFormat/>
    <w:uiPriority w:val="0"/>
    <w:rPr>
      <w:rFonts w:ascii="Arial" w:hAnsi="Arial" w:eastAsia="Times New Roman" w:cs="Arial"/>
      <w:i/>
      <w:iCs/>
      <w:color w:val="FF0000"/>
    </w:rPr>
  </w:style>
  <w:style w:type="character" w:styleId="402">
    <w:name w:val="Placeholder Text"/>
    <w:basedOn w:val="9"/>
    <w:semiHidden/>
    <w:qFormat/>
    <w:uiPriority w:val="67"/>
    <w:rPr>
      <w:color w:val="808080"/>
    </w:rPr>
  </w:style>
  <w:style w:type="paragraph" w:customStyle="1" w:styleId="403">
    <w:name w:val="corpo"/>
    <w:basedOn w:val="1"/>
    <w:qFormat/>
    <w:uiPriority w:val="0"/>
    <w:pPr>
      <w:spacing w:before="100" w:beforeAutospacing="1" w:after="100" w:afterAutospacing="1"/>
    </w:pPr>
    <w:rPr>
      <w:rFonts w:eastAsia="Times New Roman"/>
    </w:rPr>
  </w:style>
  <w:style w:type="paragraph" w:customStyle="1" w:styleId="404">
    <w:name w:val="item_nivel2"/>
    <w:basedOn w:val="1"/>
    <w:qFormat/>
    <w:uiPriority w:val="0"/>
    <w:pPr>
      <w:spacing w:before="100" w:beforeAutospacing="1" w:after="100" w:afterAutospacing="1"/>
    </w:pPr>
    <w:rPr>
      <w:rFonts w:eastAsia="Times New Roman"/>
    </w:rPr>
  </w:style>
  <w:style w:type="paragraph" w:customStyle="1" w:styleId="405">
    <w:name w:val="item_nivel1"/>
    <w:basedOn w:val="1"/>
    <w:qFormat/>
    <w:uiPriority w:val="0"/>
    <w:pPr>
      <w:spacing w:before="100" w:beforeAutospacing="1" w:after="100" w:afterAutospacing="1"/>
    </w:pPr>
    <w:rPr>
      <w:rFonts w:eastAsia="Times New Roman"/>
    </w:rPr>
  </w:style>
  <w:style w:type="paragraph" w:customStyle="1" w:styleId="406">
    <w:name w:val="item_alinea_letra"/>
    <w:basedOn w:val="1"/>
    <w:qFormat/>
    <w:uiPriority w:val="0"/>
    <w:pPr>
      <w:spacing w:before="100" w:beforeAutospacing="1" w:after="100" w:afterAutospacing="1"/>
    </w:pPr>
    <w:rPr>
      <w:rFonts w:eastAsia="Times New Roman"/>
    </w:rPr>
  </w:style>
  <w:style w:type="character" w:customStyle="1" w:styleId="407">
    <w:name w:val="markedcontent"/>
    <w:basedOn w:val="9"/>
    <w:qFormat/>
    <w:uiPriority w:val="0"/>
  </w:style>
  <w:style w:type="paragraph" w:customStyle="1" w:styleId="408">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qFormat/>
    <w:uiPriority w:val="0"/>
    <w:pPr>
      <w:spacing w:after="140" w:line="276" w:lineRule="auto"/>
    </w:pPr>
  </w:style>
  <w:style w:type="character" w:customStyle="1" w:styleId="410">
    <w:name w:val="Menção Pendente3"/>
    <w:basedOn w:val="9"/>
    <w:semiHidden/>
    <w:unhideWhenUsed/>
    <w:qFormat/>
    <w:uiPriority w:val="99"/>
    <w:rPr>
      <w:color w:val="605E5C"/>
      <w:shd w:val="clear" w:color="auto" w:fill="E1DFDD"/>
    </w:rPr>
  </w:style>
  <w:style w:type="character" w:customStyle="1" w:styleId="411">
    <w:name w:val="Menção Pendente4"/>
    <w:basedOn w:val="9"/>
    <w:semiHidden/>
    <w:unhideWhenUsed/>
    <w:qFormat/>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qFormat/>
    <w:uiPriority w:val="0"/>
    <w:rPr>
      <w:rFonts w:ascii="Arial" w:hAnsi="Arial" w:cs="Arial" w:eastAsiaTheme="minorHAnsi"/>
      <w:b/>
      <w:bCs/>
      <w:i/>
      <w:iCs/>
      <w:color w:val="FF0000"/>
      <w:sz w:val="24"/>
      <w:szCs w:val="24"/>
      <w:u w:val="single"/>
    </w:rPr>
  </w:style>
  <w:style w:type="paragraph" w:customStyle="1" w:styleId="414">
    <w:name w:val="dou-paragraph"/>
    <w:basedOn w:val="1"/>
    <w:qFormat/>
    <w:uiPriority w:val="0"/>
    <w:pPr>
      <w:spacing w:before="100" w:beforeAutospacing="1" w:after="100" w:afterAutospacing="1"/>
    </w:pPr>
    <w:rPr>
      <w:rFonts w:eastAsia="Times New Roman"/>
    </w:rPr>
  </w:style>
  <w:style w:type="character" w:customStyle="1" w:styleId="415">
    <w:name w:val="Nível 4-R Char"/>
    <w:basedOn w:val="365"/>
    <w:link w:val="376"/>
    <w:qFormat/>
    <w:uiPriority w:val="0"/>
    <w:rPr>
      <w:rFonts w:ascii="Arial" w:hAnsi="Arial" w:cs="Arial" w:eastAsiaTheme="minorEastAsia"/>
      <w:i/>
      <w:iCs/>
      <w:color w:val="FF0000"/>
      <w:sz w:val="24"/>
    </w:rPr>
  </w:style>
  <w:style w:type="paragraph" w:customStyle="1" w:styleId="416">
    <w:name w:val="Preâmbulo"/>
    <w:basedOn w:val="1"/>
    <w:link w:val="417"/>
    <w:qFormat/>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qFormat/>
    <w:uiPriority w:val="0"/>
    <w:rPr>
      <w:rFonts w:ascii="Arial" w:hAnsi="Arial" w:eastAsia="Arial" w:cs="Arial"/>
      <w:bCs/>
    </w:rPr>
  </w:style>
  <w:style w:type="character" w:customStyle="1" w:styleId="418">
    <w:name w:val="Mention non résolue1"/>
    <w:basedOn w:val="9"/>
    <w:semiHidden/>
    <w:unhideWhenUsed/>
    <w:qFormat/>
    <w:uiPriority w:val="99"/>
    <w:rPr>
      <w:color w:val="605E5C"/>
      <w:shd w:val="clear" w:color="auto" w:fill="E1DFDD"/>
    </w:rPr>
  </w:style>
  <w:style w:type="character" w:customStyle="1" w:styleId="419">
    <w:name w:val="findhit"/>
    <w:basedOn w:val="9"/>
    <w:qFormat/>
    <w:uiPriority w:val="0"/>
  </w:style>
  <w:style w:type="paragraph" w:customStyle="1" w:styleId="420">
    <w:name w:val="Nivel 3-erro"/>
    <w:basedOn w:val="332"/>
    <w:link w:val="421"/>
    <w:qFormat/>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qFormat/>
    <w:uiPriority w:val="0"/>
    <w:rPr>
      <w:rFonts w:ascii="Arial" w:hAnsi="Arial" w:cs="Tahoma" w:eastAsiaTheme="minorEastAsia"/>
      <w:szCs w:val="24"/>
    </w:rPr>
  </w:style>
  <w:style w:type="paragraph" w:customStyle="1" w:styleId="422">
    <w:name w:val="Alterações"/>
    <w:basedOn w:val="1"/>
    <w:link w:val="423"/>
    <w:qFormat/>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qFormat/>
    <w:uiPriority w:val="1"/>
    <w:rPr>
      <w:rFonts w:ascii="Arial" w:hAnsi="Arial" w:cs="Arial" w:eastAsiaTheme="minorEastAsia"/>
      <w:i/>
      <w:iCs/>
      <w:color w:val="0000FF"/>
    </w:rPr>
  </w:style>
  <w:style w:type="character" w:customStyle="1" w:styleId="424">
    <w:name w:val="Mention"/>
    <w:basedOn w:val="9"/>
    <w:unhideWhenUsed/>
    <w:qFormat/>
    <w:uiPriority w:val="99"/>
    <w:rPr>
      <w:color w:val="2B579A"/>
      <w:shd w:val="clear" w:color="auto" w:fill="E6E6E6"/>
    </w:rPr>
  </w:style>
  <w:style w:type="character" w:customStyle="1" w:styleId="425">
    <w:name w:val="Unresolved Mention"/>
    <w:basedOn w:val="9"/>
    <w:semiHidden/>
    <w:unhideWhenUsed/>
    <w:qFormat/>
    <w:uiPriority w:val="99"/>
    <w:rPr>
      <w:color w:val="605E5C"/>
      <w:shd w:val="clear" w:color="auto" w:fill="E1DFDD"/>
    </w:rPr>
  </w:style>
  <w:style w:type="paragraph" w:customStyle="1" w:styleId="426">
    <w:name w:val="nivel2"/>
    <w:basedOn w:val="1"/>
    <w:qFormat/>
    <w:uiPriority w:val="0"/>
    <w:pPr>
      <w:spacing w:before="100" w:beforeAutospacing="1" w:after="100" w:afterAutospacing="1"/>
    </w:pPr>
    <w:rPr>
      <w:rFonts w:eastAsia="Times New Roman"/>
    </w:rPr>
  </w:style>
  <w:style w:type="character" w:customStyle="1" w:styleId="427">
    <w:name w:val="linkdainternet"/>
    <w:basedOn w:val="9"/>
    <w:qFormat/>
    <w:uiPriority w:val="0"/>
  </w:style>
  <w:style w:type="paragraph" w:customStyle="1" w:styleId="428">
    <w:name w:val="TOC Heading"/>
    <w:basedOn w:val="2"/>
    <w:next w:val="1"/>
    <w:unhideWhenUsed/>
    <w:qFormat/>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 w:type="paragraph" w:customStyle="1" w:styleId="429">
    <w:name w:val="Nivel 2-Opcional"/>
    <w:basedOn w:val="1"/>
    <w:autoRedefine/>
    <w:qFormat/>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paragraph" w:customStyle="1" w:styleId="430">
    <w:name w:val="Nível 1-Sem Numeração"/>
    <w:basedOn w:val="372"/>
    <w:link w:val="431"/>
    <w:autoRedefine/>
    <w:qFormat/>
    <w:uiPriority w:val="0"/>
    <w:pPr>
      <w:keepNext w:val="0"/>
      <w:keepLines w:val="0"/>
      <w:tabs>
        <w:tab w:val="clear" w:pos="567"/>
      </w:tabs>
      <w:spacing w:before="120" w:after="120" w:line="276" w:lineRule="auto"/>
    </w:pPr>
    <w:rPr>
      <w:rFonts w:ascii="Arial" w:hAnsi="Arial" w:eastAsia="Arial" w:cs="Arial"/>
      <w:bCs w:val="0"/>
    </w:rPr>
  </w:style>
  <w:style w:type="character" w:customStyle="1" w:styleId="431">
    <w:name w:val="Nível 1-Sem Numeração Char"/>
    <w:basedOn w:val="373"/>
    <w:link w:val="430"/>
    <w:qFormat/>
    <w:uiPriority w:val="0"/>
    <w:rPr>
      <w:rFonts w:ascii="Arial" w:hAnsi="Arial" w:eastAsia="Arial" w:cs="Arial"/>
      <w:bCs w:val="0"/>
      <w:color w:val="000000"/>
      <w:sz w:val="22"/>
      <w:szCs w:val="22"/>
      <w:u w:val="single"/>
    </w:rPr>
  </w:style>
  <w:style w:type="paragraph" w:customStyle="1" w:styleId="432">
    <w:name w:val="Nível 2-Opcional"/>
    <w:basedOn w:val="1"/>
    <w:link w:val="433"/>
    <w:qFormat/>
    <w:uiPriority w:val="0"/>
    <w:pPr>
      <w:numPr>
        <w:ilvl w:val="1"/>
        <w:numId w:val="3"/>
      </w:numPr>
      <w:spacing w:before="120" w:after="120" w:line="276" w:lineRule="auto"/>
      <w:ind w:left="0" w:firstLine="0"/>
      <w:jc w:val="both"/>
    </w:pPr>
    <w:rPr>
      <w:rFonts w:ascii="Arial" w:hAnsi="Arial" w:eastAsia="Arial" w:cs="Arial"/>
      <w:i/>
      <w:iCs/>
      <w:color w:val="FF0000"/>
      <w:sz w:val="20"/>
      <w:szCs w:val="20"/>
    </w:rPr>
  </w:style>
  <w:style w:type="character" w:customStyle="1" w:styleId="433">
    <w:name w:val="Nível 2-Opcional Char"/>
    <w:basedOn w:val="9"/>
    <w:link w:val="432"/>
    <w:qFormat/>
    <w:uiPriority w:val="0"/>
    <w:rPr>
      <w:rFonts w:ascii="Arial" w:hAnsi="Arial" w:eastAsia="Arial" w:cs="Arial"/>
      <w:i/>
      <w:iCs/>
      <w:color w:val="FF0000"/>
    </w:rPr>
  </w:style>
  <w:style w:type="table" w:customStyle="1" w:styleId="434">
    <w:name w:val="Table Normal1"/>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435">
    <w:name w:val="Table Normal2"/>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436">
    <w:name w:val="Nível 02"/>
    <w:basedOn w:val="429"/>
    <w:link w:val="437"/>
    <w:autoRedefine/>
    <w:qFormat/>
    <w:uiPriority w:val="0"/>
    <w:pPr>
      <w:shd w:val="clear" w:color="auto" w:fill="auto"/>
    </w:pPr>
    <w:rPr>
      <w:i w:val="0"/>
      <w:iCs/>
      <w:color w:val="auto"/>
    </w:rPr>
  </w:style>
  <w:style w:type="character" w:customStyle="1" w:styleId="437">
    <w:name w:val="Nível 02 Char"/>
    <w:basedOn w:val="9"/>
    <w:link w:val="436"/>
    <w:qFormat/>
    <w:uiPriority w:val="0"/>
    <w:rPr>
      <w:rFonts w:ascii="Arial" w:hAnsi="Arial" w:eastAsia="Arial" w:cs="Arial"/>
      <w:iCs/>
    </w:rPr>
  </w:style>
  <w:style w:type="character" w:customStyle="1" w:styleId="438">
    <w:name w:val="WW8Num1z0"/>
    <w:qFormat/>
    <w:uiPriority w:val="0"/>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B4B26-BDB2-4596-90AC-FCA557278AA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81</Pages>
  <Words>22851</Words>
  <Characters>123399</Characters>
  <Lines>1028</Lines>
  <Paragraphs>291</Paragraphs>
  <TotalTime>1</TotalTime>
  <ScaleCrop>false</ScaleCrop>
  <LinksUpToDate>false</LinksUpToDate>
  <CharactersWithSpaces>145959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2025-06-09T15:55:00Z</dcterms:created>
  <dc:creator>NAJSP</dc:creator>
  <cp:lastModifiedBy>barbara.lopo</cp:lastModifiedBy>
  <cp:lastPrinted>2025-06-09T16:10:00Z</cp:lastPrinted>
  <dcterms:modified xsi:type="dcterms:W3CDTF">2025-06-18T14:19:44Z</dcterms:modified>
  <dc:title>PROCESSO Nº 23066</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1046-12.2.0.21546</vt:lpwstr>
  </property>
  <property fmtid="{D5CDD505-2E9C-101B-9397-08002B2CF9AE}" pid="10" name="ICV">
    <vt:lpwstr>93C00502B5A64151B2EF9AD2AAB76A3A_13</vt:lpwstr>
  </property>
</Properties>
</file>