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A62EA">
      <w:pPr>
        <w:spacing w:beforeAutospacing="1" w:afterAutospacing="1"/>
        <w:jc w:val="center"/>
        <w:outlineLvl w:val="2"/>
        <w:rPr>
          <w:rFonts w:ascii="Calibri" w:hAnsi="Calibri" w:cs="Calibri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  <w:u w:val="single"/>
          <w:lang w:eastAsia="ar-SA"/>
        </w:rPr>
        <w:t>TERMO DE REFERÊNCIA</w:t>
      </w:r>
    </w:p>
    <w:p w14:paraId="7291918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As especificações descritas neste documento têm como objetivo estabelecer as diretrizes para orientar as empresas interessadas no fornecimento/prestação de serviço para a Secretaria Municipal de Saúde/SMS/PMP, a fim de subsidiar a proposta apresentada.</w:t>
      </w:r>
    </w:p>
    <w:p w14:paraId="558814A6">
      <w:pPr>
        <w:jc w:val="both"/>
        <w:rPr>
          <w:rFonts w:ascii="Calibri" w:hAnsi="Calibri" w:cs="Calibri"/>
          <w:sz w:val="22"/>
          <w:szCs w:val="22"/>
        </w:rPr>
      </w:pPr>
    </w:p>
    <w:p w14:paraId="608CF7D9">
      <w:pPr>
        <w:pStyle w:val="38"/>
        <w:numPr>
          <w:ilvl w:val="0"/>
          <w:numId w:val="1"/>
        </w:numPr>
        <w:spacing w:after="240" w:line="240" w:lineRule="auto"/>
        <w:ind w:left="924" w:hanging="357"/>
        <w:jc w:val="both"/>
        <w:rPr>
          <w:rFonts w:cs="Calibri"/>
        </w:rPr>
      </w:pPr>
      <w:r>
        <w:rPr>
          <w:rFonts w:cs="Calibri"/>
          <w:b/>
        </w:rPr>
        <w:t>JUSTIFICATIVA:</w:t>
      </w:r>
    </w:p>
    <w:p w14:paraId="1B0D2DFB">
      <w:pPr>
        <w:spacing w:after="120"/>
        <w:ind w:firstLine="567"/>
        <w:jc w:val="both"/>
        <w:rPr>
          <w:rFonts w:ascii="Calibri" w:hAnsi="Calibri" w:eastAsia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Município, por intermédio da Secretaria Municipal de Saúde, cumprindo uma das prioridades do governo municipal através da SMS, tendo como necessidade a aquisição de </w:t>
      </w:r>
      <w:r>
        <w:rPr>
          <w:rFonts w:ascii="Calibri" w:hAnsi="Calibri" w:eastAsia="Calibri" w:cs="Calibri"/>
          <w:b/>
          <w:bCs/>
          <w:sz w:val="22"/>
          <w:szCs w:val="22"/>
        </w:rPr>
        <w:t>MEDICAMENTOS NÃO ADQUIRIDOS, PARA 12 MESES DE CONSUMO, PARA ATENDER PROCESSOS ADMINISTRATIVO-JUDICIAIS – SAC 359/24 – REGISTRO DE PREÇOS</w:t>
      </w:r>
    </w:p>
    <w:p w14:paraId="63A9AA1B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bCs/>
          <w:sz w:val="22"/>
          <w:szCs w:val="22"/>
        </w:rPr>
        <w:t xml:space="preserve">Desta </w:t>
      </w:r>
      <w:r>
        <w:rPr>
          <w:rFonts w:ascii="Calibri" w:hAnsi="Calibri" w:cs="Calibri"/>
          <w:sz w:val="22"/>
          <w:szCs w:val="22"/>
        </w:rPr>
        <w:t>forma, por intermédio da Secretaria Municipal de Saúde, vimos solicitar a aquisição/contratação do objeto abaixo:</w:t>
      </w:r>
    </w:p>
    <w:p w14:paraId="7EEFC949">
      <w:pPr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 OBJETO:</w:t>
      </w:r>
    </w:p>
    <w:p w14:paraId="500A02E9">
      <w:pPr>
        <w:spacing w:after="120"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MEDICAMENTOS NÃO ADQUIRIDOS, PARA 12 MESES DE CONSUMO, PARA ATENDER PROCESSOS ADMINISTRATIVO-JUDICIAIS – SAC 359/24 – REGISTRO DE PREÇOS</w:t>
      </w:r>
    </w:p>
    <w:p w14:paraId="2B1E7532">
      <w:pPr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 PRAZOS:</w:t>
      </w:r>
    </w:p>
    <w:p w14:paraId="4A82BCC1">
      <w:pPr>
        <w:pStyle w:val="44"/>
        <w:widowControl/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ab/>
      </w:r>
      <w:r>
        <w:rPr>
          <w:rFonts w:ascii="Calibri" w:hAnsi="Calibri" w:eastAsia="Times New Roman" w:cs="Calibri"/>
          <w:bCs/>
          <w:sz w:val="22"/>
          <w:szCs w:val="22"/>
        </w:rPr>
        <w:t xml:space="preserve">O prazo de entrega ou execução dos serviços será de </w:t>
      </w:r>
      <w:r>
        <w:rPr>
          <w:rFonts w:ascii="Calibri" w:hAnsi="Calibri" w:eastAsia="Times New Roman" w:cs="Calibri"/>
          <w:b/>
          <w:bCs/>
          <w:sz w:val="22"/>
          <w:szCs w:val="22"/>
        </w:rPr>
        <w:t>10 DIAS (</w:t>
      </w:r>
      <w:r>
        <w:rPr>
          <w:rFonts w:ascii="Calibri" w:hAnsi="Calibri" w:eastAsia="Times New Roman" w:cs="Calibri"/>
          <w:b/>
          <w:spacing w:val="10"/>
          <w:sz w:val="22"/>
          <w:szCs w:val="22"/>
        </w:rPr>
        <w:t>DEZ DIAS UTEIS)</w:t>
      </w:r>
      <w:r>
        <w:rPr>
          <w:rFonts w:ascii="Calibri" w:hAnsi="Calibri" w:eastAsia="Times New Roman" w:cs="Calibri"/>
          <w:b/>
          <w:bCs/>
          <w:sz w:val="22"/>
          <w:szCs w:val="22"/>
        </w:rPr>
        <w:t xml:space="preserve"> APÓS EMISSÃO DO EMPENHO</w:t>
      </w:r>
      <w:r>
        <w:rPr>
          <w:rFonts w:ascii="Calibri" w:hAnsi="Calibri" w:eastAsia="Times New Roman" w:cs="Calibri"/>
          <w:b/>
          <w:bCs/>
          <w:spacing w:val="10"/>
          <w:sz w:val="22"/>
          <w:szCs w:val="22"/>
        </w:rPr>
        <w:t>,</w:t>
      </w:r>
      <w:r>
        <w:rPr>
          <w:rFonts w:ascii="Calibri" w:hAnsi="Calibri" w:eastAsia="Times New Roman" w:cs="Calibri"/>
          <w:b/>
          <w:bCs/>
          <w:color w:val="FF0000"/>
          <w:spacing w:val="10"/>
          <w:sz w:val="22"/>
          <w:szCs w:val="22"/>
        </w:rPr>
        <w:t xml:space="preserve"> </w:t>
      </w:r>
      <w:r>
        <w:rPr>
          <w:rFonts w:ascii="Calibri" w:hAnsi="Calibri" w:eastAsia="Times New Roman" w:cs="Calibri"/>
          <w:bCs/>
          <w:sz w:val="22"/>
          <w:szCs w:val="22"/>
        </w:rPr>
        <w:t>conforme Termo de Contrato</w:t>
      </w:r>
      <w:r>
        <w:rPr>
          <w:rFonts w:ascii="Calibri" w:hAnsi="Calibri" w:eastAsia="Times New Roman" w:cs="Calibri"/>
          <w:sz w:val="22"/>
          <w:szCs w:val="22"/>
        </w:rPr>
        <w:t>, a partir da sua assinatura ou do recebimento da Solicitação de Autorização de Fornecimento (SAF), acompanhada da(s) Nota(s) de Empenho(s) correspondente(s).</w:t>
      </w:r>
    </w:p>
    <w:p w14:paraId="14901DCB">
      <w:pPr>
        <w:pStyle w:val="44"/>
        <w:ind w:firstLine="567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4. CRITÉRIO DE JULGAMENTO</w:t>
      </w:r>
    </w:p>
    <w:p w14:paraId="77D3BAE0">
      <w:pPr>
        <w:pStyle w:val="44"/>
        <w:ind w:firstLine="567"/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  <w:u w:val="single"/>
        </w:rPr>
        <w:t>Menor preço por item</w:t>
      </w:r>
    </w:p>
    <w:p w14:paraId="10B5242E">
      <w:pPr>
        <w:pStyle w:val="38"/>
        <w:spacing w:after="120" w:line="240" w:lineRule="auto"/>
        <w:ind w:left="567"/>
        <w:jc w:val="both"/>
        <w:rPr>
          <w:rFonts w:cs="Calibri"/>
          <w:b/>
        </w:rPr>
      </w:pPr>
    </w:p>
    <w:p w14:paraId="1039B57B">
      <w:pPr>
        <w:pStyle w:val="38"/>
        <w:spacing w:after="120" w:line="240" w:lineRule="auto"/>
        <w:ind w:left="567"/>
        <w:jc w:val="both"/>
        <w:rPr>
          <w:rFonts w:cs="Calibri"/>
        </w:rPr>
      </w:pPr>
      <w:r>
        <w:rPr>
          <w:rFonts w:cs="Calibri"/>
          <w:b/>
        </w:rPr>
        <w:t>5. MODO E LOCAL DO FORNECIMENTO:</w:t>
      </w:r>
    </w:p>
    <w:p w14:paraId="10F3EF1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5.1. A entrega dos insumos e/ou execução dos serviços serão efetuadas:</w:t>
      </w:r>
    </w:p>
    <w:p w14:paraId="792779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entrega ou execução dos serviços serão efetuadas à </w:t>
      </w:r>
      <w:r>
        <w:rPr>
          <w:rFonts w:ascii="Calibri" w:hAnsi="Calibri" w:cs="Calibri"/>
          <w:sz w:val="22"/>
          <w:szCs w:val="22"/>
        </w:rPr>
        <w:t xml:space="preserve">Rua Quissamã, 1931 – Condomínio Industrial, 1931 Galpão 6B - Bairro: Quissamã - CEP: 25615- 531, de </w:t>
      </w:r>
      <w:r>
        <w:rPr>
          <w:rFonts w:ascii="Calibri" w:hAnsi="Calibri" w:cs="Calibri"/>
          <w:sz w:val="22"/>
          <w:szCs w:val="22"/>
          <w:u w:val="single"/>
        </w:rPr>
        <w:t>Segunda à Sexta Feira de 8.00 as 16.00h</w:t>
      </w:r>
      <w:r>
        <w:rPr>
          <w:rFonts w:ascii="Calibri" w:hAnsi="Calibri" w:cs="Calibri"/>
          <w:sz w:val="22"/>
          <w:szCs w:val="22"/>
        </w:rPr>
        <w:t xml:space="preserve">  - TEL. (24) 22216595</w:t>
      </w:r>
    </w:p>
    <w:p w14:paraId="7A59F1AD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5.2. Prazo e validade da proposta:</w:t>
      </w:r>
    </w:p>
    <w:p w14:paraId="679983A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O prazo da proposta não poderá ser inferior a 60 (sessenta) dias.</w:t>
      </w:r>
    </w:p>
    <w:p w14:paraId="075C05E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5.3. Descrição detalhada do produto e ou serviço:</w:t>
      </w:r>
    </w:p>
    <w:p w14:paraId="705BCBF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3"/>
        <w:tblW w:w="9923" w:type="dxa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2"/>
        <w:gridCol w:w="5494"/>
        <w:gridCol w:w="2410"/>
        <w:gridCol w:w="1417"/>
      </w:tblGrid>
      <w:tr w14:paraId="57E8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bottom"/>
          </w:tcPr>
          <w:p w14:paraId="0CAC49B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48942DD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Descrição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bottom"/>
          </w:tcPr>
          <w:p w14:paraId="77AEAA4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Unidade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bottom"/>
          </w:tcPr>
          <w:p w14:paraId="02C8441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Quantidade</w:t>
            </w:r>
          </w:p>
        </w:tc>
      </w:tr>
      <w:tr w14:paraId="6ED1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1636C8E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4EC58B79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PAMIDRONATO DISSODICO 90MG - FRASCO/AMPOLA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0B84871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FRASCO/AMPOLA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763F209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14:paraId="4DF4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72BA62E9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73717BB4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RASAGILINA, MESILATO DE 1 MG (TIPO AZILECT)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63A39A5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1665798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</w:tr>
      <w:tr w14:paraId="70D6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350129E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08B292E4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OMALIZUMAB 150MG - (TIPO XOLAIR)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45B9D8D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FRASCO/AMPOLA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05C1A4A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14:paraId="35DB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692D2B5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04E50A85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OXCARBAZAPINA SUSPENSAO ORAL - (TIPO TRILEPTAL)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61D1363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FRASCO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321A4BD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</w:tr>
      <w:tr w14:paraId="4A71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4B9671D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659B0EA3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LIRAGLUTIDE 6 MG/ML - CANETA  (TIPO VICTOZA)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088D7DE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3722BB1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4000</w:t>
            </w:r>
          </w:p>
        </w:tc>
      </w:tr>
      <w:tr w14:paraId="4D58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70BE35A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4C1E64BF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FENOFIBRATO 160MG (TIPO LIPIDIL)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450BDC1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7306222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</w:tr>
      <w:tr w14:paraId="23FD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539195F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1332A3FC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L-TIROXINA SODICA 112 MCG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18C9B51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0D3421B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4000</w:t>
            </w:r>
          </w:p>
        </w:tc>
      </w:tr>
      <w:tr w14:paraId="27F0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4F09C4C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44CEE048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HYDROXIPROPIL GUAR 8A,POLIETILENOGLICOL 400,ÁCIDO BÓRICO,PROPILENOGLICOL,SORBITOL... TIPO SYSTANE UL - HYDROXIPROPIL GUAR 8A, POLIETILENOGLICOL 400, ÁCIDO BÓRICO, PROPILENOGLICOL, SORBITOL, CLORETO DE SÓDIO, CLORETO DE POTASSIO, POLIQUATERMIUM-1, AMINOMETILPROPANOL, HIDROXIDO DE SÓDIO E/OU ÁCIDO CLORÍDRICO E ÁGUA PURIFICADA (TIPO SYSTANE UL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4F7F09C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FRASCO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57A67559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14:paraId="7BCE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5BE8A73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0762F24C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IVABRADINA 7,5MG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79F60BD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6F32680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</w:tr>
      <w:tr w14:paraId="29FF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30E94E0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0163E486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DABIGATRAN, ETEXILATO 110MG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7042AB1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48A9827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6000</w:t>
            </w:r>
          </w:p>
        </w:tc>
      </w:tr>
      <w:tr w14:paraId="48B1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38816CB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58336AD6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DARIFENACINA 7,5 MG, BROMIDRATO (LIBER. PROLONGADA)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479677D9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72808D1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</w:tr>
      <w:tr w14:paraId="053D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535FB37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1973B9A4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DIPROPIONATO DE BECLOMETASONA 100 MCG + FUMARATO DE FORMOTEROL DI-HIDRATADO 6 MCG +BROMETO DE GLICOPIRRÔNIO 12,5 MCG/DOSE - FRASCO COM 120 DOSES (TIPO TRIMBOW)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07A575E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FRASCO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71A9415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</w:tr>
      <w:tr w14:paraId="4C67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1E6BE75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2C961BBE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DUPILUMABE 300MG - SERINGA 2ML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15B3118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SERINGA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11B4492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14:paraId="513B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2B4C40B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275B78AF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ACIDO VALPROICO 300 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7B31A0F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39FA452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</w:tr>
      <w:tr w14:paraId="023E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22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0201B85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170A5FD7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FORMULA INFANTIL ELEMENTAR NÃO ALERGENICA NUTRICIONALMENTE COMPLETA A BASE DE AMINOACIDOS(TIPO NEOCATE ADVANCED) - FÓRMULA DE AMINOÁCIDOS ELEMENTAR, NUTRICIONALMENTE COMPLETA, EM PÓ, PARA CRIANÇAS COM ALERGIAS ALIMENTARES OU DISTÚRBIOS DA DIGESTÃO E ABSORÇÃO DE NUTRIENTES. ÚNICA FÓRMULA DE AMINOÁCIDOS PARA CRIANÇAS COM SEGURANÇA E EFICÁCIA COMPROVADAS EM PACIENTES COM ALERGIAS ALIMENTARES. ISENTA DE PROTEÍNA LÁCTEA, LACTOSE, SACAROSE, GALACTOSE, FRUTOSE E GLÚTEN. NÃO CONTÉM GLÚTEN</w:t>
            </w:r>
            <w:r>
              <w:rPr>
                <w:rFonts w:ascii="Calibri" w:hAnsi="Calibri" w:cs="Calibri"/>
                <w:sz w:val="18"/>
                <w:szCs w:val="22"/>
              </w:rPr>
              <w:br w:type="textWrapping"/>
            </w:r>
            <w:r>
              <w:rPr>
                <w:rFonts w:ascii="Calibri" w:hAnsi="Calibri" w:cs="Calibri"/>
                <w:sz w:val="18"/>
                <w:szCs w:val="22"/>
              </w:rPr>
              <w:t>(TIPO NEOCATE ADVANCED)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040B7A5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LATA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47617E8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</w:tr>
      <w:tr w14:paraId="3E70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3DD7F8C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216FCC87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FORMULA INFANTIL A BASE DE PROTEINA ISOLADA DE SOJA (TIPO ISOMIL/NAN SOY/APTAMIL 2/ SOJA 2)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5906268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LATA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5C01719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</w:tr>
      <w:tr w14:paraId="3D14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049F8409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76990C48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BRIMONIDINA, TARTARATO  0,1%  SOL.OFT - 5ML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68791D2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FRASCO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095FD90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  <w:tr w14:paraId="282EA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5EAC527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13E4296C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BROMETO DE TIOTROPIO 2,5 MCG + OLODATEROL 2,5 MCG - FRASCO 60 DOSES (TIPO SPIOLTO)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3315E2A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FRASCO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69A6343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14:paraId="5265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1FF31B2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4C65711F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CALCIO CITRATO MALATO 250mg +VITAMINA D3 3mcg (TIPO PROSSO)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6AB196D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39F3A0A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8000</w:t>
            </w:r>
          </w:p>
        </w:tc>
      </w:tr>
      <w:tr w14:paraId="097E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2A28151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5EBE73B0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CARBAMAZEPINA 200 MG CR - LIBERAÇÃO PROLONGADA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4B6920B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 REVESTIDO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1B182CE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</w:tr>
      <w:tr w14:paraId="1B60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4CD82DD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1C64655B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CARMELOSE SÓDICA 5 MG/ML (TIPO LACRIFILM) FRASCO 15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ML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5291276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FRASCO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25A08D7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14:paraId="33B2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5C818F7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7169205E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ARPAGOPHYTUM PROCUMBENS - 400 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690B9E1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7DBC165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</w:t>
            </w:r>
          </w:p>
        </w:tc>
      </w:tr>
      <w:tr w14:paraId="34AB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4FBD03B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2143E091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CIPROFIBRATO 100 MG.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440ADBC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6F9EA84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20000</w:t>
            </w:r>
          </w:p>
        </w:tc>
      </w:tr>
      <w:tr w14:paraId="7AB6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31D7BF5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3CD44A91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IVABRADINA 5 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373D6DF9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4AB0C65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9000</w:t>
            </w:r>
          </w:p>
        </w:tc>
      </w:tr>
      <w:tr w14:paraId="5931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55C7F51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7311448C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LURASIDONA 40MG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787F919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51021D7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</w:tr>
      <w:tr w14:paraId="3EEE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4808BAE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11F6150B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ESCITALOPRAM 20 MG/ML - FRASCO 15ML (GOTAS)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28920F8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FRASCO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066A814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14:paraId="3BE9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6934B0F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2574E12C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ARIPIPRAZOL 10 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0FEF23B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643AB97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50000</w:t>
            </w:r>
          </w:p>
        </w:tc>
      </w:tr>
      <w:tr w14:paraId="4772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16389FB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1553EB5A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BUPROPIONA 150MG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4F78943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5FD9F3F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30000</w:t>
            </w:r>
          </w:p>
        </w:tc>
      </w:tr>
      <w:tr w14:paraId="5BD4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019F650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5AF44357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ROSUVASTATINA 20 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67C8537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0B37195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115000</w:t>
            </w:r>
          </w:p>
        </w:tc>
      </w:tr>
      <w:tr w14:paraId="2040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045B5CD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4004D009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TRAZODONA 50 MG, CLORIDRATO DE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13ADCAC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0D480DA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40000</w:t>
            </w:r>
          </w:p>
        </w:tc>
      </w:tr>
      <w:tr w14:paraId="08A5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697BDFD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5046AC32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TIAMAZOL 10 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4248CE6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7E2265B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1100</w:t>
            </w:r>
          </w:p>
        </w:tc>
      </w:tr>
      <w:tr w14:paraId="7C7F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58B1A89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329C7195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RESIDRONATO 150 MG (TIPO ACTONEL)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36BE2FB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3939E12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</w:tr>
      <w:tr w14:paraId="4B26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51A7240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141E09F8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SOLIFENACINA, SUCCINATO 5 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5F71385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158C871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</w:tr>
      <w:tr w14:paraId="15B4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2C7A237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64AF1645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L-TIROXINA SODICA 75 MCG.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2BF63BF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2066757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8000</w:t>
            </w:r>
          </w:p>
        </w:tc>
      </w:tr>
      <w:tr w14:paraId="0E43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4DB7E96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23825450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MAVACANTENO 5MG - CAPSULAS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59E93B8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CAPSULA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639CB7C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</w:tr>
      <w:tr w14:paraId="54F9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7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413E352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0A89F6AF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FORMULA INFANTIL PARA LACTENTES, PRIMEIRA INFANCIA, DE 0 A 36 MESES, PROTEINA LACTEA PARCIALMENTE HIDROLISADA - (TIPO APTAMIL SENSITIVE ACTIVE) – LATA 800G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69C93F0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LATA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6885181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</w:tr>
      <w:tr w14:paraId="5756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11C2BA6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76763445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SACUBITRIL 48,6 MG + VALSARTANA 51,4 MG - COMPRIMIDOS (TIPO ENTRESTO) - 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2FC02B0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7A3ED3F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13000</w:t>
            </w:r>
          </w:p>
        </w:tc>
      </w:tr>
      <w:tr w14:paraId="29A0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19F823E2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5F85461A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ACETATO DE ABIRATERONA 250MG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16DF4BB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0F6826B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</w:tr>
      <w:tr w14:paraId="7994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1E1C585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4076361C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ACIDO POLIACRILICO 0,2% GEL (OFTALM.) - TUBO 10G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1206999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BISNAGA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223F831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w14:paraId="2C56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5751494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64741269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ACIDO TIOCTICO 600 MG (TIPO THIOCTACID HR)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53F33124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33B11A9B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12000</w:t>
            </w:r>
          </w:p>
        </w:tc>
      </w:tr>
      <w:tr w14:paraId="42C6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0AE179F6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071076F0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ACIDO URSODESOXICOLICO 150 MG.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1DAF7AE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7009CB39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100000</w:t>
            </w:r>
          </w:p>
        </w:tc>
      </w:tr>
      <w:tr w14:paraId="16DF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4AA411B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13475B77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ACIDO ZOLEDRONICO 5 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338CA57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AMPOLA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35B5B4A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</w:tr>
      <w:tr w14:paraId="420D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137A3F7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53E0C85D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AFLIBERCEPTE 40MG/ML - FRASCO/AMPOLA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71736A5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FRASCO/AMPOLA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73C40557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14:paraId="168F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252BF001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21A3214B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ALECTINIBE 150MG - CAPSULAS (TIPO ALECENSA)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0A41064D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CAPSULA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7B9B7975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2880</w:t>
            </w:r>
          </w:p>
        </w:tc>
      </w:tr>
      <w:tr w14:paraId="6AD6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186C2ACC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08B2A2A3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ALPRAZOLAM 0,25 MG.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4816087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1050122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5000</w:t>
            </w:r>
          </w:p>
        </w:tc>
      </w:tr>
      <w:tr w14:paraId="30DE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35320E5E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5C5DFC18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ALPRAZOLAM 0,5MG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1C9D1DA8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52876FF3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30000</w:t>
            </w:r>
          </w:p>
        </w:tc>
      </w:tr>
      <w:tr w14:paraId="0248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02" w:type="dxa"/>
            <w:shd w:val="clear" w:color="auto" w:fill="F1F1F1" w:themeFill="background1" w:themeFillShade="F2"/>
            <w:vAlign w:val="center"/>
          </w:tcPr>
          <w:p w14:paraId="68B0F08A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5494" w:type="dxa"/>
            <w:shd w:val="clear" w:color="auto" w:fill="F1F1F1" w:themeFill="background1" w:themeFillShade="F2"/>
            <w:vAlign w:val="bottom"/>
          </w:tcPr>
          <w:p w14:paraId="6708CC93">
            <w:pPr>
              <w:tabs>
                <w:tab w:val="left" w:pos="1560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ALPRAZOLAM 1 MG.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 w14:paraId="579D1990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COMPRIMIDO</w:t>
            </w:r>
          </w:p>
        </w:tc>
        <w:tc>
          <w:tcPr>
            <w:tcW w:w="1417" w:type="dxa"/>
            <w:shd w:val="clear" w:color="auto" w:fill="F1F1F1" w:themeFill="background1" w:themeFillShade="F2"/>
            <w:vAlign w:val="center"/>
          </w:tcPr>
          <w:p w14:paraId="40EA944F">
            <w:pPr>
              <w:tabs>
                <w:tab w:val="left" w:pos="156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50000</w:t>
            </w:r>
          </w:p>
        </w:tc>
      </w:tr>
    </w:tbl>
    <w:p w14:paraId="32DF0A75">
      <w:pPr>
        <w:tabs>
          <w:tab w:val="left" w:pos="1560"/>
        </w:tabs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5.4. Das Amostras:</w:t>
      </w:r>
    </w:p>
    <w:p w14:paraId="31A101CD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Não é necessário envio de amostras para a presente solicitação.</w:t>
      </w:r>
    </w:p>
    <w:p w14:paraId="08CED10B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013655FC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 CONDIÇÕES DE PAGAMENTO:</w:t>
      </w:r>
    </w:p>
    <w:p w14:paraId="1C8D66DC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 pagamentos serão efetuados em </w:t>
      </w:r>
      <w:r>
        <w:rPr>
          <w:rFonts w:ascii="Calibri" w:hAnsi="Calibri" w:cs="Calibri"/>
          <w:b/>
          <w:bCs/>
          <w:sz w:val="22"/>
          <w:szCs w:val="22"/>
        </w:rPr>
        <w:t>30 (trinta) dias</w:t>
      </w:r>
      <w:r>
        <w:rPr>
          <w:rFonts w:ascii="Calibri" w:hAnsi="Calibri" w:cs="Calibri"/>
          <w:sz w:val="22"/>
          <w:szCs w:val="22"/>
        </w:rPr>
        <w:t xml:space="preserve"> após o aceite definitivo do objeto, contados do adimplemento das obrigações contratuais.</w:t>
      </w:r>
    </w:p>
    <w:p w14:paraId="77AFD63E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 CONDIÇÕES DO RECEBIMENTO DO OBJETO:</w:t>
      </w:r>
    </w:p>
    <w:p w14:paraId="2FBB0970">
      <w:pPr>
        <w:pStyle w:val="38"/>
        <w:numPr>
          <w:ilvl w:val="0"/>
          <w:numId w:val="2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O recebimento provisório do objeto do contrato será feito no ato da entrega dos insumos e/ou da prestação dos serviços.</w:t>
      </w:r>
    </w:p>
    <w:p w14:paraId="3565E820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 O recebimento definitivo será efetuado por servidor (es) designado(s),</w:t>
      </w:r>
      <w:r>
        <w:rPr>
          <w:rFonts w:cs="Calibri"/>
          <w:b/>
          <w:bCs/>
        </w:rPr>
        <w:t xml:space="preserve"> mediante ateste</w:t>
      </w:r>
      <w:r>
        <w:rPr>
          <w:rFonts w:cs="Calibri"/>
        </w:rPr>
        <w:t>, conforme artigo 140 inciso I alínea “b” e inciso II alínea “b” da Lei 14.133/2021.</w:t>
      </w:r>
    </w:p>
    <w:p w14:paraId="2186F6AF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8. SANÇÕES PELO INADIMPLEMENTO:</w:t>
      </w:r>
    </w:p>
    <w:p w14:paraId="51B24FFF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Pelo inadimplemento total ou parcial na execução do objeto, o contratado sujeitar-se-á às seguintes sanções:</w:t>
      </w:r>
    </w:p>
    <w:p w14:paraId="40B3BADC">
      <w:pPr>
        <w:pStyle w:val="38"/>
        <w:numPr>
          <w:ilvl w:val="0"/>
          <w:numId w:val="3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Multa de 20% (vinte por cento) do valor global atualizado do objeto da contratação;</w:t>
      </w:r>
    </w:p>
    <w:p w14:paraId="4A145FDD">
      <w:pPr>
        <w:pStyle w:val="38"/>
        <w:numPr>
          <w:ilvl w:val="0"/>
          <w:numId w:val="3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Suspensão temporária de participação em licitação e impedimento de contratar com a Administração pelo prazo de 02 (dois) anos;</w:t>
      </w:r>
    </w:p>
    <w:p w14:paraId="0AAE883D">
      <w:pPr>
        <w:pStyle w:val="38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Declaração de inidoneidade para licitar ou contratar com a Administração Municipal direta e indireta, até que seja promovida a reabilitação do licitante perante a municipalidade.</w:t>
      </w:r>
    </w:p>
    <w:p w14:paraId="64AD55AA">
      <w:pPr>
        <w:pStyle w:val="38"/>
        <w:spacing w:after="120" w:line="240" w:lineRule="auto"/>
        <w:ind w:left="0"/>
        <w:jc w:val="both"/>
        <w:rPr>
          <w:rFonts w:cs="Calibri"/>
        </w:rPr>
      </w:pPr>
      <w:r>
        <w:rPr>
          <w:rFonts w:cs="Calibri"/>
          <w:b/>
          <w:bCs/>
        </w:rPr>
        <w:t xml:space="preserve">        </w:t>
      </w:r>
      <w:r>
        <w:rPr>
          <w:rFonts w:cs="Calibri"/>
        </w:rPr>
        <w:t>A aplicação da multa acima prevista não exime a Contratada de responder por perdas e danos causados à Municipalidade, por ação ou omissão, observado o que dispõem os artigos 402 a 405 do Código Civil Brasileiro.</w:t>
      </w:r>
    </w:p>
    <w:p w14:paraId="68BC3BDD">
      <w:pPr>
        <w:spacing w:after="12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9. DA DOTAÇÃO ORÇAMENTARIA:</w:t>
      </w:r>
    </w:p>
    <w:p w14:paraId="185176B6">
      <w:pPr>
        <w:ind w:left="357" w:firstLine="2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Conforme elemento de despesa informado pelo Departamento Financeiro da Secretaria Municipal de Saúde.</w:t>
      </w:r>
    </w:p>
    <w:p w14:paraId="0843ED6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10. OBRIGAÇOES DA CONTRATADA:</w:t>
      </w:r>
    </w:p>
    <w:p w14:paraId="30F72E42">
      <w:pPr>
        <w:pStyle w:val="38"/>
        <w:numPr>
          <w:ilvl w:val="0"/>
          <w:numId w:val="4"/>
        </w:numPr>
        <w:spacing w:line="240" w:lineRule="auto"/>
        <w:jc w:val="both"/>
        <w:rPr>
          <w:rFonts w:cs="Calibri"/>
        </w:rPr>
      </w:pPr>
      <w:r>
        <w:rPr>
          <w:rFonts w:cs="Calibri"/>
          <w:color w:val="000000"/>
          <w:lang w:eastAsia="pt-BR"/>
        </w:rPr>
        <w:t xml:space="preserve">Executar fielmente o contrato, de acordo com o presente documento – </w:t>
      </w:r>
      <w:r>
        <w:rPr>
          <w:rFonts w:cs="Calibri"/>
          <w:b/>
          <w:color w:val="000000"/>
          <w:u w:val="single"/>
          <w:lang w:eastAsia="pt-BR"/>
        </w:rPr>
        <w:t>As validades dos medicamentos e insumos NÃO poderá ser inferior  à  12 (doze) meses de prazo,  no ato da entrega dos itens</w:t>
      </w:r>
      <w:r>
        <w:rPr>
          <w:rFonts w:cs="Calibri"/>
          <w:color w:val="000000"/>
          <w:lang w:eastAsia="pt-BR"/>
        </w:rPr>
        <w:t>;</w:t>
      </w:r>
    </w:p>
    <w:p w14:paraId="15B66967">
      <w:pPr>
        <w:pStyle w:val="38"/>
        <w:numPr>
          <w:ilvl w:val="0"/>
          <w:numId w:val="4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Manter, durante todo o prazo de entrega/execução do objeto, todas as condições de habilitação e qualificação exigidas;</w:t>
      </w:r>
    </w:p>
    <w:p w14:paraId="11F65C94">
      <w:pPr>
        <w:pStyle w:val="38"/>
        <w:numPr>
          <w:ilvl w:val="0"/>
          <w:numId w:val="4"/>
        </w:numPr>
        <w:spacing w:line="240" w:lineRule="auto"/>
        <w:jc w:val="both"/>
        <w:rPr>
          <w:rFonts w:cs="Calibri"/>
        </w:rPr>
      </w:pPr>
      <w:r>
        <w:rPr>
          <w:rFonts w:cs="Calibri"/>
          <w:color w:val="000000"/>
          <w:lang w:eastAsia="pt-BR"/>
        </w:rPr>
        <w:t>Reparar, corrigir ou substituir, às suas expensas, no todo ou em parte, o objeto deste Termo de Referência, em que se verificarem vícios, defeitos ou incorreções resultantes do fornecimento/prestação do serviço.</w:t>
      </w:r>
    </w:p>
    <w:p w14:paraId="334A4A2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11. OBRIGAÇÕES DO CONTRATANTE:</w:t>
      </w:r>
    </w:p>
    <w:p w14:paraId="440C3A7F">
      <w:pPr>
        <w:pStyle w:val="38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  <w:color w:val="000000"/>
          <w:lang w:eastAsia="pt-BR"/>
        </w:rPr>
        <w:t>Acompanhar e fiscalizar a execução do contrato por representante(s) especialmente designado(s), nos termos do art. 117 da Lei nº 14.133/2021;</w:t>
      </w:r>
    </w:p>
    <w:p w14:paraId="242D030A">
      <w:pPr>
        <w:pStyle w:val="38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  <w:color w:val="000000"/>
          <w:lang w:eastAsia="pt-BR"/>
        </w:rPr>
        <w:t>Rejeitar, no todo ou em parte, produto/serviço em desacordo com este Termo de Referência;</w:t>
      </w:r>
    </w:p>
    <w:p w14:paraId="6DDA557F">
      <w:pPr>
        <w:pStyle w:val="38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  <w:color w:val="000000"/>
          <w:lang w:eastAsia="pt-BR"/>
        </w:rPr>
        <w:t>Realizar o pagamento ao contrato, na forma e no prazo pactuado;</w:t>
      </w:r>
    </w:p>
    <w:p w14:paraId="6C0ED22F">
      <w:pPr>
        <w:pStyle w:val="38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  <w:color w:val="000000"/>
          <w:lang w:eastAsia="pt-BR"/>
        </w:rPr>
        <w:t xml:space="preserve">Proporcionar todas as condições necessárias ao bom andamento da entrega/execução do objeto; </w:t>
      </w:r>
    </w:p>
    <w:p w14:paraId="0FA24864">
      <w:pPr>
        <w:pStyle w:val="38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  <w:color w:val="000000"/>
          <w:lang w:eastAsia="pt-BR"/>
        </w:rPr>
        <w:t>Notificar, por escrito, à contratada, ocorrência de eventuais imperfeições no curso da entrega/execução do objeto, fixando prazo para a sua correção;</w:t>
      </w:r>
    </w:p>
    <w:p w14:paraId="5FBFECC8">
      <w:pPr>
        <w:pStyle w:val="38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  <w:color w:val="000000"/>
          <w:lang w:eastAsia="pt-BR"/>
        </w:rPr>
        <w:t>Notificar, por escrito, à contratada, a disposição de aplicação de eventuais penalidades, garantido o contraditório e a ampla defesa.</w:t>
      </w:r>
    </w:p>
    <w:p w14:paraId="60EBA74B">
      <w:pPr>
        <w:jc w:val="both"/>
        <w:rPr>
          <w:rStyle w:val="34"/>
          <w:rFonts w:ascii="Calibri" w:hAnsi="Calibri" w:cs="Calibri"/>
          <w:sz w:val="22"/>
          <w:szCs w:val="22"/>
          <w:u w:val="none"/>
        </w:rPr>
      </w:pPr>
    </w:p>
    <w:p w14:paraId="4B7DE500">
      <w:pPr>
        <w:jc w:val="both"/>
        <w:rPr>
          <w:rStyle w:val="34"/>
          <w:rFonts w:ascii="Calibri" w:hAnsi="Calibri" w:cs="Calibri"/>
          <w:sz w:val="22"/>
          <w:szCs w:val="22"/>
          <w:u w:val="none"/>
        </w:rPr>
      </w:pPr>
    </w:p>
    <w:p w14:paraId="37C71B66">
      <w:pPr>
        <w:jc w:val="both"/>
        <w:rPr>
          <w:rStyle w:val="34"/>
          <w:rFonts w:ascii="Calibri" w:hAnsi="Calibri" w:cs="Calibri"/>
          <w:sz w:val="22"/>
          <w:szCs w:val="22"/>
          <w:u w:val="none"/>
        </w:rPr>
      </w:pPr>
    </w:p>
    <w:p w14:paraId="6C72EF32">
      <w:pPr>
        <w:jc w:val="both"/>
        <w:rPr>
          <w:rStyle w:val="34"/>
          <w:rFonts w:ascii="Calibri" w:hAnsi="Calibri" w:cs="Calibri"/>
          <w:sz w:val="22"/>
          <w:szCs w:val="22"/>
          <w:u w:val="none"/>
        </w:rPr>
      </w:pPr>
    </w:p>
    <w:p w14:paraId="104F3486">
      <w:pPr>
        <w:jc w:val="both"/>
        <w:rPr>
          <w:rFonts w:ascii="Calibri" w:hAnsi="Calibri" w:cs="Calibri"/>
          <w:sz w:val="22"/>
          <w:szCs w:val="22"/>
        </w:rPr>
      </w:pPr>
      <w:r>
        <w:rPr>
          <w:rStyle w:val="34"/>
          <w:rFonts w:ascii="Calibri" w:hAnsi="Calibri" w:cs="Calibri"/>
          <w:sz w:val="22"/>
          <w:szCs w:val="22"/>
          <w:u w:val="none"/>
        </w:rPr>
        <w:t>12. FISCALIZAÇÃO:</w:t>
      </w:r>
    </w:p>
    <w:p w14:paraId="499EA6C3">
      <w:pPr>
        <w:jc w:val="both"/>
        <w:rPr>
          <w:rStyle w:val="34"/>
          <w:rFonts w:ascii="Calibri" w:hAnsi="Calibri" w:cs="Calibri"/>
          <w:sz w:val="22"/>
          <w:szCs w:val="22"/>
          <w:u w:val="none"/>
        </w:rPr>
      </w:pPr>
    </w:p>
    <w:p w14:paraId="66705583">
      <w:pPr>
        <w:pStyle w:val="45"/>
        <w:shd w:val="clear" w:color="auto" w:fill="auto"/>
        <w:spacing w:after="283" w:line="240" w:lineRule="auto"/>
        <w:ind w:left="20" w:right="40" w:firstLine="6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fiscalização do Contrato será exercida pela Contratante através de funcionário designado pela Secretaria de Saúde.</w:t>
      </w:r>
    </w:p>
    <w:p w14:paraId="7E8D78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22225" b="12700"/>
                <wp:wrapNone/>
                <wp:docPr id="1337076439" name="AutoShape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1600 0 0"/>
                            <a:gd name="G1" fmla="+- 10800 0 0"/>
                            <a:gd name="G2" fmla="+- 10800 0 0"/>
                            <a:gd name="G3" fmla="+- 21600 0 G2"/>
                            <a:gd name="G4" fmla="*/ 1 G1 2"/>
                            <a:gd name="G5" fmla="+- 10800 0 G4"/>
                            <a:gd name="G6" fmla="+- 10800 G4 0"/>
                            <a:gd name="G7" fmla="*/ G5 G2 10800"/>
                            <a:gd name="G8" fmla="+- G3 G7 0"/>
                            <a:gd name="T0" fmla="*/ G5 w 21600"/>
                            <a:gd name="T1" fmla="*/ 0 h 21600"/>
                            <a:gd name="T2" fmla="*/ G6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10800"/>
                              </a:moveTo>
                              <a:lnTo>
                                <a:pt x="5400" y="10800"/>
                              </a:lnTo>
                              <a:lnTo>
                                <a:pt x="5400" y="0"/>
                              </a:lnTo>
                              <a:lnTo>
                                <a:pt x="16200" y="0"/>
                              </a:lnTo>
                              <a:lnTo>
                                <a:pt x="16200" y="10800"/>
                              </a:lnTo>
                              <a:lnTo>
                                <a:pt x="21600" y="1080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00" style="position:absolute;left:0pt;margin-left:0pt;margin-top:0pt;height:50pt;width:50pt;visibility:hidden;z-index:251662336;mso-width-relative:page;mso-height-relative:page;" fillcolor="#FFFFFF" filled="t" stroked="t" coordsize="21600,21600" o:gfxdata="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W0tbW9AAAAAFAQAADwAAAAAAAAABACAAAAAiAAAAZHJzL2Rvd25yZXYueG1sUEsBAhQAFAAAAAgA&#10;h07iQLMjgq+DAwAA9QgAAA4AAAAAAAAAAQAgAAAAHwEAAGRycy9lMm9Eb2MueG1sUEsFBgAAAAAG&#10;AAYAWQEAABQHAAAAAA==&#10;" path="m0,10800l5400,10800,5400,0,16200,0,16200,10800,21600,10800,10800,21600xe">
                <v:path o:connectlocs="635000,317500;317500,635000;0,317500;317500,0" o:connectangles="0,82,164,247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Calibri" w:hAnsi="Calibri" w:cs="Calibri"/>
          <w:b/>
          <w:color w:val="000000"/>
          <w:sz w:val="22"/>
          <w:szCs w:val="22"/>
        </w:rPr>
        <w:t>13. EXIGÊNCIA DE DOCUMENTAÇÃO OBRIGATÓRIA:</w:t>
      </w:r>
    </w:p>
    <w:p w14:paraId="144749C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DE660CA">
      <w:pPr>
        <w:ind w:firstLine="708"/>
        <w:jc w:val="both"/>
        <w:rPr>
          <w:rFonts w:ascii="Calibri" w:hAnsi="Calibri" w:eastAsia="Tahoma" w:cs="Calibri"/>
          <w:sz w:val="22"/>
          <w:szCs w:val="22"/>
        </w:rPr>
      </w:pPr>
      <w:r>
        <w:rPr>
          <w:rFonts w:ascii="Calibri" w:hAnsi="Calibri" w:eastAsia="Tahoma" w:cs="Calibri"/>
          <w:sz w:val="22"/>
          <w:szCs w:val="22"/>
        </w:rPr>
        <w:t>- Registro do Ministério da Saúde / ANVISA dos medicamentos solicitados.</w:t>
      </w:r>
    </w:p>
    <w:p w14:paraId="5A1BE4C5">
      <w:pPr>
        <w:ind w:left="708"/>
        <w:jc w:val="both"/>
        <w:rPr>
          <w:rFonts w:ascii="Calibri" w:hAnsi="Calibri" w:eastAsia="Tahoma" w:cs="Calibri"/>
          <w:sz w:val="22"/>
          <w:szCs w:val="22"/>
        </w:rPr>
      </w:pPr>
      <w:r>
        <w:rPr>
          <w:rFonts w:ascii="Calibri" w:hAnsi="Calibri" w:eastAsia="Tahoma" w:cs="Calibri"/>
          <w:sz w:val="22"/>
          <w:szCs w:val="22"/>
        </w:rPr>
        <w:t>- Certificado de Regularidade do Conselho de Farmácia – CRF – da empresa (distribuidor e/ou fabricante classificado).</w:t>
      </w:r>
    </w:p>
    <w:p w14:paraId="7B244D07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3AAC0239">
      <w:pPr>
        <w:ind w:left="708"/>
        <w:jc w:val="both"/>
        <w:rPr>
          <w:rFonts w:ascii="Calibri" w:hAnsi="Calibri" w:eastAsia="Tahoma" w:cs="Arial"/>
          <w:sz w:val="22"/>
          <w:szCs w:val="22"/>
        </w:rPr>
      </w:pPr>
    </w:p>
    <w:p w14:paraId="73DE2822">
      <w:pPr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_______________________________</w:t>
      </w:r>
    </w:p>
    <w:p w14:paraId="2CB6A1FB">
      <w:pPr>
        <w:jc w:val="center"/>
        <w:rPr>
          <w:rFonts w:ascii="Calibri" w:hAnsi="Calibri" w:cstheme="majorHAnsi"/>
          <w:b/>
          <w:sz w:val="22"/>
          <w:szCs w:val="22"/>
          <w:highlight w:val="yellow"/>
          <w:u w:val="single"/>
        </w:rPr>
      </w:pPr>
      <w:r>
        <w:rPr>
          <w:rFonts w:ascii="Calibri" w:hAnsi="Calibri" w:cs="Arial"/>
          <w:sz w:val="22"/>
          <w:szCs w:val="22"/>
        </w:rPr>
        <w:t>Responsável</w:t>
      </w:r>
    </w:p>
    <w:sectPr>
      <w:headerReference r:id="rId3" w:type="default"/>
      <w:footerReference r:id="rId4" w:type="default"/>
      <w:pgSz w:w="11906" w:h="16838"/>
      <w:pgMar w:top="567" w:right="1558" w:bottom="567" w:left="851" w:header="113" w:footer="227" w:gutter="0"/>
      <w:cols w:space="720" w:num="1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Bitstream Vera 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AB98D">
    <w:pPr>
      <w:pStyle w:val="32"/>
      <w:jc w:val="center"/>
      <w:rPr>
        <w:rFonts w:ascii="Arial" w:hAnsi="Arial" w:cs="Arial"/>
        <w:color w:val="000000"/>
        <w:sz w:val="22"/>
        <w:szCs w:val="22"/>
      </w:rPr>
    </w:pPr>
  </w:p>
  <w:p w14:paraId="53ED4A49">
    <w:pPr>
      <w:pStyle w:val="32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5588000</wp:posOffset>
          </wp:positionH>
          <wp:positionV relativeFrom="paragraph">
            <wp:posOffset>31750</wp:posOffset>
          </wp:positionV>
          <wp:extent cx="656590" cy="707390"/>
          <wp:effectExtent l="0" t="0" r="0" b="0"/>
          <wp:wrapSquare wrapText="bothSides"/>
          <wp:docPr id="8" name="Imagem 10" descr="LOGOTIPO VIOLENCIA SEXUAL CONTRA CRIANÇAS E ADOLESCE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0" descr="LOGOTIPO VIOLENCIA SEXUAL CONTRA CRIANÇAS E ADOLESCENT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2797175</wp:posOffset>
          </wp:positionH>
          <wp:positionV relativeFrom="paragraph">
            <wp:posOffset>635</wp:posOffset>
          </wp:positionV>
          <wp:extent cx="807720" cy="81089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771525" cy="809625"/>
          <wp:effectExtent l="0" t="0" r="0" b="0"/>
          <wp:docPr id="10" name="Imagem 7" descr="180 anos_DOU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" descr="180 anos_DOURAD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47BA38">
    <w:pPr>
      <w:pStyle w:val="32"/>
      <w:jc w:val="center"/>
      <w:rPr>
        <w:rFonts w:ascii="Cambria" w:hAnsi="Cambria" w:cs="Arial"/>
        <w:i/>
        <w:sz w:val="24"/>
        <w:lang w:val="en-US"/>
      </w:rPr>
    </w:pPr>
  </w:p>
  <w:p w14:paraId="47BFDF2B">
    <w:pPr>
      <w:pStyle w:val="32"/>
      <w:rPr>
        <w:rFonts w:ascii="Cambria" w:hAnsi="Cambria" w:cs="Arial"/>
        <w:i/>
        <w:sz w:val="24"/>
        <w:lang w:val="en-US"/>
      </w:rPr>
    </w:pPr>
    <w:r>
      <w:rPr>
        <w:rFonts w:ascii="Cambria" w:hAnsi="Cambria" w:cs="Arial"/>
        <w:i/>
        <w:sz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4491990</wp:posOffset>
              </wp:positionH>
              <wp:positionV relativeFrom="paragraph">
                <wp:posOffset>-1069975</wp:posOffset>
              </wp:positionV>
              <wp:extent cx="1924685" cy="236855"/>
              <wp:effectExtent l="3175" t="3175" r="0" b="0"/>
              <wp:wrapNone/>
              <wp:docPr id="895458582" name="Form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4685" cy="23685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3" o:spid="_x0000_s1026" o:spt="100" style="position:absolute;left:0pt;margin-left:353.7pt;margin-top:-84.25pt;height:18.65pt;width:151.55pt;mso-wrap-style:none;z-index:251663360;v-text-anchor:middle;mso-width-relative:page;mso-height-relative:page;" filled="f" stroked="f" o:allowincell="f" o:gfxdata="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Ijlae7bAAAADgEAAA8AAAAAAAAAAQAgAAAAIgAAAGRycy9kb3ducmV2Lnht&#10;bFBLAQIUABQAAAAIAIdO4kBpr4l02gIAAA4HAAAOAAAAAAAAAAEAIAAAACoBAABkcnMvZTJvRG9j&#10;LnhtbFBLBQYAAAAABgAGAFkBAAB2BgAAAAA=&#10;" path="m0,0l-127,0,-127,-127,0,-127xe">
              <v:path o:connectlocs="0,0;-244434,0;-244434,-30080;0,-30080" o:connectangles="0,0,0,0"/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978D2">
    <w:pPr>
      <w:jc w:val="center"/>
      <w:rPr>
        <w:rFonts w:eastAsia="Calibri"/>
        <w:sz w:val="16"/>
      </w:rPr>
    </w:pPr>
  </w:p>
  <w:p w14:paraId="79DCDDE9">
    <w:pPr>
      <w:keepNext/>
      <w:tabs>
        <w:tab w:val="left" w:pos="2977"/>
      </w:tabs>
      <w:jc w:val="center"/>
      <w:outlineLvl w:val="3"/>
      <w:rPr>
        <w:rFonts w:ascii="Calibri" w:hAnsi="Calibri" w:cs="Arial"/>
        <w:b/>
        <w:sz w:val="16"/>
      </w:rPr>
    </w:pPr>
    <w:r>
      <w:rPr>
        <w:sz w:val="16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95885</wp:posOffset>
          </wp:positionV>
          <wp:extent cx="727710" cy="836930"/>
          <wp:effectExtent l="0" t="0" r="0" b="0"/>
          <wp:wrapNone/>
          <wp:docPr id="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71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5008245</wp:posOffset>
          </wp:positionH>
          <wp:positionV relativeFrom="paragraph">
            <wp:posOffset>111125</wp:posOffset>
          </wp:positionV>
          <wp:extent cx="1137285" cy="741045"/>
          <wp:effectExtent l="0" t="0" r="0" b="0"/>
          <wp:wrapNone/>
          <wp:docPr id="7" name="Imagem 2" descr="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 descr="su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72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sz w:val="28"/>
        <w:szCs w:val="36"/>
      </w:rPr>
      <w:t>PREFEITURA MUNICIPAL DE PETRÓPOLIS</w:t>
    </w:r>
  </w:p>
  <w:p w14:paraId="293A3ABE">
    <w:pPr>
      <w:keepNext/>
      <w:jc w:val="center"/>
      <w:outlineLvl w:val="3"/>
      <w:rPr>
        <w:rFonts w:ascii="Calibri" w:hAnsi="Calibri" w:cs="Arial"/>
        <w:b/>
        <w:sz w:val="24"/>
        <w:szCs w:val="32"/>
      </w:rPr>
    </w:pPr>
    <w:r>
      <w:rPr>
        <w:rFonts w:ascii="Calibri" w:hAnsi="Calibri" w:cs="Arial"/>
        <w:b/>
        <w:sz w:val="24"/>
        <w:szCs w:val="32"/>
      </w:rPr>
      <w:t>SECRETARIA MUNICIPAL DE SAÚDE</w:t>
    </w:r>
  </w:p>
  <w:p w14:paraId="39EC51AE">
    <w:pPr>
      <w:jc w:val="center"/>
      <w:rPr>
        <w:sz w:val="16"/>
      </w:rPr>
    </w:pPr>
    <w:r>
      <w:rPr>
        <w:rFonts w:ascii="Calibri" w:hAnsi="Calibri" w:eastAsia="Arial Unicode MS" w:cs="Calibri"/>
        <w:b/>
        <w:sz w:val="24"/>
        <w:szCs w:val="32"/>
      </w:rPr>
      <w:t>GABINETE DO SECRETÁRIO</w:t>
    </w:r>
  </w:p>
  <w:p w14:paraId="3A066511">
    <w:pPr>
      <w:jc w:val="center"/>
      <w:rPr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SUPERINTENDÊNCIA DE ATENÇÃO À SAÚDE</w:t>
    </w:r>
  </w:p>
  <w:p w14:paraId="22600363">
    <w:pPr>
      <w:jc w:val="center"/>
      <w:rPr>
        <w:rFonts w:ascii="Calibri" w:hAnsi="Calibri" w:eastAsia="Arial Unicode MS" w:cs="Calibri"/>
        <w:b/>
        <w:sz w:val="22"/>
        <w:szCs w:val="28"/>
      </w:rPr>
    </w:pPr>
    <w:r>
      <w:rPr>
        <w:rFonts w:ascii="Calibri" w:hAnsi="Calibri" w:eastAsia="Arial Unicode MS" w:cs="Calibri"/>
        <w:b/>
        <w:sz w:val="22"/>
        <w:szCs w:val="28"/>
      </w:rPr>
      <w:t>NUCLEO DE ASSISTÊNCIA FARMACÊUTICA</w:t>
    </w:r>
  </w:p>
  <w:p w14:paraId="586EA802">
    <w:pPr>
      <w:jc w:val="cent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87187"/>
    <w:multiLevelType w:val="multilevel"/>
    <w:tmpl w:val="1168718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7" w:hanging="360"/>
      </w:pPr>
      <w:rPr>
        <w:rFonts w:ascii="Arial" w:hAnsi="Arial"/>
        <w:b/>
        <w:bCs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7" w:hanging="180"/>
      </w:pPr>
    </w:lvl>
  </w:abstractNum>
  <w:abstractNum w:abstractNumId="1">
    <w:nsid w:val="24B978E4"/>
    <w:multiLevelType w:val="multilevel"/>
    <w:tmpl w:val="24B978E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2A13684F"/>
    <w:multiLevelType w:val="multilevel"/>
    <w:tmpl w:val="2A13684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4C226F5F"/>
    <w:multiLevelType w:val="multilevel"/>
    <w:tmpl w:val="4C226F5F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5AE00C3B"/>
    <w:multiLevelType w:val="multilevel"/>
    <w:tmpl w:val="5AE00C3B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A8"/>
    <w:rsid w:val="000212EA"/>
    <w:rsid w:val="000264AE"/>
    <w:rsid w:val="00033407"/>
    <w:rsid w:val="00077B13"/>
    <w:rsid w:val="000873E4"/>
    <w:rsid w:val="00097C68"/>
    <w:rsid w:val="000C67B5"/>
    <w:rsid w:val="000D4137"/>
    <w:rsid w:val="0011403E"/>
    <w:rsid w:val="0013148F"/>
    <w:rsid w:val="00131B9F"/>
    <w:rsid w:val="00161C73"/>
    <w:rsid w:val="001A74DC"/>
    <w:rsid w:val="001E63C3"/>
    <w:rsid w:val="002019E6"/>
    <w:rsid w:val="00201A83"/>
    <w:rsid w:val="002349BD"/>
    <w:rsid w:val="00251CC3"/>
    <w:rsid w:val="002540BD"/>
    <w:rsid w:val="0026380F"/>
    <w:rsid w:val="003264BE"/>
    <w:rsid w:val="00326F9D"/>
    <w:rsid w:val="00365AC6"/>
    <w:rsid w:val="003C58A9"/>
    <w:rsid w:val="003F5ABC"/>
    <w:rsid w:val="00404AF8"/>
    <w:rsid w:val="004171E4"/>
    <w:rsid w:val="00425B45"/>
    <w:rsid w:val="0045013F"/>
    <w:rsid w:val="00455757"/>
    <w:rsid w:val="004B0F10"/>
    <w:rsid w:val="004B7487"/>
    <w:rsid w:val="004F5A47"/>
    <w:rsid w:val="0057528F"/>
    <w:rsid w:val="00577E7D"/>
    <w:rsid w:val="005A47DC"/>
    <w:rsid w:val="005B51C2"/>
    <w:rsid w:val="005E35BF"/>
    <w:rsid w:val="00632AF5"/>
    <w:rsid w:val="006330A7"/>
    <w:rsid w:val="00651BFB"/>
    <w:rsid w:val="0067227A"/>
    <w:rsid w:val="00677B26"/>
    <w:rsid w:val="00681161"/>
    <w:rsid w:val="0069194E"/>
    <w:rsid w:val="006E3A40"/>
    <w:rsid w:val="00734454"/>
    <w:rsid w:val="00765A71"/>
    <w:rsid w:val="00774C58"/>
    <w:rsid w:val="007772EF"/>
    <w:rsid w:val="007A7D6E"/>
    <w:rsid w:val="007B245A"/>
    <w:rsid w:val="007F5F04"/>
    <w:rsid w:val="00815C3B"/>
    <w:rsid w:val="00852536"/>
    <w:rsid w:val="008B65E5"/>
    <w:rsid w:val="008B7CAD"/>
    <w:rsid w:val="008C297A"/>
    <w:rsid w:val="008E2FE5"/>
    <w:rsid w:val="00930947"/>
    <w:rsid w:val="0093411E"/>
    <w:rsid w:val="009421FC"/>
    <w:rsid w:val="009652E0"/>
    <w:rsid w:val="0098377B"/>
    <w:rsid w:val="009D5184"/>
    <w:rsid w:val="009E09A8"/>
    <w:rsid w:val="00A07509"/>
    <w:rsid w:val="00A24A01"/>
    <w:rsid w:val="00A75A38"/>
    <w:rsid w:val="00A77B23"/>
    <w:rsid w:val="00A9094B"/>
    <w:rsid w:val="00AB367D"/>
    <w:rsid w:val="00AB4BA2"/>
    <w:rsid w:val="00AD3427"/>
    <w:rsid w:val="00AF4D10"/>
    <w:rsid w:val="00B2432C"/>
    <w:rsid w:val="00B27AC2"/>
    <w:rsid w:val="00B37DB3"/>
    <w:rsid w:val="00BC13FF"/>
    <w:rsid w:val="00BF104B"/>
    <w:rsid w:val="00C031AC"/>
    <w:rsid w:val="00C13798"/>
    <w:rsid w:val="00C17660"/>
    <w:rsid w:val="00C17782"/>
    <w:rsid w:val="00C32026"/>
    <w:rsid w:val="00C35080"/>
    <w:rsid w:val="00C70892"/>
    <w:rsid w:val="00CB68A9"/>
    <w:rsid w:val="00CD39D3"/>
    <w:rsid w:val="00D015C3"/>
    <w:rsid w:val="00D115F8"/>
    <w:rsid w:val="00D613C7"/>
    <w:rsid w:val="00DA6852"/>
    <w:rsid w:val="00DC5B42"/>
    <w:rsid w:val="00DD015D"/>
    <w:rsid w:val="00E02F32"/>
    <w:rsid w:val="00E113B1"/>
    <w:rsid w:val="00E73CA9"/>
    <w:rsid w:val="00E83B5B"/>
    <w:rsid w:val="00E84581"/>
    <w:rsid w:val="00E90429"/>
    <w:rsid w:val="00EF420C"/>
    <w:rsid w:val="00F1491A"/>
    <w:rsid w:val="00F24B3E"/>
    <w:rsid w:val="00F76CA7"/>
    <w:rsid w:val="00F84900"/>
    <w:rsid w:val="00FB73A6"/>
    <w:rsid w:val="3EB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List"/>
    <w:basedOn w:val="6"/>
    <w:uiPriority w:val="0"/>
    <w:rPr>
      <w:rFonts w:cs="Arial Unicode MS"/>
    </w:rPr>
  </w:style>
  <w:style w:type="paragraph" w:styleId="6">
    <w:name w:val="Body Text"/>
    <w:basedOn w:val="1"/>
    <w:uiPriority w:val="0"/>
    <w:rPr>
      <w:rFonts w:ascii="Arial" w:hAnsi="Arial"/>
      <w:sz w:val="24"/>
    </w:rPr>
  </w:style>
  <w:style w:type="paragraph" w:styleId="7">
    <w:name w:val="Title"/>
    <w:basedOn w:val="1"/>
    <w:next w:val="6"/>
    <w:qFormat/>
    <w:uiPriority w:val="0"/>
    <w:pPr>
      <w:jc w:val="center"/>
    </w:pPr>
    <w:rPr>
      <w:rFonts w:ascii="Arial" w:hAnsi="Arial"/>
      <w:b/>
      <w:sz w:val="24"/>
    </w:rPr>
  </w:style>
  <w:style w:type="paragraph" w:styleId="8">
    <w:name w:val="Normal (Web)"/>
    <w:basedOn w:val="1"/>
    <w:qFormat/>
    <w:uiPriority w:val="0"/>
    <w:pPr>
      <w:spacing w:before="280" w:after="280"/>
    </w:pPr>
    <w:rPr>
      <w:sz w:val="24"/>
      <w:szCs w:val="24"/>
    </w:rPr>
  </w:style>
  <w:style w:type="paragraph" w:styleId="9">
    <w:name w:val="Body Text 3"/>
    <w:basedOn w:val="1"/>
    <w:qFormat/>
    <w:uiPriority w:val="0"/>
    <w:pPr>
      <w:jc w:val="both"/>
    </w:pPr>
    <w:rPr>
      <w:rFonts w:ascii="Arial" w:hAnsi="Arial"/>
      <w:color w:val="000080"/>
      <w:sz w:val="24"/>
    </w:rPr>
  </w:style>
  <w:style w:type="paragraph" w:styleId="10">
    <w:name w:val="HTML Preformatted"/>
    <w:basedOn w:val="1"/>
    <w:link w:val="2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11">
    <w:name w:val="Body Text 2"/>
    <w:basedOn w:val="1"/>
    <w:link w:val="28"/>
    <w:qFormat/>
    <w:uiPriority w:val="0"/>
    <w:pPr>
      <w:spacing w:after="120" w:line="480" w:lineRule="auto"/>
    </w:pPr>
  </w:style>
  <w:style w:type="paragraph" w:styleId="12">
    <w:name w:val="header"/>
    <w:basedOn w:val="1"/>
    <w:link w:val="46"/>
    <w:semiHidden/>
    <w:unhideWhenUsed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47"/>
    <w:semiHidden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Balloon Text"/>
    <w:basedOn w:val="1"/>
    <w:qFormat/>
    <w:uiPriority w:val="0"/>
    <w:rPr>
      <w:rFonts w:ascii="Tahoma" w:hAnsi="Tahoma" w:eastAsia="Calibri"/>
      <w:sz w:val="16"/>
    </w:rPr>
  </w:style>
  <w:style w:type="paragraph" w:styleId="15">
    <w:name w:val="Body Text Indent"/>
    <w:basedOn w:val="1"/>
    <w:qFormat/>
    <w:uiPriority w:val="0"/>
    <w:pPr>
      <w:ind w:left="2124" w:firstLine="144"/>
      <w:jc w:val="both"/>
    </w:pPr>
    <w:rPr>
      <w:rFonts w:ascii="Arial" w:hAnsi="Arial"/>
      <w:color w:val="000080"/>
      <w:sz w:val="24"/>
    </w:rPr>
  </w:style>
  <w:style w:type="paragraph" w:customStyle="1" w:styleId="16">
    <w:name w:val="Título 11"/>
    <w:basedOn w:val="1"/>
    <w:next w:val="1"/>
    <w:qFormat/>
    <w:uiPriority w:val="0"/>
    <w:pPr>
      <w:keepNext/>
      <w:spacing w:line="360" w:lineRule="auto"/>
      <w:jc w:val="both"/>
      <w:outlineLvl w:val="0"/>
    </w:pPr>
    <w:rPr>
      <w:rFonts w:ascii="Arial" w:hAnsi="Arial"/>
      <w:b/>
      <w:color w:val="000080"/>
      <w:sz w:val="24"/>
    </w:rPr>
  </w:style>
  <w:style w:type="paragraph" w:customStyle="1" w:styleId="17">
    <w:name w:val="Título 21"/>
    <w:basedOn w:val="1"/>
    <w:next w:val="1"/>
    <w:qFormat/>
    <w:uiPriority w:val="0"/>
    <w:pPr>
      <w:keepNext/>
      <w:jc w:val="center"/>
      <w:outlineLvl w:val="1"/>
    </w:pPr>
    <w:rPr>
      <w:rFonts w:ascii="Calibri" w:hAnsi="Calibri"/>
      <w:sz w:val="28"/>
    </w:rPr>
  </w:style>
  <w:style w:type="paragraph" w:customStyle="1" w:styleId="18">
    <w:name w:val="Título 31"/>
    <w:basedOn w:val="1"/>
    <w:next w:val="1"/>
    <w:qFormat/>
    <w:uiPriority w:val="0"/>
    <w:pPr>
      <w:keepNext/>
      <w:jc w:val="center"/>
      <w:outlineLvl w:val="2"/>
    </w:pPr>
    <w:rPr>
      <w:rFonts w:ascii="Arial" w:hAnsi="Arial"/>
      <w:b/>
      <w:color w:val="000000"/>
      <w:sz w:val="24"/>
    </w:rPr>
  </w:style>
  <w:style w:type="paragraph" w:customStyle="1" w:styleId="19">
    <w:name w:val="Título 41"/>
    <w:basedOn w:val="1"/>
    <w:next w:val="1"/>
    <w:qFormat/>
    <w:uiPriority w:val="0"/>
    <w:pPr>
      <w:keepNext/>
      <w:outlineLvl w:val="3"/>
    </w:pPr>
    <w:rPr>
      <w:color w:val="000080"/>
      <w:sz w:val="36"/>
    </w:rPr>
  </w:style>
  <w:style w:type="paragraph" w:customStyle="1" w:styleId="20">
    <w:name w:val="Título 51"/>
    <w:basedOn w:val="1"/>
    <w:next w:val="1"/>
    <w:qFormat/>
    <w:uiPriority w:val="0"/>
    <w:pPr>
      <w:keepNext/>
      <w:jc w:val="center"/>
      <w:outlineLvl w:val="4"/>
    </w:pPr>
    <w:rPr>
      <w:rFonts w:ascii="Calibri" w:hAnsi="Calibri"/>
      <w:sz w:val="24"/>
    </w:rPr>
  </w:style>
  <w:style w:type="paragraph" w:customStyle="1" w:styleId="21">
    <w:name w:val="Título 61"/>
    <w:basedOn w:val="1"/>
    <w:next w:val="1"/>
    <w:qFormat/>
    <w:uiPriority w:val="0"/>
    <w:pPr>
      <w:keepNext/>
      <w:jc w:val="center"/>
      <w:outlineLvl w:val="5"/>
    </w:pPr>
    <w:rPr>
      <w:b/>
      <w:color w:val="000080"/>
      <w:sz w:val="24"/>
      <w:u w:val="single"/>
    </w:rPr>
  </w:style>
  <w:style w:type="paragraph" w:customStyle="1" w:styleId="22">
    <w:name w:val="Título 71"/>
    <w:basedOn w:val="1"/>
    <w:next w:val="1"/>
    <w:qFormat/>
    <w:uiPriority w:val="0"/>
    <w:pPr>
      <w:keepNext/>
      <w:jc w:val="center"/>
      <w:outlineLvl w:val="6"/>
    </w:pPr>
    <w:rPr>
      <w:b/>
      <w:sz w:val="24"/>
    </w:rPr>
  </w:style>
  <w:style w:type="paragraph" w:customStyle="1" w:styleId="23">
    <w:name w:val="Título 91"/>
    <w:basedOn w:val="1"/>
    <w:next w:val="1"/>
    <w:qFormat/>
    <w:uiPriority w:val="0"/>
    <w:pPr>
      <w:keepNext/>
      <w:jc w:val="center"/>
      <w:outlineLvl w:val="8"/>
    </w:pPr>
    <w:rPr>
      <w:b/>
      <w:sz w:val="28"/>
    </w:rPr>
  </w:style>
  <w:style w:type="character" w:customStyle="1" w:styleId="24">
    <w:name w:val="Texto de balão Char"/>
    <w:basedOn w:val="2"/>
    <w:qFormat/>
    <w:uiPriority w:val="0"/>
    <w:rPr>
      <w:rFonts w:ascii="Tahoma" w:hAnsi="Tahoma" w:cs="Tahoma"/>
      <w:sz w:val="16"/>
      <w:szCs w:val="16"/>
    </w:rPr>
  </w:style>
  <w:style w:type="character" w:customStyle="1" w:styleId="25">
    <w:name w:val="Rodapé Char"/>
    <w:basedOn w:val="2"/>
    <w:qFormat/>
    <w:uiPriority w:val="0"/>
  </w:style>
  <w:style w:type="character" w:customStyle="1" w:styleId="26">
    <w:name w:val="Pré-formatação HTML Char"/>
    <w:basedOn w:val="2"/>
    <w:link w:val="10"/>
    <w:qFormat/>
    <w:uiPriority w:val="0"/>
    <w:rPr>
      <w:rFonts w:ascii="Courier New" w:hAnsi="Courier New" w:cs="Courier New"/>
    </w:rPr>
  </w:style>
  <w:style w:type="character" w:customStyle="1" w:styleId="27">
    <w:name w:val="markedcontent"/>
    <w:basedOn w:val="2"/>
    <w:qFormat/>
    <w:uiPriority w:val="0"/>
  </w:style>
  <w:style w:type="character" w:customStyle="1" w:styleId="28">
    <w:name w:val="Corpo de texto 2 Char"/>
    <w:basedOn w:val="2"/>
    <w:link w:val="11"/>
    <w:qFormat/>
    <w:uiPriority w:val="0"/>
  </w:style>
  <w:style w:type="character" w:customStyle="1" w:styleId="29">
    <w:name w:val="Cabeçalho Char"/>
    <w:basedOn w:val="2"/>
    <w:link w:val="30"/>
    <w:semiHidden/>
    <w:qFormat/>
    <w:uiPriority w:val="99"/>
  </w:style>
  <w:style w:type="paragraph" w:customStyle="1" w:styleId="30">
    <w:name w:val="Cabeçalho1"/>
    <w:basedOn w:val="1"/>
    <w:link w:val="29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31">
    <w:name w:val="Rodapé Char1"/>
    <w:basedOn w:val="2"/>
    <w:link w:val="32"/>
    <w:semiHidden/>
    <w:qFormat/>
    <w:uiPriority w:val="99"/>
  </w:style>
  <w:style w:type="paragraph" w:customStyle="1" w:styleId="32">
    <w:name w:val="Rodapé1"/>
    <w:basedOn w:val="1"/>
    <w:link w:val="31"/>
    <w:semiHidden/>
    <w:unhideWhenUsed/>
    <w:uiPriority w:val="99"/>
    <w:pPr>
      <w:tabs>
        <w:tab w:val="center" w:pos="4252"/>
        <w:tab w:val="right" w:pos="8504"/>
      </w:tabs>
    </w:pPr>
  </w:style>
  <w:style w:type="character" w:customStyle="1" w:styleId="33">
    <w:name w:val="Texto do corpo (2)_"/>
    <w:basedOn w:val="2"/>
    <w:qFormat/>
    <w:uiPriority w:val="0"/>
    <w:rPr>
      <w:rFonts w:ascii="Tahoma" w:hAnsi="Tahoma" w:eastAsia="Tahoma" w:cs="Tahoma"/>
      <w:b/>
      <w:bCs/>
      <w:sz w:val="23"/>
      <w:szCs w:val="23"/>
      <w:u w:val="none"/>
    </w:rPr>
  </w:style>
  <w:style w:type="character" w:customStyle="1" w:styleId="34">
    <w:name w:val="Texto do corpo (2)"/>
    <w:basedOn w:val="33"/>
    <w:qFormat/>
    <w:uiPriority w:val="0"/>
    <w:rPr>
      <w:rFonts w:ascii="Tahoma" w:hAnsi="Tahoma" w:eastAsia="Tahoma" w:cs="Tahoma"/>
      <w:color w:val="000000"/>
      <w:spacing w:val="0"/>
      <w:w w:val="100"/>
      <w:sz w:val="23"/>
      <w:szCs w:val="23"/>
      <w:u w:val="single"/>
      <w:lang w:val="pt-BR"/>
    </w:rPr>
  </w:style>
  <w:style w:type="paragraph" w:customStyle="1" w:styleId="35">
    <w:name w:val="Legenda1"/>
    <w:basedOn w:val="1"/>
    <w:qFormat/>
    <w:uiPriority w:val="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36">
    <w:name w:val="Índice"/>
    <w:basedOn w:val="1"/>
    <w:qFormat/>
    <w:uiPriority w:val="0"/>
    <w:pPr>
      <w:suppressLineNumbers/>
    </w:pPr>
    <w:rPr>
      <w:rFonts w:cs="Arial Unicode MS"/>
    </w:rPr>
  </w:style>
  <w:style w:type="paragraph" w:customStyle="1" w:styleId="37">
    <w:name w:val="Cabeçalho e Rodapé"/>
    <w:basedOn w:val="1"/>
    <w:qFormat/>
    <w:uiPriority w:val="0"/>
  </w:style>
  <w:style w:type="paragraph" w:styleId="3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39">
    <w:name w:val="No Spacing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pt-BR" w:bidi="ar-SA"/>
    </w:rPr>
  </w:style>
  <w:style w:type="paragraph" w:customStyle="1" w:styleId="40">
    <w:name w:val="Conteúdo do quadro"/>
    <w:basedOn w:val="1"/>
    <w:qFormat/>
    <w:uiPriority w:val="0"/>
  </w:style>
  <w:style w:type="paragraph" w:customStyle="1" w:styleId="41">
    <w:name w:val="Conteúdo da tabela"/>
    <w:basedOn w:val="1"/>
    <w:qFormat/>
    <w:uiPriority w:val="0"/>
    <w:pPr>
      <w:widowControl w:val="0"/>
      <w:suppressLineNumbers/>
    </w:pPr>
  </w:style>
  <w:style w:type="paragraph" w:customStyle="1" w:styleId="42">
    <w:name w:val="Table Paragraph"/>
    <w:basedOn w:val="1"/>
    <w:qFormat/>
    <w:uiPriority w:val="0"/>
    <w:pPr>
      <w:ind w:left="67"/>
    </w:pPr>
  </w:style>
  <w:style w:type="paragraph" w:customStyle="1" w:styleId="43">
    <w:name w:val="Tabela normal1"/>
    <w:qFormat/>
    <w:uiPriority w:val="0"/>
    <w:pPr>
      <w:suppressAutoHyphens/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paragraph" w:customStyle="1" w:styleId="44">
    <w:name w:val="WW-Corpo de texto 2"/>
    <w:basedOn w:val="1"/>
    <w:qFormat/>
    <w:uiPriority w:val="0"/>
    <w:pPr>
      <w:widowControl w:val="0"/>
      <w:jc w:val="both"/>
    </w:pPr>
    <w:rPr>
      <w:rFonts w:ascii="Arial" w:hAnsi="Arial" w:eastAsia="Bitstream Vera Sans" w:cs="Tahoma"/>
      <w:lang w:eastAsia="ar-SA"/>
    </w:rPr>
  </w:style>
  <w:style w:type="paragraph" w:customStyle="1" w:styleId="45">
    <w:name w:val="Texto do corpo"/>
    <w:basedOn w:val="1"/>
    <w:qFormat/>
    <w:uiPriority w:val="0"/>
    <w:pPr>
      <w:widowControl w:val="0"/>
      <w:shd w:val="clear" w:color="auto" w:fill="FFFFFF"/>
      <w:spacing w:line="293" w:lineRule="exact"/>
      <w:jc w:val="both"/>
    </w:pPr>
    <w:rPr>
      <w:rFonts w:ascii="Tahoma" w:hAnsi="Tahoma" w:eastAsia="Tahoma" w:cs="Tahoma"/>
    </w:rPr>
  </w:style>
  <w:style w:type="character" w:customStyle="1" w:styleId="46">
    <w:name w:val="Cabeçalho Char1"/>
    <w:basedOn w:val="2"/>
    <w:link w:val="12"/>
    <w:semiHidden/>
    <w:qFormat/>
    <w:uiPriority w:val="99"/>
  </w:style>
  <w:style w:type="character" w:customStyle="1" w:styleId="47">
    <w:name w:val="Rodapé Char2"/>
    <w:basedOn w:val="2"/>
    <w:link w:val="1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B3884-1653-4E22-8C87-947C7BF929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sms</Company>
  <Pages>5</Pages>
  <Words>1317</Words>
  <Characters>7112</Characters>
  <Lines>59</Lines>
  <Paragraphs>16</Paragraphs>
  <TotalTime>3</TotalTime>
  <ScaleCrop>false</ScaleCrop>
  <LinksUpToDate>false</LinksUpToDate>
  <CharactersWithSpaces>8413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2025-06-04T13:41:00Z</dcterms:created>
  <dc:creator>ssagab03</dc:creator>
  <cp:lastModifiedBy>darllyson.henrique</cp:lastModifiedBy>
  <cp:lastPrinted>2024-12-05T15:53:00Z</cp:lastPrinted>
  <dcterms:modified xsi:type="dcterms:W3CDTF">2025-06-25T20:53:35Z</dcterms:modified>
  <dc:title>SECRETARIA MUNICIPAL DE SAÚDE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6EC8E69019DD4CD6ABFB57B9139F38E8_13</vt:lpwstr>
  </property>
</Properties>
</file>