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E105">
      <w:pPr>
        <w:spacing w:before="120" w:after="120" w:line="240" w:lineRule="auto"/>
        <w:rPr>
          <w:rFonts w:ascii="Times New Roman" w:hAnsi="Times New Roman" w:cs="Times New Roman"/>
          <w:b/>
          <w:bCs/>
        </w:rPr>
      </w:pPr>
      <w:r>
        <w:rPr>
          <w:rFonts w:ascii="Times New Roman" w:hAnsi="Times New Roman" w:cs="Times New Roman"/>
          <w:b/>
        </w:rPr>
        <w:t>PREGÃO</w:t>
      </w:r>
      <w:r>
        <w:rPr>
          <w:rFonts w:ascii="Times New Roman" w:hAnsi="Times New Roman" w:cs="Times New Roman"/>
          <w:b/>
          <w:bCs/>
        </w:rPr>
        <w:t xml:space="preserve"> </w:t>
      </w:r>
      <w:r>
        <w:rPr>
          <w:rFonts w:ascii="Times New Roman" w:hAnsi="Times New Roman" w:cs="Times New Roman"/>
          <w:b/>
        </w:rPr>
        <w:t>ELETRÔNICO</w:t>
      </w:r>
    </w:p>
    <w:p w14:paraId="40D649FB">
      <w:pPr>
        <w:spacing w:before="120" w:after="120" w:line="240" w:lineRule="auto"/>
        <w:rPr>
          <w:rFonts w:ascii="Times New Roman" w:hAnsi="Times New Roman" w:cs="Times New Roman"/>
          <w:bCs/>
        </w:rPr>
      </w:pPr>
      <w:r>
        <w:rPr>
          <w:rFonts w:ascii="Times New Roman" w:hAnsi="Times New Roman" w:cs="Times New Roman"/>
          <w:bCs/>
        </w:rPr>
        <w:t>900085/2025</w:t>
      </w:r>
    </w:p>
    <w:p w14:paraId="28BD3963">
      <w:pPr>
        <w:spacing w:before="120" w:after="120" w:line="240" w:lineRule="auto"/>
        <w:rPr>
          <w:rFonts w:ascii="Times New Roman" w:hAnsi="Times New Roman" w:cs="Times New Roman"/>
          <w:b/>
          <w:bCs/>
        </w:rPr>
      </w:pPr>
    </w:p>
    <w:p w14:paraId="4C09E2B2">
      <w:pPr>
        <w:spacing w:before="120" w:after="120" w:line="240" w:lineRule="auto"/>
        <w:rPr>
          <w:rFonts w:ascii="Times New Roman" w:hAnsi="Times New Roman" w:cs="Times New Roman"/>
          <w:b/>
          <w:bCs/>
        </w:rPr>
      </w:pPr>
      <w:r>
        <w:rPr>
          <w:rFonts w:ascii="Times New Roman" w:hAnsi="Times New Roman" w:cs="Times New Roman"/>
          <w:b/>
          <w:bCs/>
        </w:rPr>
        <w:t>CONTRATANTE (UASG)</w:t>
      </w:r>
    </w:p>
    <w:p w14:paraId="12A1095A">
      <w:pPr>
        <w:spacing w:before="120" w:after="120" w:line="240" w:lineRule="auto"/>
        <w:rPr>
          <w:rFonts w:ascii="Times New Roman" w:hAnsi="Times New Roman" w:cs="Times New Roman"/>
        </w:rPr>
      </w:pPr>
      <w:r>
        <w:rPr>
          <w:rFonts w:ascii="Times New Roman" w:hAnsi="Times New Roman" w:cs="Times New Roman"/>
        </w:rPr>
        <w:t>150247</w:t>
      </w:r>
    </w:p>
    <w:p w14:paraId="62A79127">
      <w:pPr>
        <w:spacing w:before="120" w:after="120" w:line="240" w:lineRule="auto"/>
        <w:rPr>
          <w:rFonts w:ascii="Times New Roman" w:hAnsi="Times New Roman" w:cs="Times New Roman"/>
          <w:b/>
          <w:bCs/>
        </w:rPr>
      </w:pPr>
    </w:p>
    <w:p w14:paraId="6ACBB662">
      <w:pPr>
        <w:spacing w:before="120" w:after="120" w:line="240" w:lineRule="auto"/>
        <w:rPr>
          <w:rFonts w:ascii="Times New Roman" w:hAnsi="Times New Roman" w:cs="Times New Roman"/>
          <w:b/>
          <w:bCs/>
        </w:rPr>
      </w:pPr>
      <w:r>
        <w:rPr>
          <w:rFonts w:ascii="Times New Roman" w:hAnsi="Times New Roman" w:cs="Times New Roman"/>
          <w:b/>
          <w:bCs/>
        </w:rPr>
        <w:t>OBJETO</w:t>
      </w:r>
    </w:p>
    <w:p w14:paraId="7A95D654">
      <w:pPr>
        <w:spacing w:before="120" w:after="120" w:line="240" w:lineRule="auto"/>
        <w:jc w:val="both"/>
        <w:rPr>
          <w:rFonts w:ascii="Times New Roman" w:hAnsi="Times New Roman" w:cs="Times New Roman"/>
        </w:rPr>
      </w:pPr>
      <w:r>
        <w:rPr>
          <w:rFonts w:ascii="Times New Roman" w:hAnsi="Times New Roman" w:cs="Times New Roman"/>
        </w:rPr>
        <w:t>REGISTRO DE PREÇOS PARA AQUISIÇÃO DE REAGENTES</w:t>
      </w:r>
    </w:p>
    <w:p w14:paraId="1B6B870D">
      <w:pPr>
        <w:spacing w:before="120" w:after="120" w:line="240" w:lineRule="auto"/>
        <w:jc w:val="both"/>
        <w:rPr>
          <w:rFonts w:ascii="Times New Roman" w:hAnsi="Times New Roman" w:cs="Times New Roman"/>
          <w:b/>
          <w:bCs/>
        </w:rPr>
      </w:pPr>
    </w:p>
    <w:p w14:paraId="3C590C6A">
      <w:pPr>
        <w:spacing w:before="120" w:after="120" w:line="240" w:lineRule="auto"/>
        <w:rPr>
          <w:rFonts w:ascii="Times New Roman" w:hAnsi="Times New Roman" w:cs="Times New Roman"/>
          <w:b/>
          <w:bCs/>
        </w:rPr>
      </w:pPr>
      <w:r>
        <w:rPr>
          <w:rFonts w:ascii="Times New Roman" w:hAnsi="Times New Roman" w:cs="Times New Roman"/>
          <w:b/>
          <w:bCs/>
        </w:rPr>
        <w:t>VALOR TOTAL DA CONTRATAÇÃO</w:t>
      </w:r>
    </w:p>
    <w:p w14:paraId="2D29D47B">
      <w:pPr>
        <w:spacing w:before="120" w:after="120" w:line="240" w:lineRule="auto"/>
        <w:jc w:val="both"/>
        <w:rPr>
          <w:rFonts w:ascii="Times New Roman" w:hAnsi="Times New Roman" w:cs="Times New Roman"/>
        </w:rPr>
      </w:pPr>
      <w:r>
        <w:rPr>
          <w:rFonts w:ascii="Times New Roman" w:hAnsi="Times New Roman" w:eastAsia="Times New Roman" w:cs="Times New Roman"/>
          <w:bCs/>
          <w:lang w:eastAsia="pt-BR"/>
        </w:rPr>
        <w:t>2.341.622,80</w:t>
      </w:r>
      <w:r>
        <w:rPr>
          <w:rFonts w:eastAsia="Times New Roman" w:cstheme="minorHAnsi"/>
          <w:bCs/>
          <w:sz w:val="16"/>
          <w:szCs w:val="16"/>
          <w:lang w:eastAsia="pt-BR"/>
        </w:rPr>
        <w:t xml:space="preserve"> </w:t>
      </w:r>
      <w:r>
        <w:rPr>
          <w:rFonts w:ascii="Times New Roman" w:hAnsi="Times New Roman" w:cs="Times New Roman"/>
        </w:rPr>
        <w:t>(DOIS MILHÕES TREZENTOS E QUARENTA E UM MIL E SEISCENTOS E VINTE E DOIS REAIS E OITENTA CENTAVOS)</w:t>
      </w:r>
    </w:p>
    <w:p w14:paraId="0BAA3521">
      <w:pPr>
        <w:spacing w:before="120" w:after="120" w:line="240" w:lineRule="auto"/>
        <w:jc w:val="both"/>
        <w:rPr>
          <w:rFonts w:ascii="Times New Roman" w:hAnsi="Times New Roman" w:cs="Times New Roman"/>
        </w:rPr>
      </w:pPr>
    </w:p>
    <w:p w14:paraId="7E1E686D">
      <w:pPr>
        <w:spacing w:before="120" w:after="120" w:line="240" w:lineRule="auto"/>
        <w:rPr>
          <w:rFonts w:ascii="Times New Roman" w:hAnsi="Times New Roman" w:cs="Times New Roman"/>
          <w:b/>
          <w:bCs/>
        </w:rPr>
      </w:pPr>
      <w:r>
        <w:rPr>
          <w:rFonts w:ascii="Times New Roman" w:hAnsi="Times New Roman" w:cs="Times New Roman"/>
          <w:b/>
          <w:bCs/>
        </w:rPr>
        <w:t>DATA DA SESSÃO PÚBLICA</w:t>
      </w:r>
    </w:p>
    <w:p w14:paraId="3E32DD35">
      <w:pPr>
        <w:spacing w:before="120" w:after="120" w:line="240" w:lineRule="auto"/>
        <w:jc w:val="both"/>
        <w:rPr>
          <w:rFonts w:ascii="Times New Roman" w:hAnsi="Times New Roman" w:cs="Times New Roman"/>
        </w:rPr>
      </w:pPr>
      <w:r>
        <w:rPr>
          <w:rFonts w:ascii="Times New Roman" w:hAnsi="Times New Roman" w:cs="Times New Roman"/>
        </w:rPr>
        <w:t xml:space="preserve">DIA </w:t>
      </w:r>
      <w:r>
        <w:rPr>
          <w:rFonts w:hint="default" w:ascii="Times New Roman" w:hAnsi="Times New Roman" w:cs="Times New Roman"/>
          <w:lang w:val="pt-BR"/>
        </w:rPr>
        <w:t>12</w:t>
      </w:r>
      <w:r>
        <w:rPr>
          <w:rFonts w:ascii="Times New Roman" w:hAnsi="Times New Roman" w:cs="Times New Roman"/>
        </w:rPr>
        <w:t>/09/2025 ÀS 09:00H (HORÁRIO DE BRASÍLIA)</w:t>
      </w:r>
    </w:p>
    <w:p w14:paraId="77389AC9">
      <w:pPr>
        <w:spacing w:before="120" w:after="120" w:line="240" w:lineRule="auto"/>
        <w:jc w:val="both"/>
        <w:rPr>
          <w:rFonts w:ascii="Times New Roman" w:hAnsi="Times New Roman" w:cs="Times New Roman"/>
          <w:b/>
          <w:bCs/>
          <w:caps/>
        </w:rPr>
      </w:pPr>
    </w:p>
    <w:p w14:paraId="3A89060F">
      <w:pPr>
        <w:spacing w:before="120" w:after="120" w:line="240" w:lineRule="auto"/>
        <w:jc w:val="both"/>
        <w:rPr>
          <w:rFonts w:ascii="Times New Roman" w:hAnsi="Times New Roman" w:cs="Times New Roman"/>
          <w:caps/>
        </w:rPr>
      </w:pPr>
      <w:r>
        <w:rPr>
          <w:rFonts w:ascii="Times New Roman" w:hAnsi="Times New Roman" w:cs="Times New Roman"/>
          <w:b/>
          <w:bCs/>
          <w:caps/>
        </w:rPr>
        <w:t>Critério de Julgamento:</w:t>
      </w:r>
    </w:p>
    <w:p w14:paraId="71F112EE">
      <w:pPr>
        <w:spacing w:before="120" w:after="120" w:line="240" w:lineRule="auto"/>
        <w:jc w:val="both"/>
        <w:rPr>
          <w:rFonts w:ascii="Times New Roman" w:hAnsi="Times New Roman" w:cs="Times New Roman"/>
        </w:rPr>
      </w:pPr>
      <w:r>
        <w:rPr>
          <w:rFonts w:ascii="Times New Roman" w:hAnsi="Times New Roman" w:cs="Times New Roman"/>
        </w:rPr>
        <w:t>MENOR PREÇO POR ITEM</w:t>
      </w:r>
    </w:p>
    <w:p w14:paraId="4786C4AC">
      <w:pPr>
        <w:spacing w:before="120" w:after="120" w:line="240" w:lineRule="auto"/>
        <w:jc w:val="both"/>
        <w:rPr>
          <w:rFonts w:ascii="Times New Roman" w:hAnsi="Times New Roman" w:cs="Times New Roman"/>
          <w:b/>
          <w:bCs/>
          <w:caps/>
        </w:rPr>
      </w:pPr>
    </w:p>
    <w:p w14:paraId="77267E80">
      <w:pPr>
        <w:spacing w:before="120" w:after="120" w:line="240" w:lineRule="auto"/>
        <w:jc w:val="both"/>
        <w:rPr>
          <w:rFonts w:ascii="Times New Roman" w:hAnsi="Times New Roman" w:cs="Times New Roman"/>
          <w:caps/>
        </w:rPr>
      </w:pPr>
      <w:r>
        <w:rPr>
          <w:rFonts w:ascii="Times New Roman" w:hAnsi="Times New Roman" w:cs="Times New Roman"/>
          <w:b/>
          <w:bCs/>
          <w:caps/>
        </w:rPr>
        <w:t>Modo de disputa:</w:t>
      </w:r>
    </w:p>
    <w:p w14:paraId="57C5313F">
      <w:pPr>
        <w:spacing w:before="120" w:after="120" w:line="240" w:lineRule="auto"/>
        <w:jc w:val="both"/>
        <w:rPr>
          <w:rFonts w:ascii="Times New Roman" w:hAnsi="Times New Roman" w:cs="Times New Roman"/>
        </w:rPr>
      </w:pPr>
      <w:r>
        <w:rPr>
          <w:rFonts w:ascii="Times New Roman" w:hAnsi="Times New Roman" w:cs="Times New Roman"/>
        </w:rPr>
        <w:t>ABERTO E FECHADO</w:t>
      </w:r>
    </w:p>
    <w:p w14:paraId="228C33B4">
      <w:pPr>
        <w:spacing w:before="120" w:after="120" w:line="240" w:lineRule="auto"/>
        <w:rPr>
          <w:rFonts w:ascii="Times New Roman" w:hAnsi="Times New Roman" w:cs="Times New Roman"/>
          <w:b/>
          <w:bCs/>
        </w:rPr>
      </w:pPr>
    </w:p>
    <w:p w14:paraId="5254F67D">
      <w:pPr>
        <w:spacing w:before="120" w:after="120" w:line="240" w:lineRule="auto"/>
        <w:rPr>
          <w:rFonts w:ascii="Times New Roman" w:hAnsi="Times New Roman" w:cs="Times New Roman"/>
          <w:b/>
          <w:bCs/>
        </w:rPr>
      </w:pPr>
      <w:r>
        <w:rPr>
          <w:rFonts w:ascii="Times New Roman" w:hAnsi="Times New Roman" w:cs="Times New Roman"/>
          <w:b/>
          <w:bCs/>
        </w:rPr>
        <w:t>PREFERÊNCIA ME/EPP/EQUIPARADAS</w:t>
      </w:r>
    </w:p>
    <w:p w14:paraId="0F4F63F6">
      <w:pPr>
        <w:spacing w:before="120" w:after="120" w:line="240" w:lineRule="auto"/>
        <w:rPr>
          <w:rFonts w:ascii="Times New Roman" w:hAnsi="Times New Roman" w:cs="Times New Roman"/>
          <w:bCs/>
        </w:rPr>
      </w:pPr>
      <w:r>
        <w:rPr>
          <w:rFonts w:ascii="Times New Roman" w:hAnsi="Times New Roman" w:cs="Times New Roman"/>
          <w:bCs/>
        </w:rPr>
        <w:t>SIM</w:t>
      </w:r>
    </w:p>
    <w:p w14:paraId="619306B4">
      <w:pPr>
        <w:spacing w:before="120" w:after="120" w:line="240" w:lineRule="auto"/>
        <w:rPr>
          <w:rFonts w:ascii="Times New Roman" w:hAnsi="Times New Roman" w:cs="Times New Roman"/>
          <w:bCs/>
        </w:rPr>
      </w:pPr>
    </w:p>
    <w:p w14:paraId="14385481">
      <w:pPr>
        <w:spacing w:before="120" w:after="120" w:line="240" w:lineRule="auto"/>
        <w:rPr>
          <w:rFonts w:ascii="Times New Roman" w:hAnsi="Times New Roman" w:cs="Times New Roman"/>
          <w:b/>
          <w:bCs/>
        </w:rPr>
      </w:pPr>
      <w:r>
        <w:rPr>
          <w:rFonts w:ascii="Times New Roman" w:hAnsi="Times New Roman" w:cs="Times New Roman"/>
          <w:b/>
          <w:bCs/>
        </w:rPr>
        <w:t>MARGEM DE PREFERÊNCIA PARA ALGUM ITEM</w:t>
      </w:r>
    </w:p>
    <w:p w14:paraId="2EBDF319">
      <w:pPr>
        <w:spacing w:before="120" w:after="120" w:line="240" w:lineRule="auto"/>
        <w:rPr>
          <w:rFonts w:ascii="Times New Roman" w:hAnsi="Times New Roman" w:cs="Times New Roman"/>
          <w:bCs/>
        </w:rPr>
      </w:pPr>
      <w:r>
        <w:rPr>
          <w:rFonts w:ascii="Times New Roman" w:hAnsi="Times New Roman" w:cs="Times New Roman"/>
          <w:bCs/>
        </w:rPr>
        <w:t>NÃO</w:t>
      </w:r>
    </w:p>
    <w:p w14:paraId="63148010">
      <w:pPr>
        <w:spacing w:before="120" w:after="120" w:line="360" w:lineRule="auto"/>
        <w:rPr>
          <w:rFonts w:ascii="Times New Roman" w:hAnsi="Times New Roman" w:cs="Times New Roman"/>
          <w:bCs/>
        </w:rPr>
      </w:pPr>
    </w:p>
    <w:p w14:paraId="7329535D">
      <w:pPr>
        <w:spacing w:before="120" w:after="120" w:line="360" w:lineRule="auto"/>
        <w:rPr>
          <w:rFonts w:ascii="Times New Roman" w:hAnsi="Times New Roman" w:cs="Times New Roman"/>
          <w:bCs/>
        </w:rPr>
      </w:pPr>
    </w:p>
    <w:p w14:paraId="20FFC0C8">
      <w:pPr>
        <w:spacing w:before="120" w:after="120" w:line="360" w:lineRule="auto"/>
        <w:rPr>
          <w:rFonts w:ascii="Times New Roman" w:hAnsi="Times New Roman" w:cs="Times New Roman"/>
          <w:bCs/>
        </w:rPr>
      </w:pPr>
    </w:p>
    <w:p w14:paraId="10E0F872">
      <w:pPr>
        <w:spacing w:before="120" w:after="120" w:line="360" w:lineRule="auto"/>
        <w:rPr>
          <w:rFonts w:ascii="Times New Roman" w:hAnsi="Times New Roman" w:cs="Times New Roman"/>
          <w:bCs/>
        </w:rPr>
      </w:pPr>
    </w:p>
    <w:p w14:paraId="5CABE7C3">
      <w:pPr>
        <w:spacing w:before="120" w:after="120" w:line="360" w:lineRule="auto"/>
        <w:rPr>
          <w:rFonts w:ascii="Times New Roman" w:hAnsi="Times New Roman" w:cs="Times New Roman"/>
          <w:b/>
          <w:bCs/>
          <w:sz w:val="20"/>
          <w:szCs w:val="20"/>
        </w:rPr>
      </w:pPr>
      <w:r>
        <w:rPr>
          <w:rFonts w:ascii="Times New Roman" w:hAnsi="Times New Roman" w:cs="Times New Roman"/>
          <w:b/>
          <w:bCs/>
          <w:sz w:val="20"/>
          <w:szCs w:val="20"/>
        </w:rPr>
        <w:t>SUMÁRIO</w:t>
      </w:r>
    </w:p>
    <w:p w14:paraId="60DF2813">
      <w:pPr>
        <w:pStyle w:val="31"/>
        <w:tabs>
          <w:tab w:val="left" w:pos="284"/>
          <w:tab w:val="clear" w:pos="-284"/>
        </w:tabs>
        <w:ind w:left="0" w:firstLine="0"/>
        <w:rPr>
          <w:rFonts w:eastAsiaTheme="minorEastAsia"/>
        </w:rPr>
      </w:pPr>
      <w:r>
        <w:t>DO OBJETO</w:t>
      </w:r>
      <w:r>
        <w:tab/>
      </w:r>
      <w:r>
        <w:t>3</w:t>
      </w:r>
    </w:p>
    <w:p w14:paraId="1C9C3B3A">
      <w:pPr>
        <w:pStyle w:val="31"/>
        <w:tabs>
          <w:tab w:val="left" w:pos="284"/>
          <w:tab w:val="clear" w:pos="-284"/>
        </w:tabs>
        <w:ind w:left="0" w:firstLine="0"/>
        <w:rPr>
          <w:rFonts w:eastAsiaTheme="minorEastAsia"/>
        </w:rPr>
      </w:pPr>
      <w:r>
        <w:t xml:space="preserve">DO REGISTRO DE PREÇOS </w:t>
      </w:r>
      <w:r>
        <w:tab/>
      </w:r>
      <w:r>
        <w:t>3</w:t>
      </w:r>
    </w:p>
    <w:p w14:paraId="10DFA386">
      <w:pPr>
        <w:pStyle w:val="31"/>
        <w:tabs>
          <w:tab w:val="left" w:pos="284"/>
          <w:tab w:val="clear" w:pos="-284"/>
        </w:tabs>
        <w:ind w:left="0" w:firstLine="0"/>
      </w:pPr>
      <w:r>
        <w:t>DA PARTICIPAÇÃO NA LICITAÇÃO</w:t>
      </w:r>
      <w:r>
        <w:tab/>
      </w:r>
      <w:r>
        <w:t>4</w:t>
      </w:r>
    </w:p>
    <w:p w14:paraId="58D3E185">
      <w:pPr>
        <w:pStyle w:val="31"/>
        <w:tabs>
          <w:tab w:val="left" w:pos="284"/>
          <w:tab w:val="clear" w:pos="-284"/>
        </w:tabs>
        <w:ind w:left="0" w:firstLine="0"/>
      </w:pPr>
      <w:r>
        <w:t>DO ORÇAMENTO ESTIMADO ........................................................................................................6</w:t>
      </w:r>
    </w:p>
    <w:p w14:paraId="172CC8E2">
      <w:pPr>
        <w:pStyle w:val="31"/>
        <w:tabs>
          <w:tab w:val="left" w:pos="284"/>
          <w:tab w:val="clear" w:pos="-284"/>
        </w:tabs>
        <w:ind w:left="0" w:firstLine="0"/>
        <w:rPr>
          <w:rFonts w:eastAsiaTheme="minorEastAsia"/>
        </w:rPr>
      </w:pPr>
      <w:r>
        <w:t>DA APRESENTAÇÃO DA PROPOSTA E DOS DOCUMENTOS DE HABILITAÇÃO</w:t>
      </w:r>
      <w:r>
        <w:tab/>
      </w:r>
      <w:r>
        <w:t>6</w:t>
      </w:r>
    </w:p>
    <w:p w14:paraId="0B751C3A">
      <w:pPr>
        <w:pStyle w:val="31"/>
        <w:tabs>
          <w:tab w:val="left" w:pos="284"/>
          <w:tab w:val="clear" w:pos="-284"/>
        </w:tabs>
        <w:ind w:left="0" w:firstLine="0"/>
        <w:rPr>
          <w:rFonts w:eastAsiaTheme="minorEastAsia"/>
        </w:rPr>
      </w:pPr>
      <w:r>
        <w:t>DO PREENCHIMENTO DA PROPOSTA</w:t>
      </w:r>
      <w:r>
        <w:tab/>
      </w:r>
      <w:r>
        <w:t>9</w:t>
      </w:r>
    </w:p>
    <w:p w14:paraId="618CF779">
      <w:pPr>
        <w:pStyle w:val="31"/>
        <w:tabs>
          <w:tab w:val="left" w:pos="284"/>
          <w:tab w:val="clear" w:pos="-284"/>
        </w:tabs>
        <w:ind w:left="0" w:firstLine="0"/>
        <w:rPr>
          <w:rFonts w:eastAsiaTheme="minorEastAsia"/>
        </w:rPr>
      </w:pPr>
      <w:r>
        <w:t>DA ABERTURA DA SESSÃO, CLASSIFICAÇÃO DAS PROPOSTAS E FORMULAÇÃO DE LANCES</w:t>
      </w:r>
      <w:r>
        <w:tab/>
      </w:r>
      <w:r>
        <w:t>11</w:t>
      </w:r>
    </w:p>
    <w:p w14:paraId="79060CD9">
      <w:pPr>
        <w:pStyle w:val="31"/>
        <w:tabs>
          <w:tab w:val="left" w:pos="284"/>
          <w:tab w:val="clear" w:pos="-284"/>
        </w:tabs>
        <w:ind w:left="0" w:firstLine="0"/>
        <w:rPr>
          <w:rFonts w:eastAsiaTheme="minorEastAsia"/>
        </w:rPr>
      </w:pPr>
      <w:r>
        <w:t>DA FASE DE JULGAMENTO</w:t>
      </w:r>
      <w:r>
        <w:tab/>
      </w:r>
      <w:r>
        <w:t>15</w:t>
      </w:r>
    </w:p>
    <w:p w14:paraId="078D9B6A">
      <w:pPr>
        <w:pStyle w:val="31"/>
        <w:tabs>
          <w:tab w:val="left" w:pos="284"/>
          <w:tab w:val="clear" w:pos="-284"/>
        </w:tabs>
        <w:ind w:left="0" w:firstLine="0"/>
      </w:pPr>
      <w:r>
        <w:t>DA FASE DE HABILITAÇÃO .........................................................................................................19</w:t>
      </w:r>
    </w:p>
    <w:p w14:paraId="486DCD31">
      <w:pPr>
        <w:pStyle w:val="31"/>
        <w:tabs>
          <w:tab w:val="left" w:pos="284"/>
          <w:tab w:val="clear" w:pos="-284"/>
        </w:tabs>
        <w:ind w:left="0" w:firstLine="0"/>
      </w:pPr>
      <w:r>
        <w:t>DO TERMO DE CONTRATO ..........................................................................................................21</w:t>
      </w:r>
    </w:p>
    <w:p w14:paraId="39A0AB16">
      <w:pPr>
        <w:pStyle w:val="31"/>
        <w:tabs>
          <w:tab w:val="left" w:pos="284"/>
          <w:tab w:val="clear" w:pos="-284"/>
        </w:tabs>
        <w:ind w:left="0" w:firstLine="0"/>
        <w:rPr>
          <w:rFonts w:eastAsiaTheme="minorEastAsia"/>
        </w:rPr>
      </w:pPr>
      <w:r>
        <w:t>DA ATA DE REGISTRO DE PREÇOS</w:t>
      </w:r>
      <w:r>
        <w:tab/>
      </w:r>
      <w:r>
        <w:t>23</w:t>
      </w:r>
    </w:p>
    <w:p w14:paraId="2F926445">
      <w:pPr>
        <w:pStyle w:val="31"/>
        <w:tabs>
          <w:tab w:val="left" w:pos="284"/>
          <w:tab w:val="clear" w:pos="-284"/>
        </w:tabs>
        <w:ind w:left="0" w:firstLine="0"/>
        <w:rPr>
          <w:rFonts w:eastAsiaTheme="minorEastAsia"/>
        </w:rPr>
      </w:pPr>
      <w:r>
        <w:t>DA FORMAÇÃO DO CADASTRO DE RESERVA</w:t>
      </w:r>
      <w:r>
        <w:tab/>
      </w:r>
      <w:r>
        <w:t>24</w:t>
      </w:r>
    </w:p>
    <w:p w14:paraId="24D268CB">
      <w:pPr>
        <w:pStyle w:val="31"/>
        <w:tabs>
          <w:tab w:val="left" w:pos="284"/>
          <w:tab w:val="clear" w:pos="-284"/>
        </w:tabs>
        <w:ind w:left="0" w:firstLine="0"/>
        <w:rPr>
          <w:rFonts w:eastAsiaTheme="minorEastAsia"/>
        </w:rPr>
      </w:pPr>
      <w:r>
        <w:t>DOS RECURSOS</w:t>
      </w:r>
      <w:r>
        <w:tab/>
      </w:r>
      <w:r>
        <w:t>25</w:t>
      </w:r>
    </w:p>
    <w:p w14:paraId="30C6B589">
      <w:pPr>
        <w:pStyle w:val="31"/>
        <w:tabs>
          <w:tab w:val="left" w:pos="284"/>
          <w:tab w:val="clear" w:pos="-284"/>
        </w:tabs>
        <w:ind w:left="0" w:firstLine="0"/>
        <w:rPr>
          <w:rFonts w:eastAsiaTheme="minorEastAsia"/>
        </w:rPr>
      </w:pPr>
      <w:r>
        <w:t>DAS INFRAÇÕES ADMINISTRATIVAS E SANÇÕES</w:t>
      </w:r>
      <w:r>
        <w:tab/>
      </w:r>
      <w:r>
        <w:t>26</w:t>
      </w:r>
    </w:p>
    <w:p w14:paraId="7446B496">
      <w:pPr>
        <w:pStyle w:val="31"/>
        <w:tabs>
          <w:tab w:val="left" w:pos="284"/>
          <w:tab w:val="clear" w:pos="-284"/>
        </w:tabs>
        <w:ind w:left="0" w:firstLine="0"/>
      </w:pPr>
      <w:r>
        <w:t>DA IMPUGNAÇÃO AO EDITAL E DO PEDIDO DE ESCLARECIMENTO ...........................29</w:t>
      </w:r>
    </w:p>
    <w:p w14:paraId="23545677">
      <w:pPr>
        <w:pStyle w:val="31"/>
        <w:tabs>
          <w:tab w:val="left" w:pos="284"/>
          <w:tab w:val="clear" w:pos="-284"/>
        </w:tabs>
        <w:ind w:left="0" w:firstLine="0"/>
      </w:pPr>
      <w:r>
        <w:t>DAS DISPOSIÇÕES GERAIS ...........................................................................................................29</w:t>
      </w:r>
    </w:p>
    <w:p w14:paraId="4B785847">
      <w:pPr>
        <w:spacing w:before="120" w:after="120" w:line="360" w:lineRule="auto"/>
        <w:jc w:val="center"/>
        <w:rPr>
          <w:rFonts w:ascii="Times New Roman" w:hAnsi="Times New Roman" w:eastAsia="Times New Roman" w:cs="Times New Roman"/>
          <w:b/>
          <w:bCs/>
          <w:lang w:eastAsia="pt-BR"/>
        </w:rPr>
      </w:pPr>
    </w:p>
    <w:p w14:paraId="74B991C6">
      <w:pPr>
        <w:spacing w:before="120" w:after="120" w:line="360" w:lineRule="auto"/>
        <w:jc w:val="center"/>
        <w:rPr>
          <w:rFonts w:ascii="Times New Roman" w:hAnsi="Times New Roman" w:eastAsia="Times New Roman" w:cs="Times New Roman"/>
          <w:b/>
          <w:bCs/>
          <w:lang w:eastAsia="pt-BR"/>
        </w:rPr>
      </w:pPr>
    </w:p>
    <w:p w14:paraId="672B1F12">
      <w:pPr>
        <w:spacing w:before="120" w:after="120" w:line="360" w:lineRule="auto"/>
        <w:jc w:val="center"/>
        <w:rPr>
          <w:rFonts w:ascii="Times New Roman" w:hAnsi="Times New Roman" w:eastAsia="Times New Roman" w:cs="Times New Roman"/>
          <w:b/>
          <w:bCs/>
          <w:lang w:eastAsia="pt-BR"/>
        </w:rPr>
      </w:pPr>
    </w:p>
    <w:p w14:paraId="72BDDC4F">
      <w:pPr>
        <w:spacing w:before="120" w:after="120" w:line="360" w:lineRule="auto"/>
        <w:jc w:val="center"/>
        <w:rPr>
          <w:rFonts w:ascii="Times New Roman" w:hAnsi="Times New Roman" w:eastAsia="Times New Roman" w:cs="Times New Roman"/>
          <w:b/>
          <w:bCs/>
          <w:lang w:eastAsia="pt-BR"/>
        </w:rPr>
      </w:pPr>
    </w:p>
    <w:p w14:paraId="4141F9E5">
      <w:pPr>
        <w:spacing w:before="120" w:after="120" w:line="360" w:lineRule="auto"/>
        <w:jc w:val="center"/>
        <w:rPr>
          <w:rFonts w:ascii="Times New Roman" w:hAnsi="Times New Roman" w:eastAsia="Times New Roman" w:cs="Times New Roman"/>
          <w:b/>
          <w:bCs/>
          <w:lang w:eastAsia="pt-BR"/>
        </w:rPr>
      </w:pPr>
    </w:p>
    <w:p w14:paraId="6B42C133">
      <w:pPr>
        <w:spacing w:before="120" w:after="120" w:line="360" w:lineRule="auto"/>
        <w:jc w:val="center"/>
        <w:rPr>
          <w:rFonts w:ascii="Times New Roman" w:hAnsi="Times New Roman" w:eastAsia="Times New Roman" w:cs="Times New Roman"/>
          <w:b/>
          <w:bCs/>
          <w:lang w:eastAsia="pt-BR"/>
        </w:rPr>
      </w:pPr>
    </w:p>
    <w:p w14:paraId="36BA1823">
      <w:pPr>
        <w:spacing w:before="120" w:after="120" w:line="360" w:lineRule="auto"/>
        <w:jc w:val="center"/>
        <w:rPr>
          <w:rFonts w:ascii="Times New Roman" w:hAnsi="Times New Roman" w:eastAsia="Times New Roman" w:cs="Times New Roman"/>
          <w:b/>
          <w:bCs/>
          <w:lang w:eastAsia="pt-BR"/>
        </w:rPr>
      </w:pPr>
    </w:p>
    <w:p w14:paraId="737280F9">
      <w:pPr>
        <w:spacing w:before="120" w:after="120" w:line="360" w:lineRule="auto"/>
        <w:jc w:val="center"/>
        <w:rPr>
          <w:rFonts w:ascii="Times New Roman" w:hAnsi="Times New Roman" w:eastAsia="Times New Roman" w:cs="Times New Roman"/>
          <w:b/>
          <w:bCs/>
          <w:lang w:eastAsia="pt-BR"/>
        </w:rPr>
      </w:pPr>
    </w:p>
    <w:p w14:paraId="7008367E">
      <w:pPr>
        <w:spacing w:before="120" w:after="120" w:line="360" w:lineRule="auto"/>
        <w:jc w:val="center"/>
        <w:rPr>
          <w:rFonts w:ascii="Times New Roman" w:hAnsi="Times New Roman" w:eastAsia="Times New Roman" w:cs="Times New Roman"/>
          <w:b/>
          <w:bCs/>
          <w:lang w:eastAsia="pt-BR"/>
        </w:rPr>
      </w:pPr>
    </w:p>
    <w:p w14:paraId="63B98D18">
      <w:pPr>
        <w:spacing w:before="120" w:after="120" w:line="360" w:lineRule="auto"/>
        <w:jc w:val="center"/>
        <w:rPr>
          <w:rFonts w:ascii="Times New Roman" w:hAnsi="Times New Roman" w:eastAsia="Times New Roman" w:cs="Times New Roman"/>
          <w:b/>
          <w:bCs/>
          <w:lang w:eastAsia="pt-BR"/>
        </w:rPr>
      </w:pPr>
    </w:p>
    <w:p w14:paraId="15E4726D">
      <w:pPr>
        <w:spacing w:after="0" w:line="240" w:lineRule="auto"/>
        <w:ind w:firstLine="567"/>
        <w:jc w:val="center"/>
        <w:rPr>
          <w:rFonts w:ascii="Times New Roman" w:hAnsi="Times New Roman" w:cs="Times New Roman"/>
          <w:b/>
          <w:bCs/>
        </w:rPr>
      </w:pPr>
      <w:r>
        <w:rPr>
          <w:rFonts w:ascii="Times New Roman" w:hAnsi="Times New Roman" w:cs="Times New Roman"/>
          <w:b/>
        </w:rPr>
        <w:t>COMPLEXO HOSPITALAR E DE SAÚDE - UFBA</w:t>
      </w:r>
    </w:p>
    <w:p w14:paraId="38538E18">
      <w:pPr>
        <w:spacing w:after="0" w:line="240" w:lineRule="auto"/>
        <w:ind w:firstLine="567"/>
        <w:jc w:val="center"/>
        <w:rPr>
          <w:rFonts w:ascii="Times New Roman" w:hAnsi="Times New Roman" w:cs="Times New Roman"/>
          <w:b/>
        </w:rPr>
      </w:pPr>
      <w:r>
        <w:rPr>
          <w:rFonts w:ascii="Times New Roman" w:hAnsi="Times New Roman" w:cs="Times New Roman"/>
          <w:b/>
        </w:rPr>
        <w:t>PREGÃO ELETRÔNICO Nº 90085/2025</w:t>
      </w:r>
    </w:p>
    <w:p w14:paraId="240EDBC4">
      <w:pPr>
        <w:spacing w:after="0" w:line="240" w:lineRule="auto"/>
        <w:ind w:firstLine="567"/>
        <w:jc w:val="center"/>
        <w:rPr>
          <w:rFonts w:ascii="Times New Roman" w:hAnsi="Times New Roman" w:cs="Times New Roman"/>
        </w:rPr>
      </w:pPr>
      <w:r>
        <w:rPr>
          <w:rFonts w:ascii="Times New Roman" w:hAnsi="Times New Roman" w:cs="Times New Roman"/>
        </w:rPr>
        <w:t>(Processo Administrativo n° 23066.042669/2025-76)</w:t>
      </w:r>
    </w:p>
    <w:p w14:paraId="2F70A91B">
      <w:pPr>
        <w:spacing w:before="120" w:after="720" w:afterLines="300" w:line="360" w:lineRule="auto"/>
        <w:ind w:firstLine="567"/>
        <w:jc w:val="center"/>
        <w:rPr>
          <w:rFonts w:ascii="Times New Roman" w:hAnsi="Times New Roman" w:cs="Times New Roman"/>
        </w:rPr>
      </w:pPr>
    </w:p>
    <w:p w14:paraId="21B49A1D">
      <w:pPr>
        <w:pStyle w:val="44"/>
        <w:spacing w:line="360" w:lineRule="auto"/>
        <w:rPr>
          <w:rFonts w:ascii="Times New Roman" w:hAnsi="Times New Roman" w:cs="Times New Roman"/>
        </w:rPr>
      </w:pPr>
      <w:r>
        <w:rPr>
          <w:rFonts w:ascii="Times New Roman" w:hAnsi="Times New Roman" w:cs="Times New Roman"/>
        </w:rPr>
        <w:t xml:space="preserve">Torna-se público que o(a) UNIVERSIDADE FEDERAL DA BAHIA, por meio do(a) COMPLEXO HOSPITALAR E DE SAÚDE, sediado(a) </w:t>
      </w:r>
      <w:r>
        <w:rPr>
          <w:rFonts w:ascii="Times New Roman" w:hAnsi="Times New Roman"/>
        </w:rPr>
        <w:t xml:space="preserve">no Campus Universitário de Ondina, PAF IV, </w:t>
      </w:r>
      <w:r>
        <w:rPr>
          <w:rStyle w:val="42"/>
          <w:rFonts w:ascii="Times New Roman" w:hAnsi="Times New Roman"/>
        </w:rPr>
        <w:t>Rua Barão de Jeremoabo</w:t>
      </w:r>
      <w:r>
        <w:rPr>
          <w:rFonts w:ascii="Times New Roman" w:hAnsi="Times New Roman"/>
        </w:rPr>
        <w:t>,</w:t>
      </w:r>
      <w:r>
        <w:rPr>
          <w:rStyle w:val="41"/>
          <w:rFonts w:ascii="Times New Roman" w:hAnsi="Times New Roman"/>
        </w:rPr>
        <w:t> </w:t>
      </w:r>
      <w:r>
        <w:rPr>
          <w:rStyle w:val="42"/>
          <w:rFonts w:ascii="Times New Roman" w:hAnsi="Times New Roman"/>
        </w:rPr>
        <w:t>s/n</w:t>
      </w:r>
      <w:r>
        <w:rPr>
          <w:rStyle w:val="41"/>
          <w:rFonts w:ascii="Times New Roman" w:hAnsi="Times New Roman"/>
        </w:rPr>
        <w:t>,</w:t>
      </w:r>
      <w:r>
        <w:rPr>
          <w:rFonts w:ascii="Times New Roman" w:hAnsi="Times New Roman"/>
        </w:rPr>
        <w:t xml:space="preserve"> 1º andar,</w:t>
      </w:r>
      <w:r>
        <w:rPr>
          <w:rStyle w:val="42"/>
          <w:rFonts w:ascii="Times New Roman" w:hAnsi="Times New Roman"/>
        </w:rPr>
        <w:t xml:space="preserve"> Ondina</w:t>
      </w:r>
      <w:r>
        <w:rPr>
          <w:rFonts w:ascii="Times New Roman" w:hAnsi="Times New Roman"/>
        </w:rPr>
        <w:t>,</w:t>
      </w:r>
      <w:r>
        <w:rPr>
          <w:rStyle w:val="41"/>
          <w:rFonts w:ascii="Times New Roman" w:hAnsi="Times New Roman"/>
        </w:rPr>
        <w:t xml:space="preserve"> CEP: </w:t>
      </w:r>
      <w:r>
        <w:rPr>
          <w:rStyle w:val="42"/>
          <w:rFonts w:ascii="Times New Roman" w:hAnsi="Times New Roman"/>
        </w:rPr>
        <w:t>40170-115</w:t>
      </w:r>
      <w:r>
        <w:rPr>
          <w:rFonts w:ascii="Times New Roman" w:hAnsi="Times New Roman"/>
        </w:rPr>
        <w:t>, Salvador-Ba</w:t>
      </w:r>
      <w:r>
        <w:rPr>
          <w:rFonts w:ascii="Times New Roman" w:hAnsi="Times New Roman" w:cs="Times New Roman"/>
        </w:rPr>
        <w:t xml:space="preserve">, realizará licitação, para registro de preços, na modalidade </w:t>
      </w:r>
      <w:r>
        <w:rPr>
          <w:rFonts w:ascii="Times New Roman" w:hAnsi="Times New Roman" w:cs="Times New Roman"/>
          <w:b/>
          <w:bCs/>
        </w:rPr>
        <w:t>PREGÃO ELETRÔNICO</w:t>
      </w:r>
      <w:r>
        <w:rPr>
          <w:rFonts w:ascii="Times New Roman" w:hAnsi="Times New Roman" w:cs="Times New Roman"/>
        </w:rPr>
        <w:t>, na forma ELETRÔNICA, nos termos da Lei nº 14.133, de 1º de abril de 2021, do Decreto nº 11.462, de 31 de março de 2023, e demais legislação aplicável e, ainda, de acordo com as condições estabelecidas neste Edital.</w:t>
      </w:r>
    </w:p>
    <w:p w14:paraId="2DF829E1">
      <w:pPr>
        <w:pStyle w:val="44"/>
        <w:spacing w:line="360" w:lineRule="auto"/>
        <w:rPr>
          <w:rFonts w:ascii="Times New Roman" w:hAnsi="Times New Roman" w:cs="Times New Roman"/>
        </w:rPr>
      </w:pPr>
    </w:p>
    <w:p w14:paraId="585E51BA">
      <w:pPr>
        <w:pStyle w:val="44"/>
        <w:spacing w:line="360" w:lineRule="auto"/>
        <w:rPr>
          <w:rFonts w:ascii="Times New Roman" w:hAnsi="Times New Roman" w:cs="Times New Roman"/>
        </w:rPr>
      </w:pPr>
    </w:p>
    <w:p w14:paraId="48ECE862">
      <w:pPr>
        <w:pStyle w:val="67"/>
        <w:numPr>
          <w:ilvl w:val="0"/>
          <w:numId w:val="7"/>
        </w:numPr>
        <w:spacing w:line="360" w:lineRule="auto"/>
        <w:rPr>
          <w:rFonts w:ascii="Times New Roman" w:hAnsi="Times New Roman" w:cs="Times New Roman"/>
          <w:color w:val="auto"/>
          <w:sz w:val="22"/>
          <w:szCs w:val="22"/>
          <w:lang w:eastAsia="en-US"/>
        </w:rPr>
      </w:pPr>
      <w:bookmarkStart w:id="0" w:name="_Toc193719190"/>
      <w:bookmarkStart w:id="1" w:name="_Toc135469195"/>
      <w:r>
        <w:rPr>
          <w:rFonts w:ascii="Times New Roman" w:hAnsi="Times New Roman" w:cs="Times New Roman"/>
          <w:color w:val="auto"/>
          <w:sz w:val="22"/>
          <w:szCs w:val="22"/>
          <w:lang w:eastAsia="en-US"/>
        </w:rPr>
        <w:t>DO OBJETO</w:t>
      </w:r>
      <w:bookmarkEnd w:id="0"/>
      <w:bookmarkEnd w:id="1"/>
    </w:p>
    <w:p w14:paraId="3197D078">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objeto da presente licitação é MEDICAMENTOS</w:t>
      </w:r>
      <w:r>
        <w:rPr>
          <w:rFonts w:ascii="Times New Roman" w:hAnsi="Times New Roman" w:cs="Times New Roman"/>
          <w:bCs/>
        </w:rPr>
        <w:t xml:space="preserve">, </w:t>
      </w:r>
      <w:r>
        <w:rPr>
          <w:rFonts w:ascii="Times New Roman" w:hAnsi="Times New Roman" w:cs="Times New Roman"/>
        </w:rPr>
        <w:t>conforme condições, quantidades e exigências estabelecidas neste Edital e seus anexos.</w:t>
      </w:r>
    </w:p>
    <w:p w14:paraId="59528468">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licitação será dividida em item(s), conforme tabela constante do Termo de Referência/Projeto Básico.</w:t>
      </w:r>
    </w:p>
    <w:p w14:paraId="69CDA0CA">
      <w:pPr>
        <w:pStyle w:val="44"/>
        <w:numPr>
          <w:ilvl w:val="2"/>
          <w:numId w:val="8"/>
        </w:numPr>
        <w:spacing w:line="360" w:lineRule="auto"/>
        <w:rPr>
          <w:rFonts w:ascii="Times New Roman" w:hAnsi="Times New Roman" w:cs="Times New Roman"/>
        </w:rPr>
      </w:pPr>
      <w:r>
        <w:rPr>
          <w:rFonts w:ascii="Times New Roman" w:hAnsi="Times New Roman" w:cs="Times New Roman"/>
        </w:rPr>
        <w:t>relativamente ao(s) item(s) isolado(s), faculta-se ao licitante a participação em quantos itens forem de seu interesse;</w:t>
      </w:r>
    </w:p>
    <w:p w14:paraId="32079CB1">
      <w:pPr>
        <w:pStyle w:val="48"/>
        <w:numPr>
          <w:ilvl w:val="0"/>
          <w:numId w:val="0"/>
        </w:numPr>
        <w:spacing w:line="360" w:lineRule="auto"/>
        <w:ind w:left="284"/>
        <w:rPr>
          <w:rFonts w:ascii="Times New Roman" w:hAnsi="Times New Roman" w:cs="Times New Roman"/>
          <w:color w:val="auto"/>
        </w:rPr>
      </w:pPr>
    </w:p>
    <w:p w14:paraId="3AAEA268">
      <w:pPr>
        <w:pStyle w:val="67"/>
        <w:numPr>
          <w:ilvl w:val="0"/>
          <w:numId w:val="7"/>
        </w:numPr>
        <w:spacing w:line="360" w:lineRule="auto"/>
        <w:rPr>
          <w:rFonts w:ascii="Times New Roman" w:hAnsi="Times New Roman" w:cs="Times New Roman"/>
          <w:color w:val="auto"/>
          <w:sz w:val="22"/>
          <w:szCs w:val="22"/>
        </w:rPr>
      </w:pPr>
      <w:bookmarkStart w:id="2" w:name="_Toc135469196"/>
      <w:bookmarkStart w:id="3" w:name="_Toc193719191"/>
      <w:r>
        <w:rPr>
          <w:rFonts w:ascii="Times New Roman" w:hAnsi="Times New Roman" w:cs="Times New Roman"/>
          <w:color w:val="auto"/>
          <w:sz w:val="22"/>
          <w:szCs w:val="22"/>
        </w:rPr>
        <w:t>DO REGISTRO DE PREÇOS</w:t>
      </w:r>
      <w:bookmarkEnd w:id="2"/>
      <w:bookmarkEnd w:id="3"/>
    </w:p>
    <w:p w14:paraId="79FA8E7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As regras referentes aos órgãos gerenciador e participantes, bem como a eventuais adesões são as que constam da minuta de Ata de Registro de Preços.</w:t>
      </w:r>
    </w:p>
    <w:p w14:paraId="095E1431">
      <w:pPr>
        <w:pStyle w:val="44"/>
        <w:spacing w:line="360" w:lineRule="auto"/>
        <w:rPr>
          <w:rFonts w:ascii="Times New Roman" w:hAnsi="Times New Roman" w:cs="Times New Roman"/>
        </w:rPr>
      </w:pPr>
    </w:p>
    <w:p w14:paraId="0E16DBEE">
      <w:pPr>
        <w:pStyle w:val="67"/>
        <w:numPr>
          <w:ilvl w:val="0"/>
          <w:numId w:val="7"/>
        </w:numPr>
        <w:spacing w:line="360" w:lineRule="auto"/>
        <w:rPr>
          <w:rFonts w:ascii="Times New Roman" w:hAnsi="Times New Roman" w:cs="Times New Roman"/>
          <w:color w:val="auto"/>
          <w:sz w:val="22"/>
          <w:szCs w:val="22"/>
        </w:rPr>
      </w:pPr>
      <w:bookmarkStart w:id="4" w:name="_Toc135469197"/>
      <w:bookmarkStart w:id="5" w:name="_Toc193719192"/>
      <w:r>
        <w:rPr>
          <w:rFonts w:ascii="Times New Roman" w:hAnsi="Times New Roman" w:cs="Times New Roman"/>
          <w:color w:val="auto"/>
          <w:sz w:val="22"/>
          <w:szCs w:val="22"/>
        </w:rPr>
        <w:t>DA PARTICIPAÇÃO NA LICITAÇÃO</w:t>
      </w:r>
      <w:bookmarkEnd w:id="4"/>
      <w:bookmarkEnd w:id="5"/>
    </w:p>
    <w:p w14:paraId="1036E9C0">
      <w:pPr>
        <w:pStyle w:val="44"/>
        <w:numPr>
          <w:ilvl w:val="1"/>
          <w:numId w:val="7"/>
        </w:numPr>
        <w:spacing w:line="360" w:lineRule="auto"/>
        <w:ind w:left="0" w:firstLine="0"/>
        <w:rPr>
          <w:rFonts w:ascii="Times New Roman" w:hAnsi="Times New Roman" w:cs="Times New Roman"/>
        </w:rPr>
      </w:pPr>
      <w:bookmarkStart w:id="6" w:name="_Hlk135302270"/>
      <w:r>
        <w:rPr>
          <w:rFonts w:ascii="Times New Roman" w:hAnsi="Times New Roman" w:cs="Times New Roman"/>
        </w:rPr>
        <w:t>Poderão participar deste certame os interessados previamente credenciados no Sistema de Cadastramento Unificado de Fornecedores - SICAF e no Sistema de Compras do Governo Federal (www.gov.br/compras).</w:t>
      </w:r>
      <w:bookmarkEnd w:id="6"/>
    </w:p>
    <w:p w14:paraId="304E1C9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w:t>
      </w:r>
      <w:bookmarkStart w:id="7" w:name="_Hlk135304247"/>
      <w:r>
        <w:rPr>
          <w:rFonts w:ascii="Times New Roman" w:hAnsi="Times New Roman" w:cs="Times New Roman"/>
        </w:rPr>
        <w:t>s interessados deverão atender às condições exigidas no cadastramento no Sicaf até o terceiro dia útil anterior à data prevista para recebimento das propostas.</w:t>
      </w:r>
    </w:p>
    <w:bookmarkEnd w:id="7"/>
    <w:p w14:paraId="344841C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3F1E04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30ED63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não observância do disposto no item anterior poderá ensejar desclassificação no momento da habilitação.</w:t>
      </w:r>
    </w:p>
    <w:p w14:paraId="442C53F9">
      <w:pPr>
        <w:pStyle w:val="51"/>
        <w:numPr>
          <w:ilvl w:val="1"/>
          <w:numId w:val="7"/>
        </w:numPr>
        <w:autoSpaceDE/>
        <w:autoSpaceDN/>
        <w:adjustRightInd/>
        <w:spacing w:line="360" w:lineRule="auto"/>
        <w:ind w:left="0" w:firstLine="0"/>
        <w:rPr>
          <w:rFonts w:ascii="Times New Roman" w:hAnsi="Times New Roman" w:cs="Times New Roman"/>
          <w:color w:val="auto"/>
          <w:sz w:val="22"/>
        </w:rPr>
      </w:pPr>
      <w:r>
        <w:rPr>
          <w:rFonts w:ascii="Times New Roman" w:hAnsi="Times New Roman" w:cs="Times New Roman"/>
          <w:color w:val="auto"/>
          <w:sz w:val="22"/>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6037DAAC">
      <w:pPr>
        <w:pStyle w:val="44"/>
        <w:numPr>
          <w:ilvl w:val="1"/>
          <w:numId w:val="7"/>
        </w:numPr>
        <w:spacing w:line="360" w:lineRule="auto"/>
        <w:ind w:left="0" w:firstLine="0"/>
        <w:rPr>
          <w:rFonts w:ascii="Times New Roman" w:hAnsi="Times New Roman" w:cs="Times New Roman"/>
        </w:rPr>
      </w:pPr>
      <w:bookmarkStart w:id="8" w:name="_Ref117000692"/>
      <w:r>
        <w:rPr>
          <w:rFonts w:ascii="Times New Roman" w:hAnsi="Times New Roman" w:cs="Times New Roman"/>
        </w:rPr>
        <w:t>Não poderão disputar esta licitação:</w:t>
      </w:r>
      <w:bookmarkEnd w:id="8"/>
    </w:p>
    <w:p w14:paraId="68B7DA6B">
      <w:pPr>
        <w:pStyle w:val="45"/>
        <w:numPr>
          <w:ilvl w:val="2"/>
          <w:numId w:val="9"/>
        </w:numPr>
        <w:tabs>
          <w:tab w:val="clear" w:pos="360"/>
        </w:tabs>
        <w:spacing w:line="360" w:lineRule="auto"/>
        <w:ind w:left="284" w:firstLine="0"/>
        <w:rPr>
          <w:rFonts w:ascii="Times New Roman" w:hAnsi="Times New Roman" w:cs="Times New Roman"/>
          <w:color w:val="auto"/>
        </w:rPr>
      </w:pPr>
      <w:bookmarkStart w:id="9" w:name="_Ref113883338"/>
      <w:r>
        <w:rPr>
          <w:rFonts w:ascii="Times New Roman" w:hAnsi="Times New Roman" w:cs="Times New Roman"/>
          <w:color w:val="auto"/>
        </w:rPr>
        <w:t>aquele que não atenda às condições deste Edital e seu(s) anexo(s);</w:t>
      </w:r>
    </w:p>
    <w:p w14:paraId="5C562D4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sociedade que desempenhe atividade incompatível com o objeto da licitação;</w:t>
      </w:r>
    </w:p>
    <w:p w14:paraId="2D70D95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empresas estrangeiras que não tenham representação legal no Brasil com poderes expressos para receber citação e responder administrativa ou judicialmente;</w:t>
      </w:r>
    </w:p>
    <w:p w14:paraId="573019B1">
      <w:pPr>
        <w:pStyle w:val="45"/>
        <w:numPr>
          <w:ilvl w:val="2"/>
          <w:numId w:val="9"/>
        </w:numPr>
        <w:tabs>
          <w:tab w:val="clear" w:pos="360"/>
        </w:tabs>
        <w:spacing w:line="360" w:lineRule="auto"/>
        <w:ind w:left="284" w:firstLine="0"/>
        <w:rPr>
          <w:rFonts w:ascii="Times New Roman" w:hAnsi="Times New Roman" w:cs="Times New Roman"/>
          <w:color w:val="auto"/>
        </w:rPr>
      </w:pPr>
      <w:bookmarkStart w:id="10" w:name="_Ref114659912"/>
      <w:r>
        <w:rPr>
          <w:rFonts w:ascii="Times New Roman" w:hAnsi="Times New Roman" w:cs="Times New Roman"/>
          <w:color w:val="auto"/>
        </w:rPr>
        <w:t>autor do anteprojeto, do projeto básico ou do projeto executivo, pessoa física ou jurídica, quando a licitação versar sobre serviços ou fornecimento de bens a ele relacionados;</w:t>
      </w:r>
      <w:bookmarkEnd w:id="9"/>
      <w:bookmarkEnd w:id="10"/>
    </w:p>
    <w:p w14:paraId="17F750BA">
      <w:pPr>
        <w:pStyle w:val="45"/>
        <w:numPr>
          <w:ilvl w:val="2"/>
          <w:numId w:val="9"/>
        </w:numPr>
        <w:tabs>
          <w:tab w:val="clear" w:pos="360"/>
        </w:tabs>
        <w:spacing w:line="360" w:lineRule="auto"/>
        <w:ind w:left="284" w:firstLine="0"/>
        <w:rPr>
          <w:rFonts w:ascii="Times New Roman" w:hAnsi="Times New Roman" w:cs="Times New Roman"/>
          <w:color w:val="auto"/>
        </w:rPr>
      </w:pPr>
      <w:bookmarkStart w:id="11" w:name="_Ref114659913"/>
      <w:bookmarkStart w:id="12" w:name="_Ref113883339"/>
      <w:r>
        <w:rPr>
          <w:rFonts w:ascii="Times New Roman" w:hAnsi="Times New Roman" w:cs="Times New Roman"/>
          <w:color w:val="auto"/>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Pr>
          <w:rFonts w:ascii="Times New Roman" w:hAnsi="Times New Roman" w:cs="Times New Roman"/>
          <w:color w:val="auto"/>
        </w:rPr>
        <w:t xml:space="preserve"> </w:t>
      </w:r>
      <w:bookmarkEnd w:id="12"/>
    </w:p>
    <w:p w14:paraId="54587E8A">
      <w:pPr>
        <w:pStyle w:val="45"/>
        <w:numPr>
          <w:ilvl w:val="2"/>
          <w:numId w:val="9"/>
        </w:numPr>
        <w:tabs>
          <w:tab w:val="clear" w:pos="360"/>
        </w:tabs>
        <w:spacing w:line="360" w:lineRule="auto"/>
        <w:ind w:left="284" w:firstLine="0"/>
        <w:rPr>
          <w:rFonts w:ascii="Times New Roman" w:hAnsi="Times New Roman" w:cs="Times New Roman"/>
          <w:color w:val="auto"/>
        </w:rPr>
      </w:pPr>
      <w:bookmarkStart w:id="13" w:name="_Ref113883003"/>
      <w:r>
        <w:rPr>
          <w:rFonts w:ascii="Times New Roman" w:hAnsi="Times New Roman" w:cs="Times New Roman"/>
          <w:color w:val="auto"/>
        </w:rPr>
        <w:t>pessoa física ou jurídica que se encontre, ao tempo da licitação, impossibilitada de participar da licitação em decorrência de sanção que lhe foi imposta;</w:t>
      </w:r>
      <w:bookmarkEnd w:id="13"/>
    </w:p>
    <w:p w14:paraId="1E20EA7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950F44">
      <w:pPr>
        <w:pStyle w:val="45"/>
        <w:numPr>
          <w:ilvl w:val="2"/>
          <w:numId w:val="9"/>
        </w:numPr>
        <w:tabs>
          <w:tab w:val="clear" w:pos="360"/>
        </w:tabs>
        <w:spacing w:line="360" w:lineRule="auto"/>
        <w:ind w:left="284" w:firstLine="0"/>
        <w:rPr>
          <w:rFonts w:ascii="Times New Roman" w:hAnsi="Times New Roman" w:cs="Times New Roman"/>
          <w:color w:val="auto"/>
        </w:rPr>
      </w:pPr>
      <w:bookmarkStart w:id="14" w:name="_Ref113883579"/>
      <w:r>
        <w:rPr>
          <w:rFonts w:ascii="Times New Roman" w:hAnsi="Times New Roman" w:cs="Times New Roman"/>
          <w:color w:val="auto"/>
        </w:rPr>
        <w:t>empresas controladoras, controladas ou coligadas, nos termos da Lei nº 6.404, de 15 de dezembro de 1976, concorrendo entre si;</w:t>
      </w:r>
      <w:bookmarkEnd w:id="14"/>
    </w:p>
    <w:p w14:paraId="19034CB7">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pessoa física ou jurídica que, nos 5 (cinco) anos anteriores à divulgação do edital, tenha sido condenada judicialmente, com trânsito e000000m julgado, por exploração de trabalho infantil, por submissão de trabalhadores a condições análogas às de escravo ou por contratação de adolescentes nos casos vedados pela legislação trabalhista;</w:t>
      </w:r>
    </w:p>
    <w:p w14:paraId="651DEEB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Organizações da Sociedade Civil de Interesse Público - OSCIP, atuando nessa condição;</w:t>
      </w:r>
    </w:p>
    <w:p w14:paraId="7683858B">
      <w:pPr>
        <w:pStyle w:val="44"/>
        <w:numPr>
          <w:ilvl w:val="1"/>
          <w:numId w:val="7"/>
        </w:numPr>
        <w:spacing w:line="360" w:lineRule="auto"/>
        <w:ind w:left="0" w:firstLine="0"/>
        <w:rPr>
          <w:rFonts w:ascii="Times New Roman" w:hAnsi="Times New Roman" w:cs="Times New Roman"/>
        </w:rPr>
      </w:pPr>
      <w:bookmarkStart w:id="15" w:name="_Ref168486586"/>
      <w:r>
        <w:rPr>
          <w:rFonts w:ascii="Times New Roman" w:hAnsi="Times New Roman" w:cs="Times New Roman"/>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5"/>
    </w:p>
    <w:p w14:paraId="3264BA9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impedimento de que trata o item </w:t>
      </w:r>
      <w:r>
        <w:rPr>
          <w:rFonts w:ascii="Times New Roman" w:hAnsi="Times New Roman" w:cs="Times New Roman"/>
        </w:rPr>
        <w:fldChar w:fldCharType="begin"/>
      </w:r>
      <w:r>
        <w:rPr>
          <w:rFonts w:ascii="Times New Roman" w:hAnsi="Times New Roman" w:cs="Times New Roman"/>
        </w:rPr>
        <w:instrText xml:space="preserve"> REF _Ref113883003 \r \h  \* MERGEFORMAT </w:instrText>
      </w:r>
      <w:r>
        <w:rPr>
          <w:rFonts w:ascii="Times New Roman" w:hAnsi="Times New Roman" w:cs="Times New Roman"/>
        </w:rPr>
        <w:fldChar w:fldCharType="separate"/>
      </w:r>
      <w:r>
        <w:rPr>
          <w:rFonts w:ascii="Times New Roman" w:hAnsi="Times New Roman" w:cs="Times New Roman"/>
        </w:rPr>
        <w:t>3.7.6</w:t>
      </w:r>
      <w:r>
        <w:rPr>
          <w:rFonts w:ascii="Times New Roman" w:hAnsi="Times New Roman" w:cs="Times New Roman"/>
        </w:rPr>
        <w:fldChar w:fldCharType="end"/>
      </w:r>
      <w:r>
        <w:rPr>
          <w:rFonts w:ascii="Times New Roman" w:hAnsi="Times New Roman" w:cs="Times New Roman"/>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704C63E">
      <w:pPr>
        <w:pStyle w:val="44"/>
        <w:numPr>
          <w:ilvl w:val="1"/>
          <w:numId w:val="7"/>
        </w:numPr>
        <w:spacing w:line="360" w:lineRule="auto"/>
        <w:ind w:left="0" w:firstLine="0"/>
        <w:rPr>
          <w:rFonts w:ascii="Times New Roman" w:hAnsi="Times New Roman" w:cs="Times New Roman"/>
        </w:rPr>
      </w:pPr>
      <w:bookmarkStart w:id="16" w:name="art14§2"/>
      <w:bookmarkEnd w:id="16"/>
      <w:r>
        <w:rPr>
          <w:rFonts w:ascii="Times New Roman" w:hAnsi="Times New Roman" w:cs="Times New Roman"/>
        </w:rPr>
        <w:t xml:space="preserve">A critério da Administração e exclusivamente a seu serviço, o autor dos projetos e a empresa a que se referem os itens </w:t>
      </w:r>
      <w:r>
        <w:rPr>
          <w:rFonts w:ascii="Times New Roman" w:hAnsi="Times New Roman" w:cs="Times New Roman"/>
        </w:rPr>
        <w:fldChar w:fldCharType="begin"/>
      </w:r>
      <w:r>
        <w:rPr>
          <w:rFonts w:ascii="Times New Roman" w:hAnsi="Times New Roman" w:cs="Times New Roman"/>
        </w:rPr>
        <w:instrText xml:space="preserve"> REF _Ref114659912 \r \h  \* MERGEFORMAT </w:instrText>
      </w:r>
      <w:r>
        <w:rPr>
          <w:rFonts w:ascii="Times New Roman" w:hAnsi="Times New Roman" w:cs="Times New Roman"/>
        </w:rPr>
        <w:fldChar w:fldCharType="separate"/>
      </w:r>
      <w:r>
        <w:rPr>
          <w:rFonts w:ascii="Times New Roman" w:hAnsi="Times New Roman" w:cs="Times New Roman"/>
        </w:rPr>
        <w:t>3.7.4</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rPr>
        <w:fldChar w:fldCharType="begin"/>
      </w:r>
      <w:r>
        <w:rPr>
          <w:rFonts w:ascii="Times New Roman" w:hAnsi="Times New Roman" w:cs="Times New Roman"/>
        </w:rPr>
        <w:instrText xml:space="preserve"> REF _Ref114659913 \r \h  \* MERGEFORMAT </w:instrText>
      </w:r>
      <w:r>
        <w:rPr>
          <w:rFonts w:ascii="Times New Roman" w:hAnsi="Times New Roman" w:cs="Times New Roman"/>
        </w:rPr>
        <w:fldChar w:fldCharType="separate"/>
      </w:r>
      <w:r>
        <w:rPr>
          <w:rFonts w:ascii="Times New Roman" w:hAnsi="Times New Roman" w:cs="Times New Roman"/>
        </w:rPr>
        <w:t>3.7.5</w:t>
      </w:r>
      <w:r>
        <w:rPr>
          <w:rFonts w:ascii="Times New Roman" w:hAnsi="Times New Roman" w:cs="Times New Roman"/>
        </w:rPr>
        <w:fldChar w:fldCharType="end"/>
      </w:r>
      <w:r>
        <w:rPr>
          <w:rFonts w:ascii="Times New Roman" w:hAnsi="Times New Roman" w:cs="Times New Roman"/>
        </w:rPr>
        <w:t xml:space="preserve"> poderão participar no apoio das atividades de planejamento da contratação, de execução da licitação ou de gestão do contrato, desde que sob supervisão exclusiva de agentes públicos do órgão ou entidade.</w:t>
      </w:r>
    </w:p>
    <w:p w14:paraId="60C5614B">
      <w:pPr>
        <w:pStyle w:val="44"/>
        <w:numPr>
          <w:ilvl w:val="1"/>
          <w:numId w:val="7"/>
        </w:numPr>
        <w:spacing w:line="360" w:lineRule="auto"/>
        <w:ind w:left="0" w:firstLine="0"/>
        <w:rPr>
          <w:rFonts w:ascii="Times New Roman" w:hAnsi="Times New Roman" w:cs="Times New Roman"/>
        </w:rPr>
      </w:pPr>
      <w:bookmarkStart w:id="17" w:name="art14§3"/>
      <w:bookmarkEnd w:id="17"/>
      <w:r>
        <w:rPr>
          <w:rFonts w:ascii="Times New Roman" w:hAnsi="Times New Roman" w:cs="Times New Roman"/>
        </w:rPr>
        <w:t>Equiparam-se aos autores do projeto as empresas integrantes do mesmo grupo econômico.</w:t>
      </w:r>
    </w:p>
    <w:p w14:paraId="5FABAB7D">
      <w:pPr>
        <w:pStyle w:val="44"/>
        <w:numPr>
          <w:ilvl w:val="1"/>
          <w:numId w:val="7"/>
        </w:numPr>
        <w:spacing w:line="360" w:lineRule="auto"/>
        <w:ind w:left="0" w:firstLine="0"/>
        <w:rPr>
          <w:rFonts w:ascii="Times New Roman" w:hAnsi="Times New Roman" w:cs="Times New Roman"/>
        </w:rPr>
      </w:pPr>
      <w:bookmarkStart w:id="18" w:name="art14§4"/>
      <w:bookmarkEnd w:id="18"/>
      <w:r>
        <w:rPr>
          <w:rFonts w:ascii="Times New Roman" w:hAnsi="Times New Roman" w:cs="Times New Roman"/>
        </w:rPr>
        <w:t xml:space="preserve">O disposto nos itens </w:t>
      </w:r>
      <w:r>
        <w:rPr>
          <w:rFonts w:ascii="Times New Roman" w:hAnsi="Times New Roman" w:cs="Times New Roman"/>
        </w:rPr>
        <w:fldChar w:fldCharType="begin"/>
      </w:r>
      <w:r>
        <w:rPr>
          <w:rFonts w:ascii="Times New Roman" w:hAnsi="Times New Roman" w:cs="Times New Roman"/>
        </w:rPr>
        <w:instrText xml:space="preserve"> REF _Ref114659912 \r \h  \* MERGEFORMAT </w:instrText>
      </w:r>
      <w:r>
        <w:rPr>
          <w:rFonts w:ascii="Times New Roman" w:hAnsi="Times New Roman" w:cs="Times New Roman"/>
        </w:rPr>
        <w:fldChar w:fldCharType="separate"/>
      </w:r>
      <w:r>
        <w:rPr>
          <w:rFonts w:ascii="Times New Roman" w:hAnsi="Times New Roman" w:cs="Times New Roman"/>
        </w:rPr>
        <w:t>3.7.4</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rPr>
        <w:fldChar w:fldCharType="begin"/>
      </w:r>
      <w:r>
        <w:rPr>
          <w:rFonts w:ascii="Times New Roman" w:hAnsi="Times New Roman" w:cs="Times New Roman"/>
        </w:rPr>
        <w:instrText xml:space="preserve"> REF _Ref114659913 \r \h  \* MERGEFORMAT </w:instrText>
      </w:r>
      <w:r>
        <w:rPr>
          <w:rFonts w:ascii="Times New Roman" w:hAnsi="Times New Roman" w:cs="Times New Roman"/>
        </w:rPr>
        <w:fldChar w:fldCharType="separate"/>
      </w:r>
      <w:r>
        <w:rPr>
          <w:rFonts w:ascii="Times New Roman" w:hAnsi="Times New Roman" w:cs="Times New Roman"/>
        </w:rPr>
        <w:t>3.7.5</w:t>
      </w:r>
      <w:r>
        <w:rPr>
          <w:rFonts w:ascii="Times New Roman" w:hAnsi="Times New Roman" w:cs="Times New Roman"/>
        </w:rPr>
        <w:fldChar w:fldCharType="end"/>
      </w:r>
      <w:r>
        <w:rPr>
          <w:rFonts w:ascii="Times New Roman" w:hAnsi="Times New Roman" w:cs="Times New Roman"/>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7506D3F">
      <w:pPr>
        <w:pStyle w:val="44"/>
        <w:numPr>
          <w:ilvl w:val="1"/>
          <w:numId w:val="7"/>
        </w:numPr>
        <w:spacing w:line="360" w:lineRule="auto"/>
        <w:ind w:left="0" w:firstLine="0"/>
        <w:rPr>
          <w:rFonts w:ascii="Times New Roman" w:hAnsi="Times New Roman" w:cs="Times New Roman"/>
        </w:rPr>
      </w:pPr>
      <w:bookmarkStart w:id="19" w:name="art14§5"/>
      <w:bookmarkEnd w:id="19"/>
      <w:r>
        <w:rPr>
          <w:rFonts w:ascii="Times New Roman" w:hAnsi="Times New Roman" w:cs="Times New Roman"/>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4F9E3A4">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vedação de que trata o item </w:t>
      </w:r>
      <w:r>
        <w:rPr>
          <w:rFonts w:ascii="Times New Roman" w:hAnsi="Times New Roman" w:cs="Times New Roman"/>
        </w:rPr>
        <w:fldChar w:fldCharType="begin"/>
      </w:r>
      <w:r>
        <w:rPr>
          <w:rFonts w:ascii="Times New Roman" w:hAnsi="Times New Roman" w:cs="Times New Roman"/>
        </w:rPr>
        <w:instrText xml:space="preserve"> REF _Ref168486586 \r \h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t xml:space="preserve"> estende-se a terceiro que auxilie a condução da contratação na qualidade de integrante de equipe de apoio, profissional especializado ou funcionário ou representante de empresa que preste assessoria técnica.</w:t>
      </w:r>
    </w:p>
    <w:p w14:paraId="14DF0A3F">
      <w:pPr>
        <w:pStyle w:val="44"/>
        <w:spacing w:line="360" w:lineRule="auto"/>
        <w:rPr>
          <w:rFonts w:ascii="Times New Roman" w:hAnsi="Times New Roman" w:cs="Times New Roman"/>
        </w:rPr>
      </w:pPr>
    </w:p>
    <w:p w14:paraId="3F8E87D5">
      <w:pPr>
        <w:pStyle w:val="67"/>
        <w:numPr>
          <w:ilvl w:val="0"/>
          <w:numId w:val="7"/>
        </w:numPr>
        <w:spacing w:line="360" w:lineRule="auto"/>
        <w:rPr>
          <w:rFonts w:ascii="Times New Roman" w:hAnsi="Times New Roman" w:cs="Times New Roman"/>
          <w:i/>
          <w:color w:val="auto"/>
          <w:sz w:val="22"/>
          <w:szCs w:val="22"/>
        </w:rPr>
      </w:pPr>
      <w:bookmarkStart w:id="20" w:name="_Toc193719193"/>
      <w:r>
        <w:rPr>
          <w:rFonts w:ascii="Times New Roman" w:hAnsi="Times New Roman" w:cs="Times New Roman"/>
          <w:i/>
          <w:color w:val="auto"/>
          <w:sz w:val="22"/>
          <w:szCs w:val="22"/>
        </w:rPr>
        <w:t>DO ORÇAMENTO ESTIMADO</w:t>
      </w:r>
      <w:bookmarkEnd w:id="20"/>
      <w:r>
        <w:rPr>
          <w:rFonts w:ascii="Times New Roman" w:hAnsi="Times New Roman" w:cs="Times New Roman"/>
          <w:i/>
          <w:color w:val="auto"/>
          <w:sz w:val="22"/>
          <w:szCs w:val="22"/>
        </w:rPr>
        <w:t xml:space="preserve"> </w:t>
      </w:r>
    </w:p>
    <w:p w14:paraId="0936AA74">
      <w:pPr>
        <w:pStyle w:val="51"/>
        <w:numPr>
          <w:ilvl w:val="1"/>
          <w:numId w:val="7"/>
        </w:numPr>
        <w:autoSpaceDE/>
        <w:autoSpaceDN/>
        <w:adjustRightInd/>
        <w:spacing w:line="360" w:lineRule="auto"/>
        <w:ind w:left="0" w:firstLine="0"/>
        <w:rPr>
          <w:rFonts w:ascii="Times New Roman" w:hAnsi="Times New Roman" w:cs="Times New Roman"/>
          <w:color w:val="auto"/>
          <w:sz w:val="22"/>
        </w:rPr>
      </w:pPr>
      <w:r>
        <w:rPr>
          <w:rFonts w:ascii="Times New Roman" w:hAnsi="Times New Roman" w:cs="Times New Roman"/>
          <w:color w:val="auto"/>
          <w:sz w:val="22"/>
        </w:rPr>
        <w:t>O orçamento estimado da presente contratação não será de caráter sigiloso.</w:t>
      </w:r>
    </w:p>
    <w:p w14:paraId="6700244B">
      <w:pPr>
        <w:pStyle w:val="67"/>
        <w:numPr>
          <w:ilvl w:val="0"/>
          <w:numId w:val="7"/>
        </w:numPr>
        <w:spacing w:line="360" w:lineRule="auto"/>
        <w:rPr>
          <w:rFonts w:ascii="Times New Roman" w:hAnsi="Times New Roman" w:cs="Times New Roman"/>
          <w:color w:val="auto"/>
          <w:sz w:val="22"/>
          <w:szCs w:val="22"/>
        </w:rPr>
      </w:pPr>
      <w:bookmarkStart w:id="21" w:name="_Toc135469198"/>
      <w:bookmarkStart w:id="22" w:name="_Toc193719194"/>
      <w:r>
        <w:rPr>
          <w:rFonts w:ascii="Times New Roman" w:hAnsi="Times New Roman" w:cs="Times New Roman"/>
          <w:color w:val="auto"/>
          <w:sz w:val="22"/>
          <w:szCs w:val="22"/>
        </w:rPr>
        <w:t>DA APRESENTAÇÃO DA PROPOSTA E DOS DOCUMENTOS DE HABILITAÇÃO</w:t>
      </w:r>
      <w:bookmarkEnd w:id="21"/>
      <w:bookmarkEnd w:id="22"/>
    </w:p>
    <w:p w14:paraId="5385FA25">
      <w:pPr>
        <w:pStyle w:val="51"/>
        <w:numPr>
          <w:ilvl w:val="1"/>
          <w:numId w:val="7"/>
        </w:numPr>
        <w:autoSpaceDE/>
        <w:autoSpaceDN/>
        <w:adjustRightInd/>
        <w:spacing w:line="360" w:lineRule="auto"/>
        <w:ind w:left="0" w:firstLine="0"/>
        <w:rPr>
          <w:rFonts w:ascii="Times New Roman" w:hAnsi="Times New Roman" w:cs="Times New Roman"/>
          <w:color w:val="auto"/>
          <w:sz w:val="22"/>
        </w:rPr>
      </w:pPr>
      <w:r>
        <w:rPr>
          <w:rFonts w:ascii="Times New Roman" w:hAnsi="Times New Roman" w:cs="Times New Roman"/>
          <w:color w:val="auto"/>
          <w:sz w:val="22"/>
        </w:rPr>
        <w:t>Na presente licitação, a fase de habilitação sucederá as fases de apresentação de propostas e lances e de julgamento.</w:t>
      </w:r>
    </w:p>
    <w:p w14:paraId="579A0EC3">
      <w:pPr>
        <w:pStyle w:val="44"/>
        <w:numPr>
          <w:ilvl w:val="1"/>
          <w:numId w:val="7"/>
        </w:numPr>
        <w:spacing w:line="360" w:lineRule="auto"/>
        <w:ind w:left="0" w:firstLine="0"/>
        <w:rPr>
          <w:rFonts w:ascii="Times New Roman" w:hAnsi="Times New Roman" w:cs="Times New Roman"/>
        </w:rPr>
      </w:pPr>
      <w:bookmarkStart w:id="23" w:name="_Ref113886867"/>
      <w:r>
        <w:rPr>
          <w:rFonts w:ascii="Times New Roman" w:hAnsi="Times New Roman" w:cs="Times New Roman"/>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15E687CA">
      <w:pPr>
        <w:pStyle w:val="44"/>
        <w:numPr>
          <w:ilvl w:val="1"/>
          <w:numId w:val="7"/>
        </w:numPr>
        <w:spacing w:line="360" w:lineRule="auto"/>
        <w:ind w:left="0" w:firstLine="0"/>
        <w:rPr>
          <w:rFonts w:ascii="Times New Roman" w:hAnsi="Times New Roman" w:cs="Times New Roman"/>
        </w:rPr>
      </w:pPr>
      <w:bookmarkStart w:id="24" w:name="_Ref113889589"/>
      <w:r>
        <w:rPr>
          <w:rFonts w:ascii="Times New Roman" w:hAnsi="Times New Roman" w:cs="Times New Roman"/>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rPr>
        <w:fldChar w:fldCharType="begin"/>
      </w:r>
      <w:r>
        <w:rPr>
          <w:rFonts w:ascii="Times New Roman" w:hAnsi="Times New Roman" w:cs="Times New Roman"/>
        </w:rPr>
        <w:instrText xml:space="preserve"> REF _Ref114663777 \r \h  \* MERGEFORMAT </w:instrText>
      </w:r>
      <w:r>
        <w:rPr>
          <w:rFonts w:ascii="Times New Roman" w:hAnsi="Times New Roman" w:cs="Times New Roman"/>
        </w:rPr>
        <w:fldChar w:fldCharType="separate"/>
      </w:r>
      <w:r>
        <w:rPr>
          <w:rFonts w:ascii="Times New Roman" w:hAnsi="Times New Roman" w:cs="Times New Roman"/>
        </w:rPr>
        <w:t>9.1.1</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rPr>
        <w:fldChar w:fldCharType="begin"/>
      </w:r>
      <w:r>
        <w:rPr>
          <w:rFonts w:ascii="Times New Roman" w:hAnsi="Times New Roman" w:cs="Times New Roman"/>
        </w:rPr>
        <w:instrText xml:space="preserve"> REF _Ref114663151 \r \h  \* MERGEFORMAT </w:instrText>
      </w:r>
      <w:r>
        <w:rPr>
          <w:rFonts w:ascii="Times New Roman" w:hAnsi="Times New Roman" w:cs="Times New Roman"/>
        </w:rPr>
        <w:fldChar w:fldCharType="separate"/>
      </w:r>
      <w:r>
        <w:rPr>
          <w:rFonts w:ascii="Times New Roman" w:hAnsi="Times New Roman" w:cs="Times New Roman"/>
        </w:rPr>
        <w:t>9.12.1</w:t>
      </w:r>
      <w:r>
        <w:rPr>
          <w:rFonts w:ascii="Times New Roman" w:hAnsi="Times New Roman" w:cs="Times New Roman"/>
        </w:rPr>
        <w:fldChar w:fldCharType="end"/>
      </w:r>
      <w:r>
        <w:rPr>
          <w:rFonts w:ascii="Times New Roman" w:hAnsi="Times New Roman" w:cs="Times New Roman"/>
        </w:rPr>
        <w:t xml:space="preserve"> deste Edital.</w:t>
      </w:r>
      <w:bookmarkEnd w:id="24"/>
    </w:p>
    <w:p w14:paraId="0C7664AD">
      <w:pPr>
        <w:pStyle w:val="44"/>
        <w:numPr>
          <w:ilvl w:val="1"/>
          <w:numId w:val="7"/>
        </w:numPr>
        <w:spacing w:line="360" w:lineRule="auto"/>
        <w:ind w:left="0" w:firstLine="0"/>
        <w:rPr>
          <w:rFonts w:ascii="Times New Roman" w:hAnsi="Times New Roman" w:cs="Times New Roman"/>
        </w:rPr>
      </w:pPr>
      <w:bookmarkStart w:id="25" w:name="_Ref113968921"/>
      <w:r>
        <w:rPr>
          <w:rFonts w:ascii="Times New Roman" w:hAnsi="Times New Roman" w:cs="Times New Roman"/>
        </w:rPr>
        <w:t>No cadastramento da proposta inicial, o licitante declarará, em campo próprio do sistema, que:</w:t>
      </w:r>
      <w:bookmarkEnd w:id="25"/>
    </w:p>
    <w:p w14:paraId="5C6E6002">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9D75B9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emprega menor de 18 anos em trabalho noturno, perigoso ou insalubre e não emprega menor de 16 anos, salvo menor, a partir de 14 anos, na condição de aprendiz, nos termos do artigo 7°, XXXIII, da Constituição;</w:t>
      </w:r>
    </w:p>
    <w:p w14:paraId="2F04832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possui empregados executando trabalho degradante ou forçado, observando o disposto nos incisos III e IV do art. 1º e no inciso III do art. 5º da Constituição Federal;</w:t>
      </w:r>
    </w:p>
    <w:p w14:paraId="44BEE3F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cumpre as exigências de reserva de cargos para pessoa com deficiência e para reabilitado da Previdência Social, previstas em lei e em outras normas específicas.</w:t>
      </w:r>
    </w:p>
    <w:p w14:paraId="71F9417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licitante organizado em cooperativa deverá declarar, ainda, em campo próprio do sistema eletrônico, que cumpre os requisitos estabelecidos no artigo 16 da Lei nº 14.133, de 2021.</w:t>
      </w:r>
    </w:p>
    <w:p w14:paraId="0138735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licitante deverá declarar em campo próprio do sistema se o produto ou serviço ofertado é manufaturado nacional beneficiado por um dos critérios de margem de preferência indicados no Termo de Referência, quando for o caso, para usufruir do benefício.</w:t>
      </w:r>
    </w:p>
    <w:p w14:paraId="39331487">
      <w:pPr>
        <w:pStyle w:val="44"/>
        <w:numPr>
          <w:ilvl w:val="1"/>
          <w:numId w:val="7"/>
        </w:numPr>
        <w:spacing w:line="360" w:lineRule="auto"/>
        <w:ind w:left="0" w:firstLine="0"/>
        <w:rPr>
          <w:rFonts w:ascii="Times New Roman" w:hAnsi="Times New Roman" w:cs="Times New Roman"/>
        </w:rPr>
      </w:pPr>
      <w:bookmarkStart w:id="26" w:name="_Ref117000019"/>
      <w:r>
        <w:rPr>
          <w:rFonts w:ascii="Times New Roman" w:hAnsi="Times New Roman" w:cs="Times New Roman"/>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26"/>
      <w:r>
        <w:rPr>
          <w:rFonts w:ascii="Times New Roman" w:hAnsi="Times New Roman" w:cs="Times New Roman"/>
        </w:rPr>
        <w:t>arts. 42 a 49, observado o disposto nos §§ 1º ao 3º do art. 4º, da Lei nº 14.133, de 2021.</w:t>
      </w:r>
    </w:p>
    <w:p w14:paraId="6216BC6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No item exclusivo para participação de microempresas e empresas de pequeno porte, a assinalação do campo “não” impedirá o prosseguimento no certame, para aquele item;</w:t>
      </w:r>
    </w:p>
    <w:p w14:paraId="0DFEB117">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38F2270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Não poderá se beneficiar do tratamento jurídico diferenciado estabelecido nos arts. 42 a 49 da Lei Complementar nº 123, de 2006, a pessoa jurídica:</w:t>
      </w:r>
    </w:p>
    <w:p w14:paraId="1AA563CC">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 cujo capital participe outra pessoa jurídica;</w:t>
      </w:r>
    </w:p>
    <w:p w14:paraId="6B07A55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que seja filial, sucursal, agência ou representação, no País, de pessoa jurídica com sede no exterior;</w:t>
      </w:r>
    </w:p>
    <w:p w14:paraId="6A0BD7F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3B7650E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cujo titular ou sócio participe com mais de 10% (dez por cento) do capital de outra empresa não beneficiada pela Lei Complementar nº 123, de 2006, desde que a receita bruta global ultrapasse o limite de que trata o inciso II do art. 3º da referida lei;</w:t>
      </w:r>
    </w:p>
    <w:p w14:paraId="0B7CECE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cujo sócio ou titular seja administrador ou equiparado de outra pessoa jurídica com fins lucrativos, desde que a receita bruta global ultrapasse o limite de que trata o inciso II do art. 3º da referida lei;</w:t>
      </w:r>
    </w:p>
    <w:p w14:paraId="3915794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constituída sob a forma de cooperativas, salvo as de consumo;</w:t>
      </w:r>
    </w:p>
    <w:p w14:paraId="5B8F32F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que participe do capital de outra pessoa jurídica;</w:t>
      </w:r>
    </w:p>
    <w:p w14:paraId="19559D67">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30D7C6B7">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resultante ou remanescente de cisão ou qualquer outra forma de desmembramento de pessoa jurídica que tenha ocorrido em um dos 5 (cinco) anos-calendário anteriores;</w:t>
      </w:r>
    </w:p>
    <w:p w14:paraId="5FA8706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constituída sob a forma de sociedade por ações.</w:t>
      </w:r>
    </w:p>
    <w:p w14:paraId="01611166">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cujos titulares ou sócios guardem, cumulativamente, com o contratante do serviço, relação de pessoalidade, subordinação e habitualidade.</w:t>
      </w:r>
    </w:p>
    <w:p w14:paraId="4AC13FF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falsidade da declaração de que trata os itens </w:t>
      </w:r>
      <w:r>
        <w:rPr>
          <w:rFonts w:ascii="Times New Roman" w:hAnsi="Times New Roman" w:cs="Times New Roman"/>
        </w:rPr>
        <w:fldChar w:fldCharType="begin"/>
      </w:r>
      <w:r>
        <w:rPr>
          <w:rFonts w:ascii="Times New Roman" w:hAnsi="Times New Roman" w:cs="Times New Roman"/>
        </w:rPr>
        <w:instrText xml:space="preserve"> REF _Ref113968921 \r \h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t xml:space="preserve"> ou </w:t>
      </w:r>
      <w:r>
        <w:rPr>
          <w:rFonts w:ascii="Times New Roman" w:hAnsi="Times New Roman" w:cs="Times New Roman"/>
        </w:rPr>
        <w:fldChar w:fldCharType="begin"/>
      </w:r>
      <w:r>
        <w:rPr>
          <w:rFonts w:ascii="Times New Roman" w:hAnsi="Times New Roman" w:cs="Times New Roman"/>
        </w:rPr>
        <w:instrText xml:space="preserve"> REF _Ref117000019 \r \h  \* MERGEFORMAT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r>
        <w:rPr>
          <w:rFonts w:ascii="Times New Roman" w:hAnsi="Times New Roman" w:cs="Times New Roman"/>
        </w:rPr>
        <w:t xml:space="preserve"> sujeitará o licitante às sanções previstas na Lei nº 14.133, de 2021, e neste Edital.</w:t>
      </w:r>
    </w:p>
    <w:p w14:paraId="7E2E5F9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296A0D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Não haverá ordem de classificação na etapa de apresentação da proposta e dos documentos de habilitação pelo licitante, o que ocorrerá somente após os procedimentos de abertura da sessão pública e da fase de envio de lances.</w:t>
      </w:r>
    </w:p>
    <w:p w14:paraId="1D759C8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Serão disponibilizados para acesso público os documentos que compõem a proposta dos licitantes convocados para apresentação de propostas, após a fase de envio de lances.</w:t>
      </w:r>
    </w:p>
    <w:p w14:paraId="6BACE775">
      <w:pPr>
        <w:pStyle w:val="44"/>
        <w:numPr>
          <w:ilvl w:val="1"/>
          <w:numId w:val="7"/>
        </w:numPr>
        <w:spacing w:line="360" w:lineRule="auto"/>
        <w:ind w:left="0" w:firstLine="0"/>
        <w:rPr>
          <w:rFonts w:ascii="Times New Roman" w:hAnsi="Times New Roman" w:cs="Times New Roman"/>
        </w:rPr>
      </w:pPr>
      <w:bookmarkStart w:id="27" w:name="_Ref116992247"/>
      <w:r>
        <w:rPr>
          <w:rFonts w:ascii="Times New Roman" w:hAnsi="Times New Roman" w:cs="Times New Roman"/>
        </w:rPr>
        <w:t>Desde que disponibilizada a funcionalidade no sistema, o licitante poderá parametrizar o seu valor final mínimo ou o seu percentual de desconto máximo quando do cadastramento da proposta e obedecerá às seguintes regras:</w:t>
      </w:r>
      <w:bookmarkEnd w:id="27"/>
    </w:p>
    <w:p w14:paraId="0C6568E7">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aplicação do intervalo mínimo de diferença de valores ou de percentuais entre os lances, que incidirá tanto em relação aos lances intermediários quanto em relação ao lance que cobrir a melhor oferta; e</w:t>
      </w:r>
    </w:p>
    <w:p w14:paraId="285C8F1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os lances serão de envio automático pelo sistema, respeitado o valor final mínimo, caso estabelecido, e o intervalo de que trata o subitem acima.</w:t>
      </w:r>
    </w:p>
    <w:p w14:paraId="4FAE914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valor final mínimo ou o percentual de desconto final máximo parametrizado no sistema poderá ser alterado pelo fornecedor durante a fase de disputa, sendo vedado:</w:t>
      </w:r>
    </w:p>
    <w:p w14:paraId="2D6DDE7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valor superior a lance já registrado pelo fornecedor no sistema, quando adotado o critério de julgamento por menor preço; e</w:t>
      </w:r>
    </w:p>
    <w:p w14:paraId="46A3F39C">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 percentual de desconto inferior a lance já registrado pelo fornecedor no sistema, quando adotado o critério de julgamento por maior desconto.</w:t>
      </w:r>
    </w:p>
    <w:p w14:paraId="749960F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valor final mínimo ou o percentual de desconto final máximo parametrizado na forma do item </w:t>
      </w:r>
      <w:r>
        <w:rPr>
          <w:rFonts w:ascii="Times New Roman" w:hAnsi="Times New Roman" w:cs="Times New Roman"/>
        </w:rPr>
        <w:fldChar w:fldCharType="begin"/>
      </w:r>
      <w:r>
        <w:rPr>
          <w:rFonts w:ascii="Times New Roman" w:hAnsi="Times New Roman" w:cs="Times New Roman"/>
        </w:rPr>
        <w:instrText xml:space="preserve"> REF _Ref116992247 \r \h  \* MERGEFORMAT </w:instrText>
      </w:r>
      <w:r>
        <w:rPr>
          <w:rFonts w:ascii="Times New Roman" w:hAnsi="Times New Roman" w:cs="Times New Roman"/>
        </w:rPr>
        <w:fldChar w:fldCharType="separate"/>
      </w:r>
      <w:r>
        <w:rPr>
          <w:rFonts w:ascii="Times New Roman" w:hAnsi="Times New Roman" w:cs="Times New Roman"/>
        </w:rPr>
        <w:t>5.13</w:t>
      </w:r>
      <w:r>
        <w:rPr>
          <w:rFonts w:ascii="Times New Roman" w:hAnsi="Times New Roman" w:cs="Times New Roman"/>
        </w:rPr>
        <w:fldChar w:fldCharType="end"/>
      </w:r>
      <w:r>
        <w:rPr>
          <w:rFonts w:ascii="Times New Roman" w:hAnsi="Times New Roman" w:cs="Times New Roman"/>
        </w:rPr>
        <w:t xml:space="preserve"> possuirá caráter sigiloso para os demais fornecedores e para o órgão ou entidade promotora da licitação, podendo ser disponibilizado estrita e permanentemente aos órgãos de controle externo e interno.</w:t>
      </w:r>
    </w:p>
    <w:p w14:paraId="7730746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6B2583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licitante deverá comunicar imediatamente ao provedor do sistema qualquer acontecimento que possa comprometer o sigilo ou a segurança, para imediato bloqueio de acesso.</w:t>
      </w:r>
    </w:p>
    <w:p w14:paraId="3623C2F9">
      <w:pPr>
        <w:pStyle w:val="44"/>
        <w:spacing w:line="360" w:lineRule="auto"/>
        <w:rPr>
          <w:rFonts w:ascii="Times New Roman" w:hAnsi="Times New Roman" w:cs="Times New Roman"/>
        </w:rPr>
      </w:pPr>
    </w:p>
    <w:p w14:paraId="39EDADFD">
      <w:pPr>
        <w:pStyle w:val="67"/>
        <w:numPr>
          <w:ilvl w:val="0"/>
          <w:numId w:val="7"/>
        </w:numPr>
        <w:spacing w:line="360" w:lineRule="auto"/>
        <w:rPr>
          <w:rFonts w:ascii="Times New Roman" w:hAnsi="Times New Roman" w:cs="Times New Roman"/>
          <w:color w:val="auto"/>
          <w:sz w:val="22"/>
          <w:szCs w:val="22"/>
        </w:rPr>
      </w:pPr>
      <w:bookmarkStart w:id="28" w:name="_Toc135469199"/>
      <w:bookmarkStart w:id="29" w:name="_Toc193719195"/>
      <w:r>
        <w:rPr>
          <w:rFonts w:ascii="Times New Roman" w:hAnsi="Times New Roman" w:cs="Times New Roman"/>
          <w:color w:val="auto"/>
          <w:sz w:val="22"/>
          <w:szCs w:val="22"/>
        </w:rPr>
        <w:t>DO PREENCHIMENTO DA PROPOSTA</w:t>
      </w:r>
      <w:bookmarkEnd w:id="28"/>
      <w:bookmarkEnd w:id="29"/>
    </w:p>
    <w:p w14:paraId="1FD29075">
      <w:pPr>
        <w:pStyle w:val="44"/>
        <w:numPr>
          <w:ilvl w:val="1"/>
          <w:numId w:val="7"/>
        </w:numPr>
        <w:spacing w:line="360" w:lineRule="auto"/>
        <w:ind w:left="0" w:firstLine="0"/>
        <w:rPr>
          <w:rFonts w:ascii="Times New Roman" w:hAnsi="Times New Roman" w:eastAsia="Times New Roman" w:cs="Times New Roman"/>
        </w:rPr>
      </w:pPr>
      <w:r>
        <w:rPr>
          <w:rFonts w:ascii="Times New Roman" w:hAnsi="Times New Roman" w:cs="Times New Roman"/>
        </w:rPr>
        <w:t xml:space="preserve">O </w:t>
      </w:r>
      <w:r>
        <w:rPr>
          <w:rFonts w:ascii="Times New Roman" w:hAnsi="Times New Roman" w:eastAsia="Times New Roman" w:cs="Times New Roman"/>
        </w:rPr>
        <w:t>licitante</w:t>
      </w:r>
      <w:r>
        <w:rPr>
          <w:rFonts w:ascii="Times New Roman" w:hAnsi="Times New Roman" w:cs="Times New Roman"/>
        </w:rPr>
        <w:t xml:space="preserve"> deverá enviar sua proposta mediante o preenchimento, no sistema eletrônico, dos seguintes campos:</w:t>
      </w:r>
    </w:p>
    <w:p w14:paraId="4BA62A18">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valor unitário e  total  do item;</w:t>
      </w:r>
    </w:p>
    <w:p w14:paraId="7409C7C9">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marca;</w:t>
      </w:r>
    </w:p>
    <w:p w14:paraId="11DBEB5D">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fabricante; </w:t>
      </w:r>
    </w:p>
    <w:p w14:paraId="08DD414F">
      <w:pPr>
        <w:pStyle w:val="45"/>
        <w:numPr>
          <w:ilvl w:val="2"/>
          <w:numId w:val="9"/>
        </w:numPr>
        <w:tabs>
          <w:tab w:val="clear" w:pos="360"/>
        </w:tabs>
        <w:spacing w:line="360" w:lineRule="auto"/>
        <w:ind w:left="284" w:firstLine="0"/>
        <w:rPr>
          <w:rFonts w:ascii="Times New Roman" w:hAnsi="Times New Roman" w:cs="Times New Roman"/>
          <w:color w:val="auto"/>
        </w:rPr>
      </w:pPr>
      <w:r>
        <w:rPr>
          <w:rStyle w:val="76"/>
          <w:rFonts w:ascii="Times New Roman" w:hAnsi="Times New Roman" w:cs="Times New Roman"/>
          <w:color w:val="auto"/>
        </w:rPr>
        <w:t>Quantidade cotada, devendo respeitar o mínimo de ......</w:t>
      </w:r>
    </w:p>
    <w:p w14:paraId="7C1A02D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Todas as </w:t>
      </w:r>
      <w:r>
        <w:rPr>
          <w:rFonts w:ascii="Times New Roman" w:hAnsi="Times New Roman" w:eastAsia="Times New Roman" w:cs="Times New Roman"/>
        </w:rPr>
        <w:t>especificações</w:t>
      </w:r>
      <w:r>
        <w:rPr>
          <w:rFonts w:ascii="Times New Roman" w:hAnsi="Times New Roman" w:cs="Times New Roman"/>
        </w:rPr>
        <w:t xml:space="preserve"> do objeto contidas na proposta vinculam o licitante.</w:t>
      </w:r>
    </w:p>
    <w:p w14:paraId="59914F7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O licitante </w:t>
      </w:r>
      <w:r>
        <w:rPr>
          <w:rFonts w:ascii="Times New Roman" w:hAnsi="Times New Roman" w:cs="Times New Roman"/>
          <w:i/>
          <w:color w:val="auto"/>
        </w:rPr>
        <w:t>[NÃO]</w:t>
      </w:r>
      <w:r>
        <w:rPr>
          <w:rFonts w:ascii="Times New Roman" w:hAnsi="Times New Roman" w:cs="Times New Roman"/>
          <w:color w:val="auto"/>
        </w:rPr>
        <w:t xml:space="preserve"> poderá oferecer proposta em quantitativo inferior ao máximo previsto para contratação.</w:t>
      </w:r>
    </w:p>
    <w:p w14:paraId="1C6275F8">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Nos valores propostos estarão inclusos todos os custos operacionais, encargos previdenciários, trabalhistas, tributários, comerciais e quaisquer outros que incidam direta ou indiretamente na execução do objeto.</w:t>
      </w:r>
    </w:p>
    <w:p w14:paraId="03A5AFA3">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preços ofertados, tanto na proposta inicial, quanto na etapa de lances, serão de exclusiva responsabilidade do licitante, não lhe assistindo o direito de pleitear qualquer alteração, sob alegação de erro, omissão ou qualquer outro pretexto.</w:t>
      </w:r>
    </w:p>
    <w:p w14:paraId="3461113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Se o regime tributário da empresa implicar o recolhimento de tributos em percentuais variáveis, a cotação adequada será a que corresponde à média dos efetivos recolhimentos da empresa nos últimos doze meses.</w:t>
      </w:r>
    </w:p>
    <w:p w14:paraId="65F2F52A">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06F33E1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Independentemente do percentual de tributo inserido na planilha, no pagamento serão retidos na fonte os percentuais estabelecidos na legislação vigente.</w:t>
      </w:r>
    </w:p>
    <w:p w14:paraId="7D5C8F82">
      <w:pPr>
        <w:pStyle w:val="51"/>
        <w:numPr>
          <w:ilvl w:val="1"/>
          <w:numId w:val="7"/>
        </w:numPr>
        <w:autoSpaceDE/>
        <w:autoSpaceDN/>
        <w:adjustRightInd/>
        <w:spacing w:line="360" w:lineRule="auto"/>
        <w:ind w:left="0" w:firstLine="0"/>
        <w:rPr>
          <w:rFonts w:ascii="Times New Roman" w:hAnsi="Times New Roman" w:cs="Times New Roman"/>
          <w:color w:val="auto"/>
          <w:sz w:val="22"/>
        </w:rPr>
      </w:pPr>
      <w:r>
        <w:rPr>
          <w:rFonts w:ascii="Times New Roman" w:hAnsi="Times New Roman" w:cs="Times New Roman"/>
          <w:color w:val="auto"/>
          <w:sz w:val="22"/>
        </w:rPr>
        <w:t>Na presente licitação, a Microempresa e a Empresa de Pequeno Porte poderão se beneficiar do regime de tributação pelo Simples Nacional.</w:t>
      </w:r>
    </w:p>
    <w:p w14:paraId="5A5AD96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apresentação das propostas implica obrigatoriedade do cumprimento das disposições nelas contidas, em conformidade com o que dispõe o Termo de Referência/Projeto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6AE2F7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prazo de validade da proposta não será inferior a </w:t>
      </w:r>
      <w:r>
        <w:rPr>
          <w:rFonts w:ascii="Times New Roman" w:hAnsi="Times New Roman" w:cs="Times New Roman"/>
          <w:b/>
          <w:bCs/>
        </w:rPr>
        <w:t>60 (sessenta)</w:t>
      </w:r>
      <w:r>
        <w:rPr>
          <w:rFonts w:ascii="Times New Roman" w:hAnsi="Times New Roman" w:cs="Times New Roman"/>
        </w:rPr>
        <w:t xml:space="preserve"> dias</w:t>
      </w:r>
      <w:r>
        <w:rPr>
          <w:rFonts w:ascii="Times New Roman" w:hAnsi="Times New Roman" w:cs="Times New Roman"/>
          <w:b/>
          <w:bCs/>
        </w:rPr>
        <w:t>,</w:t>
      </w:r>
      <w:r>
        <w:rPr>
          <w:rFonts w:ascii="Times New Roman" w:hAnsi="Times New Roman" w:cs="Times New Roman"/>
        </w:rPr>
        <w:t xml:space="preserve"> a contar da data de sua apresentação.</w:t>
      </w:r>
    </w:p>
    <w:p w14:paraId="660D409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licitantes devem respeitar os preços máximos estabelecidos nas normas de regência de contratações públicas federais, quando participarem de licitações públicas;</w:t>
      </w:r>
    </w:p>
    <w:p w14:paraId="6DB8748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Caso o critério de julgamento seja o de menor preço, os licitantes devem respeitar os preços máximos previstos no Termo de Referência/Projeto Básico;</w:t>
      </w:r>
    </w:p>
    <w:p w14:paraId="34C23CF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Caso o critério de julgamento seja o de maior desconto, o preço já decorrente da aplicação do desconto ofertado deverá respeitar os preços máximos previstos no Termo de Referência/Projeto Básico.</w:t>
      </w:r>
    </w:p>
    <w:p w14:paraId="32A10810">
      <w:pPr>
        <w:pStyle w:val="44"/>
        <w:numPr>
          <w:ilvl w:val="1"/>
          <w:numId w:val="7"/>
        </w:numPr>
        <w:spacing w:line="360" w:lineRule="auto"/>
        <w:ind w:left="0" w:firstLine="0"/>
        <w:rPr>
          <w:rFonts w:ascii="Times New Roman" w:hAnsi="Times New Roman" w:eastAsia="Times New Roman" w:cs="Times New Roman"/>
        </w:rPr>
      </w:pPr>
      <w:r>
        <w:rPr>
          <w:rFonts w:ascii="Times New Roman" w:hAnsi="Times New Roman" w:cs="Times New Roman"/>
        </w:rPr>
        <w:t xml:space="preserve">O descumprimento das regras supramencionadas pode ensejar a responsabilização pelo Tribunal de Contas da União e, após o devido processo legal, gerar as seguintes consequências: assinatura de prazo para a adoção das medidas </w:t>
      </w:r>
      <w:r>
        <w:rPr>
          <w:rFonts w:ascii="Times New Roman" w:hAnsi="Times New Roman" w:eastAsia="Times New Roman" w:cs="Times New Roman"/>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0DAFC47">
      <w:pPr>
        <w:pStyle w:val="51"/>
        <w:numPr>
          <w:ilvl w:val="0"/>
          <w:numId w:val="0"/>
        </w:numPr>
        <w:autoSpaceDE/>
        <w:autoSpaceDN/>
        <w:adjustRightInd/>
        <w:spacing w:line="360" w:lineRule="auto"/>
        <w:rPr>
          <w:rFonts w:ascii="Times New Roman" w:hAnsi="Times New Roman" w:cs="Times New Roman"/>
          <w:color w:val="auto"/>
          <w:sz w:val="22"/>
        </w:rPr>
      </w:pPr>
    </w:p>
    <w:p w14:paraId="40EC2E28">
      <w:pPr>
        <w:pStyle w:val="67"/>
        <w:numPr>
          <w:ilvl w:val="0"/>
          <w:numId w:val="7"/>
        </w:numPr>
        <w:spacing w:line="360" w:lineRule="auto"/>
        <w:rPr>
          <w:rFonts w:ascii="Times New Roman" w:hAnsi="Times New Roman" w:cs="Times New Roman"/>
          <w:color w:val="auto"/>
          <w:sz w:val="22"/>
          <w:szCs w:val="22"/>
        </w:rPr>
      </w:pPr>
      <w:bookmarkStart w:id="30" w:name="_Toc193719196"/>
      <w:bookmarkStart w:id="31" w:name="_Toc135469200"/>
      <w:r>
        <w:rPr>
          <w:rFonts w:ascii="Times New Roman" w:hAnsi="Times New Roman" w:cs="Times New Roman"/>
          <w:color w:val="auto"/>
          <w:sz w:val="22"/>
          <w:szCs w:val="22"/>
        </w:rPr>
        <w:t>DA ABERTURA DA SESSÃO, CLASSIFICAÇÃO DAS PROPOSTAS E FORMULAÇÃO DE LANCES</w:t>
      </w:r>
      <w:bookmarkEnd w:id="30"/>
      <w:bookmarkEnd w:id="31"/>
    </w:p>
    <w:p w14:paraId="5D3B3096">
      <w:pPr>
        <w:pStyle w:val="44"/>
        <w:numPr>
          <w:ilvl w:val="1"/>
          <w:numId w:val="7"/>
        </w:numPr>
        <w:spacing w:line="360" w:lineRule="auto"/>
        <w:ind w:left="0" w:firstLine="0"/>
        <w:rPr>
          <w:rFonts w:ascii="Times New Roman" w:hAnsi="Times New Roman" w:cs="Times New Roman"/>
        </w:rPr>
      </w:pPr>
      <w:bookmarkStart w:id="32" w:name="_Hlk114646655"/>
      <w:r>
        <w:rPr>
          <w:rFonts w:ascii="Times New Roman" w:hAnsi="Times New Roman" w:cs="Times New Roman"/>
        </w:rPr>
        <w:t>A abertura da presente licitação dar-se-á automaticamente em sessão pública, por meio de sistema eletrônico, na data, horário e local indicados neste Edital.</w:t>
      </w:r>
    </w:p>
    <w:p w14:paraId="445D79B3">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656A69F1">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sistema disponibilizará campo próprio para troca de mensagens entre o Pregoeiro/Agente de Contratação/Comissão e os licitantes.</w:t>
      </w:r>
    </w:p>
    <w:p w14:paraId="47B5B5E3">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Iniciada a etapa competitiva, os licitantes deverão encaminhar lances exclusivamente por meio de sistema eletrônico, sendo imediatamente informados do seu recebimento e do valor consignado no registro. </w:t>
      </w:r>
    </w:p>
    <w:p w14:paraId="1C75999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lance deverá ser ofertado pelo valor unitário do item.</w:t>
      </w:r>
    </w:p>
    <w:p w14:paraId="77CB1A2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licitantes poderão oferecer lances sucessivos, observando o horário fixado para abertura da sessão e as regras estabelecidas no Edital.</w:t>
      </w:r>
    </w:p>
    <w:p w14:paraId="0F05B38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licitante somente poderá oferecer lance de valor inferior ou percentual de desconto superior ao último por ele ofertado e registrado pelo sistema. </w:t>
      </w:r>
    </w:p>
    <w:p w14:paraId="257487F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intervalo mínimo de diferença de valores ou percentuais entre os lances, que incidirá tanto em relação aos lances intermediários quanto em relação à proposta que cobrir a melhor oferta deverá ser</w:t>
      </w:r>
      <w:r>
        <w:rPr>
          <w:rFonts w:ascii="Times New Roman" w:hAnsi="Times New Roman" w:cs="Times New Roman"/>
          <w:i/>
        </w:rPr>
        <w:t xml:space="preserve"> de R$ 0,01.</w:t>
      </w:r>
    </w:p>
    <w:p w14:paraId="031D6A3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licitante poderá, uma única vez, excluir seu último lance ofertado, no intervalo de quinze segundos após o registro no sistema, na hipótese de lance inconsistente ou inexequível.</w:t>
      </w:r>
    </w:p>
    <w:p w14:paraId="2767F0E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procedimento seguirá de acordo com o modo de disputa adotado.</w:t>
      </w:r>
    </w:p>
    <w:p w14:paraId="3DA40686">
      <w:pPr>
        <w:pStyle w:val="44"/>
        <w:numPr>
          <w:ilvl w:val="1"/>
          <w:numId w:val="7"/>
        </w:numPr>
        <w:spacing w:line="360" w:lineRule="auto"/>
        <w:ind w:left="0" w:firstLine="0"/>
        <w:rPr>
          <w:rFonts w:ascii="Times New Roman" w:hAnsi="Times New Roman" w:cs="Times New Roman"/>
        </w:rPr>
      </w:pPr>
      <w:bookmarkStart w:id="33" w:name="_Hlk113697759"/>
      <w:r>
        <w:rPr>
          <w:rFonts w:ascii="Times New Roman" w:hAnsi="Times New Roman" w:cs="Times New Roman"/>
        </w:rPr>
        <w:t>Caso seja adotado para o envio de lances na licitação o modo de disputa “aberto”, os licitantes apresentarão lances públicos e sucessivos, com prorrogações.</w:t>
      </w:r>
    </w:p>
    <w:bookmarkEnd w:id="33"/>
    <w:p w14:paraId="494C29CD">
      <w:pPr>
        <w:pStyle w:val="45"/>
        <w:numPr>
          <w:ilvl w:val="2"/>
          <w:numId w:val="9"/>
        </w:numPr>
        <w:tabs>
          <w:tab w:val="clear" w:pos="360"/>
        </w:tabs>
        <w:spacing w:line="360" w:lineRule="auto"/>
        <w:ind w:left="284" w:firstLine="0"/>
        <w:rPr>
          <w:rFonts w:ascii="Times New Roman" w:hAnsi="Times New Roman" w:cs="Times New Roman"/>
          <w:color w:val="auto"/>
        </w:rPr>
      </w:pPr>
      <w:bookmarkStart w:id="34" w:name="_Hlk113697816"/>
      <w:r>
        <w:rPr>
          <w:rFonts w:ascii="Times New Roman" w:hAnsi="Times New Roman" w:cs="Times New Roman"/>
          <w:color w:val="auto"/>
        </w:rPr>
        <w:t>A etapa de lances da sessão pública terá duração de dez minutos e, após isso, será prorrogada automaticamente pelo sistema quando houver lance ofertado nos últimos dois minutos do período de duração da sessão pública.</w:t>
      </w:r>
    </w:p>
    <w:p w14:paraId="028BC22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757FA646">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havendo novos lances na forma estabelecida nos itens anteriores, a sessão pública encerrar-se-á automaticamente, e o sistema ordenará e divulgará os lances conforme a ordem de classificação, sem prejuízo da aplicação da margem de preferência e do desempate ficto, conforme disposto neste edital, quando for o caso.</w:t>
      </w:r>
    </w:p>
    <w:p w14:paraId="1CC0272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28AA93A1">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Após o reinício previsto no item supra, os licitantes serão convocados para apresentar lances intermediários.</w:t>
      </w:r>
      <w:bookmarkEnd w:id="34"/>
      <w:bookmarkStart w:id="35" w:name="_Hlk113631522"/>
    </w:p>
    <w:bookmarkEnd w:id="35"/>
    <w:p w14:paraId="57DBE11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Caso seja adotado para o envio de lances na licitação o modo de disputa “aberto e fechado”, os licitantes apresentarão lances públicos e sucessivos, com lance final e fechado.</w:t>
      </w:r>
    </w:p>
    <w:p w14:paraId="6D6039B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D48691A">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5BA1182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Caso o item em disputa envolva objeto abrangido por margem de preferência, o percentual referido na disposição anterior será de 20%, nos termos do § 6º do artigo 24 da Instrução Normativa SEGES/ME nº 73, de 30 de setembro de 2022, incluído pela Instrução Normativa SEGES/MGI nº 79, de 12 de setembro de 2024.</w:t>
      </w:r>
    </w:p>
    <w:p w14:paraId="5A4A65E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No procedimento de que trata o subitem supra, o licitante poderá optar por manter o seu último lance da etapa aberta, ou por ofertar melhor lance.</w:t>
      </w:r>
    </w:p>
    <w:p w14:paraId="375486C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452437A">
      <w:pPr>
        <w:pStyle w:val="45"/>
        <w:numPr>
          <w:ilvl w:val="2"/>
          <w:numId w:val="9"/>
        </w:numPr>
        <w:tabs>
          <w:tab w:val="clear" w:pos="360"/>
        </w:tabs>
        <w:spacing w:line="360" w:lineRule="auto"/>
        <w:ind w:left="284" w:firstLine="0"/>
        <w:rPr>
          <w:rFonts w:ascii="Times New Roman" w:hAnsi="Times New Roman" w:cs="Times New Roman"/>
          <w:color w:val="auto"/>
        </w:rPr>
      </w:pPr>
      <w:bookmarkStart w:id="36" w:name="_Hlk113698144"/>
      <w:r>
        <w:rPr>
          <w:rFonts w:ascii="Times New Roman" w:hAnsi="Times New Roman" w:cs="Times New Roman"/>
          <w:color w:val="auto"/>
        </w:rPr>
        <w:t>Após o término dos prazos estabelecidos nos itens anteriores, o sistema ordenará e divulgará os lances segundo a ordem crescente de valores.</w:t>
      </w:r>
    </w:p>
    <w:bookmarkEnd w:id="36"/>
    <w:p w14:paraId="1E749047">
      <w:pPr>
        <w:pStyle w:val="44"/>
        <w:numPr>
          <w:ilvl w:val="1"/>
          <w:numId w:val="7"/>
        </w:numPr>
        <w:spacing w:line="360" w:lineRule="auto"/>
        <w:ind w:left="0" w:firstLine="0"/>
        <w:rPr>
          <w:rFonts w:ascii="Times New Roman" w:hAnsi="Times New Roman" w:cs="Times New Roman"/>
        </w:rPr>
      </w:pPr>
      <w:bookmarkStart w:id="37" w:name="_Ref116973524"/>
      <w:r>
        <w:rPr>
          <w:rFonts w:ascii="Times New Roman" w:hAnsi="Times New Roman" w:cs="Times New Roman"/>
        </w:rPr>
        <w:t>Caso seja adotado para o envio de lances na licitação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7"/>
    </w:p>
    <w:p w14:paraId="1078193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Caso o item em disputa envolva objeto abrangido por margem de preferência, o percentual referido na disposição anterior será de 20%, nos termos do § 5º do artigo 25 da Instrução Normativa SEGES/ME nº 73, de 30 de setembro de 2022, incluído pela Instrução Normativa SEGES/MGI nº 79, de 12 de setembro de 2024.</w:t>
      </w:r>
    </w:p>
    <w:p w14:paraId="3E52F1C7">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Não havendo pelo menos 3 (três) propostas nas condições definidas no item </w:t>
      </w:r>
      <w:r>
        <w:rPr>
          <w:rFonts w:ascii="Times New Roman" w:hAnsi="Times New Roman" w:cs="Times New Roman"/>
          <w:color w:val="auto"/>
        </w:rPr>
        <w:fldChar w:fldCharType="begin"/>
      </w:r>
      <w:r>
        <w:rPr>
          <w:rFonts w:ascii="Times New Roman" w:hAnsi="Times New Roman" w:cs="Times New Roman"/>
          <w:color w:val="auto"/>
        </w:rPr>
        <w:instrText xml:space="preserve"> REF _Ref116973524 \r \h  \* MERGEFORMAT </w:instrText>
      </w:r>
      <w:r>
        <w:rPr>
          <w:rFonts w:ascii="Times New Roman" w:hAnsi="Times New Roman" w:cs="Times New Roman"/>
          <w:color w:val="auto"/>
        </w:rPr>
        <w:fldChar w:fldCharType="separate"/>
      </w:r>
      <w:r>
        <w:rPr>
          <w:rFonts w:ascii="Times New Roman" w:hAnsi="Times New Roman" w:cs="Times New Roman"/>
          <w:color w:val="auto"/>
        </w:rPr>
        <w:t>7.13</w:t>
      </w:r>
      <w:r>
        <w:rPr>
          <w:rFonts w:ascii="Times New Roman" w:hAnsi="Times New Roman" w:cs="Times New Roman"/>
          <w:color w:val="auto"/>
        </w:rPr>
        <w:fldChar w:fldCharType="end"/>
      </w:r>
      <w:r>
        <w:rPr>
          <w:rFonts w:ascii="Times New Roman" w:hAnsi="Times New Roman" w:cs="Times New Roman"/>
          <w:color w:val="auto"/>
        </w:rPr>
        <w:t>, poderão os licitantes que apresentaram as três melhores propostas, consideradas as empatadas, oferecer novos lances sucessivos.</w:t>
      </w:r>
    </w:p>
    <w:p w14:paraId="22E77F19">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etapa de lances da sessão pública terá duração de dez minutos e, após isso, será prorrogada automaticamente pelo sistema quando houver lance ofertado nos últimos dois minutos do período de duração da sessão pública.</w:t>
      </w:r>
    </w:p>
    <w:p w14:paraId="0D1E166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B1067F1">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havendo novos lances na forma estabelecida nos itens anteriores, a sessão pública encerrar-se-á automaticamente, e o sistema ordenará e divulgará os lances conforme a ordem final de classificação.</w:t>
      </w:r>
    </w:p>
    <w:p w14:paraId="7EEAB5C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304CD86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Após o reinício previsto no subitem supra, os licitantes serão convocados para apresentar lances intermediários.  </w:t>
      </w:r>
    </w:p>
    <w:p w14:paraId="23E5FDF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Após o término dos prazos estabelecidos nos subitens anteriores, o sistema ordenará e divulgará os lances segundo a ordem crescente de valores.</w:t>
      </w:r>
    </w:p>
    <w:p w14:paraId="6D77383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Não serão aceitos dois ou mais lances de mesmo valor, prevalecendo aquele que for recebido e registrado em primeiro lugar. </w:t>
      </w:r>
    </w:p>
    <w:p w14:paraId="7800D90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Durante o transcurso da sessão pública, os licitantes serão informados, em tempo real, do valor do menor lance registrado, vedada a identificação do licitante. </w:t>
      </w:r>
    </w:p>
    <w:p w14:paraId="3D697F8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No caso de desconexão com o Pregoeiro/Agente de Contratação/Comissão, no decorrer da etapa competitiva da licitação, o sistema eletrônico poderá permanecer acessível aos licitantes para a recepção dos lances. </w:t>
      </w:r>
    </w:p>
    <w:p w14:paraId="093A2C18">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Quando a desconexão do sistema eletrônico para o Pregoeiro/Agente de Contratação/Comissão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5A9A33B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Caso o licitante não apresente lances, concorrerá com o valor de sua proposta.</w:t>
      </w:r>
    </w:p>
    <w:p w14:paraId="44597C54">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Ao final da fase de lances, será aplicado o benefício da margem de preferência, nos termos do art. 26 da Lei nº 14.133, de 2021.</w:t>
      </w:r>
    </w:p>
    <w:p w14:paraId="78DB674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Pregoeiro/Agente de Contratação/Comissão.</w:t>
      </w:r>
    </w:p>
    <w:p w14:paraId="6BE2C2D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Nestas situações, a proposta beneficiada pela aplicação da margem de preferência normal ou adicional, conforme o caso, tornar-se-á a proposta classificada em primeiro lugar.</w:t>
      </w:r>
    </w:p>
    <w:p w14:paraId="1CB0948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Em relação a itens não exclusivos para participação de microempresas e empresas de pequeno porte, uma vez encerrada a etapa de la</w:t>
      </w:r>
      <w:r>
        <w:rPr>
          <w:rFonts w:ascii="Times New Roman" w:hAnsi="Times New Roman" w:eastAsia="Arial" w:cs="Times New Roman"/>
        </w:rPr>
        <w:t>nces, será efetivada a verificação automática, junto à Receita Federal, do porte da entidade empresarial, caso a contratação não se enquadre nas vedações dos §§1º e 2º do art. 4º da Lei nº 14.133, de 2021. O sistema ide</w:t>
      </w:r>
      <w:r>
        <w:rPr>
          <w:rFonts w:ascii="Times New Roman" w:hAnsi="Times New Roman" w:eastAsia="Zurich BT" w:cs="Times New Roman"/>
        </w:rPr>
        <w:t xml:space="preserve">ntificará em coluna própria as microempresas e empresas de pequeno porte </w:t>
      </w:r>
      <w:r>
        <w:rPr>
          <w:rFonts w:ascii="Times New Roman" w:hAnsi="Times New Roman" w:cs="Times New Roman"/>
        </w:rPr>
        <w:t>participantes</w:t>
      </w:r>
      <w:r>
        <w:rPr>
          <w:rFonts w:ascii="Times New Roman" w:hAnsi="Times New Roman" w:eastAsia="Zurich BT" w:cs="Times New Roman"/>
        </w:rPr>
        <w:t>,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3E35751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p>
    <w:p w14:paraId="50B303FA">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parâmetro para o empate ficto, nesse caso, consistirá no preço ofertado pela fornecedora classificada em primeiro lugar em razão da aplicação da margem de preferência.</w:t>
      </w:r>
    </w:p>
    <w:p w14:paraId="2505445D">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Nessas condições, as propostas de </w:t>
      </w:r>
      <w:r>
        <w:rPr>
          <w:rFonts w:ascii="Times New Roman" w:hAnsi="Times New Roman" w:eastAsia="Zurich BT" w:cs="Times New Roman"/>
          <w:color w:val="auto"/>
        </w:rPr>
        <w:t xml:space="preserve">microempresas e empresas de pequeno porte </w:t>
      </w:r>
      <w:r>
        <w:rPr>
          <w:rFonts w:ascii="Times New Roman" w:hAnsi="Times New Roman" w:cs="Times New Roman"/>
          <w:color w:val="auto"/>
        </w:rPr>
        <w:t>que se encontrarem na faixa de até 10% (dez por cento), caso se trate de uma concorrência, ou de até 5% (cinco por cento), caso se trate de um pregão, serão consideradas empatadas com a primeira colocada.</w:t>
      </w:r>
    </w:p>
    <w:p w14:paraId="6610E37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0F2D22">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Caso a </w:t>
      </w:r>
      <w:r>
        <w:rPr>
          <w:rFonts w:ascii="Times New Roman" w:hAnsi="Times New Roman" w:eastAsia="Zurich BT" w:cs="Times New Roman"/>
          <w:color w:val="auto"/>
        </w:rPr>
        <w:t>microempresa ou a empresa de pequeno porte</w:t>
      </w:r>
      <w:r>
        <w:rPr>
          <w:rFonts w:ascii="Times New Roman" w:hAnsi="Times New Roman" w:cs="Times New Roman"/>
          <w:color w:val="auto"/>
        </w:rPr>
        <w:t xml:space="preserve"> melhor classificada desista ou não se manifeste no prazo estabelecido, serão convocadas as demais licitantes </w:t>
      </w:r>
      <w:r>
        <w:rPr>
          <w:rFonts w:ascii="Times New Roman" w:hAnsi="Times New Roman" w:eastAsia="Zurich BT" w:cs="Times New Roman"/>
          <w:color w:val="auto"/>
        </w:rPr>
        <w:t>microempresa e empresa de pequeno porte</w:t>
      </w:r>
      <w:r>
        <w:rPr>
          <w:rFonts w:ascii="Times New Roman" w:hAnsi="Times New Roman" w:cs="Times New Roman"/>
          <w:color w:val="auto"/>
        </w:rPr>
        <w:t xml:space="preserve"> que se encontrem naquele intervalo de até 10% (dez por cento), caso se trate de uma concorrência, ou de até 5% (cinco por cento), caso se trate de um pregão, na ordem de classificação, para o exercício do mesmo direito, no prazo estabelecido no subitem anterior.</w:t>
      </w:r>
    </w:p>
    <w:p w14:paraId="04EA8D99">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25858E1">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8C93E14">
      <w:pPr>
        <w:pStyle w:val="44"/>
        <w:numPr>
          <w:ilvl w:val="1"/>
          <w:numId w:val="7"/>
        </w:numPr>
        <w:spacing w:line="360" w:lineRule="auto"/>
        <w:ind w:left="567" w:firstLine="0"/>
        <w:rPr>
          <w:rFonts w:ascii="Times New Roman" w:hAnsi="Times New Roman" w:cs="Times New Roman"/>
        </w:rPr>
      </w:pPr>
      <w:r>
        <w:rPr>
          <w:rFonts w:ascii="Times New Roman" w:hAnsi="Times New Roman" w:cs="Times New Roman"/>
        </w:rPr>
        <w:t xml:space="preserve">Só poderá haver empate entre propostas iguais (não seguidas de lances), ou entre lances finais da fase fechada do modo de disputa aberto e fechado. </w:t>
      </w:r>
    </w:p>
    <w:p w14:paraId="4739458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Havendo eventual empate entre propostas ou lances, o critério de desempate será aquele previsto no art. 60 da Lei nº 14.133, de 2021, nesta ordem:</w:t>
      </w:r>
    </w:p>
    <w:p w14:paraId="69604EB2">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disputa final, hipótese em que os licitantes empatados poderão apresentar nova proposta em ato contínuo à classificação;</w:t>
      </w:r>
    </w:p>
    <w:p w14:paraId="44BE4841">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avaliação do desempenho contratual prévio dos licitantes, para a qual deverão preferencialmente ser utilizados registros cadastrais para efeito de atesto de cumprimento de obrigações previstos nesta Lei;</w:t>
      </w:r>
    </w:p>
    <w:p w14:paraId="7D6A382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desenvolvimento pelo licitante de ações de equidade entre homens e mulheres no ambiente de trabalho, conforme regulamento;</w:t>
      </w:r>
    </w:p>
    <w:p w14:paraId="3F0A178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desenvolvimento pelo licitante de programa de integridade, conforme orientações dos órgãos de controle.</w:t>
      </w:r>
    </w:p>
    <w:p w14:paraId="3D5B7CF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Persistindo o empate, será assegurada preferência, sucessivamente, aos bens e serviços produzidos ou prestados por:</w:t>
      </w:r>
    </w:p>
    <w:p w14:paraId="6272E6B0">
      <w:pPr>
        <w:pStyle w:val="45"/>
        <w:numPr>
          <w:ilvl w:val="2"/>
          <w:numId w:val="9"/>
        </w:numPr>
        <w:tabs>
          <w:tab w:val="clear" w:pos="360"/>
        </w:tabs>
        <w:spacing w:line="360" w:lineRule="auto"/>
        <w:ind w:left="284" w:firstLine="0"/>
        <w:rPr>
          <w:rFonts w:ascii="Times New Roman" w:hAnsi="Times New Roman" w:cs="Times New Roman"/>
          <w:color w:val="auto"/>
        </w:rPr>
      </w:pPr>
      <w:bookmarkStart w:id="38" w:name="art60§1i"/>
      <w:bookmarkEnd w:id="38"/>
      <w:r>
        <w:rPr>
          <w:rFonts w:ascii="Times New Roman" w:hAnsi="Times New Roman" w:cs="Times New Roman"/>
          <w:color w:val="auto"/>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1CF5C0E">
      <w:pPr>
        <w:pStyle w:val="45"/>
        <w:numPr>
          <w:ilvl w:val="2"/>
          <w:numId w:val="9"/>
        </w:numPr>
        <w:tabs>
          <w:tab w:val="clear" w:pos="360"/>
        </w:tabs>
        <w:spacing w:line="360" w:lineRule="auto"/>
        <w:ind w:left="284" w:firstLine="0"/>
        <w:rPr>
          <w:rFonts w:ascii="Times New Roman" w:hAnsi="Times New Roman" w:cs="Times New Roman"/>
          <w:color w:val="auto"/>
        </w:rPr>
      </w:pPr>
      <w:bookmarkStart w:id="39" w:name="art60§1ii"/>
      <w:bookmarkEnd w:id="39"/>
      <w:r>
        <w:rPr>
          <w:rFonts w:ascii="Times New Roman" w:hAnsi="Times New Roman" w:cs="Times New Roman"/>
          <w:color w:val="auto"/>
        </w:rPr>
        <w:t>empresas brasileiras;</w:t>
      </w:r>
    </w:p>
    <w:p w14:paraId="7A589C4B">
      <w:pPr>
        <w:pStyle w:val="45"/>
        <w:numPr>
          <w:ilvl w:val="2"/>
          <w:numId w:val="9"/>
        </w:numPr>
        <w:tabs>
          <w:tab w:val="clear" w:pos="360"/>
        </w:tabs>
        <w:spacing w:line="360" w:lineRule="auto"/>
        <w:ind w:left="284" w:firstLine="0"/>
        <w:rPr>
          <w:rFonts w:ascii="Times New Roman" w:hAnsi="Times New Roman" w:cs="Times New Roman"/>
          <w:color w:val="auto"/>
        </w:rPr>
      </w:pPr>
      <w:bookmarkStart w:id="40" w:name="art60§1iii"/>
      <w:bookmarkEnd w:id="40"/>
      <w:r>
        <w:rPr>
          <w:rFonts w:ascii="Times New Roman" w:hAnsi="Times New Roman" w:cs="Times New Roman"/>
          <w:color w:val="auto"/>
        </w:rPr>
        <w:t>empresas que invistam em pesquisa e no desenvolvimento de tecnologia no País;</w:t>
      </w:r>
    </w:p>
    <w:p w14:paraId="6A1DB21F">
      <w:pPr>
        <w:pStyle w:val="45"/>
        <w:numPr>
          <w:ilvl w:val="2"/>
          <w:numId w:val="9"/>
        </w:numPr>
        <w:tabs>
          <w:tab w:val="clear" w:pos="360"/>
        </w:tabs>
        <w:spacing w:line="360" w:lineRule="auto"/>
        <w:ind w:left="284" w:firstLine="0"/>
        <w:rPr>
          <w:rFonts w:ascii="Times New Roman" w:hAnsi="Times New Roman" w:cs="Times New Roman"/>
          <w:color w:val="auto"/>
        </w:rPr>
      </w:pPr>
      <w:bookmarkStart w:id="41" w:name="art60§1iv"/>
      <w:bookmarkEnd w:id="41"/>
      <w:r>
        <w:rPr>
          <w:rFonts w:ascii="Times New Roman" w:hAnsi="Times New Roman" w:cs="Times New Roman"/>
          <w:color w:val="auto"/>
        </w:rPr>
        <w:t>empresas que comprovem a prática de mitigação, nos termos da Lei nº 12.187, de 29 de dezembro de 2009.</w:t>
      </w:r>
    </w:p>
    <w:p w14:paraId="583BDA2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Esgotados todos os demais critérios de desempate previstos em lei, a escolha do licitante vencedor ocorrerá por sorteio, em ato público, para o qual todos os licitantes serão convocados, vedado qualquer outro processo.</w:t>
      </w:r>
    </w:p>
    <w:p w14:paraId="5AE845E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1C4DD972">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4120390">
      <w:pPr>
        <w:pStyle w:val="45"/>
        <w:numPr>
          <w:ilvl w:val="2"/>
          <w:numId w:val="9"/>
        </w:numPr>
        <w:tabs>
          <w:tab w:val="clear" w:pos="360"/>
        </w:tabs>
        <w:spacing w:line="360" w:lineRule="auto"/>
        <w:ind w:left="284" w:firstLine="0"/>
        <w:rPr>
          <w:rFonts w:ascii="Times New Roman" w:hAnsi="Times New Roman" w:eastAsia="Times New Roman" w:cs="Times New Roman"/>
          <w:color w:val="auto"/>
        </w:rPr>
      </w:pPr>
      <w:r>
        <w:rPr>
          <w:rFonts w:ascii="Times New Roman" w:hAnsi="Times New Roman" w:eastAsia="Times New Roman" w:cs="Times New Roman"/>
          <w:color w:val="auto"/>
        </w:rPr>
        <w:t xml:space="preserve">A </w:t>
      </w:r>
      <w:r>
        <w:rPr>
          <w:rFonts w:ascii="Times New Roman" w:hAnsi="Times New Roman" w:cs="Times New Roman"/>
          <w:color w:val="auto"/>
        </w:rPr>
        <w:t>negociação será realizada por meio do sistema, podendo ser acompanhada pelos demais licitantes.</w:t>
      </w:r>
    </w:p>
    <w:p w14:paraId="20A9BCD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resultado da negociação será divulgado a todos os licitantes e anexado aos autos do processo licitatório.</w:t>
      </w:r>
    </w:p>
    <w:p w14:paraId="50956ECD">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Pregoeiro/Agente de Contratação/Comissão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42" w:name="_Hlk117016948"/>
    </w:p>
    <w:bookmarkEnd w:id="42"/>
    <w:p w14:paraId="2EB54C74">
      <w:pPr>
        <w:pStyle w:val="45"/>
        <w:numPr>
          <w:ilvl w:val="2"/>
          <w:numId w:val="9"/>
        </w:numPr>
        <w:tabs>
          <w:tab w:val="clear" w:pos="360"/>
        </w:tabs>
        <w:spacing w:line="360" w:lineRule="auto"/>
        <w:ind w:left="284" w:firstLine="0"/>
        <w:rPr>
          <w:rFonts w:ascii="Times New Roman" w:hAnsi="Times New Roman" w:cs="Times New Roman"/>
          <w:iCs/>
          <w:color w:val="auto"/>
        </w:rPr>
      </w:pPr>
      <w:r>
        <w:rPr>
          <w:rFonts w:ascii="Times New Roman" w:hAnsi="Times New Roman" w:cs="Times New Roman"/>
          <w:color w:val="auto"/>
        </w:rPr>
        <w:t>É facultado ao Pregoeiro/Agente de Contratação/Comissão prorrogar o prazo estabelecido, a partir de solicitação fundamentada feita no chat pelo licitante, antes de findo o prazo.</w:t>
      </w:r>
    </w:p>
    <w:p w14:paraId="2D1476A2">
      <w:pPr>
        <w:pStyle w:val="44"/>
        <w:numPr>
          <w:ilvl w:val="1"/>
          <w:numId w:val="7"/>
        </w:numPr>
        <w:spacing w:line="360" w:lineRule="auto"/>
        <w:ind w:left="0" w:firstLine="0"/>
        <w:rPr>
          <w:rFonts w:ascii="Times New Roman" w:hAnsi="Times New Roman" w:eastAsia="Times New Roman" w:cs="Times New Roman"/>
        </w:rPr>
      </w:pPr>
      <w:r>
        <w:rPr>
          <w:rFonts w:ascii="Times New Roman" w:hAnsi="Times New Roman" w:cs="Times New Roman"/>
        </w:rPr>
        <w:t>Após a negociação do preço, o Pregoeiro/Agente de Contratação/Comissão iniciará a fase de aceitação e julgamento da proposta.</w:t>
      </w:r>
      <w:bookmarkEnd w:id="32"/>
    </w:p>
    <w:p w14:paraId="3FC851D7">
      <w:pPr>
        <w:pStyle w:val="44"/>
        <w:spacing w:line="360" w:lineRule="auto"/>
        <w:rPr>
          <w:rFonts w:ascii="Times New Roman" w:hAnsi="Times New Roman" w:eastAsia="Times New Roman" w:cs="Times New Roman"/>
        </w:rPr>
      </w:pPr>
    </w:p>
    <w:p w14:paraId="1AE07F15">
      <w:pPr>
        <w:pStyle w:val="67"/>
        <w:numPr>
          <w:ilvl w:val="0"/>
          <w:numId w:val="7"/>
        </w:numPr>
        <w:spacing w:line="360" w:lineRule="auto"/>
        <w:rPr>
          <w:rFonts w:ascii="Times New Roman" w:hAnsi="Times New Roman" w:cs="Times New Roman"/>
          <w:color w:val="auto"/>
          <w:sz w:val="22"/>
          <w:szCs w:val="22"/>
        </w:rPr>
      </w:pPr>
      <w:bookmarkStart w:id="43" w:name="_Toc193719197"/>
      <w:bookmarkStart w:id="44" w:name="_Toc135469201"/>
      <w:r>
        <w:rPr>
          <w:rFonts w:ascii="Times New Roman" w:hAnsi="Times New Roman" w:cs="Times New Roman"/>
          <w:color w:val="auto"/>
          <w:sz w:val="22"/>
          <w:szCs w:val="22"/>
        </w:rPr>
        <w:t>DA FASE DE JULGAMENTO</w:t>
      </w:r>
      <w:bookmarkEnd w:id="43"/>
      <w:bookmarkEnd w:id="44"/>
    </w:p>
    <w:p w14:paraId="2966C1B6">
      <w:pPr>
        <w:pStyle w:val="44"/>
        <w:numPr>
          <w:ilvl w:val="1"/>
          <w:numId w:val="7"/>
        </w:numPr>
        <w:spacing w:line="360" w:lineRule="auto"/>
        <w:ind w:left="0" w:firstLine="0"/>
        <w:rPr>
          <w:rFonts w:ascii="Times New Roman" w:hAnsi="Times New Roman" w:cs="Times New Roman"/>
          <w:b/>
          <w:bCs/>
          <w:lang w:eastAsia="ar-SA"/>
        </w:rPr>
      </w:pPr>
      <w:bookmarkStart w:id="45" w:name="_Ref117019424"/>
      <w:r>
        <w:rPr>
          <w:rFonts w:ascii="Times New Roman" w:hAnsi="Times New Roman" w:cs="Times New Roman"/>
        </w:rPr>
        <w:t xml:space="preserve">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imes New Roman" w:hAnsi="Times New Roman" w:cs="Times New Roman"/>
        </w:rPr>
        <w:fldChar w:fldCharType="begin"/>
      </w:r>
      <w:r>
        <w:rPr>
          <w:rFonts w:ascii="Times New Roman" w:hAnsi="Times New Roman" w:cs="Times New Roman"/>
        </w:rPr>
        <w:instrText xml:space="preserve"> REF _Ref117000692 \r \h  \* MERGEFORMAT </w:instrText>
      </w:r>
      <w:r>
        <w:rPr>
          <w:rFonts w:ascii="Times New Roman" w:hAnsi="Times New Roman" w:cs="Times New Roman"/>
        </w:rPr>
        <w:fldChar w:fldCharType="separate"/>
      </w:r>
      <w:r>
        <w:rPr>
          <w:rFonts w:ascii="Times New Roman" w:hAnsi="Times New Roman" w:cs="Times New Roman"/>
        </w:rPr>
        <w:t>3.7</w:t>
      </w:r>
      <w:r>
        <w:rPr>
          <w:rFonts w:ascii="Times New Roman" w:hAnsi="Times New Roman" w:cs="Times New Roman"/>
        </w:rPr>
        <w:fldChar w:fldCharType="end"/>
      </w:r>
      <w:r>
        <w:rPr>
          <w:rFonts w:ascii="Times New Roman" w:hAnsi="Times New Roman" w:cs="Times New Roman"/>
        </w:rPr>
        <w:t xml:space="preserve"> do edital, </w:t>
      </w:r>
      <w:bookmarkEnd w:id="45"/>
      <w:r>
        <w:rPr>
          <w:rFonts w:ascii="Times New Roman" w:hAnsi="Times New Roman" w:cs="Times New Roman"/>
          <w:lang w:eastAsia="ar-SA"/>
        </w:rPr>
        <w:t>especialmente quanto à existência de sanção que impeça a participação no certame ou a futura contratação, mediante a consulta aos seguintes cadastros:</w:t>
      </w:r>
    </w:p>
    <w:p w14:paraId="7000D2F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SICAF;</w:t>
      </w:r>
    </w:p>
    <w:p w14:paraId="4817BED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Cadastro Nacional de Empresas Punidas – CNEP, mantido pela Controladoria-Geral da União (https://portaldatransparencia.gov.br/pagina-interna/603244-cnep); e.</w:t>
      </w:r>
    </w:p>
    <w:p w14:paraId="50D6F19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consulta aos cadastros será realizada no nome e no CNPJ da empresa licitante.</w:t>
      </w:r>
    </w:p>
    <w:p w14:paraId="605B54E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consulta no CNEP quanto às sanções previstas na Lei nº 8.429, de 1992, também ocorrerá no nome e no CPF do sócio majoritário da empresa licitante, se houver, por força do art. 12 da citada lei.</w:t>
      </w:r>
    </w:p>
    <w:p w14:paraId="1B1EC03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w:t>
      </w:r>
    </w:p>
    <w:p w14:paraId="1E45AD7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tentativa de burla será verificada por meio dos vínculos societários, linhas de fornecimento similares, dentre outros.</w:t>
      </w:r>
    </w:p>
    <w:p w14:paraId="7C0625F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licitante será convocado para manifestação previamente a uma eventual desclassificação.</w:t>
      </w:r>
    </w:p>
    <w:p w14:paraId="39767C16">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Constatada a existência de sanção, o licitante será reputado inabilitado, por falta de condição de participação.</w:t>
      </w:r>
    </w:p>
    <w:p w14:paraId="33BFFAB4">
      <w:pPr>
        <w:pStyle w:val="44"/>
        <w:numPr>
          <w:ilvl w:val="1"/>
          <w:numId w:val="7"/>
        </w:numPr>
        <w:spacing w:line="360" w:lineRule="auto"/>
        <w:ind w:left="0" w:firstLine="0"/>
        <w:rPr>
          <w:rFonts w:ascii="Times New Roman" w:hAnsi="Times New Roman" w:cs="Times New Roman"/>
        </w:rPr>
      </w:pPr>
      <w:bookmarkStart w:id="46" w:name="_Hlk135317550"/>
      <w:r>
        <w:rPr>
          <w:rFonts w:ascii="Times New Roman" w:hAnsi="Times New Roman" w:cs="Times New Roman"/>
        </w:rPr>
        <w:t>Na hipótese de inversão das fases de habilitação e julgamento, caso atendidas as condições de participação, será iniciado o procedimento de habilitação.</w:t>
      </w:r>
    </w:p>
    <w:bookmarkEnd w:id="46"/>
    <w:p w14:paraId="28B63B0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p>
    <w:p w14:paraId="15CB713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Caso o licitante não venha a comprovar o atendimento dos requisitos para fazer jus ao benefício da margem de preferência, as propostas serão reclassificadas, para fins de nova aplicação da margem de preferência.</w:t>
      </w:r>
    </w:p>
    <w:p w14:paraId="2A74D47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Verificadas as condições de participação e de utilização do tratamento favorecido, o Pregoeiro/Agente de Contratação/Comissão examinará a proposta classificada em primeiro lugar quanto à adequação ao objeto e à compatibilidade do preço em relação ao máximo estipulado para contratação neste Edital e em seus anexos, observado o disposto no artigo 29 a 35 da Instrução Normativa SEGES/ME nº 73, de 30 de setembro de 2022.</w:t>
      </w:r>
    </w:p>
    <w:p w14:paraId="11C21385">
      <w:pPr>
        <w:pStyle w:val="44"/>
        <w:numPr>
          <w:ilvl w:val="1"/>
          <w:numId w:val="7"/>
        </w:numPr>
        <w:spacing w:line="360" w:lineRule="auto"/>
        <w:ind w:left="0" w:firstLine="0"/>
        <w:rPr>
          <w:rFonts w:ascii="Times New Roman" w:hAnsi="Times New Roman" w:cs="Times New Roman"/>
          <w:b/>
        </w:rPr>
      </w:pPr>
      <w:r>
        <w:rPr>
          <w:rFonts w:ascii="Times New Roman" w:hAnsi="Times New Roman" w:cs="Times New Roman"/>
        </w:rPr>
        <w:t xml:space="preserve">Será desclassificada a proposta vencedora que: </w:t>
      </w:r>
    </w:p>
    <w:p w14:paraId="400BD99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contiver vícios insanáveis;</w:t>
      </w:r>
    </w:p>
    <w:p w14:paraId="5B831E0C">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obedecer às especificações técnicas contidas no Termo de Referência/Projeto Básico;</w:t>
      </w:r>
    </w:p>
    <w:p w14:paraId="1720298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apresentar preços inexequíveis ou permanecerem acima do preço máximo definido para a contratação;</w:t>
      </w:r>
    </w:p>
    <w:p w14:paraId="12F569AD">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não tiver sua exequibilidade demonstrada, quando exigido pela Administração;</w:t>
      </w:r>
    </w:p>
    <w:p w14:paraId="26CC843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apresentar desconformidade com quaisquer outras exigências deste Edital ou seus anexos, desde que insanável.</w:t>
      </w:r>
    </w:p>
    <w:p w14:paraId="7C5BE3A0">
      <w:pPr>
        <w:pStyle w:val="44"/>
        <w:numPr>
          <w:ilvl w:val="1"/>
          <w:numId w:val="7"/>
        </w:numPr>
        <w:spacing w:line="360" w:lineRule="auto"/>
        <w:ind w:left="0" w:firstLine="0"/>
        <w:rPr>
          <w:rFonts w:ascii="Times New Roman" w:hAnsi="Times New Roman" w:cs="Times New Roman"/>
          <w:b/>
          <w:bCs/>
        </w:rPr>
      </w:pPr>
      <w:r>
        <w:rPr>
          <w:rFonts w:ascii="Times New Roman" w:hAnsi="Times New Roman" w:cs="Times New Roman"/>
        </w:rPr>
        <w:t>No caso de bens e serviços em geral, é indício de inexequibilidade das propostas valores inferiores a 50% (cinquenta por cento) do valor orçado pela Administração.</w:t>
      </w:r>
    </w:p>
    <w:p w14:paraId="0F91082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inexequibilidade, na hipótese de que trata o item anterior, só será considerada após diligência do Pregoeiro/Agente de Contratação/Comissão, que comprove:</w:t>
      </w:r>
    </w:p>
    <w:p w14:paraId="352EED8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que o custo do licitante ultrapassa o valor da proposta; e</w:t>
      </w:r>
    </w:p>
    <w:p w14:paraId="255D1E3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inexistirem custos de oportunidade capazes de justificar o vulto da oferta.</w:t>
      </w:r>
    </w:p>
    <w:p w14:paraId="7A04B28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Se houver indícios de inexequibilidade da proposta de preço, ou em caso da necessidade de esclarecimentos complementares, poderão ser efetuadas diligências, para que o licitante comprove a exequibilidade da proposta.</w:t>
      </w:r>
    </w:p>
    <w:p w14:paraId="4C0E422F">
      <w:pPr>
        <w:pStyle w:val="44"/>
        <w:numPr>
          <w:ilvl w:val="1"/>
          <w:numId w:val="7"/>
        </w:numPr>
        <w:spacing w:line="360" w:lineRule="auto"/>
        <w:ind w:left="0" w:firstLine="0"/>
        <w:rPr>
          <w:rFonts w:ascii="Times New Roman" w:hAnsi="Times New Roman" w:cs="Times New Roman"/>
          <w:b/>
        </w:rPr>
      </w:pPr>
      <w:r>
        <w:rPr>
          <w:rFonts w:ascii="Times New Roman" w:hAnsi="Times New Roman" w:cs="Times New Roman"/>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20C47019">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ajuste de que trata este dispositivo se limita a sanar erros ou falhas que não alterem a substância das propostas;</w:t>
      </w:r>
    </w:p>
    <w:p w14:paraId="7668BF5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Considera-se erro no preenchimento da planilha passível de correção a indicação de recolhimento de impostos e contribuições na forma do Simples Nacional, quando não cabível esse regime.</w:t>
      </w:r>
    </w:p>
    <w:p w14:paraId="466857BA">
      <w:pPr>
        <w:pStyle w:val="44"/>
        <w:numPr>
          <w:ilvl w:val="1"/>
          <w:numId w:val="7"/>
        </w:numPr>
        <w:spacing w:line="360" w:lineRule="auto"/>
        <w:ind w:left="0" w:firstLine="0"/>
        <w:rPr>
          <w:rFonts w:ascii="Times New Roman" w:hAnsi="Times New Roman" w:cs="Times New Roman"/>
          <w:b/>
        </w:rPr>
      </w:pPr>
      <w:r>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77EC9F4A">
      <w:pPr>
        <w:pStyle w:val="44"/>
        <w:numPr>
          <w:ilvl w:val="1"/>
          <w:numId w:val="7"/>
        </w:numPr>
        <w:spacing w:line="360" w:lineRule="auto"/>
        <w:ind w:left="0" w:firstLine="0"/>
        <w:rPr>
          <w:rFonts w:ascii="Times New Roman" w:hAnsi="Times New Roman" w:cs="Times New Roman"/>
          <w:b/>
        </w:rPr>
      </w:pPr>
      <w:bookmarkStart w:id="47" w:name="_Hlk190267203"/>
      <w:r>
        <w:rPr>
          <w:rFonts w:ascii="Times New Roman" w:hAnsi="Times New Roman" w:cs="Times New Roman"/>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47"/>
    <w:p w14:paraId="594A877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Caso o Termo de Referência/Projeto Básico exija a apresentação de </w:t>
      </w:r>
      <w:bookmarkStart w:id="112" w:name="_GoBack"/>
      <w:r>
        <w:rPr>
          <w:rFonts w:ascii="Times New Roman" w:hAnsi="Times New Roman" w:cs="Times New Roman"/>
        </w:rPr>
        <w:t>amostra</w:t>
      </w:r>
      <w:bookmarkEnd w:id="112"/>
      <w:r>
        <w:rPr>
          <w:rFonts w:ascii="Times New Roman" w:hAnsi="Times New Roman" w:cs="Times New Roman"/>
        </w:rPr>
        <w:t>, o licitante classificado em primeiro lugar deverá apresentá-la, conforme disciplinado no Termo de Referência, sob pena de não aceitação da proposta.</w:t>
      </w:r>
    </w:p>
    <w:p w14:paraId="5DE64C6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Por meio de mensagem no sistema, será divulgado o local e horário de realização do procedimento para a avaliação das amostras, cuja presença será facultada a todos os interessados, incluindo os demais licitantes.</w:t>
      </w:r>
    </w:p>
    <w:p w14:paraId="17D7843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resultados das avaliações serão divulgados por meio de mensagem no sistema.</w:t>
      </w:r>
    </w:p>
    <w:p w14:paraId="7EE198C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7EDC78B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w:t>
      </w:r>
    </w:p>
    <w:p w14:paraId="0D9CC1AB">
      <w:pPr>
        <w:pStyle w:val="44"/>
        <w:spacing w:line="360" w:lineRule="auto"/>
        <w:rPr>
          <w:rFonts w:ascii="Times New Roman" w:hAnsi="Times New Roman" w:cs="Times New Roman"/>
        </w:rPr>
      </w:pPr>
    </w:p>
    <w:p w14:paraId="646E1810">
      <w:pPr>
        <w:pStyle w:val="67"/>
        <w:numPr>
          <w:ilvl w:val="0"/>
          <w:numId w:val="7"/>
        </w:numPr>
        <w:spacing w:line="360" w:lineRule="auto"/>
        <w:rPr>
          <w:rFonts w:ascii="Times New Roman" w:hAnsi="Times New Roman" w:cs="Times New Roman"/>
          <w:color w:val="auto"/>
          <w:sz w:val="22"/>
          <w:szCs w:val="22"/>
        </w:rPr>
      </w:pPr>
      <w:bookmarkStart w:id="48" w:name="_Toc135469202"/>
      <w:bookmarkStart w:id="49" w:name="_Toc193719198"/>
      <w:r>
        <w:rPr>
          <w:rFonts w:ascii="Times New Roman" w:hAnsi="Times New Roman" w:cs="Times New Roman"/>
          <w:color w:val="auto"/>
          <w:sz w:val="22"/>
          <w:szCs w:val="22"/>
        </w:rPr>
        <w:t>DA FASE DE HABILITAÇÃO</w:t>
      </w:r>
      <w:bookmarkEnd w:id="48"/>
      <w:bookmarkEnd w:id="49"/>
    </w:p>
    <w:p w14:paraId="03734A4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documentos previstos no Termo de Referência, necessários e suficientes para demonstrar a capacidade do licitante de realizar o objeto da licitação, serão exigidos para fins de habilitação, nos termos dos arts. 62 a 70 da Lei nº 14.133, de 2021.</w:t>
      </w:r>
    </w:p>
    <w:p w14:paraId="204A4789">
      <w:pPr>
        <w:pStyle w:val="45"/>
        <w:numPr>
          <w:ilvl w:val="2"/>
          <w:numId w:val="9"/>
        </w:numPr>
        <w:tabs>
          <w:tab w:val="clear" w:pos="360"/>
        </w:tabs>
        <w:spacing w:line="360" w:lineRule="auto"/>
        <w:ind w:left="284" w:firstLine="0"/>
        <w:rPr>
          <w:rFonts w:ascii="Times New Roman" w:hAnsi="Times New Roman" w:cs="Times New Roman"/>
          <w:i/>
          <w:iCs/>
          <w:color w:val="auto"/>
        </w:rPr>
      </w:pPr>
      <w:bookmarkStart w:id="50" w:name="_Ref114663777"/>
      <w:r>
        <w:rPr>
          <w:rFonts w:ascii="Times New Roman" w:hAnsi="Times New Roman" w:cs="Times New Roman"/>
          <w:color w:val="auto"/>
        </w:rPr>
        <w:t>A documentação exigida para fins de habilitação jurídica, fiscal, social e trabalhista e econômico-ﬁnanceira, poderá ser substituída pelo registro cadastral no SICAF.</w:t>
      </w:r>
      <w:bookmarkEnd w:id="50"/>
    </w:p>
    <w:p w14:paraId="6A6A6126">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Quando permitida a participação de empresas estrangeiras que não funcionem no País, as exigências de habilitação serão atendidas mediante documentos equivalentes, inicialmente apresentados em tradução livre.</w:t>
      </w:r>
    </w:p>
    <w:p w14:paraId="66DD2C15">
      <w:pPr>
        <w:pStyle w:val="44"/>
        <w:numPr>
          <w:ilvl w:val="1"/>
          <w:numId w:val="7"/>
        </w:numPr>
        <w:spacing w:line="360" w:lineRule="auto"/>
        <w:ind w:left="0" w:firstLine="0"/>
        <w:rPr>
          <w:rFonts w:ascii="Times New Roman" w:hAnsi="Times New Roman" w:cs="Times New Roman"/>
          <w:i/>
          <w:iCs/>
        </w:rPr>
      </w:pPr>
      <w:r>
        <w:rPr>
          <w:rFonts w:ascii="Times New Roman" w:hAnsi="Times New Roman" w:cs="Times New Roman"/>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04523368">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2A844F9">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documentos exigidos para fins de habilitação poderão ser apresentados em original ou por cópia.</w:t>
      </w:r>
    </w:p>
    <w:p w14:paraId="7815751C">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Os documentos exigidos para fins de habilitação poderão ser substituídos por registro cadastral emitido por órgão ou entidade pública, desde que o registro tenha sido feito em obediência ao disposto na Lei nº 14.133, de 2021.</w:t>
      </w:r>
    </w:p>
    <w:p w14:paraId="2642816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Será verificado se o licitante apresentou declaração de que atende aos requisitos de habilitação, e o declarante responderá pela veracidade das informações prestadas, na forma da lei.</w:t>
      </w:r>
    </w:p>
    <w:p w14:paraId="4327C9CB">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68F9BE">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DBC57CD">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A habilitação será verificada por meio do Sicaf, nos documentos por ele abrangidos.</w:t>
      </w:r>
    </w:p>
    <w:p w14:paraId="4E28C8B2">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Somente haverá a necessidade de comprovação do preenchimento de requisitos mediante apresentação dos documentos originais não-digitais quando houver dúvida em relação à integridade do documento digital ou quando a lei expressamente o exigir.</w:t>
      </w:r>
    </w:p>
    <w:p w14:paraId="76704134">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72753F0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não observância do disposto no item anterior poderá ensejar desclassificação no momento da habilitação.</w:t>
      </w:r>
    </w:p>
    <w:p w14:paraId="2070A45F">
      <w:pPr>
        <w:pStyle w:val="44"/>
        <w:numPr>
          <w:ilvl w:val="1"/>
          <w:numId w:val="7"/>
        </w:numPr>
        <w:spacing w:line="360" w:lineRule="auto"/>
        <w:ind w:left="0" w:firstLine="0"/>
        <w:rPr>
          <w:rFonts w:ascii="Times New Roman" w:hAnsi="Times New Roman" w:cs="Times New Roman"/>
          <w:i/>
          <w:iCs/>
        </w:rPr>
      </w:pPr>
      <w:r>
        <w:rPr>
          <w:rFonts w:ascii="Times New Roman" w:hAnsi="Times New Roman" w:cs="Times New Roman"/>
        </w:rPr>
        <w:t>A verificação pelo Pregoeiro/Agente de Contratação/Comissão, em sítios eletrônicos oficiais de órgãos e entidades emissores de certidões constitui meio legal de prova, para fins de habilitação.</w:t>
      </w:r>
    </w:p>
    <w:p w14:paraId="799A863C">
      <w:pPr>
        <w:pStyle w:val="45"/>
        <w:numPr>
          <w:ilvl w:val="2"/>
          <w:numId w:val="9"/>
        </w:numPr>
        <w:tabs>
          <w:tab w:val="clear" w:pos="360"/>
        </w:tabs>
        <w:spacing w:line="360" w:lineRule="auto"/>
        <w:ind w:left="284" w:firstLine="0"/>
        <w:rPr>
          <w:rFonts w:ascii="Times New Roman" w:hAnsi="Times New Roman" w:cs="Times New Roman"/>
          <w:i/>
          <w:iCs/>
          <w:color w:val="auto"/>
        </w:rPr>
      </w:pPr>
      <w:bookmarkStart w:id="51" w:name="_Ref114663151"/>
      <w:r>
        <w:rPr>
          <w:rFonts w:ascii="Times New Roman" w:hAnsi="Times New Roman" w:cs="Times New Roman"/>
          <w:color w:val="auto"/>
        </w:rPr>
        <w:t>Os documentos exigidos para habilitação que não estejam contemplados no Sicaf serão enviados por meio do sistema, em formato digital, no prazo de DUAS HORAS, prorrogável por igual período, contado da solicitação do Pregoeiro/Agente de Contratação/Comissão.</w:t>
      </w:r>
      <w:bookmarkEnd w:id="51"/>
    </w:p>
    <w:p w14:paraId="100A8104">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A verificação no Sicaf ou a exigência dos documentos nele não contidos somente será feita em relação ao licitante vencedor.</w:t>
      </w:r>
    </w:p>
    <w:p w14:paraId="2EFA7A56">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Os documentos relativos à regularidade fiscal que constem do Termo de Referência somente serão exigidos, em qualquer caso, em momento posterior ao julgamento das propostas, e apenas do licitante mais bem classificado.</w:t>
      </w:r>
    </w:p>
    <w:p w14:paraId="1C200C8D">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A48CAD8">
      <w:pPr>
        <w:pStyle w:val="44"/>
        <w:numPr>
          <w:ilvl w:val="1"/>
          <w:numId w:val="7"/>
        </w:numPr>
        <w:spacing w:line="360" w:lineRule="auto"/>
        <w:ind w:left="0" w:firstLine="0"/>
        <w:rPr>
          <w:rFonts w:ascii="Times New Roman" w:hAnsi="Times New Roman" w:cs="Times New Roman"/>
          <w:i/>
        </w:rPr>
      </w:pPr>
      <w:bookmarkStart w:id="52" w:name="_Hlk192001272"/>
      <w:r>
        <w:rPr>
          <w:rFonts w:ascii="Times New Roman" w:hAnsi="Times New Roman" w:cs="Times New Roman"/>
        </w:rPr>
        <w:t xml:space="preserve">Encerrado o prazo para envio da documentação de que trata o item </w:t>
      </w:r>
      <w:r>
        <w:rPr>
          <w:rFonts w:ascii="Times New Roman" w:hAnsi="Times New Roman" w:cs="Times New Roman"/>
        </w:rPr>
        <w:fldChar w:fldCharType="begin"/>
      </w:r>
      <w:r>
        <w:rPr>
          <w:rFonts w:ascii="Times New Roman" w:hAnsi="Times New Roman" w:cs="Times New Roman"/>
        </w:rPr>
        <w:instrText xml:space="preserve"> REF _Ref114663151 \r \h  \* MERGEFORMAT </w:instrText>
      </w:r>
      <w:r>
        <w:rPr>
          <w:rFonts w:ascii="Times New Roman" w:hAnsi="Times New Roman" w:cs="Times New Roman"/>
        </w:rPr>
        <w:fldChar w:fldCharType="separate"/>
      </w:r>
      <w:r>
        <w:rPr>
          <w:rFonts w:ascii="Times New Roman" w:hAnsi="Times New Roman" w:cs="Times New Roman"/>
        </w:rPr>
        <w:t>9.12.1</w:t>
      </w:r>
      <w:r>
        <w:rPr>
          <w:rFonts w:ascii="Times New Roman" w:hAnsi="Times New Roman" w:cs="Times New Roman"/>
        </w:rPr>
        <w:fldChar w:fldCharType="end"/>
      </w:r>
      <w:r>
        <w:rPr>
          <w:rFonts w:ascii="Times New Roman" w:hAnsi="Times New Roman" w:cs="Times New Roman"/>
        </w:rPr>
        <w:t>, poderá ser admitida, mediante decisão fundamentada do Pregoeiro/Agente de Contratação, a apresentação de novos documentos de habilitação ou a complementação de informações acerca dos documentos já apresentados pelos licitantes, em até DUAS HORAS, para:</w:t>
      </w:r>
    </w:p>
    <w:p w14:paraId="73DCF743">
      <w:pPr>
        <w:pStyle w:val="45"/>
        <w:numPr>
          <w:ilvl w:val="2"/>
          <w:numId w:val="9"/>
        </w:numPr>
        <w:tabs>
          <w:tab w:val="clear" w:pos="360"/>
        </w:tabs>
        <w:spacing w:line="360" w:lineRule="auto"/>
        <w:ind w:left="284" w:firstLine="0"/>
        <w:rPr>
          <w:rFonts w:ascii="Times New Roman" w:hAnsi="Times New Roman" w:cs="Times New Roman"/>
          <w:i/>
          <w:color w:val="auto"/>
        </w:rPr>
      </w:pPr>
      <w:r>
        <w:rPr>
          <w:rFonts w:ascii="Times New Roman" w:hAnsi="Times New Roman" w:cs="Times New Roman"/>
          <w:color w:val="auto"/>
        </w:rPr>
        <w:t>a aferição das condições de habilitação do licitante, desde que decorrentes de fatos existentes à época da abertura do certame;</w:t>
      </w:r>
    </w:p>
    <w:p w14:paraId="55843B36">
      <w:pPr>
        <w:pStyle w:val="45"/>
        <w:numPr>
          <w:ilvl w:val="2"/>
          <w:numId w:val="9"/>
        </w:numPr>
        <w:tabs>
          <w:tab w:val="clear" w:pos="360"/>
        </w:tabs>
        <w:spacing w:line="360" w:lineRule="auto"/>
        <w:ind w:left="284" w:firstLine="0"/>
        <w:rPr>
          <w:rFonts w:ascii="Times New Roman" w:hAnsi="Times New Roman" w:cs="Times New Roman"/>
          <w:i/>
          <w:color w:val="auto"/>
        </w:rPr>
      </w:pPr>
      <w:r>
        <w:rPr>
          <w:rFonts w:ascii="Times New Roman" w:hAnsi="Times New Roman" w:cs="Times New Roman"/>
          <w:color w:val="auto"/>
        </w:rPr>
        <w:t>atualização de documentos cuja validade tenha expirado após a data de recebimento das propostas;</w:t>
      </w:r>
    </w:p>
    <w:p w14:paraId="51EF97ED">
      <w:pPr>
        <w:pStyle w:val="45"/>
        <w:numPr>
          <w:ilvl w:val="2"/>
          <w:numId w:val="9"/>
        </w:numPr>
        <w:tabs>
          <w:tab w:val="clear" w:pos="360"/>
        </w:tabs>
        <w:spacing w:line="360" w:lineRule="auto"/>
        <w:ind w:left="284" w:firstLine="0"/>
        <w:rPr>
          <w:rFonts w:ascii="Times New Roman" w:hAnsi="Times New Roman" w:cs="Times New Roman"/>
          <w:i/>
          <w:color w:val="auto"/>
        </w:rPr>
      </w:pPr>
      <w:r>
        <w:rPr>
          <w:rFonts w:ascii="Times New Roman" w:hAnsi="Times New Roman" w:cs="Times New Roman"/>
          <w:color w:val="auto"/>
        </w:rPr>
        <w:t>suprimento da ausência de documento de cunho declaratório emitido unilateralmente pelo licitante;</w:t>
      </w:r>
    </w:p>
    <w:p w14:paraId="3EEDC146">
      <w:pPr>
        <w:pStyle w:val="45"/>
        <w:numPr>
          <w:ilvl w:val="2"/>
          <w:numId w:val="9"/>
        </w:numPr>
        <w:tabs>
          <w:tab w:val="clear" w:pos="360"/>
        </w:tabs>
        <w:spacing w:line="360" w:lineRule="auto"/>
        <w:ind w:left="284" w:firstLine="0"/>
        <w:rPr>
          <w:rFonts w:ascii="Times New Roman" w:hAnsi="Times New Roman" w:cs="Times New Roman"/>
          <w:i/>
          <w:color w:val="auto"/>
        </w:rPr>
      </w:pPr>
      <w:r>
        <w:rPr>
          <w:rFonts w:ascii="Times New Roman" w:hAnsi="Times New Roman" w:cs="Times New Roman"/>
          <w:color w:val="auto"/>
        </w:rPr>
        <w:t xml:space="preserve"> suprimento da ausência de certidão e/ou documento de cunho declaratório expedido por órgão ou entidade cujos atos gozem de presunção de veracidade e fé pública.</w:t>
      </w:r>
    </w:p>
    <w:p w14:paraId="2E8A1A29">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 xml:space="preserve">Findo o prazo assinalado sem o envio da nova documentação, restará preclusa essa oportunidade conferida ao licitante, implicando sua inabilitação. </w:t>
      </w:r>
    </w:p>
    <w:bookmarkEnd w:id="52"/>
    <w:p w14:paraId="393AD027">
      <w:pPr>
        <w:pStyle w:val="44"/>
        <w:numPr>
          <w:ilvl w:val="1"/>
          <w:numId w:val="7"/>
        </w:numPr>
        <w:spacing w:line="360" w:lineRule="auto"/>
        <w:ind w:left="0" w:firstLine="0"/>
        <w:rPr>
          <w:rFonts w:ascii="Times New Roman" w:hAnsi="Times New Roman" w:cs="Times New Roman"/>
        </w:rPr>
      </w:pPr>
      <w:bookmarkStart w:id="53" w:name="_Ref114670319"/>
      <w:r>
        <w:rPr>
          <w:rFonts w:ascii="Times New Roman" w:hAnsi="Times New Roman" w:cs="Times New Roman"/>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53"/>
    </w:p>
    <w:p w14:paraId="05661A52">
      <w:pPr>
        <w:pStyle w:val="44"/>
        <w:numPr>
          <w:ilvl w:val="1"/>
          <w:numId w:val="7"/>
        </w:numPr>
        <w:spacing w:line="360" w:lineRule="auto"/>
        <w:ind w:left="0" w:firstLine="0"/>
        <w:rPr>
          <w:rFonts w:ascii="Times New Roman" w:hAnsi="Times New Roman" w:cs="Times New Roman"/>
        </w:rPr>
      </w:pPr>
      <w:bookmarkStart w:id="54" w:name="_Ref114665528"/>
      <w:r>
        <w:rPr>
          <w:rFonts w:ascii="Times New Roman" w:hAnsi="Times New Roman" w:cs="Times New Roman"/>
        </w:rPr>
        <w:t xml:space="preserve">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Pr>
          <w:rFonts w:ascii="Times New Roman" w:hAnsi="Times New Roman" w:cs="Times New Roman"/>
        </w:rPr>
        <w:fldChar w:fldCharType="begin"/>
      </w:r>
      <w:r>
        <w:rPr>
          <w:rFonts w:ascii="Times New Roman" w:hAnsi="Times New Roman" w:cs="Times New Roman"/>
        </w:rPr>
        <w:instrText xml:space="preserve"> REF _Ref114663151 \r \h  \* MERGEFORMAT </w:instrText>
      </w:r>
      <w:r>
        <w:rPr>
          <w:rFonts w:ascii="Times New Roman" w:hAnsi="Times New Roman" w:cs="Times New Roman"/>
        </w:rPr>
        <w:fldChar w:fldCharType="separate"/>
      </w:r>
      <w:r>
        <w:rPr>
          <w:rFonts w:ascii="Times New Roman" w:hAnsi="Times New Roman" w:cs="Times New Roman"/>
        </w:rPr>
        <w:t>9.12.1</w:t>
      </w:r>
      <w:r>
        <w:rPr>
          <w:rFonts w:ascii="Times New Roman" w:hAnsi="Times New Roman" w:cs="Times New Roman"/>
        </w:rPr>
        <w:fldChar w:fldCharType="end"/>
      </w:r>
      <w:r>
        <w:rPr>
          <w:rFonts w:ascii="Times New Roman" w:hAnsi="Times New Roman" w:cs="Times New Roman"/>
        </w:rPr>
        <w:t>.</w:t>
      </w:r>
      <w:bookmarkEnd w:id="54"/>
    </w:p>
    <w:p w14:paraId="2790D0B7">
      <w:pPr>
        <w:pStyle w:val="44"/>
        <w:numPr>
          <w:ilvl w:val="1"/>
          <w:numId w:val="7"/>
        </w:numPr>
        <w:spacing w:line="360" w:lineRule="auto"/>
        <w:ind w:left="0" w:firstLine="0"/>
        <w:rPr>
          <w:rFonts w:ascii="Times New Roman" w:hAnsi="Times New Roman" w:cs="Times New Roman"/>
        </w:rPr>
      </w:pPr>
      <w:bookmarkStart w:id="55" w:name="_Ref114665515"/>
      <w:r>
        <w:rPr>
          <w:rFonts w:ascii="Times New Roman" w:hAnsi="Times New Roman" w:cs="Times New Roman"/>
        </w:rPr>
        <w:t>Somente serão disponibilizados para acesso público os documentos de habilitação do licitante cuja proposta atenda ao edital de licitação, após concluídos os procedimentos de que trata o subitem anterior</w:t>
      </w:r>
      <w:bookmarkEnd w:id="55"/>
      <w:r>
        <w:rPr>
          <w:rFonts w:ascii="Times New Roman" w:hAnsi="Times New Roman" w:cs="Times New Roman"/>
        </w:rPr>
        <w:t>.</w:t>
      </w:r>
    </w:p>
    <w:p w14:paraId="2C6B374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comprovação de regularidade fiscal e trabalhista das microempresas e das empresas de pequeno porte somente será exigida para efeito de contratação, e não como condição para participação na licitação.</w:t>
      </w:r>
    </w:p>
    <w:p w14:paraId="10B0918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Quando a fase de habilitação anteceder a de julgamento e já tiver sido encerrada, não caberá exclusão de licitante por motivo relacionado à habilitação, salvo em razão de fatos supervenientes ou só conhecidos após o julgamento.</w:t>
      </w:r>
    </w:p>
    <w:p w14:paraId="3B2BCCA9">
      <w:pPr>
        <w:pStyle w:val="44"/>
        <w:spacing w:line="360" w:lineRule="auto"/>
        <w:rPr>
          <w:rFonts w:ascii="Times New Roman" w:hAnsi="Times New Roman" w:cs="Times New Roman"/>
        </w:rPr>
      </w:pPr>
    </w:p>
    <w:p w14:paraId="6A1904EB">
      <w:pPr>
        <w:pStyle w:val="67"/>
        <w:numPr>
          <w:ilvl w:val="0"/>
          <w:numId w:val="7"/>
        </w:numPr>
        <w:spacing w:line="360" w:lineRule="auto"/>
        <w:rPr>
          <w:rFonts w:ascii="Times New Roman" w:hAnsi="Times New Roman" w:cs="Times New Roman"/>
          <w:color w:val="auto"/>
          <w:sz w:val="22"/>
          <w:szCs w:val="22"/>
        </w:rPr>
      </w:pPr>
      <w:bookmarkStart w:id="56" w:name="_Toc193719199"/>
      <w:r>
        <w:rPr>
          <w:rFonts w:ascii="Times New Roman" w:hAnsi="Times New Roman" w:cs="Times New Roman"/>
          <w:color w:val="auto"/>
          <w:sz w:val="22"/>
          <w:szCs w:val="22"/>
        </w:rPr>
        <w:t>DO TERMO DE CONTRATO</w:t>
      </w:r>
      <w:bookmarkEnd w:id="56"/>
    </w:p>
    <w:p w14:paraId="3EF933DF">
      <w:pPr>
        <w:pStyle w:val="44"/>
        <w:numPr>
          <w:ilvl w:val="1"/>
          <w:numId w:val="7"/>
        </w:numPr>
        <w:spacing w:line="360" w:lineRule="auto"/>
        <w:ind w:left="0" w:firstLine="0"/>
        <w:rPr>
          <w:rFonts w:ascii="Times New Roman" w:hAnsi="Times New Roman" w:eastAsia="Arial" w:cs="Times New Roman"/>
        </w:rPr>
      </w:pPr>
      <w:r>
        <w:rPr>
          <w:rFonts w:ascii="Times New Roman" w:hAnsi="Times New Roman" w:eastAsia="Arial" w:cs="Times New Roman"/>
        </w:rPr>
        <w:t>Após a homologação e adjudicação, caso se conclua pela contratação, será firmado termo de contrato, ou outro instrumento equivalente.</w:t>
      </w:r>
    </w:p>
    <w:p w14:paraId="1F560F2D">
      <w:pPr>
        <w:pStyle w:val="44"/>
        <w:numPr>
          <w:ilvl w:val="1"/>
          <w:numId w:val="7"/>
        </w:numPr>
        <w:spacing w:line="360" w:lineRule="auto"/>
        <w:ind w:left="0" w:firstLine="0"/>
        <w:rPr>
          <w:rFonts w:ascii="Times New Roman" w:hAnsi="Times New Roman" w:eastAsia="Arial" w:cs="Times New Roman"/>
        </w:rPr>
      </w:pPr>
      <w:bookmarkStart w:id="57" w:name="_Ref167884937"/>
      <w:r>
        <w:rPr>
          <w:rFonts w:ascii="Times New Roman" w:hAnsi="Times New Roman" w:eastAsia="Arial" w:cs="Times New Roman"/>
        </w:rPr>
        <w:t xml:space="preserve">O adjudicatário terá o prazo de </w:t>
      </w:r>
      <w:r>
        <w:rPr>
          <w:rFonts w:ascii="Times New Roman" w:hAnsi="Times New Roman" w:eastAsia="Arial" w:cs="Times New Roman"/>
          <w:b/>
          <w:bCs/>
        </w:rPr>
        <w:t>[05</w:t>
      </w:r>
      <w:r>
        <w:rPr>
          <w:rFonts w:ascii="Times New Roman" w:hAnsi="Times New Roman" w:eastAsia="Arial" w:cs="Times New Roman"/>
          <w:b/>
          <w:bCs/>
          <w:u w:val="single"/>
        </w:rPr>
        <w:t>]</w:t>
      </w:r>
      <w:r>
        <w:rPr>
          <w:rFonts w:ascii="Times New Roman" w:hAnsi="Times New Roman" w:eastAsia="Arial" w:cs="Times New Roman"/>
        </w:rPr>
        <w:t xml:space="preserve"> dias úteis, contados a partir da data de sua convocação, para assinar o termo de contrato ou instrumento equivalente, sob pena de decair o direito à contratação, sem prejuízo das sanções previstas neste Edital.</w:t>
      </w:r>
      <w:bookmarkEnd w:id="57"/>
    </w:p>
    <w:p w14:paraId="7367E7E9">
      <w:pPr>
        <w:pStyle w:val="44"/>
        <w:numPr>
          <w:ilvl w:val="1"/>
          <w:numId w:val="7"/>
        </w:numPr>
        <w:spacing w:line="360" w:lineRule="auto"/>
        <w:ind w:left="0" w:firstLine="0"/>
        <w:rPr>
          <w:rFonts w:ascii="Times New Roman" w:hAnsi="Times New Roman" w:eastAsia="Arial" w:cs="Times New Roman"/>
        </w:rPr>
      </w:pPr>
      <w:bookmarkStart w:id="58" w:name="_Ref167884958"/>
      <w:r>
        <w:rPr>
          <w:rFonts w:ascii="Times New Roman" w:hAnsi="Times New Roman" w:eastAsia="Arial" w:cs="Times New Roman"/>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Pr>
          <w:rFonts w:ascii="Times New Roman" w:hAnsi="Times New Roman" w:eastAsia="Arial" w:cs="Times New Roman"/>
          <w:b/>
          <w:bCs/>
        </w:rPr>
        <w:t>[05</w:t>
      </w:r>
      <w:r>
        <w:rPr>
          <w:rFonts w:ascii="Times New Roman" w:hAnsi="Times New Roman" w:eastAsia="Arial" w:cs="Times New Roman"/>
          <w:b/>
          <w:bCs/>
          <w:u w:val="single"/>
        </w:rPr>
        <w:t>]</w:t>
      </w:r>
      <w:r>
        <w:rPr>
          <w:rFonts w:ascii="Times New Roman" w:hAnsi="Times New Roman" w:eastAsia="Arial" w:cs="Times New Roman"/>
        </w:rPr>
        <w:t xml:space="preserve"> dias úteis, a contar da data de seu recebimento; b) disponibilizar acesso a sistema de processo eletrônico para que seja assinado digitalmente em até </w:t>
      </w:r>
      <w:r>
        <w:rPr>
          <w:rFonts w:ascii="Times New Roman" w:hAnsi="Times New Roman" w:eastAsia="Arial" w:cs="Times New Roman"/>
          <w:b/>
          <w:bCs/>
        </w:rPr>
        <w:t>[05</w:t>
      </w:r>
      <w:r>
        <w:rPr>
          <w:rFonts w:ascii="Times New Roman" w:hAnsi="Times New Roman" w:eastAsia="Arial" w:cs="Times New Roman"/>
          <w:b/>
          <w:bCs/>
          <w:u w:val="single"/>
        </w:rPr>
        <w:t>]</w:t>
      </w:r>
      <w:r>
        <w:rPr>
          <w:rFonts w:ascii="Times New Roman" w:hAnsi="Times New Roman" w:eastAsia="Arial" w:cs="Times New Roman"/>
        </w:rPr>
        <w:t xml:space="preserve"> dias úteis; ou c) outro meio eletrônico, assegurado o prazo de </w:t>
      </w:r>
      <w:r>
        <w:rPr>
          <w:rFonts w:ascii="Times New Roman" w:hAnsi="Times New Roman" w:eastAsia="Arial" w:cs="Times New Roman"/>
          <w:b/>
          <w:bCs/>
        </w:rPr>
        <w:t>[05</w:t>
      </w:r>
      <w:r>
        <w:rPr>
          <w:rFonts w:ascii="Times New Roman" w:hAnsi="Times New Roman" w:eastAsia="Arial" w:cs="Times New Roman"/>
          <w:b/>
          <w:bCs/>
          <w:u w:val="single"/>
        </w:rPr>
        <w:t>]</w:t>
      </w:r>
      <w:r>
        <w:rPr>
          <w:rFonts w:ascii="Times New Roman" w:hAnsi="Times New Roman" w:eastAsia="Arial" w:cs="Times New Roman"/>
        </w:rPr>
        <w:t xml:space="preserve"> dias úteis para resposta após recebimento da notificação pela Administração.</w:t>
      </w:r>
      <w:bookmarkEnd w:id="58"/>
    </w:p>
    <w:p w14:paraId="25AA3F12">
      <w:pPr>
        <w:pStyle w:val="44"/>
        <w:numPr>
          <w:ilvl w:val="1"/>
          <w:numId w:val="7"/>
        </w:numPr>
        <w:spacing w:line="360" w:lineRule="auto"/>
        <w:ind w:left="0" w:firstLine="0"/>
        <w:rPr>
          <w:rFonts w:ascii="Times New Roman" w:hAnsi="Times New Roman" w:eastAsia="Arial" w:cs="Times New Roman"/>
        </w:rPr>
      </w:pPr>
      <w:r>
        <w:rPr>
          <w:rFonts w:ascii="Times New Roman" w:hAnsi="Times New Roman" w:eastAsia="Arial" w:cs="Times New Roman"/>
          <w:i/>
          <w:iCs/>
        </w:rPr>
        <w:t>O Aceite da Nota de Empenho ou do instrumento equivalente, emitida ao fornecedor adjudicado, implica o reconhecimento de que:</w:t>
      </w:r>
    </w:p>
    <w:p w14:paraId="17EE1463">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referida Nota está substituindo o contrato, aplicando-se à relação de negócios ali estabelecida as disposições da </w:t>
      </w:r>
      <w:r>
        <w:rPr>
          <w:rFonts w:ascii="Times New Roman" w:hAnsi="Times New Roman" w:eastAsia="Arial" w:cs="Times New Roman"/>
          <w:color w:val="auto"/>
        </w:rPr>
        <w:t>Lei nº 14.133, de 2021</w:t>
      </w:r>
      <w:r>
        <w:rPr>
          <w:rFonts w:ascii="Times New Roman" w:hAnsi="Times New Roman" w:cs="Times New Roman"/>
          <w:color w:val="auto"/>
        </w:rPr>
        <w:t>;</w:t>
      </w:r>
    </w:p>
    <w:p w14:paraId="4F99DF46">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a contratada se vincula à sua proposta e às previsões contidas neste Edital;</w:t>
      </w:r>
    </w:p>
    <w:p w14:paraId="4A752430">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a contratada reconhece que as hipóteses de rescisão são aquelas previstas nos </w:t>
      </w:r>
      <w:r>
        <w:rPr>
          <w:rFonts w:ascii="Times New Roman" w:hAnsi="Times New Roman" w:eastAsia="Arial" w:cs="Times New Roman"/>
          <w:color w:val="auto"/>
        </w:rPr>
        <w:t>artigos 137 e 138 da Lei nº 14.133, de 2021</w:t>
      </w:r>
      <w:r>
        <w:rPr>
          <w:rFonts w:ascii="Times New Roman" w:hAnsi="Times New Roman" w:cs="Times New Roman"/>
          <w:color w:val="auto"/>
        </w:rPr>
        <w:t xml:space="preserve"> e reconhece os direitos da Administração previstos nos </w:t>
      </w:r>
      <w:r>
        <w:rPr>
          <w:rFonts w:ascii="Times New Roman" w:hAnsi="Times New Roman" w:eastAsia="Arial" w:cs="Times New Roman"/>
          <w:color w:val="auto"/>
        </w:rPr>
        <w:t>artigos 137 a 139 da mesma Lei</w:t>
      </w:r>
      <w:r>
        <w:rPr>
          <w:rFonts w:ascii="Times New Roman" w:hAnsi="Times New Roman" w:cs="Times New Roman"/>
          <w:color w:val="auto"/>
        </w:rPr>
        <w:t>.</w:t>
      </w:r>
    </w:p>
    <w:p w14:paraId="1CEF50BA">
      <w:pPr>
        <w:pStyle w:val="44"/>
        <w:numPr>
          <w:ilvl w:val="1"/>
          <w:numId w:val="7"/>
        </w:numPr>
        <w:spacing w:line="360" w:lineRule="auto"/>
        <w:ind w:left="0" w:firstLine="0"/>
        <w:rPr>
          <w:rFonts w:ascii="Times New Roman" w:hAnsi="Times New Roman" w:eastAsia="Arial" w:cs="Times New Roman"/>
        </w:rPr>
      </w:pPr>
      <w:r>
        <w:rPr>
          <w:rFonts w:ascii="Times New Roman" w:hAnsi="Times New Roman" w:eastAsia="Arial" w:cs="Times New Roman"/>
        </w:rPr>
        <w:t xml:space="preserve">Os prazos dos itens </w:t>
      </w:r>
      <w:r>
        <w:rPr>
          <w:rFonts w:ascii="Times New Roman" w:hAnsi="Times New Roman" w:eastAsia="Arial" w:cs="Times New Roman"/>
        </w:rPr>
        <w:fldChar w:fldCharType="begin"/>
      </w:r>
      <w:r>
        <w:rPr>
          <w:rFonts w:ascii="Times New Roman" w:hAnsi="Times New Roman" w:eastAsia="Arial" w:cs="Times New Roman"/>
        </w:rPr>
        <w:instrText xml:space="preserve"> REF _Ref167884937 \r \h  \* MERGEFORMAT </w:instrText>
      </w:r>
      <w:r>
        <w:rPr>
          <w:rFonts w:ascii="Times New Roman" w:hAnsi="Times New Roman" w:eastAsia="Arial" w:cs="Times New Roman"/>
        </w:rPr>
        <w:fldChar w:fldCharType="separate"/>
      </w:r>
      <w:r>
        <w:rPr>
          <w:rFonts w:ascii="Times New Roman" w:hAnsi="Times New Roman" w:eastAsia="Arial" w:cs="Times New Roman"/>
        </w:rPr>
        <w:t>10.2</w:t>
      </w:r>
      <w:r>
        <w:rPr>
          <w:rFonts w:ascii="Times New Roman" w:hAnsi="Times New Roman" w:eastAsia="Arial" w:cs="Times New Roman"/>
        </w:rPr>
        <w:fldChar w:fldCharType="end"/>
      </w:r>
      <w:r>
        <w:rPr>
          <w:rFonts w:ascii="Times New Roman" w:hAnsi="Times New Roman" w:eastAsia="Arial" w:cs="Times New Roman"/>
        </w:rPr>
        <w:t xml:space="preserve"> e </w:t>
      </w:r>
      <w:r>
        <w:rPr>
          <w:rFonts w:ascii="Times New Roman" w:hAnsi="Times New Roman" w:eastAsia="Arial" w:cs="Times New Roman"/>
        </w:rPr>
        <w:fldChar w:fldCharType="begin"/>
      </w:r>
      <w:r>
        <w:rPr>
          <w:rFonts w:ascii="Times New Roman" w:hAnsi="Times New Roman" w:eastAsia="Arial" w:cs="Times New Roman"/>
        </w:rPr>
        <w:instrText xml:space="preserve"> REF _Ref167884958 \r \h  \* MERGEFORMAT </w:instrText>
      </w:r>
      <w:r>
        <w:rPr>
          <w:rFonts w:ascii="Times New Roman" w:hAnsi="Times New Roman" w:eastAsia="Arial" w:cs="Times New Roman"/>
        </w:rPr>
        <w:fldChar w:fldCharType="separate"/>
      </w:r>
      <w:r>
        <w:rPr>
          <w:rFonts w:ascii="Times New Roman" w:hAnsi="Times New Roman" w:eastAsia="Arial" w:cs="Times New Roman"/>
        </w:rPr>
        <w:t>10.3</w:t>
      </w:r>
      <w:r>
        <w:rPr>
          <w:rFonts w:ascii="Times New Roman" w:hAnsi="Times New Roman" w:eastAsia="Arial" w:cs="Times New Roman"/>
        </w:rPr>
        <w:fldChar w:fldCharType="end"/>
      </w:r>
      <w:r>
        <w:rPr>
          <w:rFonts w:ascii="Times New Roman" w:hAnsi="Times New Roman" w:eastAsia="Arial" w:cs="Times New Roman"/>
        </w:rPr>
        <w:t xml:space="preserve"> poderão ser prorrogados, por igual período, por solicitação justificada do adjudicatário e aceita pela Administração.</w:t>
      </w:r>
    </w:p>
    <w:p w14:paraId="3DBC1428">
      <w:pPr>
        <w:pStyle w:val="44"/>
        <w:numPr>
          <w:ilvl w:val="1"/>
          <w:numId w:val="7"/>
        </w:numPr>
        <w:spacing w:line="360" w:lineRule="auto"/>
        <w:ind w:left="0" w:firstLine="0"/>
        <w:rPr>
          <w:rFonts w:ascii="Times New Roman" w:hAnsi="Times New Roman" w:eastAsia="Arial" w:cs="Times New Roman"/>
        </w:rPr>
      </w:pPr>
      <w:r>
        <w:rPr>
          <w:rFonts w:ascii="Times New Roman" w:hAnsi="Times New Roman" w:eastAsia="Arial" w:cs="Times New Roman"/>
        </w:rPr>
        <w:t xml:space="preserve">O prazo de vigência da contratação é o estabelecido no </w:t>
      </w:r>
      <w:r>
        <w:rPr>
          <w:rFonts w:ascii="Times New Roman" w:hAnsi="Times New Roman" w:cs="Times New Roman"/>
        </w:rPr>
        <w:t>Termo de Referência</w:t>
      </w:r>
      <w:r>
        <w:rPr>
          <w:rFonts w:ascii="Times New Roman" w:hAnsi="Times New Roman" w:eastAsia="Arial" w:cs="Times New Roman"/>
        </w:rPr>
        <w:t>.</w:t>
      </w:r>
    </w:p>
    <w:p w14:paraId="2B82A9D1">
      <w:pPr>
        <w:pStyle w:val="44"/>
        <w:numPr>
          <w:ilvl w:val="1"/>
          <w:numId w:val="7"/>
        </w:numPr>
        <w:spacing w:line="360" w:lineRule="auto"/>
        <w:ind w:left="0" w:firstLine="0"/>
        <w:rPr>
          <w:rFonts w:ascii="Times New Roman" w:hAnsi="Times New Roman" w:eastAsia="Arial" w:cs="Times New Roman"/>
        </w:rPr>
      </w:pPr>
      <w:r>
        <w:rPr>
          <w:rFonts w:ascii="Times New Roman" w:hAnsi="Times New Roman" w:eastAsia="Arial" w:cs="Times New Roman"/>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2E1BAC8C">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existência de registro no Cadin constitui fator impeditivo para a contratação.</w:t>
      </w:r>
    </w:p>
    <w:p w14:paraId="56296B48">
      <w:pPr>
        <w:pStyle w:val="45"/>
        <w:tabs>
          <w:tab w:val="clear" w:pos="360"/>
        </w:tabs>
        <w:spacing w:line="360" w:lineRule="auto"/>
        <w:ind w:left="284" w:firstLine="0"/>
        <w:rPr>
          <w:rFonts w:ascii="Times New Roman" w:hAnsi="Times New Roman" w:cs="Times New Roman"/>
          <w:color w:val="auto"/>
        </w:rPr>
      </w:pPr>
    </w:p>
    <w:p w14:paraId="25E16421">
      <w:pPr>
        <w:pStyle w:val="67"/>
        <w:numPr>
          <w:ilvl w:val="0"/>
          <w:numId w:val="7"/>
        </w:numPr>
        <w:spacing w:line="360" w:lineRule="auto"/>
        <w:rPr>
          <w:rFonts w:ascii="Times New Roman" w:hAnsi="Times New Roman" w:cs="Times New Roman"/>
          <w:color w:val="auto"/>
          <w:sz w:val="22"/>
          <w:szCs w:val="22"/>
        </w:rPr>
      </w:pPr>
      <w:bookmarkStart w:id="59" w:name="_Toc135469203"/>
      <w:bookmarkStart w:id="60" w:name="_Toc193719200"/>
      <w:r>
        <w:rPr>
          <w:rFonts w:ascii="Times New Roman" w:hAnsi="Times New Roman" w:cs="Times New Roman"/>
          <w:color w:val="auto"/>
          <w:sz w:val="22"/>
          <w:szCs w:val="22"/>
        </w:rPr>
        <w:t>DA ATA DE REGISTRO DE PREÇOS</w:t>
      </w:r>
      <w:bookmarkEnd w:id="59"/>
      <w:bookmarkEnd w:id="60"/>
    </w:p>
    <w:p w14:paraId="135EE03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Homologado o resultado da licitação, o licitante mais bem classificado terá o prazo de </w:t>
      </w:r>
      <w:r>
        <w:rPr>
          <w:rFonts w:ascii="Times New Roman" w:hAnsi="Times New Roman" w:eastAsia="Arial" w:cs="Times New Roman"/>
          <w:b/>
          <w:bCs/>
        </w:rPr>
        <w:t>05</w:t>
      </w:r>
      <w:r>
        <w:rPr>
          <w:rFonts w:ascii="Times New Roman" w:hAnsi="Times New Roman" w:cs="Times New Roman"/>
          <w:b/>
        </w:rPr>
        <w:t xml:space="preserve"> (cinco) dias,</w:t>
      </w:r>
      <w:r>
        <w:rPr>
          <w:rFonts w:ascii="Times New Roman" w:hAnsi="Times New Roman" w:cs="Times New Roman"/>
        </w:rPr>
        <w:t xml:space="preserve"> contados a partir da data de sua convocação, para assinar a Ata de Registro de Preços, cujo prazo de validade encontra-se nela fixado, sob pena de decadência do direito à contratação, sem prejuízo das sanções previstas na Lei nº 14.133, de 2021.</w:t>
      </w:r>
    </w:p>
    <w:p w14:paraId="7996F74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prazo de convocação poderá ser prorrogado uma vez, por igual período, mediante solicitação do licitante mais bem classificado ou do fornecedor convocado, desde que:</w:t>
      </w:r>
    </w:p>
    <w:p w14:paraId="6E2FBF3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solicitação seja devidamente justificada e apresentada dentro do prazo; e</w:t>
      </w:r>
    </w:p>
    <w:p w14:paraId="3098C5E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justificativa apresentada seja aceita pela Administração.</w:t>
      </w:r>
    </w:p>
    <w:p w14:paraId="4AD935D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ata de registro de preços será assinada por meio de assinatura digital e disponibilizada no sistema de registro de preços.</w:t>
      </w:r>
    </w:p>
    <w:p w14:paraId="3C13592C">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7839371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preço registrado, com a indicação dos fornecedores, será divulgado no PNCP e disponibilizado durante a vigência da ata de registro de preços.</w:t>
      </w:r>
    </w:p>
    <w:p w14:paraId="47BB84C4">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18E696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B9F8A6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prazo de vigência da ata de registro de preços será de 1 (um) ano e poderá ser prorrogado, por igual período, desde que comprovado o preço vantajoso.</w:t>
      </w:r>
    </w:p>
    <w:p w14:paraId="55F53B8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Em caso de prorrogação da ata, </w:t>
      </w:r>
      <w:r>
        <w:rPr>
          <w:rFonts w:ascii="Times New Roman" w:hAnsi="Times New Roman" w:cs="Times New Roman"/>
          <w:b/>
          <w:bCs/>
          <w:i/>
          <w:iCs/>
          <w:color w:val="auto"/>
        </w:rPr>
        <w:t xml:space="preserve">[poderá] </w:t>
      </w:r>
      <w:r>
        <w:rPr>
          <w:rFonts w:ascii="Times New Roman" w:hAnsi="Times New Roman" w:cs="Times New Roman"/>
          <w:color w:val="auto"/>
        </w:rPr>
        <w:t>ser renovado o quantitativo originalmente registrado.</w:t>
      </w:r>
    </w:p>
    <w:p w14:paraId="6C90303D">
      <w:pPr>
        <w:pStyle w:val="45"/>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 </w:t>
      </w:r>
    </w:p>
    <w:p w14:paraId="2DE25194">
      <w:pPr>
        <w:pStyle w:val="67"/>
        <w:numPr>
          <w:ilvl w:val="0"/>
          <w:numId w:val="7"/>
        </w:numPr>
        <w:spacing w:line="360" w:lineRule="auto"/>
        <w:rPr>
          <w:rFonts w:ascii="Times New Roman" w:hAnsi="Times New Roman" w:cs="Times New Roman"/>
          <w:color w:val="auto"/>
          <w:sz w:val="22"/>
          <w:szCs w:val="22"/>
        </w:rPr>
      </w:pPr>
      <w:bookmarkStart w:id="61" w:name="_Toc193719201"/>
      <w:bookmarkStart w:id="62" w:name="_Toc135469204"/>
      <w:r>
        <w:rPr>
          <w:rFonts w:ascii="Times New Roman" w:hAnsi="Times New Roman" w:cs="Times New Roman"/>
          <w:color w:val="auto"/>
          <w:sz w:val="22"/>
          <w:szCs w:val="22"/>
        </w:rPr>
        <w:t>DA FORMAÇÃO DO CADASTRO DE RESERVA</w:t>
      </w:r>
      <w:bookmarkEnd w:id="61"/>
      <w:bookmarkEnd w:id="62"/>
      <w:r>
        <w:rPr>
          <w:rFonts w:ascii="Times New Roman" w:hAnsi="Times New Roman" w:cs="Times New Roman"/>
          <w:color w:val="auto"/>
          <w:sz w:val="22"/>
          <w:szCs w:val="22"/>
        </w:rPr>
        <w:t xml:space="preserve"> </w:t>
      </w:r>
    </w:p>
    <w:p w14:paraId="535A71B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Após a homologação da licitação, será incluído na ata, na forma de anexo, o registro:</w:t>
      </w:r>
    </w:p>
    <w:p w14:paraId="6516115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dos licitantes </w:t>
      </w:r>
      <w:bookmarkStart w:id="63" w:name="_Hlk132991372"/>
      <w:r>
        <w:rPr>
          <w:rFonts w:ascii="Times New Roman" w:hAnsi="Times New Roman" w:cs="Times New Roman"/>
          <w:color w:val="auto"/>
        </w:rPr>
        <w:t xml:space="preserve">que </w:t>
      </w:r>
      <w:bookmarkStart w:id="64" w:name="_Hlk132989696"/>
      <w:r>
        <w:rPr>
          <w:rFonts w:ascii="Times New Roman" w:hAnsi="Times New Roman" w:cs="Times New Roman"/>
          <w:color w:val="auto"/>
        </w:rPr>
        <w:t>aceitarem cotar o objeto com preço igual ao do adjudicatári</w:t>
      </w:r>
      <w:bookmarkEnd w:id="63"/>
      <w:r>
        <w:rPr>
          <w:rFonts w:ascii="Times New Roman" w:hAnsi="Times New Roman" w:cs="Times New Roman"/>
          <w:color w:val="auto"/>
        </w:rPr>
        <w:t>o</w:t>
      </w:r>
      <w:bookmarkEnd w:id="64"/>
      <w:r>
        <w:rPr>
          <w:rFonts w:ascii="Times New Roman" w:hAnsi="Times New Roman" w:cs="Times New Roman"/>
          <w:color w:val="auto"/>
        </w:rPr>
        <w:t xml:space="preserve">, observada a classificação na licitação e excluído o percentual referente à margem de preferência, quando o objeto não atender aos requisitos previstos no art. 26 da Lei nº 14.133, de 2021; e </w:t>
      </w:r>
    </w:p>
    <w:p w14:paraId="566D8DFD">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dos licitantes que mantiverem sua proposta original</w:t>
      </w:r>
    </w:p>
    <w:p w14:paraId="01B7C7C4">
      <w:pPr>
        <w:pStyle w:val="44"/>
        <w:numPr>
          <w:ilvl w:val="1"/>
          <w:numId w:val="7"/>
        </w:numPr>
        <w:spacing w:line="360" w:lineRule="auto"/>
        <w:ind w:left="0" w:firstLine="0"/>
        <w:rPr>
          <w:rFonts w:ascii="Times New Roman" w:hAnsi="Times New Roman" w:cs="Times New Roman"/>
          <w:i/>
        </w:rPr>
      </w:pPr>
      <w:r>
        <w:rPr>
          <w:rFonts w:ascii="Times New Roman" w:hAnsi="Times New Roman" w:cs="Times New Roman"/>
        </w:rPr>
        <w:t>Será respeitada, nas contratações, a ordem de classificação dos licitantes ou fornecedores registrados na ata.</w:t>
      </w:r>
    </w:p>
    <w:p w14:paraId="07EB8081">
      <w:pPr>
        <w:pStyle w:val="45"/>
        <w:numPr>
          <w:ilvl w:val="2"/>
          <w:numId w:val="9"/>
        </w:numPr>
        <w:tabs>
          <w:tab w:val="clear" w:pos="360"/>
        </w:tabs>
        <w:spacing w:line="360" w:lineRule="auto"/>
        <w:ind w:left="284" w:firstLine="0"/>
        <w:rPr>
          <w:rFonts w:ascii="Times New Roman" w:hAnsi="Times New Roman" w:cs="Times New Roman"/>
          <w:i/>
          <w:color w:val="auto"/>
        </w:rPr>
      </w:pPr>
      <w:r>
        <w:rPr>
          <w:rFonts w:ascii="Times New Roman" w:hAnsi="Times New Roman" w:cs="Times New Roman"/>
          <w:color w:val="auto"/>
        </w:rPr>
        <w:t>A apresentação de novas propostas na forma deste item não prejudicará o resultado do certame em relação ao licitante mais bem classificado.</w:t>
      </w:r>
    </w:p>
    <w:p w14:paraId="04FEA2FA">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Para fins da ordem de classificação, os licitantes ou fornecedores que aceitarem cotar o objeto com preço igual ao do adjudicatário antecederão aqueles que mantiverem sua proposta original.</w:t>
      </w:r>
    </w:p>
    <w:p w14:paraId="05B6010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habilitação dos licitantes que comporão o cadastro de reserva será efetuada quando houver necessidade de contratação dos licitantes remanescentes, nas seguintes hipóteses:</w:t>
      </w:r>
    </w:p>
    <w:p w14:paraId="4B6C7DB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quando o licitante vencedor não assinar a ata de registro de preços no prazo e nas condições estabelecidos no edital; ou</w:t>
      </w:r>
    </w:p>
    <w:p w14:paraId="162DFED8">
      <w:pPr>
        <w:pStyle w:val="45"/>
        <w:numPr>
          <w:ilvl w:val="2"/>
          <w:numId w:val="9"/>
        </w:numPr>
        <w:tabs>
          <w:tab w:val="clear" w:pos="360"/>
        </w:tabs>
        <w:spacing w:line="360" w:lineRule="auto"/>
        <w:ind w:left="284" w:firstLine="0"/>
        <w:rPr>
          <w:rFonts w:ascii="Times New Roman" w:hAnsi="Times New Roman" w:eastAsia="Times New Roman" w:cs="Times New Roman"/>
          <w:color w:val="auto"/>
        </w:rPr>
      </w:pPr>
      <w:r>
        <w:rPr>
          <w:rFonts w:ascii="Times New Roman" w:hAnsi="Times New Roman" w:cs="Times New Roman"/>
          <w:color w:val="auto"/>
        </w:rPr>
        <w:t>quando houver o cancelamento do registro do fornecedor ou do registro de preços, nas hipóteses previstas nos art. 28 e art. 29 do Decreto nº 11.462, de 2023.</w:t>
      </w:r>
    </w:p>
    <w:p w14:paraId="00DE580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F7D4334">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convocar os licitantes que mantiveram sua proposta original para negociação, na ordem de classificação, com vistas à obtenção de preço melhor, mesmo que acima do preço do adjudicatário; ou</w:t>
      </w:r>
    </w:p>
    <w:p w14:paraId="3A1F9CEE">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adjudicar e firmar o contrato nas condições ofertadas pelos licitantes remanescentes, observada a ordem de classificação, quando frustrada a negociação de melhor condição.</w:t>
      </w:r>
    </w:p>
    <w:p w14:paraId="68AA6533">
      <w:pPr>
        <w:pStyle w:val="45"/>
        <w:tabs>
          <w:tab w:val="clear" w:pos="360"/>
        </w:tabs>
        <w:spacing w:line="360" w:lineRule="auto"/>
        <w:ind w:left="284" w:firstLine="0"/>
        <w:rPr>
          <w:rFonts w:ascii="Times New Roman" w:hAnsi="Times New Roman" w:cs="Times New Roman"/>
          <w:color w:val="auto"/>
        </w:rPr>
      </w:pPr>
    </w:p>
    <w:p w14:paraId="2D4F6B71">
      <w:pPr>
        <w:pStyle w:val="67"/>
        <w:numPr>
          <w:ilvl w:val="0"/>
          <w:numId w:val="7"/>
        </w:numPr>
        <w:spacing w:line="360" w:lineRule="auto"/>
        <w:rPr>
          <w:rFonts w:ascii="Times New Roman" w:hAnsi="Times New Roman" w:cs="Times New Roman"/>
          <w:color w:val="auto"/>
          <w:sz w:val="22"/>
          <w:szCs w:val="22"/>
        </w:rPr>
      </w:pPr>
      <w:bookmarkStart w:id="65" w:name="_Toc193719202"/>
      <w:bookmarkStart w:id="66" w:name="_Toc135469205"/>
      <w:r>
        <w:rPr>
          <w:rFonts w:ascii="Times New Roman" w:hAnsi="Times New Roman" w:cs="Times New Roman"/>
          <w:color w:val="auto"/>
          <w:sz w:val="22"/>
          <w:szCs w:val="22"/>
        </w:rPr>
        <w:t>DOS RECURSOS</w:t>
      </w:r>
      <w:bookmarkEnd w:id="65"/>
      <w:bookmarkEnd w:id="66"/>
    </w:p>
    <w:p w14:paraId="2ACA56D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\h </w:instrText>
      </w:r>
      <w:r>
        <w:fldChar w:fldCharType="separate"/>
      </w:r>
      <w:r>
        <w:rPr>
          <w:rStyle w:val="13"/>
          <w:rFonts w:ascii="Times New Roman" w:hAnsi="Times New Roman" w:cs="Times New Roman"/>
          <w:color w:val="auto"/>
        </w:rPr>
        <w:t>art. 165 da Lei nº 14.133, de 2021</w:t>
      </w:r>
      <w:r>
        <w:rPr>
          <w:rStyle w:val="13"/>
          <w:rFonts w:ascii="Times New Roman" w:hAnsi="Times New Roman" w:cs="Times New Roman"/>
          <w:color w:val="auto"/>
        </w:rPr>
        <w:fldChar w:fldCharType="end"/>
      </w:r>
      <w:r>
        <w:rPr>
          <w:rFonts w:ascii="Times New Roman" w:hAnsi="Times New Roman" w:cs="Times New Roman"/>
        </w:rPr>
        <w:t>.</w:t>
      </w:r>
    </w:p>
    <w:p w14:paraId="7CD2AC10">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prazo recursal é de 3 (três) dias úteis, contados da data de intimação ou de lavratura da ata.</w:t>
      </w:r>
    </w:p>
    <w:p w14:paraId="43B3DBC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Quando o recurso apresentado impugnar o julgamento das propostas ou o ato de habilitação ou inabilitação do licitante:</w:t>
      </w:r>
    </w:p>
    <w:p w14:paraId="4004232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intenção de recorrer deverá ser manifestada imediatamente, sob pena de preclusão;</w:t>
      </w:r>
    </w:p>
    <w:p w14:paraId="30D94635">
      <w:pPr>
        <w:pStyle w:val="45"/>
        <w:numPr>
          <w:ilvl w:val="2"/>
          <w:numId w:val="9"/>
        </w:numPr>
        <w:tabs>
          <w:tab w:val="clear" w:pos="360"/>
        </w:tabs>
        <w:spacing w:line="360" w:lineRule="auto"/>
        <w:ind w:left="284" w:firstLine="0"/>
        <w:rPr>
          <w:rFonts w:ascii="Times New Roman" w:hAnsi="Times New Roman" w:cs="Times New Roman"/>
          <w:color w:val="auto"/>
        </w:rPr>
      </w:pPr>
      <w:bookmarkStart w:id="67" w:name="_Hlk135318381"/>
      <w:bookmarkStart w:id="68" w:name="_Hlk135315794"/>
      <w:r>
        <w:rPr>
          <w:rFonts w:ascii="Times New Roman" w:hAnsi="Times New Roman" w:cs="Times New Roman"/>
          <w:color w:val="auto"/>
        </w:rPr>
        <w:t>o prazo para a manifestação da intenção de recorrer não será inferior a 10 (dez) minutos.</w:t>
      </w:r>
      <w:bookmarkEnd w:id="67"/>
    </w:p>
    <w:bookmarkEnd w:id="68"/>
    <w:p w14:paraId="166BC0F5">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prazo para apresentação das razões recursais será iniciado na data de intimação ou de lavratura da ata de habilitação ou inabilitação;</w:t>
      </w:r>
    </w:p>
    <w:p w14:paraId="222CBF9B">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na hipótese de adoção da inversão de fases prevista no </w:t>
      </w:r>
      <w:r>
        <w:fldChar w:fldCharType="begin"/>
      </w:r>
      <w:r>
        <w:instrText xml:space="preserve"> HYPERLINK "http://www.planalto.gov.br/ccivil_03/_ato2019-2022/2021/lei/L14133.htm" \l "art17§1" \h </w:instrText>
      </w:r>
      <w:r>
        <w:fldChar w:fldCharType="separate"/>
      </w:r>
      <w:r>
        <w:rPr>
          <w:rStyle w:val="13"/>
          <w:rFonts w:ascii="Times New Roman" w:hAnsi="Times New Roman" w:cs="Times New Roman"/>
          <w:color w:val="auto"/>
        </w:rPr>
        <w:t>§ 1º do art. 17 da Lei nº 14.133, de 2021</w:t>
      </w:r>
      <w:r>
        <w:rPr>
          <w:rStyle w:val="13"/>
          <w:rFonts w:ascii="Times New Roman" w:hAnsi="Times New Roman" w:cs="Times New Roman"/>
          <w:color w:val="auto"/>
        </w:rPr>
        <w:fldChar w:fldCharType="end"/>
      </w:r>
      <w:r>
        <w:rPr>
          <w:rFonts w:ascii="Times New Roman" w:hAnsi="Times New Roman" w:cs="Times New Roman"/>
          <w:color w:val="auto"/>
        </w:rPr>
        <w:t>, o prazo para apresentação das razões recursais será iniciado na data de intimação da ata de julgamento.</w:t>
      </w:r>
    </w:p>
    <w:p w14:paraId="5B0A998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recursos deverão ser encaminhados em campo próprio do sistema.</w:t>
      </w:r>
    </w:p>
    <w:p w14:paraId="09979AF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691F20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Os recursos interpostos fora do prazo não serão conhecidos. </w:t>
      </w:r>
    </w:p>
    <w:p w14:paraId="1BD800F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168551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recurso e o pedido de reconsideração terão efeito suspensivo do ato ou da decisão recorrida até que sobrevenha decisão final da autoridade competente. </w:t>
      </w:r>
    </w:p>
    <w:p w14:paraId="31B0C5A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acolhimento do recurso invalida tão somente os atos insuscetíveis de aproveitamento. </w:t>
      </w:r>
    </w:p>
    <w:p w14:paraId="00D9C5E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Os autos do processo permanecerão com vista franqueada aos interessados no sítio eletrônico </w:t>
      </w:r>
      <w:r>
        <w:fldChar w:fldCharType="begin"/>
      </w:r>
      <w:r>
        <w:instrText xml:space="preserve"> HYPERLINK "https://sipac.ufba.br/public/jsp/portal.jsf" </w:instrText>
      </w:r>
      <w:r>
        <w:fldChar w:fldCharType="separate"/>
      </w:r>
      <w:r>
        <w:rPr>
          <w:rStyle w:val="13"/>
          <w:rFonts w:ascii="Times New Roman" w:hAnsi="Times New Roman" w:cs="Times New Roman"/>
          <w:color w:val="auto"/>
        </w:rPr>
        <w:t>https://sipac.ufba.br/public/jsp/portal.jsf</w:t>
      </w:r>
      <w:r>
        <w:rPr>
          <w:rStyle w:val="13"/>
          <w:rFonts w:ascii="Times New Roman" w:hAnsi="Times New Roman" w:cs="Times New Roman"/>
          <w:color w:val="auto"/>
        </w:rPr>
        <w:fldChar w:fldCharType="end"/>
      </w:r>
    </w:p>
    <w:p w14:paraId="78528951">
      <w:pPr>
        <w:pStyle w:val="44"/>
        <w:spacing w:line="360" w:lineRule="auto"/>
        <w:rPr>
          <w:rFonts w:ascii="Times New Roman" w:hAnsi="Times New Roman" w:cs="Times New Roman"/>
        </w:rPr>
      </w:pPr>
    </w:p>
    <w:p w14:paraId="4C176858">
      <w:pPr>
        <w:pStyle w:val="67"/>
        <w:numPr>
          <w:ilvl w:val="0"/>
          <w:numId w:val="7"/>
        </w:numPr>
        <w:spacing w:line="360" w:lineRule="auto"/>
        <w:rPr>
          <w:rFonts w:ascii="Times New Roman" w:hAnsi="Times New Roman" w:cs="Times New Roman"/>
          <w:color w:val="auto"/>
          <w:sz w:val="22"/>
          <w:szCs w:val="22"/>
        </w:rPr>
      </w:pPr>
      <w:bookmarkStart w:id="69" w:name="_Toc135469206"/>
      <w:bookmarkStart w:id="70" w:name="_Toc193719203"/>
      <w:r>
        <w:rPr>
          <w:rFonts w:ascii="Times New Roman" w:hAnsi="Times New Roman" w:cs="Times New Roman"/>
          <w:color w:val="auto"/>
          <w:sz w:val="22"/>
          <w:szCs w:val="22"/>
        </w:rPr>
        <w:t>DAS INFRAÇÕES ADMINISTRATIVAS E SANÇÕES</w:t>
      </w:r>
      <w:bookmarkEnd w:id="69"/>
      <w:bookmarkEnd w:id="70"/>
    </w:p>
    <w:p w14:paraId="096B428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Comete infração administrativa, nos termos da lei, o licitante que, com dolo ou culpa: </w:t>
      </w:r>
    </w:p>
    <w:p w14:paraId="4E91C97E">
      <w:pPr>
        <w:pStyle w:val="45"/>
        <w:numPr>
          <w:ilvl w:val="2"/>
          <w:numId w:val="9"/>
        </w:numPr>
        <w:tabs>
          <w:tab w:val="clear" w:pos="360"/>
        </w:tabs>
        <w:spacing w:line="360" w:lineRule="auto"/>
        <w:ind w:left="284" w:firstLine="0"/>
        <w:rPr>
          <w:rFonts w:ascii="Times New Roman" w:hAnsi="Times New Roman" w:cs="Times New Roman"/>
          <w:color w:val="auto"/>
        </w:rPr>
      </w:pPr>
      <w:bookmarkStart w:id="71" w:name="_Ref114668085"/>
      <w:bookmarkStart w:id="72" w:name="_Hlk114652595"/>
      <w:r>
        <w:rPr>
          <w:rFonts w:ascii="Times New Roman" w:hAnsi="Times New Roman" w:cs="Times New Roman"/>
          <w:color w:val="auto"/>
        </w:rPr>
        <w:t>deixar de entregar a documentação exigida para o certame ou não entregar qualquer documento que tenha sido solicitado pelo Pregoeiro/Agente de Contratação/Comissão durante o certame;</w:t>
      </w:r>
      <w:bookmarkEnd w:id="71"/>
    </w:p>
    <w:p w14:paraId="034449B8">
      <w:pPr>
        <w:pStyle w:val="45"/>
        <w:numPr>
          <w:ilvl w:val="2"/>
          <w:numId w:val="9"/>
        </w:numPr>
        <w:tabs>
          <w:tab w:val="clear" w:pos="360"/>
        </w:tabs>
        <w:spacing w:line="360" w:lineRule="auto"/>
        <w:ind w:left="284" w:firstLine="0"/>
        <w:rPr>
          <w:rFonts w:ascii="Times New Roman" w:hAnsi="Times New Roman" w:cs="Times New Roman"/>
          <w:color w:val="auto"/>
        </w:rPr>
      </w:pPr>
      <w:bookmarkStart w:id="73" w:name="_Ref114668108"/>
      <w:r>
        <w:rPr>
          <w:rFonts w:ascii="Times New Roman" w:hAnsi="Times New Roman" w:cs="Times New Roman"/>
          <w:color w:val="auto"/>
        </w:rPr>
        <w:t>salvo em decorrência de fato superveniente devidamente justificado, não mantiver a proposta em especial quando:</w:t>
      </w:r>
      <w:bookmarkEnd w:id="73"/>
    </w:p>
    <w:p w14:paraId="1BB0274D">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 xml:space="preserve">não enviar a proposta adequada ao último lance ofertado ou após a negociação; </w:t>
      </w:r>
    </w:p>
    <w:p w14:paraId="66A60E6D">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 xml:space="preserve">recusar-se a enviar o detalhamento da proposta quando exigível; </w:t>
      </w:r>
    </w:p>
    <w:p w14:paraId="6C372EBB">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pedir para ser desclassificado quando encerrada a etapa competitiva;</w:t>
      </w:r>
    </w:p>
    <w:p w14:paraId="5C3207D3">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deixar de apresentar amostra;</w:t>
      </w:r>
    </w:p>
    <w:p w14:paraId="60A46E34">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apresentar proposta ou amostra em desacordo com as especificações do edital.</w:t>
      </w:r>
    </w:p>
    <w:p w14:paraId="75AAC683">
      <w:pPr>
        <w:pStyle w:val="45"/>
        <w:numPr>
          <w:ilvl w:val="2"/>
          <w:numId w:val="9"/>
        </w:numPr>
        <w:tabs>
          <w:tab w:val="clear" w:pos="360"/>
        </w:tabs>
        <w:spacing w:line="360" w:lineRule="auto"/>
        <w:ind w:left="284" w:firstLine="0"/>
        <w:rPr>
          <w:rFonts w:ascii="Times New Roman" w:hAnsi="Times New Roman" w:cs="Times New Roman"/>
          <w:color w:val="auto"/>
        </w:rPr>
      </w:pPr>
      <w:bookmarkStart w:id="74" w:name="_Ref114668139"/>
      <w:r>
        <w:rPr>
          <w:rFonts w:ascii="Times New Roman" w:hAnsi="Times New Roman" w:cs="Times New Roman"/>
          <w:color w:val="auto"/>
        </w:rPr>
        <w:t>não celebrar o contrato ou não entregar a documentação exigida para a contratação, quando convocado dentro do prazo de validade de sua proposta;</w:t>
      </w:r>
      <w:bookmarkEnd w:id="74"/>
    </w:p>
    <w:p w14:paraId="22253900">
      <w:pPr>
        <w:pStyle w:val="45"/>
        <w:numPr>
          <w:ilvl w:val="2"/>
          <w:numId w:val="9"/>
        </w:numPr>
        <w:tabs>
          <w:tab w:val="clear" w:pos="360"/>
        </w:tabs>
        <w:spacing w:line="360" w:lineRule="auto"/>
        <w:ind w:left="284" w:firstLine="0"/>
        <w:rPr>
          <w:rFonts w:ascii="Times New Roman" w:hAnsi="Times New Roman" w:cs="Times New Roman"/>
          <w:color w:val="auto"/>
        </w:rPr>
      </w:pPr>
      <w:bookmarkStart w:id="75" w:name="_Ref192168045"/>
      <w:r>
        <w:rPr>
          <w:rFonts w:ascii="Times New Roman" w:hAnsi="Times New Roman" w:cs="Times New Roman"/>
          <w:color w:val="auto"/>
        </w:rPr>
        <w:t>recusar-se, sem justificativa, a assinar o contrato ou a ata de registro de preço, ou a aceitar ou retirar o instrumento equivalente no prazo estabelecido pela Administração;</w:t>
      </w:r>
      <w:bookmarkEnd w:id="75"/>
    </w:p>
    <w:p w14:paraId="1B55A14C">
      <w:pPr>
        <w:pStyle w:val="45"/>
        <w:numPr>
          <w:ilvl w:val="2"/>
          <w:numId w:val="9"/>
        </w:numPr>
        <w:tabs>
          <w:tab w:val="clear" w:pos="360"/>
        </w:tabs>
        <w:spacing w:line="360" w:lineRule="auto"/>
        <w:ind w:left="284" w:firstLine="0"/>
        <w:rPr>
          <w:rFonts w:ascii="Times New Roman" w:hAnsi="Times New Roman" w:cs="Times New Roman"/>
          <w:color w:val="auto"/>
        </w:rPr>
      </w:pPr>
      <w:bookmarkStart w:id="76" w:name="_Ref114668249"/>
      <w:r>
        <w:rPr>
          <w:rFonts w:ascii="Times New Roman" w:hAnsi="Times New Roman" w:cs="Times New Roman"/>
          <w:color w:val="auto"/>
        </w:rPr>
        <w:t>apresentar declaração ou documentação falsa exigida para o certame ou prestar declaração falsa durante a licitação</w:t>
      </w:r>
      <w:bookmarkEnd w:id="76"/>
      <w:r>
        <w:rPr>
          <w:rFonts w:ascii="Times New Roman" w:hAnsi="Times New Roman" w:cs="Times New Roman"/>
          <w:color w:val="auto"/>
        </w:rPr>
        <w:t>;</w:t>
      </w:r>
    </w:p>
    <w:p w14:paraId="174FDDE8">
      <w:pPr>
        <w:pStyle w:val="45"/>
        <w:numPr>
          <w:ilvl w:val="2"/>
          <w:numId w:val="9"/>
        </w:numPr>
        <w:tabs>
          <w:tab w:val="clear" w:pos="360"/>
        </w:tabs>
        <w:spacing w:line="360" w:lineRule="auto"/>
        <w:ind w:left="284" w:firstLine="0"/>
        <w:rPr>
          <w:rFonts w:ascii="Times New Roman" w:hAnsi="Times New Roman" w:cs="Times New Roman"/>
          <w:color w:val="auto"/>
        </w:rPr>
      </w:pPr>
      <w:bookmarkStart w:id="77" w:name="_Ref114668245"/>
      <w:r>
        <w:rPr>
          <w:rFonts w:ascii="Times New Roman" w:hAnsi="Times New Roman" w:cs="Times New Roman"/>
          <w:color w:val="auto"/>
        </w:rPr>
        <w:t>fraudar a licitação</w:t>
      </w:r>
      <w:bookmarkEnd w:id="77"/>
      <w:r>
        <w:rPr>
          <w:rFonts w:ascii="Times New Roman" w:hAnsi="Times New Roman" w:cs="Times New Roman"/>
          <w:color w:val="auto"/>
        </w:rPr>
        <w:t>;</w:t>
      </w:r>
    </w:p>
    <w:p w14:paraId="1DB388AB">
      <w:pPr>
        <w:pStyle w:val="45"/>
        <w:numPr>
          <w:ilvl w:val="2"/>
          <w:numId w:val="9"/>
        </w:numPr>
        <w:tabs>
          <w:tab w:val="clear" w:pos="360"/>
        </w:tabs>
        <w:spacing w:line="360" w:lineRule="auto"/>
        <w:ind w:left="284" w:firstLine="0"/>
        <w:rPr>
          <w:rFonts w:ascii="Times New Roman" w:hAnsi="Times New Roman" w:cs="Times New Roman"/>
          <w:color w:val="auto"/>
        </w:rPr>
      </w:pPr>
      <w:bookmarkStart w:id="78" w:name="_Ref114668247"/>
      <w:r>
        <w:rPr>
          <w:rFonts w:ascii="Times New Roman" w:hAnsi="Times New Roman" w:cs="Times New Roman"/>
          <w:color w:val="auto"/>
        </w:rPr>
        <w:t>comportar-se de modo inidôneo ou cometer fraude de qualquer natureza, em especial quando:</w:t>
      </w:r>
      <w:bookmarkEnd w:id="78"/>
    </w:p>
    <w:p w14:paraId="334A82CA">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agir em conluio ou em desconformidade com a lei;</w:t>
      </w:r>
    </w:p>
    <w:p w14:paraId="5558E6D7">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 xml:space="preserve">induzir deliberadamente a erro no julgamento; </w:t>
      </w:r>
    </w:p>
    <w:p w14:paraId="184E60CC">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apresentar amostra falsificada ou deteriorada.</w:t>
      </w:r>
    </w:p>
    <w:p w14:paraId="05ABC39D">
      <w:pPr>
        <w:pStyle w:val="45"/>
        <w:numPr>
          <w:ilvl w:val="2"/>
          <w:numId w:val="9"/>
        </w:numPr>
        <w:tabs>
          <w:tab w:val="clear" w:pos="360"/>
        </w:tabs>
        <w:spacing w:line="360" w:lineRule="auto"/>
        <w:ind w:left="284" w:firstLine="0"/>
        <w:rPr>
          <w:rFonts w:ascii="Times New Roman" w:hAnsi="Times New Roman" w:cs="Times New Roman"/>
          <w:color w:val="auto"/>
        </w:rPr>
      </w:pPr>
      <w:bookmarkStart w:id="79" w:name="_Ref114668251"/>
      <w:r>
        <w:rPr>
          <w:rFonts w:ascii="Times New Roman" w:hAnsi="Times New Roman" w:cs="Times New Roman"/>
          <w:color w:val="auto"/>
        </w:rPr>
        <w:t>praticar atos ilícitos com vistas a frustrar os objetivos da licitação</w:t>
      </w:r>
      <w:bookmarkEnd w:id="79"/>
      <w:r>
        <w:rPr>
          <w:rFonts w:ascii="Times New Roman" w:hAnsi="Times New Roman" w:cs="Times New Roman"/>
          <w:color w:val="auto"/>
        </w:rPr>
        <w:t>;</w:t>
      </w:r>
    </w:p>
    <w:p w14:paraId="6C217D19">
      <w:pPr>
        <w:pStyle w:val="45"/>
        <w:numPr>
          <w:ilvl w:val="2"/>
          <w:numId w:val="9"/>
        </w:numPr>
        <w:tabs>
          <w:tab w:val="clear" w:pos="360"/>
        </w:tabs>
        <w:spacing w:line="360" w:lineRule="auto"/>
        <w:ind w:left="284" w:firstLine="0"/>
        <w:rPr>
          <w:rFonts w:ascii="Times New Roman" w:hAnsi="Times New Roman" w:cs="Times New Roman"/>
          <w:color w:val="auto"/>
        </w:rPr>
      </w:pPr>
      <w:bookmarkStart w:id="80" w:name="_Ref114668252"/>
      <w:r>
        <w:rPr>
          <w:rFonts w:ascii="Times New Roman" w:hAnsi="Times New Roman" w:cs="Times New Roman"/>
          <w:color w:val="auto"/>
        </w:rPr>
        <w:t>praticar ato lesivo previsto no art. 5º da Lei nº 12.846, de 2013.</w:t>
      </w:r>
      <w:bookmarkEnd w:id="80"/>
    </w:p>
    <w:bookmarkEnd w:id="72"/>
    <w:p w14:paraId="1410ADE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1A46AB76">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advertência; </w:t>
      </w:r>
    </w:p>
    <w:p w14:paraId="01A36222">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multa;</w:t>
      </w:r>
    </w:p>
    <w:p w14:paraId="32722973">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impedimento de licitar e contratar e</w:t>
      </w:r>
    </w:p>
    <w:p w14:paraId="58552691">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declaração de inidoneidade para licitar ou contratar, enquanto perdurarem os motivos determinantes da punição ou até que seja promovida sua reabilitação perante a própria autoridade que aplicou a penalidade.</w:t>
      </w:r>
    </w:p>
    <w:p w14:paraId="27C8513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Na aplicação das sanções serão considerados:</w:t>
      </w:r>
    </w:p>
    <w:p w14:paraId="4743F440">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natureza e a gravidade da infração cometida;</w:t>
      </w:r>
    </w:p>
    <w:p w14:paraId="6EC0313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as peculiaridades do caso concreto;</w:t>
      </w:r>
    </w:p>
    <w:p w14:paraId="4940AF58">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as circunstâncias agravantes ou atenuantes;</w:t>
      </w:r>
    </w:p>
    <w:p w14:paraId="4A6F1A0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os danos que dela provierem para a Administração Pública;</w:t>
      </w:r>
    </w:p>
    <w:p w14:paraId="025A923A">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implantação ou o aperfeiçoamento de programa de integridade, conforme normas e orientações dos órgãos de controle.</w:t>
      </w:r>
    </w:p>
    <w:p w14:paraId="6F35FD4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multa será recolhida no prazo máximo de </w:t>
      </w:r>
      <w:r>
        <w:rPr>
          <w:rFonts w:ascii="Times New Roman" w:hAnsi="Times New Roman" w:cs="Times New Roman"/>
          <w:i/>
          <w:iCs/>
        </w:rPr>
        <w:t>15</w:t>
      </w:r>
      <w:r>
        <w:rPr>
          <w:rFonts w:ascii="Times New Roman" w:hAnsi="Times New Roman" w:cs="Times New Roman"/>
        </w:rPr>
        <w:t xml:space="preserve"> (quinze) dias úteis, a contar da comunicação oficial. </w:t>
      </w:r>
    </w:p>
    <w:p w14:paraId="5210E676">
      <w:pPr>
        <w:pStyle w:val="45"/>
        <w:numPr>
          <w:ilvl w:val="2"/>
          <w:numId w:val="9"/>
        </w:numPr>
        <w:tabs>
          <w:tab w:val="clear" w:pos="360"/>
        </w:tabs>
        <w:spacing w:line="360" w:lineRule="auto"/>
        <w:ind w:left="284" w:firstLine="0"/>
        <w:rPr>
          <w:rFonts w:ascii="Times New Roman" w:hAnsi="Times New Roman" w:cs="Times New Roman"/>
          <w:color w:val="auto"/>
        </w:rPr>
      </w:pPr>
      <w:bookmarkStart w:id="81" w:name="_Hlk113876035"/>
      <w:r>
        <w:rPr>
          <w:rFonts w:ascii="Times New Roman" w:hAnsi="Times New Roman" w:cs="Times New Roman"/>
          <w:color w:val="auto"/>
        </w:rPr>
        <w:t xml:space="preserve">Para as infrações previstas nos itens </w:t>
      </w:r>
      <w:r>
        <w:rPr>
          <w:rFonts w:ascii="Times New Roman" w:hAnsi="Times New Roman" w:cs="Times New Roman"/>
          <w:color w:val="auto"/>
        </w:rPr>
        <w:fldChar w:fldCharType="begin"/>
      </w:r>
      <w:r>
        <w:rPr>
          <w:rFonts w:ascii="Times New Roman" w:hAnsi="Times New Roman" w:cs="Times New Roman"/>
          <w:color w:val="auto"/>
        </w:rPr>
        <w:instrText xml:space="preserve"> REF _Ref114668085 \r \h  \* MERGEFORMAT </w:instrText>
      </w:r>
      <w:r>
        <w:rPr>
          <w:rFonts w:ascii="Times New Roman" w:hAnsi="Times New Roman" w:cs="Times New Roman"/>
          <w:color w:val="auto"/>
        </w:rPr>
        <w:fldChar w:fldCharType="separate"/>
      </w:r>
      <w:r>
        <w:rPr>
          <w:rFonts w:ascii="Times New Roman" w:hAnsi="Times New Roman" w:cs="Times New Roman"/>
          <w:color w:val="auto"/>
        </w:rPr>
        <w:t>14.1.1</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_Ref114668108 \r \h  \* MERGEFORMAT </w:instrText>
      </w:r>
      <w:r>
        <w:rPr>
          <w:rFonts w:ascii="Times New Roman" w:hAnsi="Times New Roman" w:cs="Times New Roman"/>
          <w:color w:val="auto"/>
        </w:rPr>
        <w:fldChar w:fldCharType="separate"/>
      </w:r>
      <w:r>
        <w:rPr>
          <w:rFonts w:ascii="Times New Roman" w:hAnsi="Times New Roman" w:cs="Times New Roman"/>
          <w:color w:val="auto"/>
        </w:rPr>
        <w:t>14.1.2</w:t>
      </w:r>
      <w:r>
        <w:rPr>
          <w:rFonts w:ascii="Times New Roman" w:hAnsi="Times New Roman" w:cs="Times New Roman"/>
          <w:color w:val="auto"/>
        </w:rPr>
        <w:fldChar w:fldCharType="end"/>
      </w:r>
      <w:r>
        <w:rPr>
          <w:rFonts w:ascii="Times New Roman" w:hAnsi="Times New Roman" w:cs="Times New Roman"/>
          <w:color w:val="auto"/>
        </w:rPr>
        <w:t xml:space="preserve"> 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_Ref114668139 \r \h  \* MERGEFORMAT </w:instrText>
      </w:r>
      <w:r>
        <w:rPr>
          <w:rFonts w:ascii="Times New Roman" w:hAnsi="Times New Roman" w:cs="Times New Roman"/>
          <w:color w:val="auto"/>
        </w:rPr>
        <w:fldChar w:fldCharType="separate"/>
      </w:r>
      <w:r>
        <w:rPr>
          <w:rFonts w:ascii="Times New Roman" w:hAnsi="Times New Roman" w:cs="Times New Roman"/>
          <w:color w:val="auto"/>
        </w:rPr>
        <w:t>14.1.3</w:t>
      </w:r>
      <w:r>
        <w:rPr>
          <w:rFonts w:ascii="Times New Roman" w:hAnsi="Times New Roman" w:cs="Times New Roman"/>
          <w:color w:val="auto"/>
        </w:rPr>
        <w:fldChar w:fldCharType="end"/>
      </w:r>
      <w:r>
        <w:rPr>
          <w:rFonts w:ascii="Times New Roman" w:hAnsi="Times New Roman" w:cs="Times New Roman"/>
          <w:color w:val="auto"/>
        </w:rPr>
        <w:t xml:space="preserve">, a multa será de </w:t>
      </w:r>
      <w:r>
        <w:rPr>
          <w:rFonts w:ascii="Times New Roman" w:hAnsi="Times New Roman" w:cs="Times New Roman"/>
          <w:i/>
          <w:iCs/>
          <w:color w:val="auto"/>
        </w:rPr>
        <w:t>0,5%</w:t>
      </w:r>
      <w:r>
        <w:rPr>
          <w:rFonts w:ascii="Times New Roman" w:hAnsi="Times New Roman" w:cs="Times New Roman"/>
          <w:color w:val="auto"/>
        </w:rPr>
        <w:t xml:space="preserve"> a </w:t>
      </w:r>
      <w:r>
        <w:rPr>
          <w:rFonts w:ascii="Times New Roman" w:hAnsi="Times New Roman" w:cs="Times New Roman"/>
          <w:i/>
          <w:iCs/>
          <w:color w:val="auto"/>
        </w:rPr>
        <w:t>15%</w:t>
      </w:r>
      <w:r>
        <w:rPr>
          <w:rFonts w:ascii="Times New Roman" w:hAnsi="Times New Roman" w:cs="Times New Roman"/>
          <w:color w:val="auto"/>
        </w:rPr>
        <w:t xml:space="preserve"> do valor do contrato licitado.</w:t>
      </w:r>
    </w:p>
    <w:bookmarkEnd w:id="81"/>
    <w:p w14:paraId="1BEE02D8">
      <w:pPr>
        <w:pStyle w:val="45"/>
        <w:numPr>
          <w:ilvl w:val="2"/>
          <w:numId w:val="9"/>
        </w:numPr>
        <w:tabs>
          <w:tab w:val="clear" w:pos="360"/>
        </w:tabs>
        <w:spacing w:line="360" w:lineRule="auto"/>
        <w:ind w:left="284" w:firstLine="0"/>
        <w:rPr>
          <w:rFonts w:ascii="Times New Roman" w:hAnsi="Times New Roman" w:cs="Times New Roman"/>
          <w:color w:val="auto"/>
        </w:rPr>
      </w:pPr>
      <w:bookmarkStart w:id="82" w:name="_Hlk190256399"/>
      <w:r>
        <w:rPr>
          <w:rFonts w:ascii="Times New Roman" w:hAnsi="Times New Roman" w:cs="Times New Roman"/>
          <w:color w:val="auto"/>
        </w:rPr>
        <w:t xml:space="preserve">Para as infrações previstas nos itens </w:t>
      </w:r>
      <w:r>
        <w:rPr>
          <w:rFonts w:ascii="Times New Roman" w:hAnsi="Times New Roman" w:cs="Times New Roman"/>
          <w:color w:val="auto"/>
        </w:rPr>
        <w:fldChar w:fldCharType="begin"/>
      </w:r>
      <w:r>
        <w:rPr>
          <w:rFonts w:ascii="Times New Roman" w:hAnsi="Times New Roman" w:cs="Times New Roman"/>
          <w:color w:val="auto"/>
        </w:rPr>
        <w:instrText xml:space="preserve"> REF _Ref192168045 \r \h  \* MERGEFORMAT </w:instrText>
      </w:r>
      <w:r>
        <w:rPr>
          <w:rFonts w:ascii="Times New Roman" w:hAnsi="Times New Roman" w:cs="Times New Roman"/>
          <w:color w:val="auto"/>
        </w:rPr>
        <w:fldChar w:fldCharType="separate"/>
      </w:r>
      <w:r>
        <w:rPr>
          <w:rFonts w:ascii="Times New Roman" w:hAnsi="Times New Roman" w:cs="Times New Roman"/>
          <w:color w:val="auto"/>
        </w:rPr>
        <w:t>14.1.4</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_Ref114668249 \r \h  \* MERGEFORMAT </w:instrText>
      </w:r>
      <w:r>
        <w:rPr>
          <w:rFonts w:ascii="Times New Roman" w:hAnsi="Times New Roman" w:cs="Times New Roman"/>
          <w:color w:val="auto"/>
        </w:rPr>
        <w:fldChar w:fldCharType="separate"/>
      </w:r>
      <w:r>
        <w:rPr>
          <w:rFonts w:ascii="Times New Roman" w:hAnsi="Times New Roman" w:cs="Times New Roman"/>
          <w:color w:val="auto"/>
        </w:rPr>
        <w:t>14.1.5</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_Ref114668245 \r \h  \* MERGEFORMAT </w:instrText>
      </w:r>
      <w:r>
        <w:rPr>
          <w:rFonts w:ascii="Times New Roman" w:hAnsi="Times New Roman" w:cs="Times New Roman"/>
          <w:color w:val="auto"/>
        </w:rPr>
        <w:fldChar w:fldCharType="separate"/>
      </w:r>
      <w:r>
        <w:rPr>
          <w:rFonts w:ascii="Times New Roman" w:hAnsi="Times New Roman" w:cs="Times New Roman"/>
          <w:color w:val="auto"/>
        </w:rPr>
        <w:t>14.1.6</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_Ref114668247 \r \h  \* MERGEFORMAT </w:instrText>
      </w:r>
      <w:r>
        <w:rPr>
          <w:rFonts w:ascii="Times New Roman" w:hAnsi="Times New Roman" w:cs="Times New Roman"/>
          <w:color w:val="auto"/>
        </w:rPr>
        <w:fldChar w:fldCharType="separate"/>
      </w:r>
      <w:r>
        <w:rPr>
          <w:rFonts w:ascii="Times New Roman" w:hAnsi="Times New Roman" w:cs="Times New Roman"/>
          <w:color w:val="auto"/>
        </w:rPr>
        <w:t>14.1.7</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_Ref114668251 \r \h  \* MERGEFORMAT </w:instrText>
      </w:r>
      <w:r>
        <w:rPr>
          <w:rFonts w:ascii="Times New Roman" w:hAnsi="Times New Roman" w:cs="Times New Roman"/>
          <w:color w:val="auto"/>
        </w:rPr>
        <w:fldChar w:fldCharType="separate"/>
      </w:r>
      <w:r>
        <w:rPr>
          <w:rFonts w:ascii="Times New Roman" w:hAnsi="Times New Roman" w:cs="Times New Roman"/>
          <w:color w:val="auto"/>
        </w:rPr>
        <w:t>14.1.8</w:t>
      </w:r>
      <w:r>
        <w:rPr>
          <w:rFonts w:ascii="Times New Roman" w:hAnsi="Times New Roman" w:cs="Times New Roman"/>
          <w:color w:val="auto"/>
        </w:rPr>
        <w:fldChar w:fldCharType="end"/>
      </w:r>
      <w:r>
        <w:rPr>
          <w:rFonts w:ascii="Times New Roman" w:hAnsi="Times New Roman" w:cs="Times New Roman"/>
          <w:color w:val="auto"/>
        </w:rPr>
        <w:t xml:space="preserve"> e </w:t>
      </w:r>
      <w:r>
        <w:rPr>
          <w:rFonts w:ascii="Times New Roman" w:hAnsi="Times New Roman" w:cs="Times New Roman"/>
          <w:color w:val="auto"/>
        </w:rPr>
        <w:fldChar w:fldCharType="begin"/>
      </w:r>
      <w:r>
        <w:rPr>
          <w:rFonts w:ascii="Times New Roman" w:hAnsi="Times New Roman" w:cs="Times New Roman"/>
          <w:color w:val="auto"/>
        </w:rPr>
        <w:instrText xml:space="preserve"> REF _Ref114668252 \r \h  \* MERGEFORMAT </w:instrText>
      </w:r>
      <w:r>
        <w:rPr>
          <w:rFonts w:ascii="Times New Roman" w:hAnsi="Times New Roman" w:cs="Times New Roman"/>
          <w:color w:val="auto"/>
        </w:rPr>
        <w:fldChar w:fldCharType="separate"/>
      </w:r>
      <w:r>
        <w:rPr>
          <w:rFonts w:ascii="Times New Roman" w:hAnsi="Times New Roman" w:cs="Times New Roman"/>
          <w:color w:val="auto"/>
        </w:rPr>
        <w:t>14.1.9</w:t>
      </w:r>
      <w:r>
        <w:rPr>
          <w:rFonts w:ascii="Times New Roman" w:hAnsi="Times New Roman" w:cs="Times New Roman"/>
          <w:color w:val="auto"/>
        </w:rPr>
        <w:fldChar w:fldCharType="end"/>
      </w:r>
      <w:r>
        <w:rPr>
          <w:rFonts w:ascii="Times New Roman" w:hAnsi="Times New Roman" w:cs="Times New Roman"/>
          <w:color w:val="auto"/>
        </w:rPr>
        <w:t xml:space="preserve">, a multa será de </w:t>
      </w:r>
      <w:r>
        <w:rPr>
          <w:rFonts w:ascii="Times New Roman" w:hAnsi="Times New Roman" w:cs="Times New Roman"/>
          <w:i/>
          <w:iCs/>
          <w:color w:val="auto"/>
        </w:rPr>
        <w:t>15%</w:t>
      </w:r>
      <w:r>
        <w:rPr>
          <w:rFonts w:ascii="Times New Roman" w:hAnsi="Times New Roman" w:cs="Times New Roman"/>
          <w:color w:val="auto"/>
        </w:rPr>
        <w:t xml:space="preserve"> a </w:t>
      </w:r>
      <w:r>
        <w:rPr>
          <w:rFonts w:ascii="Times New Roman" w:hAnsi="Times New Roman" w:cs="Times New Roman"/>
          <w:i/>
          <w:iCs/>
          <w:color w:val="auto"/>
        </w:rPr>
        <w:t>30%</w:t>
      </w:r>
      <w:r>
        <w:rPr>
          <w:rFonts w:ascii="Times New Roman" w:hAnsi="Times New Roman" w:cs="Times New Roman"/>
          <w:color w:val="auto"/>
        </w:rPr>
        <w:t xml:space="preserve"> do valor do contrato licitado.</w:t>
      </w:r>
    </w:p>
    <w:bookmarkEnd w:id="82"/>
    <w:p w14:paraId="0247313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05A54B9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Na aplicação da sanção de multa será facultada a defesa do interessado no prazo de 15 (quinze) dias úteis, contado da data de sua intimação.</w:t>
      </w:r>
    </w:p>
    <w:p w14:paraId="45AA3B1D">
      <w:pPr>
        <w:pStyle w:val="44"/>
        <w:numPr>
          <w:ilvl w:val="1"/>
          <w:numId w:val="7"/>
        </w:numPr>
        <w:spacing w:line="360" w:lineRule="auto"/>
        <w:ind w:left="0" w:firstLine="0"/>
        <w:rPr>
          <w:rFonts w:ascii="Times New Roman" w:hAnsi="Times New Roman" w:cs="Times New Roman"/>
        </w:rPr>
      </w:pPr>
      <w:bookmarkStart w:id="83" w:name="_Hlk190256464"/>
      <w:r>
        <w:rPr>
          <w:rFonts w:ascii="Times New Roman" w:hAnsi="Times New Roman" w:cs="Times New Roman"/>
        </w:rPr>
        <w:t xml:space="preserve">A sanção de impedimento de licitar e contratar será aplicada ao responsável em decorrência das infrações administrativas relacionadas nos itens </w:t>
      </w:r>
      <w:r>
        <w:rPr>
          <w:rFonts w:ascii="Times New Roman" w:hAnsi="Times New Roman" w:cs="Times New Roman"/>
        </w:rPr>
        <w:fldChar w:fldCharType="begin"/>
      </w:r>
      <w:r>
        <w:rPr>
          <w:rFonts w:ascii="Times New Roman" w:hAnsi="Times New Roman" w:cs="Times New Roman"/>
        </w:rPr>
        <w:instrText xml:space="preserve"> REF _Ref114668085 \r \h  \* MERGEFORMAT </w:instrText>
      </w:r>
      <w:r>
        <w:rPr>
          <w:rFonts w:ascii="Times New Roman" w:hAnsi="Times New Roman" w:cs="Times New Roman"/>
        </w:rPr>
        <w:fldChar w:fldCharType="separate"/>
      </w:r>
      <w:r>
        <w:rPr>
          <w:rFonts w:ascii="Times New Roman" w:hAnsi="Times New Roman" w:cs="Times New Roman"/>
        </w:rPr>
        <w:t>14.1.1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_Ref114668108 \r \h  \* MERGEFORMAT </w:instrText>
      </w:r>
      <w:r>
        <w:rPr>
          <w:rFonts w:ascii="Times New Roman" w:hAnsi="Times New Roman" w:cs="Times New Roman"/>
        </w:rPr>
        <w:fldChar w:fldCharType="separate"/>
      </w:r>
      <w:r>
        <w:rPr>
          <w:rFonts w:ascii="Times New Roman" w:hAnsi="Times New Roman" w:cs="Times New Roman"/>
        </w:rPr>
        <w:t>14.1.2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_Ref114668139 \r \h  \* MERGEFORMAT </w:instrText>
      </w:r>
      <w:r>
        <w:rPr>
          <w:rFonts w:ascii="Times New Roman" w:hAnsi="Times New Roman" w:cs="Times New Roman"/>
        </w:rPr>
        <w:fldChar w:fldCharType="separate"/>
      </w:r>
      <w:r>
        <w:rPr>
          <w:rFonts w:ascii="Times New Roman" w:hAnsi="Times New Roman" w:cs="Times New Roman"/>
        </w:rPr>
        <w:t>14.1.3</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rPr>
        <w:fldChar w:fldCharType="begin"/>
      </w:r>
      <w:r>
        <w:rPr>
          <w:rFonts w:ascii="Times New Roman" w:hAnsi="Times New Roman" w:cs="Times New Roman"/>
        </w:rPr>
        <w:instrText xml:space="preserve"> REF _Ref192168045 \r \h  \* MERGEFORMAT </w:instrText>
      </w:r>
      <w:r>
        <w:rPr>
          <w:rFonts w:ascii="Times New Roman" w:hAnsi="Times New Roman" w:cs="Times New Roman"/>
        </w:rPr>
        <w:fldChar w:fldCharType="separate"/>
      </w:r>
      <w:r>
        <w:rPr>
          <w:rFonts w:ascii="Times New Roman" w:hAnsi="Times New Roman" w:cs="Times New Roman"/>
        </w:rPr>
        <w:t>14.1.4</w:t>
      </w:r>
      <w:r>
        <w:rPr>
          <w:rFonts w:ascii="Times New Roman" w:hAnsi="Times New Roman" w:cs="Times New Roman"/>
        </w:rPr>
        <w:fldChar w:fldCharType="end"/>
      </w:r>
      <w:r>
        <w:rPr>
          <w:rFonts w:ascii="Times New Roman" w:hAnsi="Times New Roman" w:cs="Times New Roman"/>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bookmarkEnd w:id="83"/>
    <w:p w14:paraId="180C87BC">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Poderá ser aplicada ao responsável a sanção de declaração de inidoneidade para licitar ou contratar, em decorrência da prática das infrações dispostas nos itens </w:t>
      </w:r>
      <w:r>
        <w:rPr>
          <w:rFonts w:ascii="Times New Roman" w:hAnsi="Times New Roman" w:cs="Times New Roman"/>
        </w:rPr>
        <w:fldChar w:fldCharType="begin"/>
      </w:r>
      <w:r>
        <w:rPr>
          <w:rFonts w:ascii="Times New Roman" w:hAnsi="Times New Roman" w:cs="Times New Roman"/>
        </w:rPr>
        <w:instrText xml:space="preserve"> REF _Ref114668249 \r \h  \* MERGEFORMAT </w:instrText>
      </w:r>
      <w:r>
        <w:rPr>
          <w:rFonts w:ascii="Times New Roman" w:hAnsi="Times New Roman" w:cs="Times New Roman"/>
        </w:rPr>
        <w:fldChar w:fldCharType="separate"/>
      </w:r>
      <w:r>
        <w:rPr>
          <w:rFonts w:ascii="Times New Roman" w:hAnsi="Times New Roman" w:cs="Times New Roman"/>
        </w:rPr>
        <w:t>14.1.5</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_Ref114668245 \r \h  \* MERGEFORMAT </w:instrText>
      </w:r>
      <w:r>
        <w:rPr>
          <w:rFonts w:ascii="Times New Roman" w:hAnsi="Times New Roman" w:cs="Times New Roman"/>
        </w:rPr>
        <w:fldChar w:fldCharType="separate"/>
      </w:r>
      <w:r>
        <w:rPr>
          <w:rFonts w:ascii="Times New Roman" w:hAnsi="Times New Roman" w:cs="Times New Roman"/>
        </w:rPr>
        <w:t>14.1.6</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_Ref114668247 \r \h  \* MERGEFORMAT </w:instrText>
      </w:r>
      <w:r>
        <w:rPr>
          <w:rFonts w:ascii="Times New Roman" w:hAnsi="Times New Roman" w:cs="Times New Roman"/>
        </w:rPr>
        <w:fldChar w:fldCharType="separate"/>
      </w:r>
      <w:r>
        <w:rPr>
          <w:rFonts w:ascii="Times New Roman" w:hAnsi="Times New Roman" w:cs="Times New Roman"/>
        </w:rPr>
        <w:t>14.1.7</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_Ref114668251 \r \h  \* MERGEFORMAT </w:instrText>
      </w:r>
      <w:r>
        <w:rPr>
          <w:rFonts w:ascii="Times New Roman" w:hAnsi="Times New Roman" w:cs="Times New Roman"/>
        </w:rPr>
        <w:fldChar w:fldCharType="separate"/>
      </w:r>
      <w:r>
        <w:rPr>
          <w:rFonts w:ascii="Times New Roman" w:hAnsi="Times New Roman" w:cs="Times New Roman"/>
        </w:rPr>
        <w:t>14.1.8</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rPr>
        <w:fldChar w:fldCharType="begin"/>
      </w:r>
      <w:r>
        <w:rPr>
          <w:rFonts w:ascii="Times New Roman" w:hAnsi="Times New Roman" w:cs="Times New Roman"/>
        </w:rPr>
        <w:instrText xml:space="preserve"> REF _Ref114668252 \r \h  \* MERGEFORMAT </w:instrText>
      </w:r>
      <w:r>
        <w:rPr>
          <w:rFonts w:ascii="Times New Roman" w:hAnsi="Times New Roman" w:cs="Times New Roman"/>
        </w:rPr>
        <w:fldChar w:fldCharType="separate"/>
      </w:r>
      <w:r>
        <w:rPr>
          <w:rFonts w:ascii="Times New Roman" w:hAnsi="Times New Roman" w:cs="Times New Roman"/>
        </w:rPr>
        <w:t>14.1.9</w:t>
      </w:r>
      <w:r>
        <w:rPr>
          <w:rFonts w:ascii="Times New Roman" w:hAnsi="Times New Roman" w:cs="Times New Roman"/>
        </w:rPr>
        <w:fldChar w:fldCharType="end"/>
      </w:r>
      <w:r>
        <w:rPr>
          <w:rFonts w:ascii="Times New Roman" w:hAnsi="Times New Roman" w:cs="Times New Roman"/>
        </w:rPr>
        <w:t xml:space="preserve">, bem como pelas infrações administrativas previstas nos itens </w:t>
      </w:r>
      <w:r>
        <w:rPr>
          <w:rFonts w:ascii="Times New Roman" w:hAnsi="Times New Roman" w:cs="Times New Roman"/>
        </w:rPr>
        <w:fldChar w:fldCharType="begin"/>
      </w:r>
      <w:r>
        <w:rPr>
          <w:rFonts w:ascii="Times New Roman" w:hAnsi="Times New Roman" w:cs="Times New Roman"/>
        </w:rPr>
        <w:instrText xml:space="preserve"> REF _Ref114668085 \r \h  \* MERGEFORMAT </w:instrText>
      </w:r>
      <w:r>
        <w:rPr>
          <w:rFonts w:ascii="Times New Roman" w:hAnsi="Times New Roman" w:cs="Times New Roman"/>
        </w:rPr>
        <w:fldChar w:fldCharType="separate"/>
      </w:r>
      <w:r>
        <w:rPr>
          <w:rFonts w:ascii="Times New Roman" w:hAnsi="Times New Roman" w:cs="Times New Roman"/>
        </w:rPr>
        <w:t>14.1.1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_Ref114668108 \r \h  \* MERGEFORMAT </w:instrText>
      </w:r>
      <w:r>
        <w:rPr>
          <w:rFonts w:ascii="Times New Roman" w:hAnsi="Times New Roman" w:cs="Times New Roman"/>
        </w:rPr>
        <w:fldChar w:fldCharType="separate"/>
      </w:r>
      <w:r>
        <w:rPr>
          <w:rFonts w:ascii="Times New Roman" w:hAnsi="Times New Roman" w:cs="Times New Roman"/>
        </w:rPr>
        <w:t>14.1.2</w:t>
      </w:r>
      <w:r>
        <w:rPr>
          <w:rFonts w:ascii="Times New Roman" w:hAnsi="Times New Roman" w:cs="Times New Roman"/>
        </w:rPr>
        <w:fldChar w:fldCharType="end"/>
      </w:r>
      <w:r>
        <w:rPr>
          <w:rFonts w:ascii="Times New Roman" w:hAnsi="Times New Roman" w:cs="Times New Roman"/>
        </w:rPr>
        <w:t xml:space="preserve"> e </w:t>
      </w:r>
      <w:r>
        <w:rPr>
          <w:rFonts w:ascii="Times New Roman" w:hAnsi="Times New Roman" w:cs="Times New Roman"/>
        </w:rPr>
        <w:fldChar w:fldCharType="begin"/>
      </w:r>
      <w:r>
        <w:rPr>
          <w:rFonts w:ascii="Times New Roman" w:hAnsi="Times New Roman" w:cs="Times New Roman"/>
        </w:rPr>
        <w:instrText xml:space="preserve"> REF _Ref114668139 \r \h  \* MERGEFORMAT </w:instrText>
      </w:r>
      <w:r>
        <w:rPr>
          <w:rFonts w:ascii="Times New Roman" w:hAnsi="Times New Roman" w:cs="Times New Roman"/>
        </w:rPr>
        <w:fldChar w:fldCharType="separate"/>
      </w:r>
      <w:r>
        <w:rPr>
          <w:rFonts w:ascii="Times New Roman" w:hAnsi="Times New Roman" w:cs="Times New Roman"/>
        </w:rPr>
        <w:t>14.1.3</w:t>
      </w:r>
      <w:r>
        <w:rPr>
          <w:rFonts w:ascii="Times New Roman" w:hAnsi="Times New Roman" w:cs="Times New Roman"/>
        </w:rPr>
        <w:fldChar w:fldCharType="end"/>
      </w:r>
      <w:r>
        <w:rPr>
          <w:rFonts w:ascii="Times New Roman" w:hAnsi="Times New Roman" w:cs="Times New Roman"/>
        </w:rPr>
        <w:t xml:space="preserve"> que justifiquem a imposição de penalidade mais grave que a sanção de impedimento de licitar e contratar, cuja duração observará o prazo previsto no </w:t>
      </w:r>
      <w:r>
        <w:fldChar w:fldCharType="begin"/>
      </w:r>
      <w:r>
        <w:instrText xml:space="preserve"> HYPERLINK "http://www.planalto.gov.br/ccivil_03/_ato2019-2022/2021/lei/L14133.htm" \l "art156§5" \h </w:instrText>
      </w:r>
      <w:r>
        <w:fldChar w:fldCharType="separate"/>
      </w:r>
      <w:r>
        <w:rPr>
          <w:rStyle w:val="13"/>
          <w:rFonts w:ascii="Times New Roman" w:hAnsi="Times New Roman" w:cs="Times New Roman"/>
          <w:color w:val="auto"/>
        </w:rPr>
        <w:t>art. 156, §5º, da Lei nº 14.133, de 2021</w:t>
      </w:r>
      <w:r>
        <w:rPr>
          <w:rStyle w:val="13"/>
          <w:rFonts w:ascii="Times New Roman" w:hAnsi="Times New Roman" w:cs="Times New Roman"/>
          <w:color w:val="auto"/>
        </w:rPr>
        <w:fldChar w:fldCharType="end"/>
      </w:r>
      <w:r>
        <w:rPr>
          <w:rFonts w:ascii="Times New Roman" w:hAnsi="Times New Roman" w:cs="Times New Roman"/>
        </w:rPr>
        <w:t>.</w:t>
      </w:r>
    </w:p>
    <w:p w14:paraId="07E1ACA3">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rPr>
        <w:fldChar w:fldCharType="begin"/>
      </w:r>
      <w:r>
        <w:rPr>
          <w:rFonts w:ascii="Times New Roman" w:hAnsi="Times New Roman" w:cs="Times New Roman"/>
        </w:rPr>
        <w:instrText xml:space="preserve"> REF _Ref192168045 \r \h  \* MERGEFORMAT </w:instrText>
      </w:r>
      <w:r>
        <w:rPr>
          <w:rFonts w:ascii="Times New Roman" w:hAnsi="Times New Roman" w:cs="Times New Roman"/>
        </w:rPr>
        <w:fldChar w:fldCharType="separate"/>
      </w:r>
      <w:r>
        <w:rPr>
          <w:rFonts w:ascii="Times New Roman" w:hAnsi="Times New Roman" w:cs="Times New Roman"/>
        </w:rPr>
        <w:t>14.1.4</w:t>
      </w:r>
      <w:r>
        <w:rPr>
          <w:rFonts w:ascii="Times New Roman" w:hAnsi="Times New Roman" w:cs="Times New Roman"/>
        </w:rPr>
        <w:fldChar w:fldCharType="end"/>
      </w:r>
      <w:r>
        <w:rPr>
          <w:rFonts w:ascii="Times New Roman" w:hAnsi="Times New Roman" w:cs="Times New Roman"/>
        </w:rPr>
        <w:t xml:space="preserve">, caracterizará o descumprimento total da obrigação assumida e o sujeitará às penalidades e à imediata perda da garantia de proposta em favor do órgão ou entidade promotora da licitação, nos termos do </w:t>
      </w:r>
      <w:r>
        <w:fldChar w:fldCharType="begin"/>
      </w:r>
      <w:r>
        <w:instrText xml:space="preserve"> HYPERLINK "https://www.gov.br/compras/pt-br/acesso-a-informacao/legislacao/instrucoes-normativas/instrucao-normativa-seges-me-no-73-de-30-de-setembro-de-2022" \h </w:instrText>
      </w:r>
      <w:r>
        <w:fldChar w:fldCharType="separate"/>
      </w:r>
      <w:r>
        <w:rPr>
          <w:rStyle w:val="13"/>
          <w:rFonts w:ascii="Times New Roman" w:hAnsi="Times New Roman" w:cs="Times New Roman"/>
          <w:color w:val="auto"/>
        </w:rPr>
        <w:t>art. 45, §4º da Instrução Normativa SEGES/ME nº 73, de 30 de setembro de 2022</w:t>
      </w:r>
      <w:r>
        <w:rPr>
          <w:rStyle w:val="13"/>
          <w:rFonts w:ascii="Times New Roman" w:hAnsi="Times New Roman" w:cs="Times New Roman"/>
          <w:color w:val="auto"/>
        </w:rPr>
        <w:fldChar w:fldCharType="end"/>
      </w:r>
      <w:r>
        <w:rPr>
          <w:rFonts w:ascii="Times New Roman" w:hAnsi="Times New Roman" w:cs="Times New Roman"/>
        </w:rPr>
        <w:t>.</w:t>
      </w:r>
    </w:p>
    <w:p w14:paraId="499E4EE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1450385">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BDC10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90DAA31">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recurso e o pedido de reconsideração terão efeito suspensivo do ato ou da decisão recorrida até que sobrevenha decisão final da autoridade competente.</w:t>
      </w:r>
    </w:p>
    <w:p w14:paraId="7D8DC922">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aplicação das sanções previstas neste edital não exclui, em hipótese alguma, a obrigação de reparação integral dos danos causados.</w:t>
      </w:r>
    </w:p>
    <w:p w14:paraId="6EBCCCD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Para a garantia da ampla defesa e contraditório dos licitantes, as notificações serão enviadas eletronicamente para os endereços de e-mail informados na proposta comercial, bem como os cadastrados pela empresa no SICAF.</w:t>
      </w:r>
    </w:p>
    <w:p w14:paraId="540FF2FF">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Os endereços de e-mail informados na proposta comercial e/ou cadastrados no Sicaf serão considerados de uso contínuo da empresa, não cabendo alegação de desconhecimento das comunicações a eles comprovadamente enviadas.</w:t>
      </w:r>
    </w:p>
    <w:p w14:paraId="0565B147">
      <w:pPr>
        <w:pStyle w:val="45"/>
        <w:tabs>
          <w:tab w:val="clear" w:pos="360"/>
        </w:tabs>
        <w:spacing w:line="360" w:lineRule="auto"/>
        <w:ind w:left="284" w:firstLine="0"/>
        <w:rPr>
          <w:rFonts w:ascii="Times New Roman" w:hAnsi="Times New Roman" w:cs="Times New Roman"/>
          <w:color w:val="auto"/>
        </w:rPr>
      </w:pPr>
    </w:p>
    <w:p w14:paraId="694EA3EC">
      <w:pPr>
        <w:pStyle w:val="67"/>
        <w:numPr>
          <w:ilvl w:val="0"/>
          <w:numId w:val="7"/>
        </w:numPr>
        <w:spacing w:line="360" w:lineRule="auto"/>
        <w:rPr>
          <w:rFonts w:ascii="Times New Roman" w:hAnsi="Times New Roman" w:cs="Times New Roman"/>
          <w:color w:val="auto"/>
          <w:sz w:val="22"/>
          <w:szCs w:val="22"/>
        </w:rPr>
      </w:pPr>
      <w:bookmarkStart w:id="84" w:name="_Toc135469207"/>
      <w:bookmarkStart w:id="85" w:name="_Toc193719204"/>
      <w:r>
        <w:rPr>
          <w:rFonts w:ascii="Times New Roman" w:hAnsi="Times New Roman" w:cs="Times New Roman"/>
          <w:color w:val="auto"/>
          <w:sz w:val="22"/>
          <w:szCs w:val="22"/>
        </w:rPr>
        <w:t>DA IMPUGNAÇÃO AO EDITAL E DO PEDIDO DE ESCLARECIMENTO</w:t>
      </w:r>
      <w:bookmarkEnd w:id="84"/>
      <w:bookmarkEnd w:id="85"/>
    </w:p>
    <w:p w14:paraId="0BF904C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rStyle w:val="13"/>
          <w:rFonts w:ascii="Times New Roman" w:hAnsi="Times New Roman" w:cs="Times New Roman"/>
          <w:color w:val="auto"/>
        </w:rPr>
        <w:t>Lei nº 14.133, de 2021</w:t>
      </w:r>
      <w:r>
        <w:rPr>
          <w:rStyle w:val="13"/>
          <w:rFonts w:ascii="Times New Roman" w:hAnsi="Times New Roman" w:cs="Times New Roman"/>
          <w:color w:val="auto"/>
        </w:rPr>
        <w:fldChar w:fldCharType="end"/>
      </w:r>
      <w:r>
        <w:rPr>
          <w:rFonts w:ascii="Times New Roman" w:hAnsi="Times New Roman" w:cs="Times New Roman"/>
        </w:rPr>
        <w:t>, devendo protocolar o pedido até 3 (três) dias úteis antes da data da abertura do certame.</w:t>
      </w:r>
    </w:p>
    <w:p w14:paraId="5B84155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resposta à impugnação ou ao pedido de esclarecimento será divulgado em sítio eletrônico oficial no prazo de até 3 (três) dias úteis, limitado ao último dia útil anterior à data da abertura do certame.</w:t>
      </w:r>
    </w:p>
    <w:p w14:paraId="74FCE98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 impugnação e o pedido de esclarecimento poderão ser realizados por forma eletrônica, pelos seguintes meios: </w:t>
      </w:r>
      <w:r>
        <w:rPr>
          <w:rFonts w:ascii="Times New Roman" w:hAnsi="Times New Roman" w:cs="Times New Roman"/>
          <w:i/>
          <w:iCs/>
        </w:rPr>
        <w:t>licitacaosiunis@ufba.br</w:t>
      </w:r>
    </w:p>
    <w:p w14:paraId="3740ED5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As impugnações e pedidos de esclarecimentos não suspendem os prazos previstos no certame.</w:t>
      </w:r>
    </w:p>
    <w:p w14:paraId="3F7467A6">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concessão de efeito suspensivo à impugnação é medida excepcional e deverá ser motivada pelo Pregoeiro/Agente de Contratação/Comissão, nos autos do processo de licitação.</w:t>
      </w:r>
    </w:p>
    <w:p w14:paraId="5639212B">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Acolhida a impugnação, será definida e publicada nova data para a realização do certame.</w:t>
      </w:r>
    </w:p>
    <w:p w14:paraId="54D74C29">
      <w:pPr>
        <w:pStyle w:val="44"/>
        <w:spacing w:line="360" w:lineRule="auto"/>
        <w:rPr>
          <w:rFonts w:ascii="Times New Roman" w:hAnsi="Times New Roman" w:cs="Times New Roman"/>
        </w:rPr>
      </w:pPr>
    </w:p>
    <w:p w14:paraId="60327827">
      <w:pPr>
        <w:pStyle w:val="67"/>
        <w:numPr>
          <w:ilvl w:val="0"/>
          <w:numId w:val="7"/>
        </w:numPr>
        <w:spacing w:line="360" w:lineRule="auto"/>
        <w:rPr>
          <w:rFonts w:ascii="Times New Roman" w:hAnsi="Times New Roman" w:cs="Times New Roman"/>
          <w:color w:val="auto"/>
          <w:sz w:val="22"/>
          <w:szCs w:val="22"/>
        </w:rPr>
      </w:pPr>
      <w:bookmarkStart w:id="86" w:name="_Toc135469208"/>
      <w:bookmarkStart w:id="87" w:name="_Toc193719205"/>
      <w:r>
        <w:rPr>
          <w:rFonts w:ascii="Times New Roman" w:hAnsi="Times New Roman" w:cs="Times New Roman"/>
          <w:color w:val="auto"/>
          <w:sz w:val="22"/>
          <w:szCs w:val="22"/>
        </w:rPr>
        <w:t>DAS DISPOSIÇÕES GERAIS</w:t>
      </w:r>
      <w:bookmarkEnd w:id="86"/>
      <w:bookmarkEnd w:id="87"/>
    </w:p>
    <w:p w14:paraId="0AF63D17">
      <w:pPr>
        <w:pStyle w:val="44"/>
        <w:numPr>
          <w:ilvl w:val="1"/>
          <w:numId w:val="7"/>
        </w:numPr>
        <w:spacing w:line="360" w:lineRule="auto"/>
        <w:ind w:left="0" w:firstLine="0"/>
        <w:rPr>
          <w:rFonts w:ascii="Times New Roman" w:hAnsi="Times New Roman" w:cs="Times New Roman"/>
        </w:rPr>
      </w:pPr>
      <w:bookmarkStart w:id="88" w:name="_Hlk82473550"/>
      <w:r>
        <w:rPr>
          <w:rFonts w:ascii="Times New Roman" w:hAnsi="Times New Roman" w:cs="Times New Roman"/>
        </w:rPr>
        <w:t>Será divulgada ata da sessão pública no sistema eletrônico.</w:t>
      </w:r>
    </w:p>
    <w:p w14:paraId="66E64097">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28AD2193">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Todas as referências de tempo no Edital, no aviso e durante a sessão pública observarão o horário de Brasília - DF.</w:t>
      </w:r>
    </w:p>
    <w:p w14:paraId="6CB9D0DA">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A homologação do resultado desta licitação não implicará direito à contratação.</w:t>
      </w:r>
    </w:p>
    <w:p w14:paraId="1C4020DF">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DB76793">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Os licitantes assumem todos os custos de preparação e apresentação de suas propostas e a Administração não será, em nenhum caso, responsável por esses custos, independentemente da condução ou do resultado do processo licitatório.</w:t>
      </w:r>
    </w:p>
    <w:p w14:paraId="5EB6DD5C">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14:paraId="44EEB16E">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O desatendimento de exigências formais não essenciais não importará o afastamento do licitante, desde que seja possível o aproveitamento do ato, observados os princípios da isonomia e do interesse público.</w:t>
      </w:r>
    </w:p>
    <w:p w14:paraId="4E8FF403">
      <w:pPr>
        <w:pStyle w:val="44"/>
        <w:numPr>
          <w:ilvl w:val="1"/>
          <w:numId w:val="7"/>
        </w:numPr>
        <w:spacing w:line="360" w:lineRule="auto"/>
        <w:ind w:left="0" w:firstLine="0"/>
        <w:rPr>
          <w:rFonts w:ascii="Times New Roman" w:hAnsi="Times New Roman" w:eastAsia="Times New Roman" w:cs="Times New Roman"/>
        </w:rPr>
      </w:pPr>
      <w:r>
        <w:rPr>
          <w:rFonts w:ascii="Times New Roman" w:hAnsi="Times New Roman" w:cs="Times New Roman"/>
        </w:rPr>
        <w:t>Em caso de divergência entre disposições deste Edital e de seus anexos ou demais peças que compõem o processo, prevalecerá as deste Edital.</w:t>
      </w:r>
    </w:p>
    <w:p w14:paraId="2D8FB05D">
      <w:pPr>
        <w:pStyle w:val="44"/>
        <w:numPr>
          <w:ilvl w:val="1"/>
          <w:numId w:val="7"/>
        </w:numPr>
        <w:spacing w:line="360" w:lineRule="auto"/>
        <w:ind w:left="0" w:firstLine="0"/>
        <w:rPr>
          <w:rFonts w:ascii="Times New Roman" w:hAnsi="Times New Roman" w:cs="Times New Roman"/>
        </w:rPr>
      </w:pPr>
      <w:r>
        <w:rPr>
          <w:rFonts w:ascii="Times New Roman" w:hAnsi="Times New Roman" w:cs="Times New Roman"/>
        </w:rPr>
        <w:t xml:space="preserve">O Edital e seus anexos estão disponíveis, na íntegra, no Portal Nacional de Contratações Públicas (PNCP) e endereço eletrônico </w:t>
      </w:r>
      <w:r>
        <w:fldChar w:fldCharType="begin"/>
      </w:r>
      <w:r>
        <w:instrText xml:space="preserve"> HYPERLINK "https://sipac.ufba.br/public/jsp/portal.jsf" </w:instrText>
      </w:r>
      <w:r>
        <w:fldChar w:fldCharType="separate"/>
      </w:r>
      <w:r>
        <w:rPr>
          <w:rStyle w:val="13"/>
          <w:rFonts w:ascii="Times New Roman" w:hAnsi="Times New Roman" w:cs="Times New Roman"/>
          <w:color w:val="auto"/>
        </w:rPr>
        <w:t>https://sipac.ufba.br/public/jsp/portal.jsf</w:t>
      </w:r>
      <w:r>
        <w:rPr>
          <w:rStyle w:val="13"/>
          <w:rFonts w:ascii="Times New Roman" w:hAnsi="Times New Roman" w:cs="Times New Roman"/>
          <w:color w:val="auto"/>
        </w:rPr>
        <w:fldChar w:fldCharType="end"/>
      </w:r>
    </w:p>
    <w:p w14:paraId="3A12E3FD">
      <w:pPr>
        <w:pStyle w:val="44"/>
        <w:numPr>
          <w:ilvl w:val="1"/>
          <w:numId w:val="7"/>
        </w:numPr>
        <w:spacing w:line="360" w:lineRule="auto"/>
        <w:ind w:left="0" w:firstLine="0"/>
        <w:rPr>
          <w:rFonts w:ascii="Times New Roman" w:hAnsi="Times New Roman" w:eastAsia="Times New Roman" w:cs="Times New Roman"/>
        </w:rPr>
      </w:pPr>
      <w:r>
        <w:rPr>
          <w:rFonts w:ascii="Times New Roman" w:hAnsi="Times New Roman" w:cs="Times New Roman"/>
        </w:rPr>
        <w:t>Integram este Edital, para todos os fins e efeitos, os seguintes anexos:</w:t>
      </w:r>
    </w:p>
    <w:p w14:paraId="3BACA1D6">
      <w:pPr>
        <w:pStyle w:val="45"/>
        <w:numPr>
          <w:ilvl w:val="2"/>
          <w:numId w:val="9"/>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Anexo I - Termo de Referência;</w:t>
      </w:r>
    </w:p>
    <w:p w14:paraId="4C543B4A">
      <w:pPr>
        <w:pStyle w:val="46"/>
        <w:numPr>
          <w:ilvl w:val="3"/>
          <w:numId w:val="7"/>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Apêndice do Anexo I – Estudo Técnico Preliminar;</w:t>
      </w:r>
    </w:p>
    <w:p w14:paraId="57771B8C">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Anexo II –Regras aplicáveis ao instrumento substitutivo ao contrato;</w:t>
      </w:r>
    </w:p>
    <w:p w14:paraId="225EB4C1">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Anexo III – Termo de Ciência e concordância;</w:t>
      </w:r>
    </w:p>
    <w:p w14:paraId="787DCFB4">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Anexo IV – Minuta de Ata de Registro de Preços;</w:t>
      </w:r>
    </w:p>
    <w:p w14:paraId="6A73F151">
      <w:pPr>
        <w:pStyle w:val="48"/>
        <w:numPr>
          <w:ilvl w:val="2"/>
          <w:numId w:val="9"/>
        </w:numPr>
        <w:spacing w:line="360" w:lineRule="auto"/>
        <w:ind w:left="284" w:firstLine="0"/>
        <w:rPr>
          <w:rFonts w:ascii="Times New Roman" w:hAnsi="Times New Roman" w:cs="Times New Roman"/>
          <w:color w:val="auto"/>
        </w:rPr>
      </w:pPr>
      <w:r>
        <w:rPr>
          <w:rFonts w:ascii="Times New Roman" w:hAnsi="Times New Roman" w:cs="Times New Roman"/>
          <w:color w:val="auto"/>
        </w:rPr>
        <w:t>Anexo V - Modelo de cadastro para assinatura de Ata de Registro de Preços</w:t>
      </w:r>
    </w:p>
    <w:bookmarkEnd w:id="88"/>
    <w:p w14:paraId="04B15D71">
      <w:pPr>
        <w:spacing w:after="48" w:line="288" w:lineRule="atLeast"/>
        <w:jc w:val="both"/>
        <w:rPr>
          <w:rFonts w:ascii="Times New Roman" w:hAnsi="Times New Roman" w:eastAsia="Times New Roman" w:cs="Times New Roman"/>
          <w:lang w:eastAsia="pt-BR"/>
        </w:rPr>
      </w:pPr>
      <w:r>
        <w:rPr>
          <w:rFonts w:ascii="Times New Roman" w:hAnsi="Times New Roman" w:eastAsia="Times New Roman" w:cs="Times New Roman"/>
          <w:lang w:eastAsia="pt-BR"/>
        </w:rPr>
        <w:t> Salvador-Ba, 04 de agosto de 2025</w:t>
      </w:r>
    </w:p>
    <w:p w14:paraId="79D78F2B">
      <w:pPr>
        <w:spacing w:after="48" w:line="288" w:lineRule="atLeast"/>
        <w:jc w:val="both"/>
        <w:rPr>
          <w:rFonts w:ascii="Times New Roman" w:hAnsi="Times New Roman" w:eastAsia="Times New Roman" w:cs="Times New Roman"/>
          <w:lang w:eastAsia="pt-BR"/>
        </w:rPr>
      </w:pPr>
    </w:p>
    <w:p w14:paraId="79137F34">
      <w:pPr>
        <w:spacing w:after="48" w:line="288" w:lineRule="atLeast"/>
        <w:jc w:val="both"/>
        <w:rPr>
          <w:rFonts w:ascii="Times New Roman" w:hAnsi="Times New Roman" w:eastAsia="Times New Roman" w:cs="Times New Roman"/>
          <w:lang w:eastAsia="pt-BR"/>
        </w:rPr>
      </w:pPr>
    </w:p>
    <w:p w14:paraId="4E98DE74">
      <w:pPr>
        <w:spacing w:after="48" w:line="288" w:lineRule="atLeast"/>
        <w:jc w:val="center"/>
        <w:rPr>
          <w:rFonts w:ascii="Times New Roman" w:hAnsi="Times New Roman" w:eastAsia="Times New Roman" w:cs="Times New Roman"/>
          <w:lang w:eastAsia="pt-BR"/>
        </w:rPr>
      </w:pPr>
      <w:r>
        <w:rPr>
          <w:rFonts w:ascii="Times New Roman" w:hAnsi="Times New Roman" w:eastAsia="Times New Roman" w:cs="Times New Roman"/>
          <w:lang w:eastAsia="pt-BR"/>
        </w:rPr>
        <w:t xml:space="preserve"> PREGOEIRO OFICIAL </w:t>
      </w:r>
    </w:p>
    <w:p w14:paraId="0095EEB3">
      <w:pPr>
        <w:spacing w:after="48" w:line="288" w:lineRule="atLeast"/>
        <w:jc w:val="center"/>
        <w:rPr>
          <w:rFonts w:ascii="Times New Roman" w:hAnsi="Times New Roman" w:eastAsia="Times New Roman" w:cs="Times New Roman"/>
          <w:lang w:eastAsia="pt-BR"/>
        </w:rPr>
      </w:pPr>
    </w:p>
    <w:p w14:paraId="2DC07566">
      <w:pPr>
        <w:jc w:val="center"/>
        <w:outlineLvl w:val="0"/>
        <w:rPr>
          <w:rFonts w:ascii="Times New Roman" w:hAnsi="Times New Roman" w:cs="Times New Roman"/>
          <w:b/>
        </w:rPr>
      </w:pPr>
      <w:r>
        <w:rPr>
          <w:rFonts w:ascii="Times New Roman" w:hAnsi="Times New Roman" w:cs="Times New Roman"/>
          <w:b/>
        </w:rPr>
        <w:t xml:space="preserve">ANEXO I </w:t>
      </w:r>
    </w:p>
    <w:p w14:paraId="2642283E">
      <w:pPr>
        <w:spacing w:after="0" w:line="360" w:lineRule="auto"/>
        <w:ind w:right="140"/>
        <w:jc w:val="center"/>
        <w:rPr>
          <w:rFonts w:cstheme="minorHAnsi"/>
          <w:b/>
          <w:lang w:eastAsia="ar-SA"/>
        </w:rPr>
      </w:pPr>
      <w:bookmarkStart w:id="89" w:name="_Hlk82471863"/>
      <w:r>
        <w:rPr>
          <w:rFonts w:cstheme="minorHAnsi"/>
          <w:b/>
          <w:lang w:eastAsia="ar-SA"/>
        </w:rPr>
        <w:t>TERMO DE REFERÊNCIA</w:t>
      </w:r>
    </w:p>
    <w:p w14:paraId="5BD61872">
      <w:pPr>
        <w:spacing w:after="0" w:line="360" w:lineRule="auto"/>
        <w:ind w:right="140"/>
        <w:jc w:val="center"/>
        <w:rPr>
          <w:rFonts w:cstheme="minorHAnsi"/>
          <w:b/>
          <w:lang w:eastAsia="ar-SA"/>
        </w:rPr>
      </w:pPr>
      <w:r>
        <w:rPr>
          <w:rFonts w:cstheme="minorHAnsi"/>
          <w:b/>
          <w:lang w:eastAsia="ar-SA"/>
        </w:rPr>
        <w:t>PREGÃO SRP 90085/2025</w:t>
      </w:r>
    </w:p>
    <w:p w14:paraId="36BF9E8D">
      <w:pPr>
        <w:spacing w:after="0" w:line="360" w:lineRule="auto"/>
        <w:ind w:right="140"/>
        <w:jc w:val="center"/>
        <w:rPr>
          <w:rFonts w:cstheme="minorHAnsi"/>
          <w:b/>
          <w:lang w:eastAsia="ar-SA"/>
        </w:rPr>
      </w:pPr>
    </w:p>
    <w:p w14:paraId="5E19D38C">
      <w:pPr>
        <w:spacing w:after="0" w:line="360" w:lineRule="auto"/>
        <w:ind w:right="140"/>
        <w:jc w:val="center"/>
        <w:rPr>
          <w:rFonts w:cstheme="minorHAnsi"/>
          <w:b/>
        </w:rPr>
      </w:pPr>
      <w:r>
        <w:rPr>
          <w:rFonts w:cstheme="minorHAnsi"/>
          <w:b/>
        </w:rPr>
        <w:t xml:space="preserve">PARTICIPAÇÃO EM AMPLA CONCORRÊNCIA </w:t>
      </w:r>
    </w:p>
    <w:p w14:paraId="334D4B2E">
      <w:pPr>
        <w:spacing w:after="0" w:line="360" w:lineRule="auto"/>
        <w:ind w:right="140"/>
        <w:jc w:val="center"/>
        <w:rPr>
          <w:rFonts w:cstheme="minorHAnsi"/>
          <w:b/>
          <w:lang w:eastAsia="ar-SA"/>
        </w:rPr>
      </w:pPr>
      <w:r>
        <w:rPr>
          <w:rFonts w:cstheme="minorHAnsi"/>
          <w:b/>
        </w:rPr>
        <w:t>SEM EXCLUSIVIDADE PARA ME/EPP</w:t>
      </w:r>
    </w:p>
    <w:p w14:paraId="23136C39">
      <w:pPr>
        <w:spacing w:after="0" w:line="360" w:lineRule="auto"/>
        <w:ind w:right="140"/>
        <w:jc w:val="center"/>
        <w:rPr>
          <w:rFonts w:cstheme="minorHAnsi"/>
          <w:b/>
          <w:lang w:eastAsia="ar-SA"/>
        </w:rPr>
      </w:pPr>
    </w:p>
    <w:p w14:paraId="00EE2FD0">
      <w:pPr>
        <w:pStyle w:val="67"/>
        <w:rPr>
          <w:color w:val="auto"/>
          <w:shd w:val="clear" w:color="auto" w:fill="FFFFFF"/>
        </w:rPr>
      </w:pPr>
      <w:r>
        <w:rPr>
          <w:color w:val="auto"/>
        </w:rPr>
        <w:t xml:space="preserve">NÚMERO DO PROCESSO: </w:t>
      </w:r>
      <w:r>
        <w:rPr>
          <w:color w:val="auto"/>
          <w:shd w:val="clear" w:color="auto" w:fill="FFFFFF"/>
        </w:rPr>
        <w:t>23066.042669/2025-76</w:t>
      </w:r>
    </w:p>
    <w:p w14:paraId="4FDE7BDA">
      <w:pPr>
        <w:rPr>
          <w:rFonts w:cstheme="minorHAnsi"/>
          <w:lang w:eastAsia="pt-BR"/>
        </w:rPr>
      </w:pPr>
    </w:p>
    <w:p w14:paraId="40E6EE61">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CONDIÇÕES GERAIS DA CONTRATAÇÃO</w:t>
      </w:r>
    </w:p>
    <w:p w14:paraId="5864D33A">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Aquisição de</w:t>
      </w:r>
      <w:r>
        <w:rPr>
          <w:rFonts w:asciiTheme="minorHAnsi" w:hAnsiTheme="minorHAnsi" w:cstheme="minorHAnsi"/>
          <w:b/>
          <w:bCs/>
          <w:sz w:val="22"/>
          <w:szCs w:val="22"/>
          <w:u w:val="single"/>
        </w:rPr>
        <w:t xml:space="preserve"> </w:t>
      </w:r>
      <w:r>
        <w:rPr>
          <w:rFonts w:asciiTheme="minorHAnsi" w:hAnsiTheme="minorHAnsi" w:cstheme="minorHAnsi"/>
          <w:bCs/>
          <w:sz w:val="22"/>
          <w:szCs w:val="22"/>
        </w:rPr>
        <w:t>MEDICAMENTOS, através de registro de preços, visando atender as necessidades do Hospital Ana Nery, unidade integrante do Complexo Hospitalar e de Saúde/UFBA, pelo período de 12 (doze) meses, conforme condições, exigências e estimativas estabelecidas neste instrumento:</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99"/>
        <w:gridCol w:w="676"/>
        <w:gridCol w:w="2434"/>
        <w:gridCol w:w="1219"/>
        <w:gridCol w:w="1082"/>
        <w:gridCol w:w="811"/>
        <w:gridCol w:w="947"/>
        <w:gridCol w:w="1076"/>
      </w:tblGrid>
      <w:tr w14:paraId="23C7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30" w:hRule="atLeast"/>
        </w:trPr>
        <w:tc>
          <w:tcPr>
            <w:tcW w:w="231" w:type="pct"/>
            <w:vMerge w:val="restart"/>
            <w:shd w:val="clear" w:color="auto" w:fill="A5A5A5" w:themeFill="background1" w:themeFillShade="A6"/>
            <w:textDirection w:val="btLr"/>
            <w:vAlign w:val="center"/>
          </w:tcPr>
          <w:p w14:paraId="2110722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ITEM</w:t>
            </w:r>
          </w:p>
        </w:tc>
        <w:tc>
          <w:tcPr>
            <w:tcW w:w="391" w:type="pct"/>
            <w:vMerge w:val="restart"/>
            <w:shd w:val="clear" w:color="auto" w:fill="A5A5A5" w:themeFill="background1" w:themeFillShade="A6"/>
            <w:vAlign w:val="center"/>
          </w:tcPr>
          <w:p w14:paraId="178603E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CÓDIGO CATMAT</w:t>
            </w:r>
          </w:p>
        </w:tc>
        <w:tc>
          <w:tcPr>
            <w:tcW w:w="1408" w:type="pct"/>
            <w:vMerge w:val="restart"/>
            <w:shd w:val="clear" w:color="auto" w:fill="A5A5A5" w:themeFill="background1" w:themeFillShade="A6"/>
            <w:vAlign w:val="center"/>
          </w:tcPr>
          <w:p w14:paraId="6BC1481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ESPECIFICAÇÃO</w:t>
            </w:r>
          </w:p>
        </w:tc>
        <w:tc>
          <w:tcPr>
            <w:tcW w:w="705" w:type="pct"/>
            <w:vMerge w:val="restart"/>
            <w:shd w:val="clear" w:color="auto" w:fill="A5A5A5" w:themeFill="background1" w:themeFillShade="A6"/>
            <w:vAlign w:val="center"/>
          </w:tcPr>
          <w:p w14:paraId="5250619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UF</w:t>
            </w:r>
          </w:p>
        </w:tc>
        <w:tc>
          <w:tcPr>
            <w:tcW w:w="626" w:type="pct"/>
            <w:shd w:val="clear" w:color="auto" w:fill="A5A5A5" w:themeFill="background1" w:themeFillShade="A6"/>
            <w:vAlign w:val="center"/>
          </w:tcPr>
          <w:p w14:paraId="43C4620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C.H.S.     (HAN)                             UG 150247</w:t>
            </w:r>
          </w:p>
        </w:tc>
        <w:tc>
          <w:tcPr>
            <w:tcW w:w="469" w:type="pct"/>
            <w:vMerge w:val="restart"/>
            <w:shd w:val="clear" w:color="auto" w:fill="A5A5A5" w:themeFill="background1" w:themeFillShade="A6"/>
            <w:vAlign w:val="center"/>
          </w:tcPr>
          <w:p w14:paraId="0D48601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TOTAL ANUAL</w:t>
            </w:r>
          </w:p>
        </w:tc>
        <w:tc>
          <w:tcPr>
            <w:tcW w:w="547" w:type="pct"/>
            <w:vMerge w:val="restart"/>
            <w:shd w:val="clear" w:color="auto" w:fill="A5A5A5" w:themeFill="background1" w:themeFillShade="A6"/>
            <w:vAlign w:val="center"/>
          </w:tcPr>
          <w:p w14:paraId="41ACFC1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VALOR MÉDIO UNITÁRIO ESTIMADO</w:t>
            </w:r>
          </w:p>
        </w:tc>
        <w:tc>
          <w:tcPr>
            <w:tcW w:w="622" w:type="pct"/>
            <w:vMerge w:val="restart"/>
            <w:shd w:val="clear" w:color="auto" w:fill="A5A5A5" w:themeFill="background1" w:themeFillShade="A6"/>
            <w:vAlign w:val="center"/>
          </w:tcPr>
          <w:p w14:paraId="6163F34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VALOR TOTAL ESTIMADO</w:t>
            </w:r>
          </w:p>
        </w:tc>
      </w:tr>
      <w:tr w14:paraId="5D96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85" w:hRule="atLeast"/>
        </w:trPr>
        <w:tc>
          <w:tcPr>
            <w:tcW w:w="231" w:type="pct"/>
            <w:vMerge w:val="continue"/>
            <w:vAlign w:val="center"/>
          </w:tcPr>
          <w:p w14:paraId="2F218CD4">
            <w:pPr>
              <w:spacing w:after="0" w:line="240" w:lineRule="auto"/>
              <w:rPr>
                <w:rFonts w:eastAsia="Times New Roman" w:cstheme="minorHAnsi"/>
                <w:bCs/>
                <w:sz w:val="16"/>
                <w:szCs w:val="16"/>
                <w:lang w:eastAsia="pt-BR"/>
              </w:rPr>
            </w:pPr>
          </w:p>
        </w:tc>
        <w:tc>
          <w:tcPr>
            <w:tcW w:w="391" w:type="pct"/>
            <w:vMerge w:val="continue"/>
            <w:vAlign w:val="center"/>
          </w:tcPr>
          <w:p w14:paraId="6E125436">
            <w:pPr>
              <w:spacing w:after="0" w:line="240" w:lineRule="auto"/>
              <w:rPr>
                <w:rFonts w:eastAsia="Times New Roman" w:cstheme="minorHAnsi"/>
                <w:bCs/>
                <w:sz w:val="16"/>
                <w:szCs w:val="16"/>
                <w:lang w:eastAsia="pt-BR"/>
              </w:rPr>
            </w:pPr>
          </w:p>
        </w:tc>
        <w:tc>
          <w:tcPr>
            <w:tcW w:w="1408" w:type="pct"/>
            <w:vMerge w:val="continue"/>
            <w:vAlign w:val="center"/>
          </w:tcPr>
          <w:p w14:paraId="11B57CDC">
            <w:pPr>
              <w:spacing w:after="0" w:line="240" w:lineRule="auto"/>
              <w:rPr>
                <w:rFonts w:eastAsia="Times New Roman" w:cstheme="minorHAnsi"/>
                <w:bCs/>
                <w:sz w:val="16"/>
                <w:szCs w:val="16"/>
                <w:lang w:eastAsia="pt-BR"/>
              </w:rPr>
            </w:pPr>
          </w:p>
        </w:tc>
        <w:tc>
          <w:tcPr>
            <w:tcW w:w="705" w:type="pct"/>
            <w:vMerge w:val="continue"/>
            <w:vAlign w:val="center"/>
          </w:tcPr>
          <w:p w14:paraId="245D15DE">
            <w:pPr>
              <w:spacing w:after="0" w:line="240" w:lineRule="auto"/>
              <w:rPr>
                <w:rFonts w:eastAsia="Times New Roman" w:cstheme="minorHAnsi"/>
                <w:bCs/>
                <w:sz w:val="16"/>
                <w:szCs w:val="16"/>
                <w:lang w:eastAsia="pt-BR"/>
              </w:rPr>
            </w:pPr>
          </w:p>
        </w:tc>
        <w:tc>
          <w:tcPr>
            <w:tcW w:w="626" w:type="pct"/>
            <w:shd w:val="clear" w:color="auto" w:fill="A5A5A5" w:themeFill="background1" w:themeFillShade="A6"/>
            <w:vAlign w:val="center"/>
          </w:tcPr>
          <w:p w14:paraId="50FD2B7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ANUAL</w:t>
            </w:r>
          </w:p>
        </w:tc>
        <w:tc>
          <w:tcPr>
            <w:tcW w:w="469" w:type="pct"/>
            <w:vMerge w:val="continue"/>
            <w:shd w:val="clear" w:color="auto" w:fill="A5A5A5" w:themeFill="background1" w:themeFillShade="A6"/>
            <w:vAlign w:val="center"/>
          </w:tcPr>
          <w:p w14:paraId="24C5EC87">
            <w:pPr>
              <w:spacing w:after="0" w:line="240" w:lineRule="auto"/>
              <w:rPr>
                <w:rFonts w:eastAsia="Times New Roman" w:cstheme="minorHAnsi"/>
                <w:bCs/>
                <w:sz w:val="16"/>
                <w:szCs w:val="16"/>
                <w:lang w:eastAsia="pt-BR"/>
              </w:rPr>
            </w:pPr>
          </w:p>
        </w:tc>
        <w:tc>
          <w:tcPr>
            <w:tcW w:w="547" w:type="pct"/>
            <w:vMerge w:val="continue"/>
            <w:vAlign w:val="center"/>
          </w:tcPr>
          <w:p w14:paraId="66050E6A">
            <w:pPr>
              <w:spacing w:after="0" w:line="240" w:lineRule="auto"/>
              <w:rPr>
                <w:rFonts w:eastAsia="Times New Roman" w:cstheme="minorHAnsi"/>
                <w:bCs/>
                <w:sz w:val="16"/>
                <w:szCs w:val="16"/>
                <w:lang w:eastAsia="pt-BR"/>
              </w:rPr>
            </w:pPr>
          </w:p>
        </w:tc>
        <w:tc>
          <w:tcPr>
            <w:tcW w:w="622" w:type="pct"/>
            <w:vMerge w:val="continue"/>
            <w:vAlign w:val="center"/>
          </w:tcPr>
          <w:p w14:paraId="17A4EC27">
            <w:pPr>
              <w:spacing w:after="0" w:line="240" w:lineRule="auto"/>
              <w:rPr>
                <w:rFonts w:eastAsia="Times New Roman" w:cstheme="minorHAnsi"/>
                <w:bCs/>
                <w:sz w:val="16"/>
                <w:szCs w:val="16"/>
                <w:lang w:eastAsia="pt-BR"/>
              </w:rPr>
            </w:pPr>
          </w:p>
        </w:tc>
      </w:tr>
      <w:tr w14:paraId="6D32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5" w:hRule="atLeast"/>
        </w:trPr>
        <w:tc>
          <w:tcPr>
            <w:tcW w:w="231" w:type="pct"/>
            <w:shd w:val="clear" w:color="auto" w:fill="auto"/>
            <w:noWrap/>
            <w:vAlign w:val="center"/>
          </w:tcPr>
          <w:p w14:paraId="00868D3F">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w:t>
            </w:r>
          </w:p>
        </w:tc>
        <w:tc>
          <w:tcPr>
            <w:tcW w:w="391" w:type="pct"/>
            <w:shd w:val="clear" w:color="auto" w:fill="auto"/>
            <w:noWrap/>
            <w:vAlign w:val="center"/>
          </w:tcPr>
          <w:p w14:paraId="7509C83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BR268482</w:t>
            </w:r>
          </w:p>
        </w:tc>
        <w:tc>
          <w:tcPr>
            <w:tcW w:w="1408" w:type="pct"/>
            <w:shd w:val="clear" w:color="auto" w:fill="auto"/>
            <w:noWrap/>
            <w:vAlign w:val="center"/>
          </w:tcPr>
          <w:p w14:paraId="0A27E9CB">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br w:type="textWrapping"/>
            </w:r>
            <w:r>
              <w:rPr>
                <w:rFonts w:eastAsia="Times New Roman" w:cstheme="minorHAnsi"/>
                <w:bCs/>
                <w:sz w:val="16"/>
                <w:szCs w:val="16"/>
                <w:lang w:eastAsia="pt-BR"/>
              </w:rPr>
              <w:t>MIDAZOLAM, APLICAÇÃO: INJETÁVEL, DOSAGEM: 1MG/ML</w:t>
            </w:r>
          </w:p>
        </w:tc>
        <w:tc>
          <w:tcPr>
            <w:tcW w:w="705" w:type="pct"/>
            <w:shd w:val="clear" w:color="auto" w:fill="auto"/>
            <w:vAlign w:val="center"/>
          </w:tcPr>
          <w:p w14:paraId="0733E91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AMPOLA 5,00 ML</w:t>
            </w:r>
          </w:p>
        </w:tc>
        <w:tc>
          <w:tcPr>
            <w:tcW w:w="626" w:type="pct"/>
            <w:shd w:val="clear" w:color="auto" w:fill="auto"/>
            <w:noWrap/>
            <w:vAlign w:val="center"/>
          </w:tcPr>
          <w:p w14:paraId="6F6C97A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4000</w:t>
            </w:r>
          </w:p>
        </w:tc>
        <w:tc>
          <w:tcPr>
            <w:tcW w:w="469" w:type="pct"/>
            <w:shd w:val="clear" w:color="auto" w:fill="auto"/>
            <w:noWrap/>
            <w:vAlign w:val="center"/>
          </w:tcPr>
          <w:p w14:paraId="3832562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4000</w:t>
            </w:r>
          </w:p>
        </w:tc>
        <w:tc>
          <w:tcPr>
            <w:tcW w:w="547" w:type="pct"/>
            <w:shd w:val="clear" w:color="auto" w:fill="auto"/>
            <w:vAlign w:val="center"/>
          </w:tcPr>
          <w:p w14:paraId="08131742">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2,69 </w:t>
            </w:r>
          </w:p>
        </w:tc>
        <w:tc>
          <w:tcPr>
            <w:tcW w:w="622" w:type="pct"/>
            <w:shd w:val="clear" w:color="auto" w:fill="auto"/>
            <w:vAlign w:val="center"/>
          </w:tcPr>
          <w:p w14:paraId="0BB34A0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10.760,00 </w:t>
            </w:r>
          </w:p>
        </w:tc>
      </w:tr>
      <w:tr w14:paraId="2B6B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231" w:type="pct"/>
            <w:shd w:val="clear" w:color="auto" w:fill="auto"/>
            <w:noWrap/>
            <w:vAlign w:val="center"/>
          </w:tcPr>
          <w:p w14:paraId="2C4FABDC">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w:t>
            </w:r>
          </w:p>
        </w:tc>
        <w:tc>
          <w:tcPr>
            <w:tcW w:w="391" w:type="pct"/>
            <w:shd w:val="clear" w:color="auto" w:fill="auto"/>
            <w:noWrap/>
            <w:vAlign w:val="center"/>
          </w:tcPr>
          <w:p w14:paraId="301235B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BR396741</w:t>
            </w:r>
          </w:p>
        </w:tc>
        <w:tc>
          <w:tcPr>
            <w:tcW w:w="1408" w:type="pct"/>
            <w:shd w:val="clear" w:color="auto" w:fill="auto"/>
            <w:noWrap/>
            <w:vAlign w:val="center"/>
          </w:tcPr>
          <w:p w14:paraId="297F2ADD">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DEXTRANA, COMPOSIÇÃO:DEXTRANA 70 ASSOCIADA À HIPROMELOSE, CONCENTRAÇÃO:0,1% + 0,3%, FORMA FARMACEUTICA:SOLUÇÃO OFTÁLMICA</w:t>
            </w:r>
          </w:p>
        </w:tc>
        <w:tc>
          <w:tcPr>
            <w:tcW w:w="705" w:type="pct"/>
            <w:shd w:val="clear" w:color="auto" w:fill="auto"/>
            <w:vAlign w:val="center"/>
          </w:tcPr>
          <w:p w14:paraId="0704429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 15,00 ML</w:t>
            </w:r>
          </w:p>
        </w:tc>
        <w:tc>
          <w:tcPr>
            <w:tcW w:w="626" w:type="pct"/>
            <w:shd w:val="clear" w:color="auto" w:fill="auto"/>
            <w:noWrap/>
            <w:vAlign w:val="center"/>
          </w:tcPr>
          <w:p w14:paraId="46E6E71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500</w:t>
            </w:r>
          </w:p>
        </w:tc>
        <w:tc>
          <w:tcPr>
            <w:tcW w:w="469" w:type="pct"/>
            <w:shd w:val="clear" w:color="auto" w:fill="auto"/>
            <w:noWrap/>
            <w:vAlign w:val="center"/>
          </w:tcPr>
          <w:p w14:paraId="591DE2F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500</w:t>
            </w:r>
          </w:p>
        </w:tc>
        <w:tc>
          <w:tcPr>
            <w:tcW w:w="547" w:type="pct"/>
            <w:shd w:val="clear" w:color="auto" w:fill="auto"/>
            <w:vAlign w:val="center"/>
          </w:tcPr>
          <w:p w14:paraId="59DBCCEA">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20,20 </w:t>
            </w:r>
          </w:p>
        </w:tc>
        <w:tc>
          <w:tcPr>
            <w:tcW w:w="622" w:type="pct"/>
            <w:shd w:val="clear" w:color="auto" w:fill="auto"/>
            <w:vAlign w:val="center"/>
          </w:tcPr>
          <w:p w14:paraId="5AC844B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10.100,00 </w:t>
            </w:r>
          </w:p>
        </w:tc>
      </w:tr>
      <w:tr w14:paraId="13D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5" w:hRule="atLeast"/>
        </w:trPr>
        <w:tc>
          <w:tcPr>
            <w:tcW w:w="231" w:type="pct"/>
            <w:shd w:val="clear" w:color="auto" w:fill="auto"/>
            <w:noWrap/>
            <w:vAlign w:val="center"/>
          </w:tcPr>
          <w:p w14:paraId="542F4E19">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w:t>
            </w:r>
          </w:p>
        </w:tc>
        <w:tc>
          <w:tcPr>
            <w:tcW w:w="391" w:type="pct"/>
            <w:shd w:val="clear" w:color="auto" w:fill="auto"/>
            <w:noWrap/>
            <w:vAlign w:val="center"/>
          </w:tcPr>
          <w:p w14:paraId="6153A93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BR268446</w:t>
            </w:r>
          </w:p>
        </w:tc>
        <w:tc>
          <w:tcPr>
            <w:tcW w:w="1408" w:type="pct"/>
            <w:shd w:val="clear" w:color="auto" w:fill="auto"/>
            <w:noWrap/>
            <w:vAlign w:val="center"/>
          </w:tcPr>
          <w:p w14:paraId="1085030F">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DOBUTAMINA CLORIDRATO, DOSAGEM:12,5 MG/ML, INDICAÇÃO:INJETÁVEL</w:t>
            </w:r>
          </w:p>
        </w:tc>
        <w:tc>
          <w:tcPr>
            <w:tcW w:w="705" w:type="pct"/>
            <w:shd w:val="clear" w:color="auto" w:fill="auto"/>
            <w:vAlign w:val="center"/>
          </w:tcPr>
          <w:p w14:paraId="4F28C1C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AMPOLA 20,00 ML</w:t>
            </w:r>
          </w:p>
        </w:tc>
        <w:tc>
          <w:tcPr>
            <w:tcW w:w="626" w:type="pct"/>
            <w:shd w:val="clear" w:color="auto" w:fill="auto"/>
            <w:noWrap/>
            <w:vAlign w:val="center"/>
          </w:tcPr>
          <w:p w14:paraId="5989DEF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10000</w:t>
            </w:r>
          </w:p>
        </w:tc>
        <w:tc>
          <w:tcPr>
            <w:tcW w:w="469" w:type="pct"/>
            <w:shd w:val="clear" w:color="auto" w:fill="auto"/>
            <w:noWrap/>
            <w:vAlign w:val="center"/>
          </w:tcPr>
          <w:p w14:paraId="5C217E3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10000</w:t>
            </w:r>
          </w:p>
        </w:tc>
        <w:tc>
          <w:tcPr>
            <w:tcW w:w="547" w:type="pct"/>
            <w:shd w:val="clear" w:color="auto" w:fill="auto"/>
            <w:vAlign w:val="center"/>
          </w:tcPr>
          <w:p w14:paraId="282D913D">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5,56 </w:t>
            </w:r>
          </w:p>
        </w:tc>
        <w:tc>
          <w:tcPr>
            <w:tcW w:w="622" w:type="pct"/>
            <w:shd w:val="clear" w:color="auto" w:fill="auto"/>
            <w:vAlign w:val="center"/>
          </w:tcPr>
          <w:p w14:paraId="71797BD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55.600,00 </w:t>
            </w:r>
          </w:p>
        </w:tc>
      </w:tr>
      <w:tr w14:paraId="679F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45" w:hRule="atLeast"/>
        </w:trPr>
        <w:tc>
          <w:tcPr>
            <w:tcW w:w="231" w:type="pct"/>
            <w:shd w:val="clear" w:color="auto" w:fill="auto"/>
            <w:noWrap/>
            <w:vAlign w:val="center"/>
          </w:tcPr>
          <w:p w14:paraId="4200DC7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4</w:t>
            </w:r>
          </w:p>
        </w:tc>
        <w:tc>
          <w:tcPr>
            <w:tcW w:w="391" w:type="pct"/>
            <w:shd w:val="clear" w:color="auto" w:fill="auto"/>
            <w:noWrap/>
            <w:vAlign w:val="center"/>
          </w:tcPr>
          <w:p w14:paraId="343FD21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BR274438</w:t>
            </w:r>
          </w:p>
        </w:tc>
        <w:tc>
          <w:tcPr>
            <w:tcW w:w="1408" w:type="pct"/>
            <w:shd w:val="clear" w:color="auto" w:fill="auto"/>
            <w:noWrap/>
            <w:vAlign w:val="center"/>
          </w:tcPr>
          <w:p w14:paraId="7E0F587F">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VALSARTANA, DOSAGEM: 80 MG</w:t>
            </w:r>
          </w:p>
        </w:tc>
        <w:tc>
          <w:tcPr>
            <w:tcW w:w="705" w:type="pct"/>
            <w:shd w:val="clear" w:color="auto" w:fill="auto"/>
            <w:vAlign w:val="center"/>
          </w:tcPr>
          <w:p w14:paraId="4C32DF8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20A89B5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3000</w:t>
            </w:r>
          </w:p>
        </w:tc>
        <w:tc>
          <w:tcPr>
            <w:tcW w:w="469" w:type="pct"/>
            <w:shd w:val="clear" w:color="auto" w:fill="auto"/>
            <w:noWrap/>
            <w:vAlign w:val="center"/>
          </w:tcPr>
          <w:p w14:paraId="18C3BB2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3000</w:t>
            </w:r>
          </w:p>
        </w:tc>
        <w:tc>
          <w:tcPr>
            <w:tcW w:w="547" w:type="pct"/>
            <w:shd w:val="clear" w:color="auto" w:fill="auto"/>
            <w:vAlign w:val="center"/>
          </w:tcPr>
          <w:p w14:paraId="05D8BF12">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0,63 </w:t>
            </w:r>
          </w:p>
        </w:tc>
        <w:tc>
          <w:tcPr>
            <w:tcW w:w="622" w:type="pct"/>
            <w:shd w:val="clear" w:color="auto" w:fill="auto"/>
            <w:vAlign w:val="center"/>
          </w:tcPr>
          <w:p w14:paraId="50D7ACE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1.890,00 </w:t>
            </w:r>
          </w:p>
        </w:tc>
      </w:tr>
      <w:tr w14:paraId="2AE1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90" w:hRule="atLeast"/>
        </w:trPr>
        <w:tc>
          <w:tcPr>
            <w:tcW w:w="231" w:type="pct"/>
            <w:shd w:val="clear" w:color="auto" w:fill="auto"/>
            <w:noWrap/>
            <w:vAlign w:val="center"/>
          </w:tcPr>
          <w:p w14:paraId="4C85A167">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5</w:t>
            </w:r>
          </w:p>
        </w:tc>
        <w:tc>
          <w:tcPr>
            <w:tcW w:w="391" w:type="pct"/>
            <w:shd w:val="clear" w:color="auto" w:fill="auto"/>
            <w:noWrap/>
            <w:vAlign w:val="center"/>
          </w:tcPr>
          <w:p w14:paraId="013AFFC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BR267645</w:t>
            </w:r>
          </w:p>
        </w:tc>
        <w:tc>
          <w:tcPr>
            <w:tcW w:w="1408" w:type="pct"/>
            <w:shd w:val="clear" w:color="auto" w:fill="auto"/>
            <w:noWrap/>
            <w:vAlign w:val="center"/>
          </w:tcPr>
          <w:p w14:paraId="2CA438EC">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DEXCLORFENIRAMINA MALEATO, DOSAGEM: 2 MG</w:t>
            </w:r>
          </w:p>
        </w:tc>
        <w:tc>
          <w:tcPr>
            <w:tcW w:w="705" w:type="pct"/>
            <w:shd w:val="clear" w:color="auto" w:fill="auto"/>
            <w:vAlign w:val="center"/>
          </w:tcPr>
          <w:p w14:paraId="1F7FFF6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4BADDF5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10000</w:t>
            </w:r>
          </w:p>
        </w:tc>
        <w:tc>
          <w:tcPr>
            <w:tcW w:w="469" w:type="pct"/>
            <w:shd w:val="clear" w:color="auto" w:fill="auto"/>
            <w:noWrap/>
            <w:vAlign w:val="center"/>
          </w:tcPr>
          <w:p w14:paraId="0C12924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10000</w:t>
            </w:r>
          </w:p>
        </w:tc>
        <w:tc>
          <w:tcPr>
            <w:tcW w:w="547" w:type="pct"/>
            <w:shd w:val="clear" w:color="auto" w:fill="auto"/>
            <w:vAlign w:val="center"/>
          </w:tcPr>
          <w:p w14:paraId="208EBD8E">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0,19 </w:t>
            </w:r>
          </w:p>
        </w:tc>
        <w:tc>
          <w:tcPr>
            <w:tcW w:w="622" w:type="pct"/>
            <w:shd w:val="clear" w:color="auto" w:fill="auto"/>
            <w:vAlign w:val="center"/>
          </w:tcPr>
          <w:p w14:paraId="63889C3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1.900,00 </w:t>
            </w:r>
          </w:p>
        </w:tc>
      </w:tr>
      <w:tr w14:paraId="388A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95" w:hRule="atLeast"/>
        </w:trPr>
        <w:tc>
          <w:tcPr>
            <w:tcW w:w="231" w:type="pct"/>
            <w:shd w:val="clear" w:color="auto" w:fill="auto"/>
            <w:noWrap/>
            <w:vAlign w:val="center"/>
          </w:tcPr>
          <w:p w14:paraId="0B48B80E">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6</w:t>
            </w:r>
          </w:p>
        </w:tc>
        <w:tc>
          <w:tcPr>
            <w:tcW w:w="391" w:type="pct"/>
            <w:shd w:val="clear" w:color="auto" w:fill="auto"/>
            <w:noWrap/>
            <w:vAlign w:val="center"/>
          </w:tcPr>
          <w:p w14:paraId="7BB9ADC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BR271950</w:t>
            </w:r>
          </w:p>
        </w:tc>
        <w:tc>
          <w:tcPr>
            <w:tcW w:w="1408" w:type="pct"/>
            <w:shd w:val="clear" w:color="auto" w:fill="auto"/>
            <w:noWrap/>
            <w:vAlign w:val="center"/>
          </w:tcPr>
          <w:p w14:paraId="3C7A972D">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FENTANILA, APRESENTAÇÃO: SAL CITRATO, DOSAGEM: 0,05 MG/ML, INDICAÇÃO: SOLUÇÃO INJETÁVEL</w:t>
            </w:r>
          </w:p>
        </w:tc>
        <w:tc>
          <w:tcPr>
            <w:tcW w:w="705" w:type="pct"/>
            <w:shd w:val="clear" w:color="auto" w:fill="auto"/>
            <w:vAlign w:val="center"/>
          </w:tcPr>
          <w:p w14:paraId="0C11553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AMPOLA 5,00 ML</w:t>
            </w:r>
          </w:p>
        </w:tc>
        <w:tc>
          <w:tcPr>
            <w:tcW w:w="626" w:type="pct"/>
            <w:shd w:val="clear" w:color="auto" w:fill="auto"/>
            <w:noWrap/>
            <w:vAlign w:val="center"/>
          </w:tcPr>
          <w:p w14:paraId="7232BA2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2400</w:t>
            </w:r>
          </w:p>
        </w:tc>
        <w:tc>
          <w:tcPr>
            <w:tcW w:w="469" w:type="pct"/>
            <w:shd w:val="clear" w:color="auto" w:fill="auto"/>
            <w:noWrap/>
            <w:vAlign w:val="center"/>
          </w:tcPr>
          <w:p w14:paraId="5C37691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2400</w:t>
            </w:r>
          </w:p>
        </w:tc>
        <w:tc>
          <w:tcPr>
            <w:tcW w:w="547" w:type="pct"/>
            <w:shd w:val="clear" w:color="auto" w:fill="auto"/>
            <w:vAlign w:val="center"/>
          </w:tcPr>
          <w:p w14:paraId="413E468F">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3,14 </w:t>
            </w:r>
          </w:p>
        </w:tc>
        <w:tc>
          <w:tcPr>
            <w:tcW w:w="622" w:type="pct"/>
            <w:shd w:val="clear" w:color="auto" w:fill="auto"/>
            <w:vAlign w:val="center"/>
          </w:tcPr>
          <w:p w14:paraId="126F042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7.536,00 </w:t>
            </w:r>
          </w:p>
        </w:tc>
      </w:tr>
      <w:tr w14:paraId="151B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90" w:hRule="atLeast"/>
        </w:trPr>
        <w:tc>
          <w:tcPr>
            <w:tcW w:w="231" w:type="pct"/>
            <w:shd w:val="clear" w:color="auto" w:fill="auto"/>
            <w:noWrap/>
            <w:vAlign w:val="center"/>
          </w:tcPr>
          <w:p w14:paraId="6C66D98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7</w:t>
            </w:r>
          </w:p>
        </w:tc>
        <w:tc>
          <w:tcPr>
            <w:tcW w:w="391" w:type="pct"/>
            <w:shd w:val="clear" w:color="auto" w:fill="auto"/>
            <w:noWrap/>
            <w:vAlign w:val="center"/>
          </w:tcPr>
          <w:p w14:paraId="2C6F789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BR268331</w:t>
            </w:r>
          </w:p>
        </w:tc>
        <w:tc>
          <w:tcPr>
            <w:tcW w:w="1408" w:type="pct"/>
            <w:shd w:val="clear" w:color="auto" w:fill="auto"/>
            <w:noWrap/>
            <w:vAlign w:val="center"/>
          </w:tcPr>
          <w:p w14:paraId="627AD5F8">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IPRATRÓPIO BROMETO, DOSAGEM: 0,25 MG/ML, USO: SOLUÇÃO PARA INALAÇÃO</w:t>
            </w:r>
          </w:p>
        </w:tc>
        <w:tc>
          <w:tcPr>
            <w:tcW w:w="705" w:type="pct"/>
            <w:shd w:val="clear" w:color="auto" w:fill="auto"/>
            <w:vAlign w:val="center"/>
          </w:tcPr>
          <w:p w14:paraId="44DAC48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 20,00 ML</w:t>
            </w:r>
          </w:p>
        </w:tc>
        <w:tc>
          <w:tcPr>
            <w:tcW w:w="626" w:type="pct"/>
            <w:shd w:val="clear" w:color="auto" w:fill="auto"/>
            <w:noWrap/>
            <w:vAlign w:val="center"/>
          </w:tcPr>
          <w:p w14:paraId="36535BB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300</w:t>
            </w:r>
          </w:p>
        </w:tc>
        <w:tc>
          <w:tcPr>
            <w:tcW w:w="469" w:type="pct"/>
            <w:shd w:val="clear" w:color="auto" w:fill="auto"/>
            <w:noWrap/>
            <w:vAlign w:val="center"/>
          </w:tcPr>
          <w:p w14:paraId="2AEADEE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300</w:t>
            </w:r>
          </w:p>
        </w:tc>
        <w:tc>
          <w:tcPr>
            <w:tcW w:w="547" w:type="pct"/>
            <w:shd w:val="clear" w:color="auto" w:fill="auto"/>
            <w:vAlign w:val="center"/>
          </w:tcPr>
          <w:p w14:paraId="08A28ED4">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4,84 </w:t>
            </w:r>
          </w:p>
        </w:tc>
        <w:tc>
          <w:tcPr>
            <w:tcW w:w="622" w:type="pct"/>
            <w:shd w:val="clear" w:color="auto" w:fill="auto"/>
            <w:vAlign w:val="center"/>
          </w:tcPr>
          <w:p w14:paraId="7D6F9B5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1.452,00 </w:t>
            </w:r>
          </w:p>
        </w:tc>
      </w:tr>
      <w:tr w14:paraId="1309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40" w:hRule="atLeast"/>
        </w:trPr>
        <w:tc>
          <w:tcPr>
            <w:tcW w:w="231" w:type="pct"/>
            <w:shd w:val="clear" w:color="auto" w:fill="auto"/>
            <w:noWrap/>
            <w:vAlign w:val="center"/>
          </w:tcPr>
          <w:p w14:paraId="2505B3DE">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8</w:t>
            </w:r>
          </w:p>
        </w:tc>
        <w:tc>
          <w:tcPr>
            <w:tcW w:w="391" w:type="pct"/>
            <w:shd w:val="clear" w:color="auto" w:fill="auto"/>
            <w:noWrap/>
            <w:vAlign w:val="center"/>
          </w:tcPr>
          <w:p w14:paraId="7579FEE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BR276658</w:t>
            </w:r>
          </w:p>
        </w:tc>
        <w:tc>
          <w:tcPr>
            <w:tcW w:w="1408" w:type="pct"/>
            <w:shd w:val="clear" w:color="auto" w:fill="auto"/>
            <w:noWrap/>
            <w:vAlign w:val="center"/>
          </w:tcPr>
          <w:p w14:paraId="6679DF9B">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METOPROLOL, PRINCÍPIO ATIVO: SAL SUCCINATO, DOSAGEM: 100 MG, APRESENTAÇÃO: LIBERAÇÃO CONTROLADA</w:t>
            </w:r>
          </w:p>
        </w:tc>
        <w:tc>
          <w:tcPr>
            <w:tcW w:w="705" w:type="pct"/>
            <w:shd w:val="clear" w:color="auto" w:fill="auto"/>
            <w:vAlign w:val="center"/>
          </w:tcPr>
          <w:p w14:paraId="68CF39F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18E0197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18000</w:t>
            </w:r>
          </w:p>
        </w:tc>
        <w:tc>
          <w:tcPr>
            <w:tcW w:w="469" w:type="pct"/>
            <w:shd w:val="clear" w:color="auto" w:fill="auto"/>
            <w:noWrap/>
            <w:vAlign w:val="center"/>
          </w:tcPr>
          <w:p w14:paraId="7FD3641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18000</w:t>
            </w:r>
          </w:p>
        </w:tc>
        <w:tc>
          <w:tcPr>
            <w:tcW w:w="547" w:type="pct"/>
            <w:shd w:val="clear" w:color="auto" w:fill="auto"/>
            <w:vAlign w:val="center"/>
          </w:tcPr>
          <w:p w14:paraId="0715690D">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0,72 </w:t>
            </w:r>
          </w:p>
        </w:tc>
        <w:tc>
          <w:tcPr>
            <w:tcW w:w="622" w:type="pct"/>
            <w:shd w:val="clear" w:color="auto" w:fill="auto"/>
            <w:vAlign w:val="center"/>
          </w:tcPr>
          <w:p w14:paraId="2768CA4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12.960,00 </w:t>
            </w:r>
          </w:p>
        </w:tc>
      </w:tr>
      <w:tr w14:paraId="63F8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231" w:type="pct"/>
            <w:shd w:val="clear" w:color="auto" w:fill="auto"/>
            <w:noWrap/>
            <w:vAlign w:val="center"/>
          </w:tcPr>
          <w:p w14:paraId="674F1E4C">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9</w:t>
            </w:r>
          </w:p>
        </w:tc>
        <w:tc>
          <w:tcPr>
            <w:tcW w:w="391" w:type="pct"/>
            <w:shd w:val="clear" w:color="auto" w:fill="auto"/>
            <w:noWrap/>
            <w:vAlign w:val="center"/>
          </w:tcPr>
          <w:p w14:paraId="7BD756F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BR308877</w:t>
            </w:r>
          </w:p>
        </w:tc>
        <w:tc>
          <w:tcPr>
            <w:tcW w:w="1408" w:type="pct"/>
            <w:shd w:val="clear" w:color="auto" w:fill="auto"/>
            <w:noWrap/>
            <w:vAlign w:val="center"/>
          </w:tcPr>
          <w:p w14:paraId="68638B6B">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SEVOFLURANO, FORMA FARMACÊUTICA: LÍQUIDO INALANTE</w:t>
            </w:r>
          </w:p>
        </w:tc>
        <w:tc>
          <w:tcPr>
            <w:tcW w:w="705" w:type="pct"/>
            <w:shd w:val="clear" w:color="auto" w:fill="auto"/>
            <w:vAlign w:val="center"/>
          </w:tcPr>
          <w:p w14:paraId="73C647C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 250,00 ML</w:t>
            </w:r>
          </w:p>
        </w:tc>
        <w:tc>
          <w:tcPr>
            <w:tcW w:w="626" w:type="pct"/>
            <w:shd w:val="clear" w:color="auto" w:fill="auto"/>
            <w:noWrap/>
            <w:vAlign w:val="center"/>
          </w:tcPr>
          <w:p w14:paraId="4101A5D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500</w:t>
            </w:r>
          </w:p>
        </w:tc>
        <w:tc>
          <w:tcPr>
            <w:tcW w:w="469" w:type="pct"/>
            <w:shd w:val="clear" w:color="auto" w:fill="auto"/>
            <w:noWrap/>
            <w:vAlign w:val="center"/>
          </w:tcPr>
          <w:p w14:paraId="3928F2A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500</w:t>
            </w:r>
          </w:p>
        </w:tc>
        <w:tc>
          <w:tcPr>
            <w:tcW w:w="547" w:type="pct"/>
            <w:shd w:val="clear" w:color="auto" w:fill="auto"/>
            <w:vAlign w:val="center"/>
          </w:tcPr>
          <w:p w14:paraId="2F748A87">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492,30 </w:t>
            </w:r>
          </w:p>
        </w:tc>
        <w:tc>
          <w:tcPr>
            <w:tcW w:w="622" w:type="pct"/>
            <w:shd w:val="clear" w:color="auto" w:fill="auto"/>
            <w:vAlign w:val="center"/>
          </w:tcPr>
          <w:p w14:paraId="32CBD02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246.150,00 </w:t>
            </w:r>
          </w:p>
        </w:tc>
      </w:tr>
      <w:tr w14:paraId="05A3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0" w:hRule="atLeast"/>
        </w:trPr>
        <w:tc>
          <w:tcPr>
            <w:tcW w:w="231" w:type="pct"/>
            <w:shd w:val="clear" w:color="auto" w:fill="auto"/>
            <w:noWrap/>
            <w:vAlign w:val="center"/>
          </w:tcPr>
          <w:p w14:paraId="413DC571">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10</w:t>
            </w:r>
          </w:p>
        </w:tc>
        <w:tc>
          <w:tcPr>
            <w:tcW w:w="391" w:type="pct"/>
            <w:shd w:val="clear" w:color="auto" w:fill="auto"/>
            <w:noWrap/>
            <w:vAlign w:val="center"/>
          </w:tcPr>
          <w:p w14:paraId="0595585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BR432908</w:t>
            </w:r>
          </w:p>
        </w:tc>
        <w:tc>
          <w:tcPr>
            <w:tcW w:w="1408" w:type="pct"/>
            <w:shd w:val="clear" w:color="auto" w:fill="auto"/>
            <w:noWrap/>
            <w:vAlign w:val="center"/>
          </w:tcPr>
          <w:p w14:paraId="5C7C8DDC">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DAPAGLIFLOZINA, CONCENTRAÇÃO: 10 MG</w:t>
            </w:r>
          </w:p>
        </w:tc>
        <w:tc>
          <w:tcPr>
            <w:tcW w:w="705" w:type="pct"/>
            <w:shd w:val="clear" w:color="auto" w:fill="auto"/>
            <w:vAlign w:val="center"/>
          </w:tcPr>
          <w:p w14:paraId="583E37D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77DEB2F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160000</w:t>
            </w:r>
          </w:p>
        </w:tc>
        <w:tc>
          <w:tcPr>
            <w:tcW w:w="469" w:type="pct"/>
            <w:shd w:val="clear" w:color="auto" w:fill="auto"/>
            <w:noWrap/>
            <w:vAlign w:val="center"/>
          </w:tcPr>
          <w:p w14:paraId="3E3CCC0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160000</w:t>
            </w:r>
          </w:p>
        </w:tc>
        <w:tc>
          <w:tcPr>
            <w:tcW w:w="547" w:type="pct"/>
            <w:shd w:val="clear" w:color="auto" w:fill="auto"/>
            <w:vAlign w:val="center"/>
          </w:tcPr>
          <w:p w14:paraId="04D75FE2">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2,42 </w:t>
            </w:r>
          </w:p>
        </w:tc>
        <w:tc>
          <w:tcPr>
            <w:tcW w:w="622" w:type="pct"/>
            <w:shd w:val="clear" w:color="auto" w:fill="auto"/>
            <w:vAlign w:val="center"/>
          </w:tcPr>
          <w:p w14:paraId="4D1DC73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387.200,00 </w:t>
            </w:r>
          </w:p>
        </w:tc>
      </w:tr>
      <w:tr w14:paraId="6B64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0" w:hRule="atLeast"/>
        </w:trPr>
        <w:tc>
          <w:tcPr>
            <w:tcW w:w="231" w:type="pct"/>
            <w:shd w:val="clear" w:color="auto" w:fill="auto"/>
            <w:noWrap/>
            <w:vAlign w:val="center"/>
          </w:tcPr>
          <w:p w14:paraId="7717F949">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11</w:t>
            </w:r>
          </w:p>
        </w:tc>
        <w:tc>
          <w:tcPr>
            <w:tcW w:w="391" w:type="pct"/>
            <w:shd w:val="clear" w:color="auto" w:fill="auto"/>
            <w:noWrap/>
            <w:vAlign w:val="center"/>
          </w:tcPr>
          <w:p w14:paraId="66B09A5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BR273400</w:t>
            </w:r>
          </w:p>
        </w:tc>
        <w:tc>
          <w:tcPr>
            <w:tcW w:w="1408" w:type="pct"/>
            <w:shd w:val="clear" w:color="auto" w:fill="auto"/>
            <w:noWrap/>
            <w:vAlign w:val="center"/>
          </w:tcPr>
          <w:p w14:paraId="031133BB">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ISOSSORBIDA, PRINCÍPIO ATIVO: SAL MONONITRATO, DOSAGEM: 20 MG</w:t>
            </w:r>
          </w:p>
        </w:tc>
        <w:tc>
          <w:tcPr>
            <w:tcW w:w="705" w:type="pct"/>
            <w:shd w:val="clear" w:color="auto" w:fill="auto"/>
            <w:vAlign w:val="center"/>
          </w:tcPr>
          <w:p w14:paraId="78CBE00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092ED7F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20000</w:t>
            </w:r>
          </w:p>
        </w:tc>
        <w:tc>
          <w:tcPr>
            <w:tcW w:w="469" w:type="pct"/>
            <w:shd w:val="clear" w:color="auto" w:fill="auto"/>
            <w:noWrap/>
            <w:vAlign w:val="center"/>
          </w:tcPr>
          <w:p w14:paraId="1811E07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20000</w:t>
            </w:r>
          </w:p>
        </w:tc>
        <w:tc>
          <w:tcPr>
            <w:tcW w:w="547" w:type="pct"/>
            <w:shd w:val="clear" w:color="auto" w:fill="auto"/>
            <w:vAlign w:val="center"/>
          </w:tcPr>
          <w:p w14:paraId="58F5EF52">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4,60 </w:t>
            </w:r>
          </w:p>
        </w:tc>
        <w:tc>
          <w:tcPr>
            <w:tcW w:w="622" w:type="pct"/>
            <w:shd w:val="clear" w:color="auto" w:fill="auto"/>
            <w:vAlign w:val="center"/>
          </w:tcPr>
          <w:p w14:paraId="3580F66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92.000,00 </w:t>
            </w:r>
          </w:p>
        </w:tc>
      </w:tr>
      <w:tr w14:paraId="58C6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90" w:hRule="atLeast"/>
        </w:trPr>
        <w:tc>
          <w:tcPr>
            <w:tcW w:w="231" w:type="pct"/>
            <w:shd w:val="clear" w:color="auto" w:fill="auto"/>
            <w:noWrap/>
            <w:vAlign w:val="center"/>
          </w:tcPr>
          <w:p w14:paraId="0F8157F3">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12</w:t>
            </w:r>
          </w:p>
        </w:tc>
        <w:tc>
          <w:tcPr>
            <w:tcW w:w="391" w:type="pct"/>
            <w:shd w:val="clear" w:color="auto" w:fill="auto"/>
            <w:noWrap/>
            <w:vAlign w:val="center"/>
          </w:tcPr>
          <w:p w14:paraId="3DED812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BR269963</w:t>
            </w:r>
          </w:p>
        </w:tc>
        <w:tc>
          <w:tcPr>
            <w:tcW w:w="1408" w:type="pct"/>
            <w:shd w:val="clear" w:color="auto" w:fill="auto"/>
            <w:noWrap/>
            <w:vAlign w:val="center"/>
          </w:tcPr>
          <w:p w14:paraId="6EAEEC90">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DOMPERIDONA, DOSAGEM: 1 MG/ML, INDICAÇÃO:SUSPENSÃO ORAL</w:t>
            </w:r>
          </w:p>
        </w:tc>
        <w:tc>
          <w:tcPr>
            <w:tcW w:w="705" w:type="pct"/>
            <w:shd w:val="clear" w:color="auto" w:fill="auto"/>
            <w:vAlign w:val="center"/>
          </w:tcPr>
          <w:p w14:paraId="5746AA6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 100,000 ML</w:t>
            </w:r>
          </w:p>
        </w:tc>
        <w:tc>
          <w:tcPr>
            <w:tcW w:w="626" w:type="pct"/>
            <w:shd w:val="clear" w:color="auto" w:fill="auto"/>
            <w:noWrap/>
            <w:vAlign w:val="center"/>
          </w:tcPr>
          <w:p w14:paraId="54119B2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1000</w:t>
            </w:r>
          </w:p>
        </w:tc>
        <w:tc>
          <w:tcPr>
            <w:tcW w:w="469" w:type="pct"/>
            <w:shd w:val="clear" w:color="auto" w:fill="auto"/>
            <w:noWrap/>
            <w:vAlign w:val="center"/>
          </w:tcPr>
          <w:p w14:paraId="0E36250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1000</w:t>
            </w:r>
          </w:p>
        </w:tc>
        <w:tc>
          <w:tcPr>
            <w:tcW w:w="547" w:type="pct"/>
            <w:shd w:val="clear" w:color="auto" w:fill="auto"/>
            <w:vAlign w:val="center"/>
          </w:tcPr>
          <w:p w14:paraId="3DA36747">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11,79 </w:t>
            </w:r>
          </w:p>
        </w:tc>
        <w:tc>
          <w:tcPr>
            <w:tcW w:w="622" w:type="pct"/>
            <w:shd w:val="clear" w:color="auto" w:fill="auto"/>
            <w:vAlign w:val="center"/>
          </w:tcPr>
          <w:p w14:paraId="1C94D10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11.790,00 </w:t>
            </w:r>
          </w:p>
        </w:tc>
      </w:tr>
      <w:tr w14:paraId="753B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75" w:hRule="atLeast"/>
        </w:trPr>
        <w:tc>
          <w:tcPr>
            <w:tcW w:w="231" w:type="pct"/>
            <w:shd w:val="clear" w:color="auto" w:fill="auto"/>
            <w:noWrap/>
            <w:vAlign w:val="center"/>
          </w:tcPr>
          <w:p w14:paraId="65417D23">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13</w:t>
            </w:r>
          </w:p>
        </w:tc>
        <w:tc>
          <w:tcPr>
            <w:tcW w:w="391" w:type="pct"/>
            <w:shd w:val="clear" w:color="auto" w:fill="auto"/>
            <w:noWrap/>
            <w:vAlign w:val="center"/>
          </w:tcPr>
          <w:p w14:paraId="6F94A22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BR268255</w:t>
            </w:r>
          </w:p>
        </w:tc>
        <w:tc>
          <w:tcPr>
            <w:tcW w:w="1408" w:type="pct"/>
            <w:shd w:val="clear" w:color="auto" w:fill="auto"/>
            <w:noWrap/>
            <w:vAlign w:val="center"/>
          </w:tcPr>
          <w:p w14:paraId="5E0D966B">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br w:type="textWrapping"/>
            </w:r>
            <w:r>
              <w:rPr>
                <w:rFonts w:eastAsia="Times New Roman" w:cstheme="minorHAnsi"/>
                <w:bCs/>
                <w:sz w:val="16"/>
                <w:szCs w:val="16"/>
                <w:lang w:eastAsia="pt-BR"/>
              </w:rPr>
              <w:t>EPINEFRINA, DOSAGEM: 1MG/ML, USO: SOLUÇÃO INJETÁVEL</w:t>
            </w:r>
          </w:p>
        </w:tc>
        <w:tc>
          <w:tcPr>
            <w:tcW w:w="705" w:type="pct"/>
            <w:shd w:val="clear" w:color="auto" w:fill="auto"/>
            <w:vAlign w:val="center"/>
          </w:tcPr>
          <w:p w14:paraId="4850500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AMPOLA 1,00 ML</w:t>
            </w:r>
          </w:p>
        </w:tc>
        <w:tc>
          <w:tcPr>
            <w:tcW w:w="626" w:type="pct"/>
            <w:shd w:val="clear" w:color="auto" w:fill="auto"/>
            <w:noWrap/>
            <w:vAlign w:val="center"/>
          </w:tcPr>
          <w:p w14:paraId="50F33C8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469" w:type="pct"/>
            <w:shd w:val="clear" w:color="auto" w:fill="auto"/>
            <w:noWrap/>
            <w:vAlign w:val="center"/>
          </w:tcPr>
          <w:p w14:paraId="59CA68D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547" w:type="pct"/>
            <w:shd w:val="clear" w:color="auto" w:fill="auto"/>
            <w:vAlign w:val="center"/>
          </w:tcPr>
          <w:p w14:paraId="0A321D34">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1,25 </w:t>
            </w:r>
          </w:p>
        </w:tc>
        <w:tc>
          <w:tcPr>
            <w:tcW w:w="622" w:type="pct"/>
            <w:shd w:val="clear" w:color="auto" w:fill="auto"/>
            <w:vAlign w:val="center"/>
          </w:tcPr>
          <w:p w14:paraId="4DDB2AB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15.000,00 </w:t>
            </w:r>
          </w:p>
        </w:tc>
      </w:tr>
      <w:tr w14:paraId="2AB4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0" w:hRule="atLeast"/>
        </w:trPr>
        <w:tc>
          <w:tcPr>
            <w:tcW w:w="231" w:type="pct"/>
            <w:shd w:val="clear" w:color="auto" w:fill="auto"/>
            <w:noWrap/>
            <w:vAlign w:val="center"/>
          </w:tcPr>
          <w:p w14:paraId="477A3D76">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14</w:t>
            </w:r>
          </w:p>
        </w:tc>
        <w:tc>
          <w:tcPr>
            <w:tcW w:w="391" w:type="pct"/>
            <w:shd w:val="clear" w:color="auto" w:fill="auto"/>
            <w:noWrap/>
            <w:vAlign w:val="center"/>
          </w:tcPr>
          <w:p w14:paraId="14203D9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BR273455</w:t>
            </w:r>
          </w:p>
        </w:tc>
        <w:tc>
          <w:tcPr>
            <w:tcW w:w="1408" w:type="pct"/>
            <w:shd w:val="clear" w:color="auto" w:fill="auto"/>
            <w:noWrap/>
            <w:vAlign w:val="center"/>
          </w:tcPr>
          <w:p w14:paraId="35467EC9">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MUPIROCINA, CONCENTRAÇÃO: 20 MG/G, USO: CREME</w:t>
            </w:r>
          </w:p>
        </w:tc>
        <w:tc>
          <w:tcPr>
            <w:tcW w:w="705" w:type="pct"/>
            <w:shd w:val="clear" w:color="auto" w:fill="auto"/>
            <w:vAlign w:val="center"/>
          </w:tcPr>
          <w:p w14:paraId="5BD9CFD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BISNAGA 15,00G</w:t>
            </w:r>
          </w:p>
        </w:tc>
        <w:tc>
          <w:tcPr>
            <w:tcW w:w="626" w:type="pct"/>
            <w:shd w:val="clear" w:color="auto" w:fill="auto"/>
            <w:noWrap/>
            <w:vAlign w:val="center"/>
          </w:tcPr>
          <w:p w14:paraId="612F6C3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w:t>
            </w:r>
          </w:p>
        </w:tc>
        <w:tc>
          <w:tcPr>
            <w:tcW w:w="469" w:type="pct"/>
            <w:shd w:val="clear" w:color="auto" w:fill="auto"/>
            <w:noWrap/>
            <w:vAlign w:val="center"/>
          </w:tcPr>
          <w:p w14:paraId="0E8A017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w:t>
            </w:r>
          </w:p>
        </w:tc>
        <w:tc>
          <w:tcPr>
            <w:tcW w:w="547" w:type="pct"/>
            <w:shd w:val="clear" w:color="auto" w:fill="auto"/>
            <w:vAlign w:val="center"/>
          </w:tcPr>
          <w:p w14:paraId="06DF221A">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17,97 </w:t>
            </w:r>
          </w:p>
        </w:tc>
        <w:tc>
          <w:tcPr>
            <w:tcW w:w="622" w:type="pct"/>
            <w:shd w:val="clear" w:color="auto" w:fill="auto"/>
            <w:vAlign w:val="center"/>
          </w:tcPr>
          <w:p w14:paraId="11CF710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3.594,00 </w:t>
            </w:r>
          </w:p>
        </w:tc>
      </w:tr>
      <w:tr w14:paraId="075D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231" w:type="pct"/>
            <w:shd w:val="clear" w:color="auto" w:fill="auto"/>
            <w:noWrap/>
            <w:vAlign w:val="center"/>
          </w:tcPr>
          <w:p w14:paraId="68203364">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15</w:t>
            </w:r>
          </w:p>
        </w:tc>
        <w:tc>
          <w:tcPr>
            <w:tcW w:w="391" w:type="pct"/>
            <w:shd w:val="clear" w:color="auto" w:fill="auto"/>
            <w:noWrap/>
            <w:vAlign w:val="center"/>
          </w:tcPr>
          <w:p w14:paraId="23644A2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BR602763</w:t>
            </w:r>
          </w:p>
        </w:tc>
        <w:tc>
          <w:tcPr>
            <w:tcW w:w="1408" w:type="pct"/>
            <w:shd w:val="clear" w:color="auto" w:fill="auto"/>
            <w:noWrap/>
            <w:vAlign w:val="center"/>
          </w:tcPr>
          <w:p w14:paraId="58E268F4">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ESCETAMINA, CONCENTRAÇÃO: 50 MG/ML, FORMA FARMACÊUTICA: SOLUÇÃO INJETÁVEL</w:t>
            </w:r>
          </w:p>
        </w:tc>
        <w:tc>
          <w:tcPr>
            <w:tcW w:w="705" w:type="pct"/>
            <w:shd w:val="clear" w:color="auto" w:fill="auto"/>
            <w:vAlign w:val="center"/>
          </w:tcPr>
          <w:p w14:paraId="1878B42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br w:type="textWrapping"/>
            </w:r>
            <w:r>
              <w:rPr>
                <w:rFonts w:eastAsia="Times New Roman" w:cstheme="minorHAnsi"/>
                <w:bCs/>
                <w:sz w:val="16"/>
                <w:szCs w:val="16"/>
                <w:lang w:eastAsia="pt-BR"/>
              </w:rPr>
              <w:t>AMPOLA 2,00ML</w:t>
            </w:r>
          </w:p>
        </w:tc>
        <w:tc>
          <w:tcPr>
            <w:tcW w:w="626" w:type="pct"/>
            <w:shd w:val="clear" w:color="auto" w:fill="auto"/>
            <w:noWrap/>
            <w:vAlign w:val="center"/>
          </w:tcPr>
          <w:p w14:paraId="0826705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9000</w:t>
            </w:r>
          </w:p>
        </w:tc>
        <w:tc>
          <w:tcPr>
            <w:tcW w:w="469" w:type="pct"/>
            <w:shd w:val="clear" w:color="auto" w:fill="auto"/>
            <w:noWrap/>
            <w:vAlign w:val="center"/>
          </w:tcPr>
          <w:p w14:paraId="5F046D1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9000</w:t>
            </w:r>
          </w:p>
        </w:tc>
        <w:tc>
          <w:tcPr>
            <w:tcW w:w="547" w:type="pct"/>
            <w:shd w:val="clear" w:color="auto" w:fill="auto"/>
            <w:vAlign w:val="center"/>
          </w:tcPr>
          <w:p w14:paraId="4835513F">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19,74 </w:t>
            </w:r>
          </w:p>
        </w:tc>
        <w:tc>
          <w:tcPr>
            <w:tcW w:w="622" w:type="pct"/>
            <w:shd w:val="clear" w:color="auto" w:fill="auto"/>
            <w:vAlign w:val="center"/>
          </w:tcPr>
          <w:p w14:paraId="6BCED82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177.660,00 </w:t>
            </w:r>
          </w:p>
        </w:tc>
      </w:tr>
      <w:tr w14:paraId="7DC1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10CA6CAC">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16</w:t>
            </w:r>
          </w:p>
        </w:tc>
        <w:tc>
          <w:tcPr>
            <w:tcW w:w="391" w:type="pct"/>
            <w:shd w:val="clear" w:color="auto" w:fill="auto"/>
            <w:noWrap/>
            <w:vAlign w:val="center"/>
          </w:tcPr>
          <w:p w14:paraId="2B25819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BR292195</w:t>
            </w:r>
          </w:p>
        </w:tc>
        <w:tc>
          <w:tcPr>
            <w:tcW w:w="1408" w:type="pct"/>
            <w:shd w:val="clear" w:color="auto" w:fill="auto"/>
            <w:noWrap/>
            <w:vAlign w:val="center"/>
          </w:tcPr>
          <w:p w14:paraId="2268B703">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HALOPERIDOL, CONCENTRAÇÃO: 2 MG/ML, TIPO USO:SOLUÇÃO ORAL-GOTAS</w:t>
            </w:r>
          </w:p>
        </w:tc>
        <w:tc>
          <w:tcPr>
            <w:tcW w:w="705" w:type="pct"/>
            <w:shd w:val="clear" w:color="auto" w:fill="auto"/>
            <w:vAlign w:val="center"/>
          </w:tcPr>
          <w:p w14:paraId="1E5E739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 20,00ML</w:t>
            </w:r>
          </w:p>
        </w:tc>
        <w:tc>
          <w:tcPr>
            <w:tcW w:w="626" w:type="pct"/>
            <w:shd w:val="clear" w:color="auto" w:fill="auto"/>
            <w:noWrap/>
            <w:vAlign w:val="center"/>
          </w:tcPr>
          <w:p w14:paraId="18B2608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50</w:t>
            </w:r>
          </w:p>
        </w:tc>
        <w:tc>
          <w:tcPr>
            <w:tcW w:w="469" w:type="pct"/>
            <w:shd w:val="clear" w:color="auto" w:fill="auto"/>
            <w:noWrap/>
            <w:vAlign w:val="center"/>
          </w:tcPr>
          <w:p w14:paraId="5E08F8B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50</w:t>
            </w:r>
          </w:p>
        </w:tc>
        <w:tc>
          <w:tcPr>
            <w:tcW w:w="547" w:type="pct"/>
            <w:shd w:val="clear" w:color="auto" w:fill="auto"/>
            <w:vAlign w:val="center"/>
          </w:tcPr>
          <w:p w14:paraId="2E692EC3">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5,48 </w:t>
            </w:r>
          </w:p>
        </w:tc>
        <w:tc>
          <w:tcPr>
            <w:tcW w:w="622" w:type="pct"/>
            <w:shd w:val="clear" w:color="auto" w:fill="auto"/>
            <w:vAlign w:val="center"/>
          </w:tcPr>
          <w:p w14:paraId="0ABB500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274,00 </w:t>
            </w:r>
          </w:p>
        </w:tc>
      </w:tr>
      <w:tr w14:paraId="34BF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20" w:hRule="atLeast"/>
        </w:trPr>
        <w:tc>
          <w:tcPr>
            <w:tcW w:w="231" w:type="pct"/>
            <w:shd w:val="clear" w:color="auto" w:fill="auto"/>
            <w:noWrap/>
            <w:vAlign w:val="center"/>
          </w:tcPr>
          <w:p w14:paraId="4A19ECDC">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17</w:t>
            </w:r>
          </w:p>
        </w:tc>
        <w:tc>
          <w:tcPr>
            <w:tcW w:w="391" w:type="pct"/>
            <w:shd w:val="clear" w:color="auto" w:fill="auto"/>
            <w:noWrap/>
            <w:vAlign w:val="center"/>
          </w:tcPr>
          <w:p w14:paraId="3E702AB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BR268256</w:t>
            </w:r>
          </w:p>
        </w:tc>
        <w:tc>
          <w:tcPr>
            <w:tcW w:w="1408" w:type="pct"/>
            <w:shd w:val="clear" w:color="auto" w:fill="auto"/>
            <w:noWrap/>
            <w:vAlign w:val="center"/>
          </w:tcPr>
          <w:p w14:paraId="295C56AF">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GENTAMICINA, DOSAGEM: 40 MG/ML, APLICAÇÃO: SOLUÇÃO INJETÁVEL</w:t>
            </w:r>
          </w:p>
        </w:tc>
        <w:tc>
          <w:tcPr>
            <w:tcW w:w="705" w:type="pct"/>
            <w:shd w:val="clear" w:color="auto" w:fill="auto"/>
            <w:vAlign w:val="center"/>
          </w:tcPr>
          <w:p w14:paraId="271387A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AMPOLA 2,00 ML</w:t>
            </w:r>
          </w:p>
        </w:tc>
        <w:tc>
          <w:tcPr>
            <w:tcW w:w="626" w:type="pct"/>
            <w:shd w:val="clear" w:color="auto" w:fill="auto"/>
            <w:noWrap/>
            <w:vAlign w:val="center"/>
          </w:tcPr>
          <w:p w14:paraId="4F2DBE9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w:t>
            </w:r>
          </w:p>
        </w:tc>
        <w:tc>
          <w:tcPr>
            <w:tcW w:w="469" w:type="pct"/>
            <w:shd w:val="clear" w:color="auto" w:fill="auto"/>
            <w:noWrap/>
            <w:vAlign w:val="center"/>
          </w:tcPr>
          <w:p w14:paraId="3BAAFCC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w:t>
            </w:r>
          </w:p>
        </w:tc>
        <w:tc>
          <w:tcPr>
            <w:tcW w:w="547" w:type="pct"/>
            <w:shd w:val="clear" w:color="auto" w:fill="auto"/>
            <w:vAlign w:val="center"/>
          </w:tcPr>
          <w:p w14:paraId="0AA2A1D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1,37 </w:t>
            </w:r>
          </w:p>
        </w:tc>
        <w:tc>
          <w:tcPr>
            <w:tcW w:w="622" w:type="pct"/>
            <w:shd w:val="clear" w:color="auto" w:fill="auto"/>
            <w:vAlign w:val="center"/>
          </w:tcPr>
          <w:p w14:paraId="7C318D6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1.644,00 </w:t>
            </w:r>
          </w:p>
        </w:tc>
      </w:tr>
      <w:tr w14:paraId="6949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231" w:type="pct"/>
            <w:shd w:val="clear" w:color="auto" w:fill="auto"/>
            <w:noWrap/>
            <w:vAlign w:val="center"/>
          </w:tcPr>
          <w:p w14:paraId="533A1D05">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18</w:t>
            </w:r>
          </w:p>
        </w:tc>
        <w:tc>
          <w:tcPr>
            <w:tcW w:w="391" w:type="pct"/>
            <w:shd w:val="clear" w:color="auto" w:fill="auto"/>
            <w:noWrap/>
            <w:vAlign w:val="center"/>
          </w:tcPr>
          <w:p w14:paraId="63F1958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BR267625</w:t>
            </w:r>
          </w:p>
        </w:tc>
        <w:tc>
          <w:tcPr>
            <w:tcW w:w="1408" w:type="pct"/>
            <w:shd w:val="clear" w:color="auto" w:fill="auto"/>
            <w:noWrap/>
            <w:vAlign w:val="center"/>
          </w:tcPr>
          <w:p w14:paraId="7D20081A">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CEFALEXINA, DOSAGEM:500 MG</w:t>
            </w:r>
          </w:p>
        </w:tc>
        <w:tc>
          <w:tcPr>
            <w:tcW w:w="705" w:type="pct"/>
            <w:shd w:val="clear" w:color="auto" w:fill="auto"/>
            <w:vAlign w:val="center"/>
          </w:tcPr>
          <w:p w14:paraId="240339E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34FA694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2000</w:t>
            </w:r>
          </w:p>
        </w:tc>
        <w:tc>
          <w:tcPr>
            <w:tcW w:w="469" w:type="pct"/>
            <w:shd w:val="clear" w:color="auto" w:fill="auto"/>
            <w:noWrap/>
            <w:vAlign w:val="center"/>
          </w:tcPr>
          <w:p w14:paraId="14BCAA7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2000</w:t>
            </w:r>
          </w:p>
        </w:tc>
        <w:tc>
          <w:tcPr>
            <w:tcW w:w="547" w:type="pct"/>
            <w:shd w:val="clear" w:color="auto" w:fill="auto"/>
            <w:vAlign w:val="center"/>
          </w:tcPr>
          <w:p w14:paraId="0C5F56C1">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0,96 </w:t>
            </w:r>
          </w:p>
        </w:tc>
        <w:tc>
          <w:tcPr>
            <w:tcW w:w="622" w:type="pct"/>
            <w:shd w:val="clear" w:color="auto" w:fill="auto"/>
            <w:vAlign w:val="center"/>
          </w:tcPr>
          <w:p w14:paraId="42FBC76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1.920,00 </w:t>
            </w:r>
          </w:p>
        </w:tc>
      </w:tr>
      <w:tr w14:paraId="59E2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08E8DF6E">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19</w:t>
            </w:r>
          </w:p>
        </w:tc>
        <w:tc>
          <w:tcPr>
            <w:tcW w:w="391" w:type="pct"/>
            <w:shd w:val="clear" w:color="auto" w:fill="auto"/>
            <w:noWrap/>
            <w:vAlign w:val="center"/>
          </w:tcPr>
          <w:p w14:paraId="0D94AB5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BR267650</w:t>
            </w:r>
          </w:p>
        </w:tc>
        <w:tc>
          <w:tcPr>
            <w:tcW w:w="1408" w:type="pct"/>
            <w:shd w:val="clear" w:color="auto" w:fill="auto"/>
            <w:noWrap/>
            <w:vAlign w:val="center"/>
          </w:tcPr>
          <w:p w14:paraId="3567A0FD">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ENALAPRIL MALEATO, DOSAGEM:5 MG</w:t>
            </w:r>
          </w:p>
        </w:tc>
        <w:tc>
          <w:tcPr>
            <w:tcW w:w="705" w:type="pct"/>
            <w:shd w:val="clear" w:color="auto" w:fill="auto"/>
            <w:vAlign w:val="center"/>
          </w:tcPr>
          <w:p w14:paraId="4F66AE2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5AF314A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18000</w:t>
            </w:r>
          </w:p>
        </w:tc>
        <w:tc>
          <w:tcPr>
            <w:tcW w:w="469" w:type="pct"/>
            <w:shd w:val="clear" w:color="auto" w:fill="auto"/>
            <w:noWrap/>
            <w:vAlign w:val="center"/>
          </w:tcPr>
          <w:p w14:paraId="3C100B1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18000</w:t>
            </w:r>
          </w:p>
        </w:tc>
        <w:tc>
          <w:tcPr>
            <w:tcW w:w="547" w:type="pct"/>
            <w:shd w:val="clear" w:color="auto" w:fill="auto"/>
            <w:vAlign w:val="center"/>
          </w:tcPr>
          <w:p w14:paraId="3E16CCFF">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0,11 </w:t>
            </w:r>
          </w:p>
        </w:tc>
        <w:tc>
          <w:tcPr>
            <w:tcW w:w="622" w:type="pct"/>
            <w:shd w:val="clear" w:color="auto" w:fill="auto"/>
            <w:vAlign w:val="center"/>
          </w:tcPr>
          <w:p w14:paraId="075ADB2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1.980,00 </w:t>
            </w:r>
          </w:p>
        </w:tc>
      </w:tr>
      <w:tr w14:paraId="056B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62E42EDE">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20</w:t>
            </w:r>
          </w:p>
        </w:tc>
        <w:tc>
          <w:tcPr>
            <w:tcW w:w="391" w:type="pct"/>
            <w:shd w:val="clear" w:color="auto" w:fill="auto"/>
            <w:noWrap/>
            <w:vAlign w:val="center"/>
          </w:tcPr>
          <w:p w14:paraId="5E93241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BR272045</w:t>
            </w:r>
          </w:p>
        </w:tc>
        <w:tc>
          <w:tcPr>
            <w:tcW w:w="1408" w:type="pct"/>
            <w:shd w:val="clear" w:color="auto" w:fill="auto"/>
            <w:noWrap/>
            <w:vAlign w:val="center"/>
          </w:tcPr>
          <w:p w14:paraId="25D65C9A">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CLOPIDOGREL, DOSAGEM:75 MG</w:t>
            </w:r>
          </w:p>
        </w:tc>
        <w:tc>
          <w:tcPr>
            <w:tcW w:w="705" w:type="pct"/>
            <w:shd w:val="clear" w:color="auto" w:fill="auto"/>
            <w:vAlign w:val="center"/>
          </w:tcPr>
          <w:p w14:paraId="55F4695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3A2801C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70000</w:t>
            </w:r>
          </w:p>
        </w:tc>
        <w:tc>
          <w:tcPr>
            <w:tcW w:w="469" w:type="pct"/>
            <w:shd w:val="clear" w:color="auto" w:fill="auto"/>
            <w:noWrap/>
            <w:vAlign w:val="center"/>
          </w:tcPr>
          <w:p w14:paraId="025330B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70000</w:t>
            </w:r>
          </w:p>
        </w:tc>
        <w:tc>
          <w:tcPr>
            <w:tcW w:w="547" w:type="pct"/>
            <w:shd w:val="clear" w:color="auto" w:fill="auto"/>
            <w:vAlign w:val="center"/>
          </w:tcPr>
          <w:p w14:paraId="763ACED4">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1,53 </w:t>
            </w:r>
          </w:p>
        </w:tc>
        <w:tc>
          <w:tcPr>
            <w:tcW w:w="622" w:type="pct"/>
            <w:shd w:val="clear" w:color="auto" w:fill="auto"/>
            <w:vAlign w:val="center"/>
          </w:tcPr>
          <w:p w14:paraId="5EAC0E3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107.100,00 </w:t>
            </w:r>
          </w:p>
        </w:tc>
      </w:tr>
      <w:tr w14:paraId="0536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231" w:type="pct"/>
            <w:shd w:val="clear" w:color="auto" w:fill="auto"/>
            <w:noWrap/>
            <w:vAlign w:val="center"/>
          </w:tcPr>
          <w:p w14:paraId="498FB683">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21</w:t>
            </w:r>
          </w:p>
        </w:tc>
        <w:tc>
          <w:tcPr>
            <w:tcW w:w="391" w:type="pct"/>
            <w:shd w:val="clear" w:color="auto" w:fill="auto"/>
            <w:noWrap/>
            <w:vAlign w:val="center"/>
          </w:tcPr>
          <w:p w14:paraId="4BFAB0A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BR267574</w:t>
            </w:r>
          </w:p>
        </w:tc>
        <w:tc>
          <w:tcPr>
            <w:tcW w:w="1408" w:type="pct"/>
            <w:shd w:val="clear" w:color="auto" w:fill="auto"/>
            <w:noWrap/>
            <w:vAlign w:val="center"/>
          </w:tcPr>
          <w:p w14:paraId="045D1E01">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CLORETO DE SÓDIO, DOSAGEM:20%, USO:SOLUÇÃO INJETÁVEL</w:t>
            </w:r>
          </w:p>
        </w:tc>
        <w:tc>
          <w:tcPr>
            <w:tcW w:w="705" w:type="pct"/>
            <w:shd w:val="clear" w:color="auto" w:fill="auto"/>
            <w:vAlign w:val="center"/>
          </w:tcPr>
          <w:p w14:paraId="396C822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AMPOLA 10,00 ML</w:t>
            </w:r>
          </w:p>
        </w:tc>
        <w:tc>
          <w:tcPr>
            <w:tcW w:w="626" w:type="pct"/>
            <w:shd w:val="clear" w:color="auto" w:fill="auto"/>
            <w:noWrap/>
            <w:vAlign w:val="center"/>
          </w:tcPr>
          <w:p w14:paraId="0F1EA5A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4200</w:t>
            </w:r>
          </w:p>
        </w:tc>
        <w:tc>
          <w:tcPr>
            <w:tcW w:w="469" w:type="pct"/>
            <w:shd w:val="clear" w:color="auto" w:fill="auto"/>
            <w:noWrap/>
            <w:vAlign w:val="center"/>
          </w:tcPr>
          <w:p w14:paraId="62461D2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4200</w:t>
            </w:r>
          </w:p>
        </w:tc>
        <w:tc>
          <w:tcPr>
            <w:tcW w:w="547" w:type="pct"/>
            <w:shd w:val="clear" w:color="auto" w:fill="auto"/>
            <w:vAlign w:val="center"/>
          </w:tcPr>
          <w:p w14:paraId="68F3BF03">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0,52 </w:t>
            </w:r>
          </w:p>
        </w:tc>
        <w:tc>
          <w:tcPr>
            <w:tcW w:w="622" w:type="pct"/>
            <w:shd w:val="clear" w:color="auto" w:fill="auto"/>
            <w:vAlign w:val="center"/>
          </w:tcPr>
          <w:p w14:paraId="77EFD67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2.184,00 </w:t>
            </w:r>
          </w:p>
        </w:tc>
      </w:tr>
      <w:tr w14:paraId="379A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50" w:hRule="atLeast"/>
        </w:trPr>
        <w:tc>
          <w:tcPr>
            <w:tcW w:w="231" w:type="pct"/>
            <w:shd w:val="clear" w:color="auto" w:fill="auto"/>
            <w:noWrap/>
            <w:vAlign w:val="center"/>
          </w:tcPr>
          <w:p w14:paraId="72C60E4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22</w:t>
            </w:r>
          </w:p>
        </w:tc>
        <w:tc>
          <w:tcPr>
            <w:tcW w:w="391" w:type="pct"/>
            <w:shd w:val="clear" w:color="auto" w:fill="auto"/>
            <w:noWrap/>
            <w:vAlign w:val="center"/>
          </w:tcPr>
          <w:p w14:paraId="2904E88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BR267505</w:t>
            </w:r>
          </w:p>
        </w:tc>
        <w:tc>
          <w:tcPr>
            <w:tcW w:w="1408" w:type="pct"/>
            <w:shd w:val="clear" w:color="auto" w:fill="auto"/>
            <w:noWrap/>
            <w:vAlign w:val="center"/>
          </w:tcPr>
          <w:p w14:paraId="05295189">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ÁCIDO VALPRÓICO, DOSAGEM:500 MG</w:t>
            </w:r>
          </w:p>
        </w:tc>
        <w:tc>
          <w:tcPr>
            <w:tcW w:w="705" w:type="pct"/>
            <w:shd w:val="clear" w:color="auto" w:fill="auto"/>
            <w:vAlign w:val="center"/>
          </w:tcPr>
          <w:p w14:paraId="78D0519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1B8EC56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w:t>
            </w:r>
          </w:p>
        </w:tc>
        <w:tc>
          <w:tcPr>
            <w:tcW w:w="469" w:type="pct"/>
            <w:shd w:val="clear" w:color="auto" w:fill="auto"/>
            <w:noWrap/>
            <w:vAlign w:val="center"/>
          </w:tcPr>
          <w:p w14:paraId="02AC641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w:t>
            </w:r>
          </w:p>
        </w:tc>
        <w:tc>
          <w:tcPr>
            <w:tcW w:w="547" w:type="pct"/>
            <w:shd w:val="clear" w:color="auto" w:fill="auto"/>
            <w:vAlign w:val="center"/>
          </w:tcPr>
          <w:p w14:paraId="2A5FA165">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0,98 </w:t>
            </w:r>
          </w:p>
        </w:tc>
        <w:tc>
          <w:tcPr>
            <w:tcW w:w="622" w:type="pct"/>
            <w:shd w:val="clear" w:color="auto" w:fill="auto"/>
            <w:vAlign w:val="center"/>
          </w:tcPr>
          <w:p w14:paraId="19969DD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1.176,00 </w:t>
            </w:r>
          </w:p>
        </w:tc>
      </w:tr>
      <w:tr w14:paraId="063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90" w:hRule="atLeast"/>
        </w:trPr>
        <w:tc>
          <w:tcPr>
            <w:tcW w:w="231" w:type="pct"/>
            <w:shd w:val="clear" w:color="auto" w:fill="auto"/>
            <w:noWrap/>
            <w:vAlign w:val="center"/>
          </w:tcPr>
          <w:p w14:paraId="110B6805">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23</w:t>
            </w:r>
          </w:p>
        </w:tc>
        <w:tc>
          <w:tcPr>
            <w:tcW w:w="391" w:type="pct"/>
            <w:shd w:val="clear" w:color="auto" w:fill="auto"/>
            <w:noWrap/>
            <w:vAlign w:val="center"/>
          </w:tcPr>
          <w:p w14:paraId="5088981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BR268119</w:t>
            </w:r>
          </w:p>
        </w:tc>
        <w:tc>
          <w:tcPr>
            <w:tcW w:w="1408" w:type="pct"/>
            <w:shd w:val="clear" w:color="auto" w:fill="auto"/>
            <w:noWrap/>
            <w:vAlign w:val="center"/>
          </w:tcPr>
          <w:p w14:paraId="052B7C8D">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HIDROXICLOROQUINA SULFATO, DOSAGEM:400 MG</w:t>
            </w:r>
          </w:p>
        </w:tc>
        <w:tc>
          <w:tcPr>
            <w:tcW w:w="705" w:type="pct"/>
            <w:shd w:val="clear" w:color="auto" w:fill="auto"/>
            <w:vAlign w:val="center"/>
          </w:tcPr>
          <w:p w14:paraId="0DBF4B4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0F3761C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2000</w:t>
            </w:r>
          </w:p>
        </w:tc>
        <w:tc>
          <w:tcPr>
            <w:tcW w:w="469" w:type="pct"/>
            <w:shd w:val="clear" w:color="auto" w:fill="auto"/>
            <w:noWrap/>
            <w:vAlign w:val="center"/>
          </w:tcPr>
          <w:p w14:paraId="4C3146C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2000</w:t>
            </w:r>
          </w:p>
        </w:tc>
        <w:tc>
          <w:tcPr>
            <w:tcW w:w="547" w:type="pct"/>
            <w:shd w:val="clear" w:color="auto" w:fill="auto"/>
            <w:vAlign w:val="center"/>
          </w:tcPr>
          <w:p w14:paraId="626A0FAB">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1,59 </w:t>
            </w:r>
          </w:p>
        </w:tc>
        <w:tc>
          <w:tcPr>
            <w:tcW w:w="622" w:type="pct"/>
            <w:shd w:val="clear" w:color="auto" w:fill="auto"/>
            <w:vAlign w:val="center"/>
          </w:tcPr>
          <w:p w14:paraId="400D70B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3.180,00 </w:t>
            </w:r>
          </w:p>
        </w:tc>
      </w:tr>
      <w:tr w14:paraId="3BDC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05" w:hRule="atLeast"/>
        </w:trPr>
        <w:tc>
          <w:tcPr>
            <w:tcW w:w="231" w:type="pct"/>
            <w:shd w:val="clear" w:color="auto" w:fill="auto"/>
            <w:noWrap/>
            <w:vAlign w:val="center"/>
          </w:tcPr>
          <w:p w14:paraId="494107C8">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24</w:t>
            </w:r>
          </w:p>
        </w:tc>
        <w:tc>
          <w:tcPr>
            <w:tcW w:w="391" w:type="pct"/>
            <w:shd w:val="clear" w:color="auto" w:fill="auto"/>
            <w:noWrap/>
            <w:vAlign w:val="center"/>
          </w:tcPr>
          <w:p w14:paraId="55DE196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br w:type="textWrapping"/>
            </w:r>
            <w:r>
              <w:rPr>
                <w:rFonts w:eastAsia="Times New Roman" w:cstheme="minorHAnsi"/>
                <w:bCs/>
                <w:sz w:val="16"/>
                <w:szCs w:val="16"/>
                <w:lang w:eastAsia="pt-BR"/>
              </w:rPr>
              <w:t>BR442694</w:t>
            </w:r>
          </w:p>
        </w:tc>
        <w:tc>
          <w:tcPr>
            <w:tcW w:w="1408" w:type="pct"/>
            <w:shd w:val="clear" w:color="auto" w:fill="auto"/>
            <w:noWrap/>
            <w:vAlign w:val="center"/>
          </w:tcPr>
          <w:p w14:paraId="2C78D912">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CEFTAZIDIMA, CONCENTRAÇÃO:1 G, FORMA FARMACEUTICA:PÓ P/ SOLUÇÃO INJETÁVEL</w:t>
            </w:r>
          </w:p>
        </w:tc>
        <w:tc>
          <w:tcPr>
            <w:tcW w:w="705" w:type="pct"/>
            <w:shd w:val="clear" w:color="auto" w:fill="auto"/>
            <w:vAlign w:val="center"/>
          </w:tcPr>
          <w:p w14:paraId="71299B1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FRASCO-AMPOLA</w:t>
            </w:r>
          </w:p>
        </w:tc>
        <w:tc>
          <w:tcPr>
            <w:tcW w:w="626" w:type="pct"/>
            <w:shd w:val="clear" w:color="auto" w:fill="auto"/>
            <w:noWrap/>
            <w:vAlign w:val="center"/>
          </w:tcPr>
          <w:p w14:paraId="7C14CFD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2500</w:t>
            </w:r>
          </w:p>
        </w:tc>
        <w:tc>
          <w:tcPr>
            <w:tcW w:w="469" w:type="pct"/>
            <w:shd w:val="clear" w:color="auto" w:fill="auto"/>
            <w:noWrap/>
            <w:vAlign w:val="center"/>
          </w:tcPr>
          <w:p w14:paraId="56E8BFF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2500</w:t>
            </w:r>
          </w:p>
        </w:tc>
        <w:tc>
          <w:tcPr>
            <w:tcW w:w="547" w:type="pct"/>
            <w:shd w:val="clear" w:color="auto" w:fill="auto"/>
            <w:vAlign w:val="center"/>
          </w:tcPr>
          <w:p w14:paraId="67040964">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16,06 </w:t>
            </w:r>
          </w:p>
        </w:tc>
        <w:tc>
          <w:tcPr>
            <w:tcW w:w="622" w:type="pct"/>
            <w:shd w:val="clear" w:color="auto" w:fill="auto"/>
            <w:vAlign w:val="center"/>
          </w:tcPr>
          <w:p w14:paraId="7C1DB14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40.150,00 </w:t>
            </w:r>
          </w:p>
        </w:tc>
      </w:tr>
      <w:tr w14:paraId="25D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0" w:hRule="atLeast"/>
        </w:trPr>
        <w:tc>
          <w:tcPr>
            <w:tcW w:w="231" w:type="pct"/>
            <w:shd w:val="clear" w:color="auto" w:fill="auto"/>
            <w:noWrap/>
            <w:vAlign w:val="center"/>
          </w:tcPr>
          <w:p w14:paraId="78499939">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25</w:t>
            </w:r>
          </w:p>
        </w:tc>
        <w:tc>
          <w:tcPr>
            <w:tcW w:w="391" w:type="pct"/>
            <w:shd w:val="clear" w:color="auto" w:fill="auto"/>
            <w:noWrap/>
            <w:vAlign w:val="center"/>
          </w:tcPr>
          <w:p w14:paraId="6AC8C30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BR268112</w:t>
            </w:r>
          </w:p>
        </w:tc>
        <w:tc>
          <w:tcPr>
            <w:tcW w:w="1408" w:type="pct"/>
            <w:shd w:val="clear" w:color="auto" w:fill="auto"/>
            <w:noWrap/>
            <w:vAlign w:val="center"/>
          </w:tcPr>
          <w:p w14:paraId="1A51AB45">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HIDRALAZINA, DOSAGEM:50 MG</w:t>
            </w:r>
          </w:p>
        </w:tc>
        <w:tc>
          <w:tcPr>
            <w:tcW w:w="705" w:type="pct"/>
            <w:shd w:val="clear" w:color="auto" w:fill="auto"/>
            <w:vAlign w:val="center"/>
          </w:tcPr>
          <w:p w14:paraId="0961362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098D8DF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22000</w:t>
            </w:r>
          </w:p>
        </w:tc>
        <w:tc>
          <w:tcPr>
            <w:tcW w:w="469" w:type="pct"/>
            <w:shd w:val="clear" w:color="auto" w:fill="auto"/>
            <w:noWrap/>
            <w:vAlign w:val="center"/>
          </w:tcPr>
          <w:p w14:paraId="60EFD56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22000</w:t>
            </w:r>
          </w:p>
        </w:tc>
        <w:tc>
          <w:tcPr>
            <w:tcW w:w="547" w:type="pct"/>
            <w:shd w:val="clear" w:color="auto" w:fill="auto"/>
            <w:vAlign w:val="center"/>
          </w:tcPr>
          <w:p w14:paraId="7320D208">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0,62 </w:t>
            </w:r>
          </w:p>
        </w:tc>
        <w:tc>
          <w:tcPr>
            <w:tcW w:w="622" w:type="pct"/>
            <w:shd w:val="clear" w:color="auto" w:fill="auto"/>
            <w:vAlign w:val="center"/>
          </w:tcPr>
          <w:p w14:paraId="635E7DD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13.640,00 </w:t>
            </w:r>
          </w:p>
        </w:tc>
      </w:tr>
      <w:tr w14:paraId="61D2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85" w:hRule="atLeast"/>
        </w:trPr>
        <w:tc>
          <w:tcPr>
            <w:tcW w:w="231" w:type="pct"/>
            <w:shd w:val="clear" w:color="auto" w:fill="auto"/>
            <w:noWrap/>
            <w:vAlign w:val="center"/>
          </w:tcPr>
          <w:p w14:paraId="69A90DF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26</w:t>
            </w:r>
          </w:p>
        </w:tc>
        <w:tc>
          <w:tcPr>
            <w:tcW w:w="391" w:type="pct"/>
            <w:shd w:val="clear" w:color="auto" w:fill="auto"/>
            <w:noWrap/>
            <w:vAlign w:val="center"/>
          </w:tcPr>
          <w:p w14:paraId="70ECE3DD">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BR448577</w:t>
            </w:r>
          </w:p>
        </w:tc>
        <w:tc>
          <w:tcPr>
            <w:tcW w:w="1408" w:type="pct"/>
            <w:shd w:val="clear" w:color="auto" w:fill="auto"/>
            <w:noWrap/>
            <w:vAlign w:val="center"/>
          </w:tcPr>
          <w:p w14:paraId="1C75CF82">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MICOFENOLATO, COMPOSIÇÃO:DE SÓDIO, CONCENTRAÇÃO:360 MG</w:t>
            </w:r>
          </w:p>
        </w:tc>
        <w:tc>
          <w:tcPr>
            <w:tcW w:w="705" w:type="pct"/>
            <w:shd w:val="clear" w:color="auto" w:fill="auto"/>
            <w:vAlign w:val="center"/>
          </w:tcPr>
          <w:p w14:paraId="6034D48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6D109FB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469" w:type="pct"/>
            <w:shd w:val="clear" w:color="auto" w:fill="auto"/>
            <w:noWrap/>
            <w:vAlign w:val="center"/>
          </w:tcPr>
          <w:p w14:paraId="35CF8AE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547" w:type="pct"/>
            <w:shd w:val="clear" w:color="auto" w:fill="auto"/>
            <w:vAlign w:val="center"/>
          </w:tcPr>
          <w:p w14:paraId="079D66BC">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9,81 </w:t>
            </w:r>
          </w:p>
        </w:tc>
        <w:tc>
          <w:tcPr>
            <w:tcW w:w="622" w:type="pct"/>
            <w:shd w:val="clear" w:color="auto" w:fill="auto"/>
            <w:vAlign w:val="center"/>
          </w:tcPr>
          <w:p w14:paraId="7C46CEA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117.720,00 </w:t>
            </w:r>
          </w:p>
        </w:tc>
      </w:tr>
      <w:tr w14:paraId="0E39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35" w:hRule="atLeast"/>
        </w:trPr>
        <w:tc>
          <w:tcPr>
            <w:tcW w:w="231" w:type="pct"/>
            <w:shd w:val="clear" w:color="auto" w:fill="auto"/>
            <w:noWrap/>
            <w:vAlign w:val="center"/>
          </w:tcPr>
          <w:p w14:paraId="54A8106F">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27</w:t>
            </w:r>
          </w:p>
        </w:tc>
        <w:tc>
          <w:tcPr>
            <w:tcW w:w="391" w:type="pct"/>
            <w:shd w:val="clear" w:color="auto" w:fill="auto"/>
            <w:noWrap/>
            <w:vAlign w:val="center"/>
          </w:tcPr>
          <w:p w14:paraId="399B87E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BR267566</w:t>
            </w:r>
          </w:p>
        </w:tc>
        <w:tc>
          <w:tcPr>
            <w:tcW w:w="1408" w:type="pct"/>
            <w:shd w:val="clear" w:color="auto" w:fill="auto"/>
            <w:noWrap/>
            <w:vAlign w:val="center"/>
          </w:tcPr>
          <w:p w14:paraId="40A79FE2">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CARVEDILOL, DOSAGEM:3,125 MG</w:t>
            </w:r>
          </w:p>
        </w:tc>
        <w:tc>
          <w:tcPr>
            <w:tcW w:w="705" w:type="pct"/>
            <w:shd w:val="clear" w:color="auto" w:fill="auto"/>
            <w:vAlign w:val="center"/>
          </w:tcPr>
          <w:p w14:paraId="15A31C2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14206AC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3600</w:t>
            </w:r>
          </w:p>
        </w:tc>
        <w:tc>
          <w:tcPr>
            <w:tcW w:w="469" w:type="pct"/>
            <w:shd w:val="clear" w:color="auto" w:fill="auto"/>
            <w:noWrap/>
            <w:vAlign w:val="center"/>
          </w:tcPr>
          <w:p w14:paraId="1A81251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3600</w:t>
            </w:r>
          </w:p>
        </w:tc>
        <w:tc>
          <w:tcPr>
            <w:tcW w:w="547" w:type="pct"/>
            <w:shd w:val="clear" w:color="auto" w:fill="auto"/>
            <w:vAlign w:val="center"/>
          </w:tcPr>
          <w:p w14:paraId="617C92DB">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0,14 </w:t>
            </w:r>
          </w:p>
        </w:tc>
        <w:tc>
          <w:tcPr>
            <w:tcW w:w="622" w:type="pct"/>
            <w:shd w:val="clear" w:color="auto" w:fill="auto"/>
            <w:vAlign w:val="center"/>
          </w:tcPr>
          <w:p w14:paraId="1DAF4D7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504,00 </w:t>
            </w:r>
          </w:p>
        </w:tc>
      </w:tr>
      <w:tr w14:paraId="7E15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40" w:hRule="atLeast"/>
        </w:trPr>
        <w:tc>
          <w:tcPr>
            <w:tcW w:w="231" w:type="pct"/>
            <w:shd w:val="clear" w:color="auto" w:fill="auto"/>
            <w:noWrap/>
            <w:vAlign w:val="center"/>
          </w:tcPr>
          <w:p w14:paraId="538D82C1">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28</w:t>
            </w:r>
          </w:p>
        </w:tc>
        <w:tc>
          <w:tcPr>
            <w:tcW w:w="391" w:type="pct"/>
            <w:shd w:val="clear" w:color="auto" w:fill="auto"/>
            <w:noWrap/>
            <w:vAlign w:val="center"/>
          </w:tcPr>
          <w:p w14:paraId="504250A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BR273395</w:t>
            </w:r>
          </w:p>
        </w:tc>
        <w:tc>
          <w:tcPr>
            <w:tcW w:w="1408" w:type="pct"/>
            <w:shd w:val="clear" w:color="auto" w:fill="auto"/>
            <w:noWrap/>
            <w:vAlign w:val="center"/>
          </w:tcPr>
          <w:p w14:paraId="3685DFBD">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ISOSSORBIDA, PRINCÍPIO ATIVO:SAL DINITRATO, DOSAGEM:5 MG, TIPO MEDICAMENTO:SUBLINGUAL</w:t>
            </w:r>
          </w:p>
        </w:tc>
        <w:tc>
          <w:tcPr>
            <w:tcW w:w="705" w:type="pct"/>
            <w:shd w:val="clear" w:color="auto" w:fill="auto"/>
            <w:vAlign w:val="center"/>
          </w:tcPr>
          <w:p w14:paraId="1975FD2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3D6FBE7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w:t>
            </w:r>
          </w:p>
        </w:tc>
        <w:tc>
          <w:tcPr>
            <w:tcW w:w="469" w:type="pct"/>
            <w:shd w:val="clear" w:color="auto" w:fill="auto"/>
            <w:noWrap/>
            <w:vAlign w:val="center"/>
          </w:tcPr>
          <w:p w14:paraId="17D20B5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w:t>
            </w:r>
          </w:p>
        </w:tc>
        <w:tc>
          <w:tcPr>
            <w:tcW w:w="547" w:type="pct"/>
            <w:shd w:val="clear" w:color="auto" w:fill="auto"/>
            <w:vAlign w:val="center"/>
          </w:tcPr>
          <w:p w14:paraId="2E280E38">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0,48 </w:t>
            </w:r>
          </w:p>
        </w:tc>
        <w:tc>
          <w:tcPr>
            <w:tcW w:w="622" w:type="pct"/>
            <w:shd w:val="clear" w:color="auto" w:fill="auto"/>
            <w:vAlign w:val="center"/>
          </w:tcPr>
          <w:p w14:paraId="5635FD6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576,00 </w:t>
            </w:r>
          </w:p>
        </w:tc>
      </w:tr>
      <w:tr w14:paraId="45DD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231" w:type="pct"/>
            <w:shd w:val="clear" w:color="auto" w:fill="auto"/>
            <w:noWrap/>
            <w:vAlign w:val="center"/>
          </w:tcPr>
          <w:p w14:paraId="1622D1D2">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29</w:t>
            </w:r>
          </w:p>
        </w:tc>
        <w:tc>
          <w:tcPr>
            <w:tcW w:w="391" w:type="pct"/>
            <w:shd w:val="clear" w:color="auto" w:fill="auto"/>
            <w:noWrap/>
            <w:vAlign w:val="center"/>
          </w:tcPr>
          <w:p w14:paraId="375F52B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BR268236</w:t>
            </w:r>
          </w:p>
        </w:tc>
        <w:tc>
          <w:tcPr>
            <w:tcW w:w="1408" w:type="pct"/>
            <w:shd w:val="clear" w:color="auto" w:fill="auto"/>
            <w:noWrap/>
            <w:vAlign w:val="center"/>
          </w:tcPr>
          <w:p w14:paraId="01A23FC4">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CLORETO DE SÓDIO, PRINCÍPIO ATIVO:0,9%_ SOLUÇÃO INJETÁVEL, APLICAÇÃO:SISTEMA FECHADO</w:t>
            </w:r>
          </w:p>
        </w:tc>
        <w:tc>
          <w:tcPr>
            <w:tcW w:w="705" w:type="pct"/>
            <w:shd w:val="clear" w:color="auto" w:fill="auto"/>
            <w:vAlign w:val="center"/>
          </w:tcPr>
          <w:p w14:paraId="72BF3E1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 1000 ML</w:t>
            </w:r>
          </w:p>
        </w:tc>
        <w:tc>
          <w:tcPr>
            <w:tcW w:w="626" w:type="pct"/>
            <w:shd w:val="clear" w:color="auto" w:fill="auto"/>
            <w:noWrap/>
            <w:vAlign w:val="center"/>
          </w:tcPr>
          <w:p w14:paraId="06CE9DB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469" w:type="pct"/>
            <w:shd w:val="clear" w:color="auto" w:fill="auto"/>
            <w:noWrap/>
            <w:vAlign w:val="center"/>
          </w:tcPr>
          <w:p w14:paraId="2E17AAF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547" w:type="pct"/>
            <w:shd w:val="clear" w:color="auto" w:fill="auto"/>
            <w:vAlign w:val="center"/>
          </w:tcPr>
          <w:p w14:paraId="29A2319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11,61 </w:t>
            </w:r>
          </w:p>
        </w:tc>
        <w:tc>
          <w:tcPr>
            <w:tcW w:w="622" w:type="pct"/>
            <w:shd w:val="clear" w:color="auto" w:fill="auto"/>
            <w:vAlign w:val="center"/>
          </w:tcPr>
          <w:p w14:paraId="671855A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139.320,00 </w:t>
            </w:r>
          </w:p>
        </w:tc>
      </w:tr>
      <w:tr w14:paraId="7EF6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75" w:hRule="atLeast"/>
        </w:trPr>
        <w:tc>
          <w:tcPr>
            <w:tcW w:w="231" w:type="pct"/>
            <w:shd w:val="clear" w:color="auto" w:fill="auto"/>
            <w:noWrap/>
            <w:vAlign w:val="center"/>
          </w:tcPr>
          <w:p w14:paraId="38B06DB0">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30</w:t>
            </w:r>
          </w:p>
        </w:tc>
        <w:tc>
          <w:tcPr>
            <w:tcW w:w="391" w:type="pct"/>
            <w:shd w:val="clear" w:color="auto" w:fill="auto"/>
            <w:noWrap/>
            <w:vAlign w:val="center"/>
          </w:tcPr>
          <w:p w14:paraId="79618B0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BR267642</w:t>
            </w:r>
          </w:p>
        </w:tc>
        <w:tc>
          <w:tcPr>
            <w:tcW w:w="1408" w:type="pct"/>
            <w:shd w:val="clear" w:color="auto" w:fill="auto"/>
            <w:noWrap/>
            <w:vAlign w:val="center"/>
          </w:tcPr>
          <w:p w14:paraId="7BAD7524">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COLCHICINA, DOSAGEM:0,5 MG</w:t>
            </w:r>
          </w:p>
        </w:tc>
        <w:tc>
          <w:tcPr>
            <w:tcW w:w="705" w:type="pct"/>
            <w:shd w:val="clear" w:color="auto" w:fill="auto"/>
            <w:vAlign w:val="center"/>
          </w:tcPr>
          <w:p w14:paraId="3EA1BDD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025D53E4">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469" w:type="pct"/>
            <w:shd w:val="clear" w:color="auto" w:fill="auto"/>
            <w:noWrap/>
            <w:vAlign w:val="center"/>
          </w:tcPr>
          <w:p w14:paraId="621AEDCC">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12000</w:t>
            </w:r>
          </w:p>
        </w:tc>
        <w:tc>
          <w:tcPr>
            <w:tcW w:w="547" w:type="pct"/>
            <w:shd w:val="clear" w:color="auto" w:fill="auto"/>
            <w:vAlign w:val="center"/>
          </w:tcPr>
          <w:p w14:paraId="510179E1">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0,82 </w:t>
            </w:r>
          </w:p>
        </w:tc>
        <w:tc>
          <w:tcPr>
            <w:tcW w:w="622" w:type="pct"/>
            <w:shd w:val="clear" w:color="auto" w:fill="auto"/>
            <w:vAlign w:val="center"/>
          </w:tcPr>
          <w:p w14:paraId="71771339">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9.840,00 </w:t>
            </w:r>
          </w:p>
        </w:tc>
      </w:tr>
      <w:tr w14:paraId="2FA8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231" w:type="pct"/>
            <w:shd w:val="clear" w:color="auto" w:fill="auto"/>
            <w:noWrap/>
            <w:vAlign w:val="center"/>
          </w:tcPr>
          <w:p w14:paraId="10287B98">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31</w:t>
            </w:r>
          </w:p>
        </w:tc>
        <w:tc>
          <w:tcPr>
            <w:tcW w:w="391" w:type="pct"/>
            <w:shd w:val="clear" w:color="auto" w:fill="auto"/>
            <w:noWrap/>
            <w:vAlign w:val="center"/>
          </w:tcPr>
          <w:p w14:paraId="5FDDBB6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BR271600</w:t>
            </w:r>
          </w:p>
        </w:tc>
        <w:tc>
          <w:tcPr>
            <w:tcW w:w="1408" w:type="pct"/>
            <w:shd w:val="clear" w:color="auto" w:fill="auto"/>
            <w:noWrap/>
            <w:vAlign w:val="center"/>
          </w:tcPr>
          <w:p w14:paraId="33CEF09B">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METILPREDNISOLONA, PRINCÍPIO ATIVO:SAL SUCCINATO, DOSAGEM:125 MG, APRESENTAÇÃO:PÓ LIOFILIZADO + DILUENTE, INJETÁVEL</w:t>
            </w:r>
          </w:p>
        </w:tc>
        <w:tc>
          <w:tcPr>
            <w:tcW w:w="705" w:type="pct"/>
            <w:shd w:val="clear" w:color="auto" w:fill="auto"/>
            <w:vAlign w:val="center"/>
          </w:tcPr>
          <w:p w14:paraId="22A6D6F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FRASCO-AMPOLA</w:t>
            </w:r>
          </w:p>
        </w:tc>
        <w:tc>
          <w:tcPr>
            <w:tcW w:w="626" w:type="pct"/>
            <w:shd w:val="clear" w:color="auto" w:fill="auto"/>
            <w:noWrap/>
            <w:vAlign w:val="center"/>
          </w:tcPr>
          <w:p w14:paraId="6540327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4000</w:t>
            </w:r>
          </w:p>
        </w:tc>
        <w:tc>
          <w:tcPr>
            <w:tcW w:w="469" w:type="pct"/>
            <w:shd w:val="clear" w:color="auto" w:fill="auto"/>
            <w:noWrap/>
            <w:vAlign w:val="center"/>
          </w:tcPr>
          <w:p w14:paraId="17049C8B">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4000</w:t>
            </w:r>
          </w:p>
        </w:tc>
        <w:tc>
          <w:tcPr>
            <w:tcW w:w="547" w:type="pct"/>
            <w:shd w:val="clear" w:color="auto" w:fill="auto"/>
            <w:vAlign w:val="center"/>
          </w:tcPr>
          <w:p w14:paraId="0A9CD04D">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13,60 </w:t>
            </w:r>
          </w:p>
        </w:tc>
        <w:tc>
          <w:tcPr>
            <w:tcW w:w="622" w:type="pct"/>
            <w:shd w:val="clear" w:color="auto" w:fill="auto"/>
            <w:vAlign w:val="center"/>
          </w:tcPr>
          <w:p w14:paraId="2BD8E195">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54.400,00 </w:t>
            </w:r>
          </w:p>
        </w:tc>
      </w:tr>
      <w:tr w14:paraId="2F03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5" w:hRule="atLeast"/>
        </w:trPr>
        <w:tc>
          <w:tcPr>
            <w:tcW w:w="231" w:type="pct"/>
            <w:shd w:val="clear" w:color="auto" w:fill="auto"/>
            <w:noWrap/>
            <w:vAlign w:val="center"/>
          </w:tcPr>
          <w:p w14:paraId="18B9399F">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32</w:t>
            </w:r>
          </w:p>
        </w:tc>
        <w:tc>
          <w:tcPr>
            <w:tcW w:w="391" w:type="pct"/>
            <w:shd w:val="clear" w:color="auto" w:fill="auto"/>
            <w:noWrap/>
            <w:vAlign w:val="center"/>
          </w:tcPr>
          <w:p w14:paraId="6A80207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BR400852</w:t>
            </w:r>
          </w:p>
        </w:tc>
        <w:tc>
          <w:tcPr>
            <w:tcW w:w="1408" w:type="pct"/>
            <w:shd w:val="clear" w:color="auto" w:fill="auto"/>
            <w:noWrap/>
            <w:vAlign w:val="center"/>
          </w:tcPr>
          <w:p w14:paraId="0F4A1A25">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TICAGRELOR, CONCENTRAÇÃO: 90 MG</w:t>
            </w:r>
          </w:p>
        </w:tc>
        <w:tc>
          <w:tcPr>
            <w:tcW w:w="705" w:type="pct"/>
            <w:shd w:val="clear" w:color="auto" w:fill="auto"/>
            <w:vAlign w:val="center"/>
          </w:tcPr>
          <w:p w14:paraId="7000EF23">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466B33D6">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60000</w:t>
            </w:r>
          </w:p>
        </w:tc>
        <w:tc>
          <w:tcPr>
            <w:tcW w:w="469" w:type="pct"/>
            <w:shd w:val="clear" w:color="auto" w:fill="auto"/>
            <w:noWrap/>
            <w:vAlign w:val="center"/>
          </w:tcPr>
          <w:p w14:paraId="23EFB73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60000</w:t>
            </w:r>
          </w:p>
        </w:tc>
        <w:tc>
          <w:tcPr>
            <w:tcW w:w="547" w:type="pct"/>
            <w:shd w:val="clear" w:color="auto" w:fill="auto"/>
            <w:vAlign w:val="center"/>
          </w:tcPr>
          <w:p w14:paraId="1AC0D7ED">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5,24 </w:t>
            </w:r>
          </w:p>
        </w:tc>
        <w:tc>
          <w:tcPr>
            <w:tcW w:w="622" w:type="pct"/>
            <w:shd w:val="clear" w:color="auto" w:fill="auto"/>
            <w:vAlign w:val="center"/>
          </w:tcPr>
          <w:p w14:paraId="12AD991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314.400,00 </w:t>
            </w:r>
          </w:p>
        </w:tc>
      </w:tr>
      <w:tr w14:paraId="7AF4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5" w:hRule="atLeast"/>
        </w:trPr>
        <w:tc>
          <w:tcPr>
            <w:tcW w:w="231" w:type="pct"/>
            <w:shd w:val="clear" w:color="auto" w:fill="auto"/>
            <w:noWrap/>
            <w:vAlign w:val="center"/>
          </w:tcPr>
          <w:p w14:paraId="6B4E34D9">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33</w:t>
            </w:r>
          </w:p>
        </w:tc>
        <w:tc>
          <w:tcPr>
            <w:tcW w:w="391" w:type="pct"/>
            <w:shd w:val="clear" w:color="auto" w:fill="auto"/>
            <w:noWrap/>
            <w:vAlign w:val="center"/>
          </w:tcPr>
          <w:p w14:paraId="03CB838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BR291549</w:t>
            </w:r>
          </w:p>
        </w:tc>
        <w:tc>
          <w:tcPr>
            <w:tcW w:w="1408" w:type="pct"/>
            <w:shd w:val="clear" w:color="auto" w:fill="auto"/>
            <w:noWrap/>
            <w:vAlign w:val="center"/>
          </w:tcPr>
          <w:p w14:paraId="047684E9">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ATORVASTATINA CÁLCICA, DOSAGEM: 80 MG</w:t>
            </w:r>
          </w:p>
        </w:tc>
        <w:tc>
          <w:tcPr>
            <w:tcW w:w="705" w:type="pct"/>
            <w:shd w:val="clear" w:color="auto" w:fill="auto"/>
            <w:vAlign w:val="center"/>
          </w:tcPr>
          <w:p w14:paraId="1EE6FC2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COMPRIMIDO</w:t>
            </w:r>
          </w:p>
        </w:tc>
        <w:tc>
          <w:tcPr>
            <w:tcW w:w="626" w:type="pct"/>
            <w:shd w:val="clear" w:color="auto" w:fill="auto"/>
            <w:noWrap/>
            <w:vAlign w:val="center"/>
          </w:tcPr>
          <w:p w14:paraId="3E265A3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80000</w:t>
            </w:r>
          </w:p>
        </w:tc>
        <w:tc>
          <w:tcPr>
            <w:tcW w:w="469" w:type="pct"/>
            <w:shd w:val="clear" w:color="auto" w:fill="auto"/>
            <w:noWrap/>
            <w:vAlign w:val="center"/>
          </w:tcPr>
          <w:p w14:paraId="032DDF9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80000</w:t>
            </w:r>
          </w:p>
        </w:tc>
        <w:tc>
          <w:tcPr>
            <w:tcW w:w="547" w:type="pct"/>
            <w:shd w:val="clear" w:color="auto" w:fill="auto"/>
            <w:vAlign w:val="center"/>
          </w:tcPr>
          <w:p w14:paraId="432036E7">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3,40 </w:t>
            </w:r>
          </w:p>
        </w:tc>
        <w:tc>
          <w:tcPr>
            <w:tcW w:w="622" w:type="pct"/>
            <w:shd w:val="clear" w:color="auto" w:fill="auto"/>
            <w:vAlign w:val="center"/>
          </w:tcPr>
          <w:p w14:paraId="18CAFE5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272.000,00 </w:t>
            </w:r>
          </w:p>
        </w:tc>
      </w:tr>
      <w:tr w14:paraId="7E36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231" w:type="pct"/>
            <w:shd w:val="clear" w:color="auto" w:fill="auto"/>
            <w:noWrap/>
            <w:vAlign w:val="center"/>
          </w:tcPr>
          <w:p w14:paraId="5E642F95">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34</w:t>
            </w:r>
          </w:p>
        </w:tc>
        <w:tc>
          <w:tcPr>
            <w:tcW w:w="391" w:type="pct"/>
            <w:shd w:val="clear" w:color="auto" w:fill="auto"/>
            <w:noWrap/>
            <w:vAlign w:val="center"/>
          </w:tcPr>
          <w:p w14:paraId="0933316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BR274149</w:t>
            </w:r>
          </w:p>
        </w:tc>
        <w:tc>
          <w:tcPr>
            <w:tcW w:w="1408" w:type="pct"/>
            <w:shd w:val="clear" w:color="auto" w:fill="auto"/>
            <w:noWrap/>
            <w:vAlign w:val="center"/>
          </w:tcPr>
          <w:p w14:paraId="10B42D40">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ERTAPENEM SÓDICO, DOSAGEM: 1 G, APRESENTAÇÃO: INJETÁVEL</w:t>
            </w:r>
          </w:p>
        </w:tc>
        <w:tc>
          <w:tcPr>
            <w:tcW w:w="705" w:type="pct"/>
            <w:shd w:val="clear" w:color="auto" w:fill="auto"/>
            <w:vAlign w:val="center"/>
          </w:tcPr>
          <w:p w14:paraId="1662D43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FRASCO-AMPOLA</w:t>
            </w:r>
          </w:p>
        </w:tc>
        <w:tc>
          <w:tcPr>
            <w:tcW w:w="626" w:type="pct"/>
            <w:shd w:val="clear" w:color="auto" w:fill="auto"/>
            <w:noWrap/>
            <w:vAlign w:val="center"/>
          </w:tcPr>
          <w:p w14:paraId="2DAD70A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250</w:t>
            </w:r>
          </w:p>
        </w:tc>
        <w:tc>
          <w:tcPr>
            <w:tcW w:w="469" w:type="pct"/>
            <w:shd w:val="clear" w:color="auto" w:fill="auto"/>
            <w:noWrap/>
            <w:vAlign w:val="center"/>
          </w:tcPr>
          <w:p w14:paraId="18806E3F">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250</w:t>
            </w:r>
          </w:p>
        </w:tc>
        <w:tc>
          <w:tcPr>
            <w:tcW w:w="547" w:type="pct"/>
            <w:shd w:val="clear" w:color="auto" w:fill="auto"/>
            <w:vAlign w:val="center"/>
          </w:tcPr>
          <w:p w14:paraId="5483A15B">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285,00 </w:t>
            </w:r>
          </w:p>
        </w:tc>
        <w:tc>
          <w:tcPr>
            <w:tcW w:w="622" w:type="pct"/>
            <w:shd w:val="clear" w:color="auto" w:fill="auto"/>
            <w:vAlign w:val="center"/>
          </w:tcPr>
          <w:p w14:paraId="1CA6613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71.250,00 </w:t>
            </w:r>
          </w:p>
        </w:tc>
      </w:tr>
      <w:tr w14:paraId="1E0C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95" w:hRule="atLeast"/>
        </w:trPr>
        <w:tc>
          <w:tcPr>
            <w:tcW w:w="231" w:type="pct"/>
            <w:shd w:val="clear" w:color="auto" w:fill="auto"/>
            <w:noWrap/>
            <w:vAlign w:val="center"/>
          </w:tcPr>
          <w:p w14:paraId="579C94BA">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35</w:t>
            </w:r>
          </w:p>
        </w:tc>
        <w:tc>
          <w:tcPr>
            <w:tcW w:w="391" w:type="pct"/>
            <w:shd w:val="clear" w:color="auto" w:fill="auto"/>
            <w:noWrap/>
            <w:vAlign w:val="center"/>
          </w:tcPr>
          <w:p w14:paraId="1F0F04E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BR0272362</w:t>
            </w:r>
          </w:p>
        </w:tc>
        <w:tc>
          <w:tcPr>
            <w:tcW w:w="1408" w:type="pct"/>
            <w:shd w:val="clear" w:color="auto" w:fill="auto"/>
            <w:noWrap/>
            <w:vAlign w:val="center"/>
          </w:tcPr>
          <w:p w14:paraId="68A4D6D2">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PROTAMINA CLORIDRATO, CONCENTRAÇÃO 1%, APRESENTAÇÃO SOLUÇÃO INJETÁVEL</w:t>
            </w:r>
          </w:p>
        </w:tc>
        <w:tc>
          <w:tcPr>
            <w:tcW w:w="705" w:type="pct"/>
            <w:shd w:val="clear" w:color="auto" w:fill="auto"/>
            <w:vAlign w:val="center"/>
          </w:tcPr>
          <w:p w14:paraId="4C37A6D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br w:type="textWrapping"/>
            </w:r>
            <w:r>
              <w:rPr>
                <w:rFonts w:eastAsia="Times New Roman" w:cstheme="minorHAnsi"/>
                <w:bCs/>
                <w:sz w:val="16"/>
                <w:szCs w:val="16"/>
                <w:lang w:eastAsia="pt-BR"/>
              </w:rPr>
              <w:t>AMPOLA 5,00 ML</w:t>
            </w:r>
          </w:p>
        </w:tc>
        <w:tc>
          <w:tcPr>
            <w:tcW w:w="626" w:type="pct"/>
            <w:shd w:val="clear" w:color="auto" w:fill="auto"/>
            <w:noWrap/>
            <w:vAlign w:val="center"/>
          </w:tcPr>
          <w:p w14:paraId="61FAFE7E">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8000</w:t>
            </w:r>
          </w:p>
        </w:tc>
        <w:tc>
          <w:tcPr>
            <w:tcW w:w="469" w:type="pct"/>
            <w:shd w:val="clear" w:color="auto" w:fill="auto"/>
            <w:noWrap/>
            <w:vAlign w:val="center"/>
          </w:tcPr>
          <w:p w14:paraId="6A0AEF40">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8000</w:t>
            </w:r>
          </w:p>
        </w:tc>
        <w:tc>
          <w:tcPr>
            <w:tcW w:w="547" w:type="pct"/>
            <w:shd w:val="clear" w:color="auto" w:fill="auto"/>
            <w:vAlign w:val="center"/>
          </w:tcPr>
          <w:p w14:paraId="1D1D4D8B">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4,36 </w:t>
            </w:r>
          </w:p>
        </w:tc>
        <w:tc>
          <w:tcPr>
            <w:tcW w:w="622" w:type="pct"/>
            <w:shd w:val="clear" w:color="auto" w:fill="auto"/>
            <w:vAlign w:val="center"/>
          </w:tcPr>
          <w:p w14:paraId="0942749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34.880,00 </w:t>
            </w:r>
          </w:p>
        </w:tc>
      </w:tr>
      <w:tr w14:paraId="28FA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5" w:hRule="atLeast"/>
        </w:trPr>
        <w:tc>
          <w:tcPr>
            <w:tcW w:w="231" w:type="pct"/>
            <w:shd w:val="clear" w:color="auto" w:fill="auto"/>
            <w:noWrap/>
            <w:vAlign w:val="center"/>
          </w:tcPr>
          <w:p w14:paraId="6FB9D0F8">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36</w:t>
            </w:r>
          </w:p>
        </w:tc>
        <w:tc>
          <w:tcPr>
            <w:tcW w:w="391" w:type="pct"/>
            <w:shd w:val="clear" w:color="auto" w:fill="auto"/>
            <w:noWrap/>
            <w:vAlign w:val="center"/>
          </w:tcPr>
          <w:p w14:paraId="6EE32FC1">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BR0427087</w:t>
            </w:r>
          </w:p>
        </w:tc>
        <w:tc>
          <w:tcPr>
            <w:tcW w:w="1408" w:type="pct"/>
            <w:shd w:val="clear" w:color="auto" w:fill="auto"/>
            <w:noWrap/>
            <w:vAlign w:val="center"/>
          </w:tcPr>
          <w:p w14:paraId="7A216B40">
            <w:pPr>
              <w:spacing w:after="0" w:line="240" w:lineRule="auto"/>
              <w:jc w:val="both"/>
              <w:rPr>
                <w:rFonts w:eastAsia="Times New Roman" w:cstheme="minorHAnsi"/>
                <w:bCs/>
                <w:sz w:val="16"/>
                <w:szCs w:val="16"/>
                <w:lang w:eastAsia="pt-BR"/>
              </w:rPr>
            </w:pPr>
            <w:r>
              <w:rPr>
                <w:rFonts w:eastAsia="Times New Roman" w:cstheme="minorHAnsi"/>
                <w:bCs/>
                <w:sz w:val="16"/>
                <w:szCs w:val="16"/>
                <w:lang w:eastAsia="pt-BR"/>
              </w:rPr>
              <w:t>SOLUÇÃO, COMPOSIÇÃO À BASE DE TAMOLIDINA, CITRATO, OUTROS COMPONENTES UROQUINASE, CONCENTRAÇÃO 25.000, ESTERILIDADE ESTÉRIL, APIROGÊNICA</w:t>
            </w:r>
          </w:p>
        </w:tc>
        <w:tc>
          <w:tcPr>
            <w:tcW w:w="705" w:type="pct"/>
            <w:shd w:val="clear" w:color="auto" w:fill="auto"/>
            <w:vAlign w:val="center"/>
          </w:tcPr>
          <w:p w14:paraId="45FA8C37">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br w:type="textWrapping"/>
            </w:r>
            <w:r>
              <w:rPr>
                <w:rFonts w:eastAsia="Times New Roman" w:cstheme="minorHAnsi"/>
                <w:bCs/>
                <w:sz w:val="16"/>
                <w:szCs w:val="16"/>
                <w:lang w:eastAsia="pt-BR"/>
              </w:rPr>
              <w:t>AMPOLA 5,00 ML</w:t>
            </w:r>
          </w:p>
        </w:tc>
        <w:tc>
          <w:tcPr>
            <w:tcW w:w="626" w:type="pct"/>
            <w:shd w:val="clear" w:color="auto" w:fill="auto"/>
            <w:noWrap/>
            <w:vAlign w:val="center"/>
          </w:tcPr>
          <w:p w14:paraId="20DA780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240</w:t>
            </w:r>
          </w:p>
        </w:tc>
        <w:tc>
          <w:tcPr>
            <w:tcW w:w="469" w:type="pct"/>
            <w:shd w:val="clear" w:color="auto" w:fill="auto"/>
            <w:noWrap/>
            <w:vAlign w:val="center"/>
          </w:tcPr>
          <w:p w14:paraId="276B089A">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240</w:t>
            </w:r>
          </w:p>
        </w:tc>
        <w:tc>
          <w:tcPr>
            <w:tcW w:w="547" w:type="pct"/>
            <w:shd w:val="clear" w:color="auto" w:fill="auto"/>
            <w:vAlign w:val="center"/>
          </w:tcPr>
          <w:p w14:paraId="064385D4">
            <w:pPr>
              <w:spacing w:after="0" w:line="240" w:lineRule="auto"/>
              <w:jc w:val="center"/>
              <w:rPr>
                <w:rFonts w:eastAsia="Times New Roman" w:cstheme="minorHAnsi"/>
                <w:sz w:val="16"/>
                <w:szCs w:val="16"/>
                <w:lang w:eastAsia="pt-BR"/>
              </w:rPr>
            </w:pPr>
            <w:r>
              <w:rPr>
                <w:rFonts w:eastAsia="Times New Roman" w:cstheme="minorHAnsi"/>
                <w:sz w:val="16"/>
                <w:szCs w:val="16"/>
                <w:lang w:eastAsia="pt-BR"/>
              </w:rPr>
              <w:t xml:space="preserve"> R$        491,22 </w:t>
            </w:r>
          </w:p>
        </w:tc>
        <w:tc>
          <w:tcPr>
            <w:tcW w:w="622" w:type="pct"/>
            <w:shd w:val="clear" w:color="auto" w:fill="auto"/>
            <w:vAlign w:val="center"/>
          </w:tcPr>
          <w:p w14:paraId="29D48AD8">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117.892,80 </w:t>
            </w:r>
          </w:p>
        </w:tc>
      </w:tr>
      <w:tr w14:paraId="082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4378" w:type="pct"/>
            <w:gridSpan w:val="7"/>
            <w:shd w:val="clear" w:color="auto" w:fill="A5A5A5" w:themeFill="background1" w:themeFillShade="A6"/>
            <w:vAlign w:val="center"/>
          </w:tcPr>
          <w:p w14:paraId="1187D5E0">
            <w:pPr>
              <w:spacing w:after="0" w:line="240" w:lineRule="auto"/>
              <w:jc w:val="center"/>
              <w:rPr>
                <w:rFonts w:eastAsia="Times New Roman" w:cstheme="minorHAnsi"/>
                <w:bCs/>
                <w:sz w:val="20"/>
                <w:szCs w:val="20"/>
                <w:lang w:eastAsia="pt-BR"/>
              </w:rPr>
            </w:pPr>
            <w:r>
              <w:rPr>
                <w:rFonts w:eastAsia="Times New Roman" w:cstheme="minorHAnsi"/>
                <w:bCs/>
                <w:sz w:val="20"/>
                <w:szCs w:val="20"/>
                <w:lang w:eastAsia="pt-BR"/>
              </w:rPr>
              <w:t xml:space="preserve">Total dos itens </w:t>
            </w:r>
          </w:p>
        </w:tc>
        <w:tc>
          <w:tcPr>
            <w:tcW w:w="622" w:type="pct"/>
            <w:shd w:val="clear" w:color="auto" w:fill="A5A5A5" w:themeFill="background1" w:themeFillShade="A6"/>
            <w:vAlign w:val="center"/>
          </w:tcPr>
          <w:p w14:paraId="5A695E82">
            <w:pPr>
              <w:spacing w:after="0" w:line="240" w:lineRule="auto"/>
              <w:jc w:val="center"/>
              <w:rPr>
                <w:rFonts w:eastAsia="Times New Roman" w:cstheme="minorHAnsi"/>
                <w:bCs/>
                <w:sz w:val="16"/>
                <w:szCs w:val="16"/>
                <w:lang w:eastAsia="pt-BR"/>
              </w:rPr>
            </w:pPr>
            <w:r>
              <w:rPr>
                <w:rFonts w:eastAsia="Times New Roman" w:cstheme="minorHAnsi"/>
                <w:bCs/>
                <w:sz w:val="16"/>
                <w:szCs w:val="16"/>
                <w:lang w:eastAsia="pt-BR"/>
              </w:rPr>
              <w:t xml:space="preserve"> R$     2.341.622,80 </w:t>
            </w:r>
          </w:p>
        </w:tc>
      </w:tr>
    </w:tbl>
    <w:p w14:paraId="1DFC8E45">
      <w:pPr>
        <w:tabs>
          <w:tab w:val="left" w:pos="9356"/>
        </w:tabs>
        <w:ind w:right="140"/>
        <w:rPr>
          <w:rFonts w:cstheme="minorHAnsi"/>
          <w:lang w:eastAsia="pt-BR"/>
        </w:rPr>
      </w:pPr>
    </w:p>
    <w:p w14:paraId="2AEA591E">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 Os bens objeto desta contratação são caracterizados como comuns, conforme justificativa constante do Estudo Técnico Preliminar.</w:t>
      </w:r>
    </w:p>
    <w:p w14:paraId="3E65D3B6">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objeto desta contratação não se enquadra como sendo de bem de luxo, conforme Decreto nº 10.818, de 27 de setembro de 2021.</w:t>
      </w:r>
    </w:p>
    <w:p w14:paraId="47907913">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prazo de vigência da contratação é de 01 (um) ano, contados do(a) da assinatura do contrato ou instrumento equivalente, na forma do artigo 105 da Lei n° 14.133, de 2021.</w:t>
      </w:r>
    </w:p>
    <w:p w14:paraId="5D9AACBF">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contrato ou outro instrumento hábil que o substitua oferece maior detalhamento das regras que serão aplicadas em relação à vigência da contratação.</w:t>
      </w:r>
    </w:p>
    <w:p w14:paraId="257403A2">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74354F26">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14:paraId="6449A588">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Em caso de divergência entre as descrições e especificações constantes do CATMAT e do presente Termo de Referência, prevalecem estas últimas.</w:t>
      </w:r>
    </w:p>
    <w:p w14:paraId="5C4367BF">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contrato oferece maior detalhamento das regras que serão aplicadas em relação à vigência da contratação.</w:t>
      </w:r>
    </w:p>
    <w:p w14:paraId="4CDC2B55">
      <w:pPr>
        <w:pStyle w:val="58"/>
        <w:spacing w:line="360" w:lineRule="auto"/>
        <w:ind w:left="0" w:right="140"/>
        <w:jc w:val="both"/>
        <w:rPr>
          <w:rFonts w:asciiTheme="minorHAnsi" w:hAnsiTheme="minorHAnsi" w:cstheme="minorHAnsi"/>
          <w:bCs/>
          <w:sz w:val="22"/>
          <w:szCs w:val="22"/>
        </w:rPr>
      </w:pPr>
    </w:p>
    <w:p w14:paraId="185C1FD1">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FUNDAMENTAÇÃO E DESCRIÇÃO DA NECESSIDADE DA CONTRATAÇÃO</w:t>
      </w:r>
    </w:p>
    <w:p w14:paraId="2A2FBD94">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Fundamentação da Contratação e de seus quantitativos encontra-se pormenorizada em tópico específico dos Estudos Técnicos Preliminares, apêndice deste Termo de Referência.</w:t>
      </w:r>
    </w:p>
    <w:p w14:paraId="263857C7">
      <w:pPr>
        <w:pStyle w:val="58"/>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objeto da contratação está previsto no Plano de Contratações Anual de 2026, conforme consta das informações básicas desse Termo de Referência.</w:t>
      </w:r>
    </w:p>
    <w:p w14:paraId="3B520497">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Hospital Ana Nery (HAN) é uma instituição de ensino, referência nas áreas de cardiologia, nefrologia e cirurgia vascular que atende exclusivamente pacientes do Sistema Único de Saúde – SUS, prestando a esta população importantes serviços nas áreas de cirurgia cardíaca (adulto e pediátrico), cirurgia vascular, implantação de marca-passo, transplante renal e cirurgia geral, dentre outros.</w:t>
      </w:r>
    </w:p>
    <w:p w14:paraId="4721D058">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Considerando a importância da continuidade e do pleno exercício dos serviços oferecidos pelo Hospital Ana Nery (HAN), a referida contratação, a fim de manter o pleno funcionamento das atividades, visando o suporte planejado às tarefas e ações operacionais.</w:t>
      </w:r>
    </w:p>
    <w:p w14:paraId="4918EDA7">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Trata-se da aquisição de MEDICAMENTO onde justifica-se que são insumos cruciais para garantir a qualidade e a segurança dos procedimentos médicos.</w:t>
      </w:r>
    </w:p>
    <w:p w14:paraId="0763BF97">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HAN não tem como dimensionar a demanda de seus atendimentos, sendo assim, esta Administração suprimiu a informação dos quantitativos mínimo e máximo valendo-se do Art. 3º, I, II e V do Decreto 11.462/23.</w:t>
      </w:r>
    </w:p>
    <w:p w14:paraId="3E9210F2">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Esta Administração optou pelo Sistema de Registro de Preços devido a impossibilidade de prever o real quantitativo a ser demandado pela Unidade, bem como pela necessidade de contratações frequentes e conveniência de entregas parceladas, conforme preconiza o Art. 3º, I, II e V do Decreto 11.462/23, in verbis:</w:t>
      </w:r>
    </w:p>
    <w:p w14:paraId="3A0960F7">
      <w:pPr>
        <w:pStyle w:val="16"/>
        <w:spacing w:before="0" w:beforeAutospacing="0" w:after="0" w:afterAutospacing="0"/>
        <w:ind w:left="2268" w:right="140"/>
        <w:jc w:val="both"/>
        <w:rPr>
          <w:rFonts w:asciiTheme="minorHAnsi" w:hAnsiTheme="minorHAnsi" w:cstheme="minorHAnsi"/>
          <w:sz w:val="22"/>
          <w:szCs w:val="22"/>
        </w:rPr>
      </w:pPr>
      <w:bookmarkStart w:id="90" w:name="art3iii"/>
      <w:bookmarkEnd w:id="90"/>
      <w:r>
        <w:rPr>
          <w:rFonts w:asciiTheme="minorHAnsi" w:hAnsiTheme="minorHAnsi" w:cstheme="minorHAnsi"/>
          <w:sz w:val="22"/>
          <w:szCs w:val="22"/>
        </w:rPr>
        <w:t>Art. 3º O SRP poderá ser adotado quando a Administração julgar pertinente, em especial:</w:t>
      </w:r>
    </w:p>
    <w:p w14:paraId="4A08B196">
      <w:pPr>
        <w:pStyle w:val="16"/>
        <w:spacing w:before="0" w:beforeAutospacing="0" w:after="0" w:afterAutospacing="0"/>
        <w:ind w:left="2268" w:right="140"/>
        <w:jc w:val="both"/>
        <w:rPr>
          <w:rFonts w:asciiTheme="minorHAnsi" w:hAnsiTheme="minorHAnsi" w:cstheme="minorHAnsi"/>
          <w:sz w:val="22"/>
          <w:szCs w:val="22"/>
        </w:rPr>
      </w:pPr>
      <w:r>
        <w:rPr>
          <w:rFonts w:asciiTheme="minorHAnsi" w:hAnsiTheme="minorHAnsi" w:cstheme="minorHAnsi"/>
          <w:sz w:val="22"/>
          <w:szCs w:val="22"/>
        </w:rPr>
        <w:t>I - Quando, pelas características do objeto, houver necessidade de contratações permanentes ou frequentes;</w:t>
      </w:r>
    </w:p>
    <w:p w14:paraId="61B6B9BB">
      <w:pPr>
        <w:pStyle w:val="16"/>
        <w:spacing w:before="0" w:beforeAutospacing="0" w:after="0" w:afterAutospacing="0"/>
        <w:ind w:left="2268" w:right="140"/>
        <w:jc w:val="both"/>
        <w:rPr>
          <w:rFonts w:asciiTheme="minorHAnsi" w:hAnsiTheme="minorHAnsi" w:cstheme="minorHAnsi"/>
          <w:sz w:val="22"/>
          <w:szCs w:val="22"/>
        </w:rPr>
      </w:pPr>
      <w:r>
        <w:rPr>
          <w:rFonts w:asciiTheme="minorHAnsi" w:hAnsiTheme="minorHAnsi" w:cstheme="minorHAnsi"/>
          <w:sz w:val="22"/>
          <w:szCs w:val="22"/>
        </w:rPr>
        <w:t xml:space="preserve">II - Quando for conveniente a aquisição de bens com previsão de entregas parceladas ou contratação de serviços remunerados por unidade de medida, como quantidade de horas de serviço, postos de trabalho ou em regime de tarefa; </w:t>
      </w:r>
    </w:p>
    <w:p w14:paraId="33DC348E">
      <w:pPr>
        <w:pStyle w:val="16"/>
        <w:spacing w:before="0" w:beforeAutospacing="0" w:after="0" w:afterAutospacing="0"/>
        <w:ind w:left="2268" w:right="140"/>
        <w:jc w:val="both"/>
        <w:rPr>
          <w:rFonts w:asciiTheme="minorHAnsi" w:hAnsiTheme="minorHAnsi" w:cstheme="minorHAnsi"/>
          <w:sz w:val="22"/>
          <w:szCs w:val="22"/>
        </w:rPr>
      </w:pPr>
      <w:r>
        <w:rPr>
          <w:rFonts w:asciiTheme="minorHAnsi" w:hAnsiTheme="minorHAnsi" w:cstheme="minorHAnsi"/>
          <w:sz w:val="22"/>
          <w:szCs w:val="22"/>
        </w:rPr>
        <w:t>[...]</w:t>
      </w:r>
    </w:p>
    <w:p w14:paraId="5889D810">
      <w:pPr>
        <w:pStyle w:val="16"/>
        <w:spacing w:before="0" w:beforeAutospacing="0" w:after="0" w:afterAutospacing="0"/>
        <w:ind w:left="2268" w:right="140"/>
        <w:jc w:val="both"/>
        <w:rPr>
          <w:rFonts w:asciiTheme="minorHAnsi" w:hAnsiTheme="minorHAnsi" w:cstheme="minorHAnsi"/>
          <w:sz w:val="22"/>
          <w:szCs w:val="22"/>
        </w:rPr>
      </w:pPr>
      <w:bookmarkStart w:id="91" w:name="art3iiv"/>
      <w:bookmarkEnd w:id="91"/>
      <w:r>
        <w:rPr>
          <w:rFonts w:asciiTheme="minorHAnsi" w:hAnsiTheme="minorHAnsi" w:cstheme="minorHAnsi"/>
          <w:sz w:val="22"/>
          <w:szCs w:val="22"/>
        </w:rPr>
        <w:t>V - Quando, pela natureza do objeto, não for possível definir previamente o quantitativo a ser demandado pela Administração.</w:t>
      </w:r>
    </w:p>
    <w:p w14:paraId="605D673A">
      <w:pPr>
        <w:spacing w:after="0" w:line="360" w:lineRule="auto"/>
        <w:ind w:right="140"/>
        <w:rPr>
          <w:rFonts w:cstheme="minorHAnsi"/>
        </w:rPr>
      </w:pPr>
    </w:p>
    <w:p w14:paraId="2CC8FBC6">
      <w:pPr>
        <w:spacing w:after="0" w:line="360" w:lineRule="auto"/>
        <w:ind w:right="140"/>
        <w:rPr>
          <w:rFonts w:cstheme="minorHAnsi"/>
        </w:rPr>
      </w:pPr>
    </w:p>
    <w:p w14:paraId="5B0556D8">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DESCRIÇÃO DA SOLUÇÃO COMO UM TODO CONSIDERADO O CICLO DE VIDA DO OBJETO E ESPECIFICAÇÃO DO PRODUTO</w:t>
      </w:r>
    </w:p>
    <w:p w14:paraId="71A1B5F5">
      <w:pPr>
        <w:numPr>
          <w:ilvl w:val="1"/>
          <w:numId w:val="7"/>
        </w:numPr>
        <w:spacing w:after="0" w:line="360" w:lineRule="auto"/>
        <w:ind w:left="0" w:right="140" w:firstLine="0"/>
        <w:jc w:val="both"/>
        <w:rPr>
          <w:rFonts w:cstheme="minorHAnsi"/>
          <w:bCs/>
          <w:iCs/>
        </w:rPr>
      </w:pPr>
      <w:bookmarkStart w:id="92" w:name="_Ref121236534"/>
      <w:r>
        <w:rPr>
          <w:rFonts w:cstheme="minorHAnsi"/>
          <w:bCs/>
          <w:iCs/>
        </w:rPr>
        <w:t>A descrição da solução como um todo encontra-se pormenorizada em tópico específico dos Estudos Técnicos Preliminares, apêndice deste Termo de Referência.</w:t>
      </w:r>
      <w:bookmarkEnd w:id="92"/>
    </w:p>
    <w:p w14:paraId="50F4FC7A">
      <w:pPr>
        <w:pStyle w:val="80"/>
        <w:tabs>
          <w:tab w:val="left" w:pos="284"/>
        </w:tabs>
        <w:spacing w:before="0" w:line="360" w:lineRule="auto"/>
        <w:ind w:left="0" w:right="140" w:firstLine="0"/>
        <w:rPr>
          <w:rFonts w:asciiTheme="minorHAnsi" w:hAnsiTheme="minorHAnsi" w:cstheme="minorHAnsi"/>
          <w:color w:val="auto"/>
          <w:sz w:val="22"/>
          <w:szCs w:val="22"/>
        </w:rPr>
      </w:pPr>
    </w:p>
    <w:p w14:paraId="0B401E09">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REQUISITOS DA CONTRATAÇÃO</w:t>
      </w:r>
    </w:p>
    <w:p w14:paraId="126630B6">
      <w:pPr>
        <w:pStyle w:val="44"/>
      </w:pPr>
      <w:r>
        <w:t>Sustentabilidade</w:t>
      </w:r>
    </w:p>
    <w:p w14:paraId="0C619753">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Além dos critérios de sustentabilidade eventualmente inseridos na descrição do objeto, devem ser atendidos os seguintes requisitos, que se baseiam no Guia Nacional de Contratações Sustentáveis:</w:t>
      </w:r>
    </w:p>
    <w:p w14:paraId="3E117289">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fornecedores deverão oferecer material (is) que atendam o disposto no art.  5º da Instrução Normativa 01, de 19 de janeiro de 2010, a saber:</w:t>
      </w:r>
    </w:p>
    <w:p w14:paraId="2FDE25B1">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Entregar bens que sejam constituídos, no todo ou em parte, por material reciclado, atóxico, biodegradável, conforme normas da ABNT. (CRITÉRIO DE SUSTENTABILIDADE).</w:t>
      </w:r>
    </w:p>
    <w:p w14:paraId="083F4B68">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Que sejam observados os requisitos ambientais para a obtenção de certificação do Instituto Nacional de Metrologia, Normalização e Qualidade Industrial – INMETRO como produtos sustentáveis ou de menor impacto ambiental em relação aos seus similares, com fulcro no artigo 5º, inc. II da IN nº01/2010 MPOG.</w:t>
      </w:r>
    </w:p>
    <w:p w14:paraId="760DD430">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Acondicionar os bens, preferencialmente, em embalagem individual adequada, com o menor volume possível, que utilize materiais recicláveis, de forma a garantir a máxima proteção durante o transporte e o armazenamento. (CRITÉRIO DE SUSTENTABILIDADE).</w:t>
      </w:r>
    </w:p>
    <w:p w14:paraId="15F3C9D6">
      <w:pPr>
        <w:pStyle w:val="58"/>
        <w:numPr>
          <w:ilvl w:val="0"/>
          <w:numId w:val="10"/>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Entregar bens que não contenham substâncias perigosas em concentração acima da recomendada na diretiva RoHS (Restriction of Certai Hazardous Substances), tais como mercúrio (Hg), chumbo (Pb), cromo hexavalente (Cr (VI)), cádmio (Cd), bifenilpolibromados (PBBs), éteres difenil-polibromados (PBDEs). (CRITÉRIO DE SUSTENTABILIDADE).</w:t>
      </w:r>
    </w:p>
    <w:p w14:paraId="50A53394">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Deverá cumprir os critérios de sustentabilidade ambiental disciplinados pela IN SLTI/MOPG 01/2010, bem como as Normas Brasileiras – NBR, publicadas pela Associação Brasileira de Normas Técnicas sobre resíduos sólidos e o Decreto nº 7.746, de 05 de junho de 2012. </w:t>
      </w:r>
    </w:p>
    <w:p w14:paraId="4F58D8DC">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Com objetivo de atender OS CRITÉRIOS DE SUSTENTABILIDADE AMBIENTAL, a Contratada deverá contribuir para a promoção do desenvolvimento nacional sustentável no cumprimento de diretrizes e critérios de sustentabilidade ambiental, de acordo com o art. 225 da Constituição Federal/88, e em conformidade com o art. 5º da Lei n.º 14.133/2021 e com o art. 6º da Instrução Normativa/SLTI/MPOG n.º 01, de 19 de janeiro de 2010. </w:t>
      </w:r>
    </w:p>
    <w:p w14:paraId="24106836">
      <w:pPr>
        <w:pStyle w:val="58"/>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Para fornecimento de item cuja atividade de fabricação ou industrialização é enquadrada no Anexo I da Instrução Normativa IBAMA nº 06, de 15/03/2013, só será admitida a oferta de produtos cujo fabricante esteja regularmente registrado no Cadastro Técnico Federal de Atividades Potencialmente Poluidoras ou Utilizadoras de Recursos Ambientais, instituído pelo artigo 17, inciso II, da Lei nº 6.938 de 1981.</w:t>
      </w:r>
    </w:p>
    <w:p w14:paraId="69B70187">
      <w:pPr>
        <w:pStyle w:val="44"/>
        <w:rPr>
          <w:shd w:val="clear" w:color="auto" w:fill="FFFFFF"/>
        </w:rPr>
      </w:pPr>
    </w:p>
    <w:p w14:paraId="29FA4574">
      <w:pPr>
        <w:pStyle w:val="58"/>
        <w:numPr>
          <w:ilvl w:val="1"/>
          <w:numId w:val="7"/>
        </w:numPr>
        <w:spacing w:line="360" w:lineRule="auto"/>
        <w:ind w:left="0" w:right="140" w:firstLine="0"/>
        <w:jc w:val="both"/>
        <w:rPr>
          <w:rFonts w:eastAsia="Calibri" w:asciiTheme="minorHAnsi" w:hAnsiTheme="minorHAnsi" w:cstheme="minorHAnsi"/>
          <w:bCs/>
          <w:iCs/>
          <w:sz w:val="22"/>
          <w:szCs w:val="22"/>
        </w:rPr>
      </w:pPr>
      <w:r>
        <w:rPr>
          <w:rFonts w:asciiTheme="minorHAnsi" w:hAnsiTheme="minorHAnsi" w:cstheme="minorHAnsi"/>
          <w:sz w:val="22"/>
          <w:szCs w:val="22"/>
        </w:rPr>
        <w:t xml:space="preserve">Serão avaliados os seguintes aspectos e padrões mínimos de aceitabilidade: </w:t>
      </w:r>
    </w:p>
    <w:p w14:paraId="4163B365">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Atender às especificações constantes do Anexo I – Termo de Referência;</w:t>
      </w:r>
    </w:p>
    <w:p w14:paraId="60B9C93F">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Estar na embalagem original dos produtos com dados de identificação completos: nome do material, data de fabricação, nº do lote, data de validade;</w:t>
      </w:r>
    </w:p>
    <w:p w14:paraId="33E3CFBA">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Ter quantidade igual ou superior à solicitada pelo Pregoeiro;</w:t>
      </w:r>
    </w:p>
    <w:p w14:paraId="2E2D1418">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Parecer técnico favorável emitido pela comissão equivalente e/ou técnico/ empregado/ servidor pertencente ao quadro de uma das unidades que compõe o COMPLEXO HOSPITALAR E DE SAÚDE, ou ainda de pessoas físicas ou jurídicas estranhas a ela, baseados nos seguintes critérios: atender às normas técnicas, qualidade, durabilidade, tecnologia, resistência e funcionamento.</w:t>
      </w:r>
    </w:p>
    <w:p w14:paraId="6E678465">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Padronização e gerência de riscos, bem como, reprovação em testes anteriores, serão recusados pela gestão do hospital.  </w:t>
      </w:r>
    </w:p>
    <w:p w14:paraId="33CD1CC6">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Falta de Compatibilidade com o descritivo técnico solicitado no termo de referência.  </w:t>
      </w:r>
    </w:p>
    <w:p w14:paraId="32112312">
      <w:pPr>
        <w:pStyle w:val="58"/>
        <w:numPr>
          <w:ilvl w:val="2"/>
          <w:numId w:val="7"/>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Avaliação de conformidade das embalagens e rótulos em consonância com os critérios estabelecidos na RDC 185/2001/MSANVISA. </w:t>
      </w:r>
      <w:r>
        <w:rPr>
          <w:rFonts w:asciiTheme="minorHAnsi" w:hAnsiTheme="minorHAnsi" w:cstheme="minorHAnsi"/>
          <w:bCs/>
          <w:sz w:val="22"/>
          <w:szCs w:val="22"/>
        </w:rPr>
        <w:t xml:space="preserve"> </w:t>
      </w:r>
    </w:p>
    <w:p w14:paraId="4523B0B6">
      <w:pPr>
        <w:pStyle w:val="58"/>
        <w:numPr>
          <w:ilvl w:val="1"/>
          <w:numId w:val="7"/>
        </w:numPr>
        <w:spacing w:line="360" w:lineRule="auto"/>
        <w:ind w:left="0" w:right="140" w:firstLine="0"/>
        <w:jc w:val="both"/>
        <w:rPr>
          <w:rFonts w:eastAsia="Calibri" w:asciiTheme="minorHAnsi" w:hAnsiTheme="minorHAnsi" w:cstheme="minorHAnsi"/>
          <w:bCs/>
          <w:iCs/>
          <w:sz w:val="22"/>
          <w:szCs w:val="22"/>
        </w:rPr>
      </w:pPr>
      <w:r>
        <w:rPr>
          <w:rFonts w:eastAsia="Calibri" w:asciiTheme="minorHAnsi" w:hAnsiTheme="minorHAnsi" w:cstheme="minorHAnsi"/>
          <w:bCs/>
          <w:iCs/>
          <w:sz w:val="22"/>
          <w:szCs w:val="22"/>
        </w:rPr>
        <w:t>Os resultados das avaliações serão divulgados por meio de mensagem no sistema.</w:t>
      </w:r>
    </w:p>
    <w:p w14:paraId="2874B726">
      <w:pPr>
        <w:numPr>
          <w:ilvl w:val="1"/>
          <w:numId w:val="7"/>
        </w:numPr>
        <w:spacing w:after="0" w:line="360" w:lineRule="auto"/>
        <w:ind w:left="0" w:right="140" w:firstLine="0"/>
        <w:jc w:val="both"/>
        <w:rPr>
          <w:rFonts w:eastAsiaTheme="minorEastAsia" w:cstheme="minorHAnsi"/>
          <w:bCs/>
          <w:iCs/>
        </w:rPr>
      </w:pPr>
      <w:r>
        <w:rPr>
          <w:rFonts w:eastAsiaTheme="minorEastAsia" w:cstheme="minorHAnsi"/>
          <w:bCs/>
          <w:iCs/>
        </w:rPr>
        <w:t>Os interessados deverão colocar à disposição da Administração todas as condições indispensáveis à realização de testes e fornecer, sem ônus, os manuais impressos em língua portuguesa, necessários ao seu perfeito manuseio, quando for o caso.</w:t>
      </w:r>
    </w:p>
    <w:p w14:paraId="3D91044A">
      <w:pPr>
        <w:spacing w:after="0" w:line="360" w:lineRule="auto"/>
        <w:ind w:right="140"/>
        <w:jc w:val="both"/>
        <w:rPr>
          <w:rFonts w:eastAsiaTheme="minorEastAsia" w:cstheme="minorHAnsi"/>
          <w:bCs/>
          <w:iCs/>
        </w:rPr>
      </w:pPr>
    </w:p>
    <w:p w14:paraId="51DE16BC">
      <w:pPr>
        <w:pStyle w:val="152"/>
        <w:rPr>
          <w:color w:val="auto"/>
        </w:rPr>
      </w:pPr>
      <w:r>
        <w:rPr>
          <w:color w:val="auto"/>
        </w:rPr>
        <w:t>Subcontratação</w:t>
      </w:r>
    </w:p>
    <w:p w14:paraId="1E10E4F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será admitida a subcontratação do objeto contratual.</w:t>
      </w:r>
    </w:p>
    <w:p w14:paraId="15F30751">
      <w:pPr>
        <w:pStyle w:val="58"/>
        <w:widowControl w:val="0"/>
        <w:spacing w:line="360" w:lineRule="auto"/>
        <w:ind w:left="0" w:right="140"/>
        <w:jc w:val="both"/>
        <w:rPr>
          <w:rFonts w:asciiTheme="minorHAnsi" w:hAnsiTheme="minorHAnsi" w:cstheme="minorHAnsi"/>
          <w:sz w:val="22"/>
          <w:szCs w:val="22"/>
        </w:rPr>
      </w:pPr>
    </w:p>
    <w:p w14:paraId="2CAD30CD">
      <w:pPr>
        <w:widowControl w:val="0"/>
        <w:spacing w:line="360" w:lineRule="auto"/>
        <w:ind w:right="140"/>
        <w:rPr>
          <w:rFonts w:cstheme="minorHAnsi"/>
          <w:b/>
          <w:u w:val="single"/>
        </w:rPr>
      </w:pPr>
      <w:r>
        <w:rPr>
          <w:rFonts w:cstheme="minorHAnsi"/>
          <w:b/>
          <w:u w:val="single"/>
        </w:rPr>
        <w:t>Garantia da contratação</w:t>
      </w:r>
    </w:p>
    <w:p w14:paraId="3FC94FF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haverá exigência da garantia da contratação dos art. 96 e seguintes da Lei nº 14.133, de 2021, pelas razões constantes do Estudo Técnico Preliminar.</w:t>
      </w:r>
    </w:p>
    <w:p w14:paraId="60FAB037">
      <w:pPr>
        <w:pStyle w:val="58"/>
        <w:widowControl w:val="0"/>
        <w:spacing w:line="360" w:lineRule="auto"/>
        <w:ind w:left="0" w:right="140"/>
        <w:jc w:val="both"/>
        <w:rPr>
          <w:rFonts w:asciiTheme="minorHAnsi" w:hAnsiTheme="minorHAnsi" w:cstheme="minorHAnsi"/>
          <w:sz w:val="22"/>
          <w:szCs w:val="22"/>
        </w:rPr>
      </w:pPr>
    </w:p>
    <w:p w14:paraId="4E710A78">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MODELO DE EXECUÇÃO DO OBJETO</w:t>
      </w:r>
    </w:p>
    <w:p w14:paraId="6B4215E1">
      <w:pPr>
        <w:pStyle w:val="124"/>
        <w:rPr>
          <w:color w:val="auto"/>
        </w:rPr>
      </w:pPr>
      <w:r>
        <w:rPr>
          <w:color w:val="auto"/>
        </w:rPr>
        <w:t>Condições de Entrega</w:t>
      </w:r>
    </w:p>
    <w:p w14:paraId="158CCA3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iCs/>
          <w:sz w:val="22"/>
          <w:szCs w:val="22"/>
        </w:rPr>
        <w:t xml:space="preserve">A entrega dos materiais deverá ser realizada, no endereço constante na tabela abaixo, </w:t>
      </w:r>
      <w:r>
        <w:rPr>
          <w:rFonts w:asciiTheme="minorHAnsi" w:hAnsiTheme="minorHAnsi" w:cstheme="minorHAnsi"/>
          <w:sz w:val="22"/>
          <w:szCs w:val="22"/>
        </w:rPr>
        <w:t xml:space="preserve">das </w:t>
      </w:r>
      <w:r>
        <w:rPr>
          <w:rFonts w:asciiTheme="minorHAnsi" w:hAnsiTheme="minorHAnsi" w:cstheme="minorHAnsi"/>
          <w:bCs/>
          <w:sz w:val="22"/>
          <w:szCs w:val="22"/>
        </w:rPr>
        <w:t>08:00 às 16h</w:t>
      </w:r>
      <w:r>
        <w:rPr>
          <w:rFonts w:asciiTheme="minorHAnsi" w:hAnsiTheme="minorHAnsi" w:cstheme="minorHAnsi"/>
          <w:sz w:val="22"/>
          <w:szCs w:val="22"/>
        </w:rPr>
        <w:t>. nos dias úteis.</w:t>
      </w:r>
    </w:p>
    <w:p w14:paraId="0F3353A2">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2AE1B63D">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bens deverão ser entregues no seguinte endereço:</w:t>
      </w:r>
    </w:p>
    <w:tbl>
      <w:tblPr>
        <w:tblStyle w:val="32"/>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1"/>
        <w:gridCol w:w="5670"/>
      </w:tblGrid>
      <w:tr w14:paraId="164B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48349ED1">
            <w:pPr>
              <w:pStyle w:val="58"/>
              <w:widowControl w:val="0"/>
              <w:spacing w:line="360" w:lineRule="auto"/>
              <w:ind w:left="0" w:right="140"/>
              <w:jc w:val="both"/>
              <w:rPr>
                <w:rFonts w:eastAsia="Calibri" w:asciiTheme="minorHAnsi" w:hAnsiTheme="minorHAnsi" w:cstheme="minorHAnsi"/>
                <w:sz w:val="22"/>
                <w:szCs w:val="22"/>
              </w:rPr>
            </w:pPr>
          </w:p>
          <w:p w14:paraId="3D09BC8B">
            <w:pPr>
              <w:pStyle w:val="58"/>
              <w:widowControl w:val="0"/>
              <w:spacing w:line="360" w:lineRule="auto"/>
              <w:ind w:left="0" w:right="140"/>
              <w:jc w:val="both"/>
              <w:rPr>
                <w:rFonts w:asciiTheme="minorHAnsi" w:hAnsiTheme="minorHAnsi" w:cstheme="minorHAnsi"/>
                <w:sz w:val="22"/>
                <w:szCs w:val="22"/>
              </w:rPr>
            </w:pPr>
            <w:r>
              <w:rPr>
                <w:rFonts w:eastAsia="Calibri" w:asciiTheme="minorHAnsi" w:hAnsiTheme="minorHAnsi" w:cstheme="minorHAnsi"/>
                <w:sz w:val="22"/>
                <w:szCs w:val="22"/>
              </w:rPr>
              <w:t>Hospital Ana Nery</w:t>
            </w:r>
          </w:p>
        </w:tc>
        <w:tc>
          <w:tcPr>
            <w:tcW w:w="5670" w:type="dxa"/>
          </w:tcPr>
          <w:p w14:paraId="10352017">
            <w:pPr>
              <w:pStyle w:val="58"/>
              <w:widowControl w:val="0"/>
              <w:spacing w:line="360" w:lineRule="auto"/>
              <w:ind w:left="0" w:right="140"/>
              <w:jc w:val="both"/>
              <w:rPr>
                <w:rFonts w:asciiTheme="minorHAnsi" w:hAnsiTheme="minorHAnsi" w:cstheme="minorHAnsi"/>
                <w:sz w:val="22"/>
                <w:szCs w:val="22"/>
              </w:rPr>
            </w:pPr>
            <w:r>
              <w:rPr>
                <w:rFonts w:eastAsia="Calibri" w:asciiTheme="minorHAnsi" w:hAnsiTheme="minorHAnsi" w:cstheme="minorHAnsi"/>
                <w:sz w:val="22"/>
                <w:szCs w:val="22"/>
              </w:rPr>
              <w:t>Almoxarifado Central do HAN, sito à Rua Saldanha Marinho, s/n, Caixa D’ Água, Salvador. CEP 40.323-010</w:t>
            </w:r>
          </w:p>
        </w:tc>
      </w:tr>
    </w:tbl>
    <w:p w14:paraId="26123567">
      <w:pPr>
        <w:widowControl w:val="0"/>
        <w:spacing w:line="360" w:lineRule="auto"/>
        <w:ind w:right="140"/>
        <w:jc w:val="both"/>
        <w:rPr>
          <w:rFonts w:cstheme="minorHAnsi"/>
          <w:bCs/>
        </w:rPr>
      </w:pPr>
    </w:p>
    <w:p w14:paraId="4E914318">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empresa sempre que necessário, deverá esclarecer dúvidas técnicas quanto ao material fornecido.</w:t>
      </w:r>
    </w:p>
    <w:p w14:paraId="38898F1F">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método de embalagem deverá ser tal que garanta a proteção adequada ao fornecimento durante o transporte. Cada embalagem deverá estar devidamente protegida e acompanhar lista indicando seu conteúdo.</w:t>
      </w:r>
    </w:p>
    <w:p w14:paraId="05BC7AFD">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prazo de validade, durabilidade ou vida útil dos materiais fornecidos deverá ser compatível com a natureza do objeto e com o seu uso pretendido, não podendo ser inferior a 12 (doze) meses, a contar da data da entrega, salvo se, por suas características intrínsecas, for técnica ou comercialmente justificado prazo inferior ou superior, devidamente aceito pela Administração.</w:t>
      </w:r>
    </w:p>
    <w:p w14:paraId="56734CB8">
      <w:pPr>
        <w:pStyle w:val="44"/>
        <w:rPr>
          <w:b/>
        </w:rPr>
      </w:pPr>
    </w:p>
    <w:p w14:paraId="1829A52F">
      <w:pPr>
        <w:pStyle w:val="44"/>
      </w:pPr>
      <w:r>
        <w:t>Garantia, manutenção e assistência técnica</w:t>
      </w:r>
    </w:p>
    <w:p w14:paraId="70E4665E">
      <w:pPr>
        <w:pStyle w:val="58"/>
        <w:widowControl w:val="0"/>
        <w:numPr>
          <w:ilvl w:val="1"/>
          <w:numId w:val="7"/>
        </w:numPr>
        <w:spacing w:line="360" w:lineRule="auto"/>
        <w:ind w:left="0" w:right="140" w:firstLine="0"/>
        <w:jc w:val="both"/>
        <w:rPr>
          <w:rFonts w:asciiTheme="minorHAnsi" w:hAnsiTheme="minorHAnsi" w:cstheme="minorHAnsi"/>
          <w:b/>
          <w:bCs/>
          <w:sz w:val="22"/>
          <w:szCs w:val="22"/>
        </w:rPr>
      </w:pPr>
      <w:r>
        <w:rPr>
          <w:rFonts w:asciiTheme="minorHAnsi" w:hAnsiTheme="minorHAnsi" w:cstheme="minorHAnsi"/>
          <w:sz w:val="22"/>
          <w:szCs w:val="22"/>
        </w:rPr>
        <w:t>O prazo de garantia é aquele estabelecido na Lei nº 8.078, de 11 de setembro de 1990 (Código de Defesa do Consumidor).</w:t>
      </w:r>
    </w:p>
    <w:p w14:paraId="5DBF1882">
      <w:pPr>
        <w:pStyle w:val="58"/>
        <w:widowControl w:val="0"/>
        <w:spacing w:line="360" w:lineRule="auto"/>
        <w:ind w:left="0" w:right="140"/>
        <w:jc w:val="both"/>
        <w:rPr>
          <w:rFonts w:asciiTheme="minorHAnsi" w:hAnsiTheme="minorHAnsi" w:cstheme="minorHAnsi"/>
          <w:b/>
          <w:bCs/>
          <w:sz w:val="22"/>
          <w:szCs w:val="22"/>
        </w:rPr>
      </w:pPr>
    </w:p>
    <w:p w14:paraId="796ACC3A">
      <w:pPr>
        <w:pStyle w:val="58"/>
        <w:widowControl w:val="0"/>
        <w:spacing w:line="360" w:lineRule="auto"/>
        <w:ind w:left="0" w:right="140"/>
        <w:jc w:val="both"/>
        <w:rPr>
          <w:rFonts w:asciiTheme="minorHAnsi" w:hAnsiTheme="minorHAnsi" w:cstheme="minorHAnsi"/>
          <w:bCs/>
          <w:sz w:val="22"/>
          <w:szCs w:val="22"/>
        </w:rPr>
      </w:pPr>
      <w:r>
        <w:rPr>
          <w:rFonts w:asciiTheme="minorHAnsi" w:hAnsiTheme="minorHAnsi" w:cstheme="minorHAnsi"/>
          <w:bCs/>
          <w:sz w:val="22"/>
          <w:szCs w:val="22"/>
        </w:rPr>
        <w:t>DOS PRAZOS</w:t>
      </w:r>
    </w:p>
    <w:p w14:paraId="1019AE7D">
      <w:pPr>
        <w:pStyle w:val="58"/>
        <w:widowControl w:val="0"/>
        <w:numPr>
          <w:ilvl w:val="1"/>
          <w:numId w:val="7"/>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entrega do(s) material (is) deverá ser realizada em até 15 (quinze) dias, a partir do recebimento da Nota de Empenho ou documento equivalente, pelo CONTRATADO.</w:t>
      </w:r>
    </w:p>
    <w:p w14:paraId="2DA65FDA">
      <w:pPr>
        <w:pStyle w:val="58"/>
        <w:widowControl w:val="0"/>
        <w:numPr>
          <w:ilvl w:val="1"/>
          <w:numId w:val="7"/>
        </w:numPr>
        <w:spacing w:line="360" w:lineRule="auto"/>
        <w:ind w:left="0" w:right="140" w:firstLine="0"/>
        <w:jc w:val="both"/>
        <w:rPr>
          <w:rFonts w:asciiTheme="minorHAnsi" w:hAnsiTheme="minorHAnsi" w:cstheme="minorHAnsi"/>
          <w:sz w:val="22"/>
          <w:szCs w:val="22"/>
          <w:lang w:eastAsia="en-US"/>
        </w:rPr>
      </w:pPr>
      <w:r>
        <w:rPr>
          <w:rFonts w:asciiTheme="minorHAnsi" w:hAnsiTheme="minorHAnsi" w:cstheme="minorHAnsi"/>
          <w:sz w:val="22"/>
          <w:szCs w:val="22"/>
          <w:lang w:eastAsia="en-US"/>
        </w:rPr>
        <w:t>O consumo destes materiais será de forma parcelada, tantas quanto necessárias, sendo a entrega do material, por conta da contratada sem ônus para o Hospital Ana Nery, conforme necessidade da unidade, e solicitada mediante nota de empenho.</w:t>
      </w:r>
    </w:p>
    <w:p w14:paraId="7A213DF2">
      <w:pPr>
        <w:pStyle w:val="58"/>
        <w:widowControl w:val="0"/>
        <w:spacing w:line="360" w:lineRule="auto"/>
        <w:ind w:left="0" w:right="140"/>
        <w:jc w:val="both"/>
        <w:rPr>
          <w:rFonts w:asciiTheme="minorHAnsi" w:hAnsiTheme="minorHAnsi" w:cstheme="minorHAnsi"/>
          <w:b/>
          <w:sz w:val="22"/>
          <w:szCs w:val="22"/>
          <w:u w:val="single"/>
          <w:lang w:eastAsia="en-US"/>
        </w:rPr>
      </w:pPr>
    </w:p>
    <w:p w14:paraId="5BD6E811">
      <w:pPr>
        <w:pStyle w:val="80"/>
        <w:numPr>
          <w:ilvl w:val="0"/>
          <w:numId w:val="7"/>
        </w:numPr>
        <w:tabs>
          <w:tab w:val="left" w:pos="284"/>
        </w:tabs>
        <w:spacing w:before="0" w:line="360" w:lineRule="auto"/>
        <w:ind w:left="0" w:right="140" w:firstLine="0"/>
        <w:rPr>
          <w:rFonts w:asciiTheme="minorHAnsi" w:hAnsiTheme="minorHAnsi" w:eastAsiaTheme="minorEastAsia" w:cstheme="minorHAnsi"/>
          <w:color w:val="auto"/>
          <w:sz w:val="22"/>
          <w:szCs w:val="22"/>
        </w:rPr>
      </w:pPr>
      <w:r>
        <w:rPr>
          <w:rFonts w:asciiTheme="minorHAnsi" w:hAnsiTheme="minorHAnsi" w:eastAsiaTheme="minorEastAsia" w:cstheme="minorHAnsi"/>
          <w:color w:val="auto"/>
          <w:sz w:val="22"/>
          <w:szCs w:val="22"/>
        </w:rPr>
        <w:t>MODELO DE GESTÃO DO CONTRATO</w:t>
      </w:r>
    </w:p>
    <w:p w14:paraId="30913C4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contrato deverá ser executado fielmente pelas partes, de acordo com as cláusulas avençadas e as normas da Lei nº 14.133, de 2021, e cada parte responderá pelas consequências de sua inexecução total ou parcial.</w:t>
      </w:r>
    </w:p>
    <w:p w14:paraId="752A81D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impedimento, ordem de paralisação ou suspensão do contrato, o cronograma de execução será prorrogado automaticamente pelo tempo correspondente, anotadas tais circunstâncias mediante simples apostila.</w:t>
      </w:r>
    </w:p>
    <w:p w14:paraId="5F4E1B0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comunicações entre o órgão ou entidade e a contratada devem ser realizadas por escrito sempre que o ato exigir tal formalidade, admitindo-se o uso de mensagem eletrônica para esse fim.</w:t>
      </w:r>
    </w:p>
    <w:p w14:paraId="29341DE3">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órgão ou entidade poderá convocar representante da empresa para adoção de providências que devam ser cumpridas de imediato.</w:t>
      </w:r>
    </w:p>
    <w:p w14:paraId="066E17B9">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F1FD839">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cstheme="minorHAnsi"/>
          <w:sz w:val="22"/>
          <w:szCs w:val="22"/>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rFonts w:asciiTheme="minorHAnsi" w:hAnsiTheme="minorHAnsi" w:cstheme="minorHAnsi"/>
          <w:sz w:val="22"/>
          <w:szCs w:val="22"/>
        </w:rPr>
        <w:t>Lei nº 14.133, de 2021, art. 117, caput</w:t>
      </w:r>
      <w:r>
        <w:rPr>
          <w:rFonts w:asciiTheme="minorHAnsi" w:hAnsiTheme="minorHAnsi" w:cstheme="minorHAnsi"/>
          <w:sz w:val="22"/>
          <w:szCs w:val="22"/>
        </w:rPr>
        <w:fldChar w:fldCharType="end"/>
      </w:r>
      <w:r>
        <w:rPr>
          <w:rFonts w:asciiTheme="minorHAnsi" w:hAnsiTheme="minorHAnsi" w:cstheme="minorHAnsi"/>
          <w:sz w:val="22"/>
          <w:szCs w:val="22"/>
        </w:rPr>
        <w:t>).</w:t>
      </w:r>
    </w:p>
    <w:p w14:paraId="38291E43">
      <w:pPr>
        <w:pStyle w:val="58"/>
        <w:widowControl w:val="0"/>
        <w:spacing w:line="360" w:lineRule="auto"/>
        <w:ind w:left="0" w:right="140"/>
        <w:jc w:val="both"/>
        <w:rPr>
          <w:rFonts w:asciiTheme="minorHAnsi" w:hAnsiTheme="minorHAnsi" w:eastAsiaTheme="majorEastAsia" w:cstheme="minorHAnsi"/>
          <w:bCs/>
          <w:sz w:val="22"/>
          <w:szCs w:val="22"/>
        </w:rPr>
      </w:pPr>
    </w:p>
    <w:p w14:paraId="3C178BFC">
      <w:pPr>
        <w:pStyle w:val="152"/>
        <w:rPr>
          <w:color w:val="auto"/>
        </w:rPr>
      </w:pPr>
      <w:r>
        <w:rPr>
          <w:color w:val="auto"/>
        </w:rPr>
        <w:t>Fiscalização</w:t>
      </w:r>
    </w:p>
    <w:p w14:paraId="6BDC7F6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execução do contrato deverá ser acompanhada e fiscalizada pelo(s) fiscal(is) do contrato, ou pelos respectivos substitutos.</w:t>
      </w:r>
    </w:p>
    <w:p w14:paraId="5684E417">
      <w:pPr>
        <w:pStyle w:val="152"/>
        <w:rPr>
          <w:color w:val="auto"/>
        </w:rPr>
      </w:pPr>
      <w:r>
        <w:rPr>
          <w:color w:val="auto"/>
        </w:rPr>
        <w:t>Fiscalização Técnica</w:t>
      </w:r>
    </w:p>
    <w:p w14:paraId="4D63A8D3">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acompanhará a execução do contrato, para que sejam cumpridas todas as condições estabelecidas no contrato, de modo a assegurar os melhores resultados para a Administração.</w:t>
      </w:r>
    </w:p>
    <w:p w14:paraId="1913293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anotará no histórico de gerenciamento do contrato todas as ocorrências relacionadas à execução do contrato, com a descrição do que for necessário para a regularização das faltas ou dos defeitos observados.</w:t>
      </w:r>
    </w:p>
    <w:p w14:paraId="333FF7D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Identificada qualquer inexatidão ou irregularidade, o fiscal técnico do contrato emitirá notificações para a correção da execução do contrato, determinando prazo para a correção.</w:t>
      </w:r>
    </w:p>
    <w:p w14:paraId="29F1B2A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informará ao gestor do contato, em tempo hábil, a situação que demandar decisão ou adoção de medidas que ultrapassem sua competência, para que adote as medidas necessárias e saneadoras, se for o caso.</w:t>
      </w:r>
    </w:p>
    <w:p w14:paraId="3C17FFC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No caso de ocorrências que possam inviabilizar a execução do contrato nas datas aprazadas, o fiscal técnico do contrato comunicará o fato imediatamente ao gestor do contrato.</w:t>
      </w:r>
    </w:p>
    <w:p w14:paraId="3E80916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comunicará ao gestor do contrato, em tempo hábil, o término do contrato sob sua responsabilidade, com vistas à renovação tempestiva ou à prorrogação contratual.</w:t>
      </w:r>
    </w:p>
    <w:p w14:paraId="038324A3">
      <w:pPr>
        <w:pStyle w:val="152"/>
        <w:rPr>
          <w:color w:val="auto"/>
        </w:rPr>
      </w:pPr>
      <w:r>
        <w:rPr>
          <w:color w:val="auto"/>
        </w:rPr>
        <w:t>Fiscalização Administrativa</w:t>
      </w:r>
    </w:p>
    <w:p w14:paraId="2ABA329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DA091E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3690208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67C4EE52">
      <w:pPr>
        <w:pStyle w:val="152"/>
        <w:rPr>
          <w:color w:val="auto"/>
        </w:rPr>
      </w:pPr>
      <w:r>
        <w:rPr>
          <w:color w:val="auto"/>
        </w:rPr>
        <w:t>Gestor do Contrato</w:t>
      </w:r>
    </w:p>
    <w:p w14:paraId="5F99DE0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Cabe ao gestor do contrato:</w:t>
      </w:r>
    </w:p>
    <w:p w14:paraId="3256BCE7">
      <w:pPr>
        <w:pStyle w:val="45"/>
        <w:numPr>
          <w:ilvl w:val="2"/>
          <w:numId w:val="7"/>
        </w:numPr>
        <w:tabs>
          <w:tab w:val="clear" w:pos="360"/>
        </w:tabs>
        <w:spacing w:line="360" w:lineRule="auto"/>
        <w:ind w:left="284" w:firstLine="0"/>
        <w:rPr>
          <w:color w:val="auto"/>
        </w:rPr>
      </w:pPr>
      <w:r>
        <w:rPr>
          <w:color w:val="auto"/>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3046813">
      <w:pPr>
        <w:pStyle w:val="45"/>
        <w:numPr>
          <w:ilvl w:val="2"/>
          <w:numId w:val="7"/>
        </w:numPr>
        <w:tabs>
          <w:tab w:val="clear" w:pos="360"/>
        </w:tabs>
        <w:spacing w:line="360" w:lineRule="auto"/>
        <w:ind w:left="284" w:firstLine="0"/>
        <w:rPr>
          <w:color w:val="auto"/>
        </w:rPr>
      </w:pPr>
      <w:r>
        <w:rPr>
          <w:color w:val="auto"/>
        </w:rPr>
        <w:t>acompanhar os registros realizados pelos fiscais do contrato, de todas as ocorrências relacionadas à execução do contrato e as medidas adotadas, informando, se for o caso, à autoridade superior àquelas que ultrapassarem a sua competência.</w:t>
      </w:r>
    </w:p>
    <w:p w14:paraId="085E6C1C">
      <w:pPr>
        <w:pStyle w:val="45"/>
        <w:numPr>
          <w:ilvl w:val="2"/>
          <w:numId w:val="7"/>
        </w:numPr>
        <w:tabs>
          <w:tab w:val="clear" w:pos="360"/>
        </w:tabs>
        <w:spacing w:line="360" w:lineRule="auto"/>
        <w:ind w:left="284" w:firstLine="0"/>
        <w:rPr>
          <w:color w:val="auto"/>
        </w:rPr>
      </w:pPr>
      <w:r>
        <w:rPr>
          <w:color w:val="auto"/>
        </w:rPr>
        <w:t>acompanhar a manutenção das condições de habilitação da contratada, para fins de empenho de despesa e pagamento, e anotará os problemas que obstem o fluxo normal da liquidação e do pagamento da despesa no relatório de riscos eventuais.</w:t>
      </w:r>
    </w:p>
    <w:p w14:paraId="089A121C">
      <w:pPr>
        <w:pStyle w:val="45"/>
        <w:numPr>
          <w:ilvl w:val="2"/>
          <w:numId w:val="7"/>
        </w:numPr>
        <w:tabs>
          <w:tab w:val="clear" w:pos="360"/>
        </w:tabs>
        <w:spacing w:line="360" w:lineRule="auto"/>
        <w:ind w:left="284" w:firstLine="0"/>
        <w:rPr>
          <w:color w:val="auto"/>
        </w:rPr>
      </w:pPr>
      <w:r>
        <w:rPr>
          <w:color w:val="auto"/>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4A301B73">
      <w:pPr>
        <w:pStyle w:val="45"/>
        <w:numPr>
          <w:ilvl w:val="2"/>
          <w:numId w:val="7"/>
        </w:numPr>
        <w:tabs>
          <w:tab w:val="clear" w:pos="360"/>
        </w:tabs>
        <w:spacing w:line="360" w:lineRule="auto"/>
        <w:ind w:left="284" w:firstLine="0"/>
        <w:rPr>
          <w:color w:val="auto"/>
        </w:rPr>
      </w:pPr>
      <w:r>
        <w:rPr>
          <w:color w:val="auto"/>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0192EED">
      <w:pPr>
        <w:pStyle w:val="45"/>
        <w:numPr>
          <w:ilvl w:val="2"/>
          <w:numId w:val="7"/>
        </w:numPr>
        <w:tabs>
          <w:tab w:val="clear" w:pos="360"/>
        </w:tabs>
        <w:spacing w:line="360" w:lineRule="auto"/>
        <w:ind w:left="284" w:firstLine="0"/>
        <w:rPr>
          <w:color w:val="auto"/>
        </w:rPr>
      </w:pPr>
      <w:r>
        <w:rPr>
          <w:color w:val="auto"/>
        </w:rPr>
        <w:t>elaborar relatório final com informações sobre a consecução dos objetivos que tenham justificado a contratação e eventuais condutas a serem adotadas para o aprimoramento das atividades da Administração.</w:t>
      </w:r>
    </w:p>
    <w:p w14:paraId="470CC9AA">
      <w:pPr>
        <w:pStyle w:val="45"/>
        <w:numPr>
          <w:ilvl w:val="2"/>
          <w:numId w:val="7"/>
        </w:numPr>
        <w:tabs>
          <w:tab w:val="clear" w:pos="360"/>
        </w:tabs>
        <w:spacing w:line="360" w:lineRule="auto"/>
        <w:ind w:left="284" w:firstLine="0"/>
        <w:rPr>
          <w:color w:val="auto"/>
        </w:rPr>
      </w:pPr>
      <w:r>
        <w:rPr>
          <w:color w:val="auto"/>
        </w:rPr>
        <w:t>enviar a documentação pertinente ao setor de contratos para a formalização dos procedimentos de liquidação e pagamento, no valor dimensionado pela fiscalização e gestão nos termos do contrato.</w:t>
      </w:r>
    </w:p>
    <w:p w14:paraId="4896BED6">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INFRAÇÕES E SANÇÕES ADMINISTRATIVAS</w:t>
      </w:r>
    </w:p>
    <w:p w14:paraId="6E87413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Comete infração administrativa, nos termos da lei, o licitante que, com dolo ou culpa: </w:t>
      </w:r>
    </w:p>
    <w:p w14:paraId="34E9F86B">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parcial do contrato;</w:t>
      </w:r>
    </w:p>
    <w:p w14:paraId="1606161E">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parcial do contrato que cause grave dano à Administração ou ao funcionamento dos serviços públicos ou ao interesse coletivo;</w:t>
      </w:r>
    </w:p>
    <w:p w14:paraId="13DBD1E3">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total do contrato;</w:t>
      </w:r>
    </w:p>
    <w:p w14:paraId="7DD93EB9">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ensejar o retardamento da execução ou da entrega do objeto da contratação sem motivo justificado;</w:t>
      </w:r>
    </w:p>
    <w:p w14:paraId="128B174C">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apresentar documentação falsa ou prestar declaração falsa durante a execução do contrato;</w:t>
      </w:r>
    </w:p>
    <w:p w14:paraId="607187D8">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praticar ato fraudulento na execução do contrato;</w:t>
      </w:r>
    </w:p>
    <w:p w14:paraId="52D956C9">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comportar-se de modo inidôneo ou cometer fraude de qualquer natureza;</w:t>
      </w:r>
    </w:p>
    <w:p w14:paraId="58B33209">
      <w:pPr>
        <w:pStyle w:val="75"/>
        <w:numPr>
          <w:ilvl w:val="0"/>
          <w:numId w:val="11"/>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praticar ato lesivo previsto no art. 5º da Lei nº 12.846, de 1º de agosto de 2013.</w:t>
      </w:r>
    </w:p>
    <w:p w14:paraId="0A3A6C3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Serão aplicadas ao Contratado que incorrer nas infrações acima descritas as seguintes sanções:</w:t>
      </w:r>
    </w:p>
    <w:p w14:paraId="2126FDF5">
      <w:pPr>
        <w:pStyle w:val="45"/>
        <w:numPr>
          <w:ilvl w:val="2"/>
          <w:numId w:val="7"/>
        </w:numPr>
        <w:tabs>
          <w:tab w:val="clear" w:pos="360"/>
        </w:tabs>
        <w:spacing w:line="360" w:lineRule="auto"/>
        <w:rPr>
          <w:color w:val="auto"/>
        </w:rPr>
      </w:pPr>
      <w:r>
        <w:rPr>
          <w:color w:val="auto"/>
        </w:rPr>
        <w:t>Advertência, quando o Contratado der causa à inexecução parcial do contrato, sempre que não se justificar a imposição de penalidade mais grave;</w:t>
      </w:r>
    </w:p>
    <w:p w14:paraId="0F7ADF0B">
      <w:pPr>
        <w:pStyle w:val="45"/>
        <w:numPr>
          <w:ilvl w:val="2"/>
          <w:numId w:val="7"/>
        </w:numPr>
        <w:tabs>
          <w:tab w:val="clear" w:pos="360"/>
        </w:tabs>
        <w:spacing w:line="360" w:lineRule="auto"/>
        <w:rPr>
          <w:color w:val="auto"/>
        </w:rPr>
      </w:pPr>
      <w:r>
        <w:rPr>
          <w:color w:val="auto"/>
        </w:rPr>
        <w:t>Impedimento de licitar e contratar, quando praticadas as condutas descritas nas alíneas “b”, “c” e “d” do subitem acima, sempre que não se justificar a imposição de penalidade mais grave;</w:t>
      </w:r>
    </w:p>
    <w:p w14:paraId="25AAA627">
      <w:pPr>
        <w:pStyle w:val="45"/>
        <w:numPr>
          <w:ilvl w:val="2"/>
          <w:numId w:val="7"/>
        </w:numPr>
        <w:tabs>
          <w:tab w:val="clear" w:pos="360"/>
        </w:tabs>
        <w:spacing w:line="360" w:lineRule="auto"/>
        <w:rPr>
          <w:color w:val="auto"/>
        </w:rPr>
      </w:pPr>
      <w:r>
        <w:rPr>
          <w:color w:val="auto"/>
        </w:rPr>
        <w:t>Declaração de inidoneidade para licitar e contratar, quando praticadas as condutas descritas nas alíneas “e”, “f”, “g” e “h” do subitem acima, bem como nas alíneas “b”, “c” e “d”, que justifiquem a imposição de penalidade mais grave.</w:t>
      </w:r>
    </w:p>
    <w:p w14:paraId="6BCD2E7D">
      <w:pPr>
        <w:pStyle w:val="58"/>
        <w:widowControl w:val="0"/>
        <w:numPr>
          <w:ilvl w:val="1"/>
          <w:numId w:val="7"/>
        </w:numPr>
        <w:spacing w:line="360" w:lineRule="auto"/>
        <w:ind w:left="0" w:right="140" w:firstLine="0"/>
        <w:jc w:val="both"/>
        <w:rPr>
          <w:rFonts w:asciiTheme="minorHAnsi" w:hAnsiTheme="minorHAnsi" w:cstheme="minorHAnsi"/>
          <w:b/>
          <w:sz w:val="22"/>
          <w:szCs w:val="22"/>
        </w:rPr>
      </w:pPr>
      <w:r>
        <w:rPr>
          <w:rFonts w:asciiTheme="minorHAnsi" w:hAnsiTheme="minorHAnsi" w:cstheme="minorHAnsi"/>
          <w:b/>
          <w:sz w:val="22"/>
          <w:szCs w:val="22"/>
        </w:rPr>
        <w:t>Multa:</w:t>
      </w:r>
    </w:p>
    <w:p w14:paraId="049311A3">
      <w:pPr>
        <w:pStyle w:val="45"/>
        <w:numPr>
          <w:ilvl w:val="2"/>
          <w:numId w:val="7"/>
        </w:numPr>
        <w:tabs>
          <w:tab w:val="clear" w:pos="360"/>
        </w:tabs>
        <w:spacing w:line="360" w:lineRule="auto"/>
        <w:rPr>
          <w:color w:val="auto"/>
        </w:rPr>
      </w:pPr>
      <w:r>
        <w:rPr>
          <w:color w:val="auto"/>
        </w:rPr>
        <w:t>Moratória, para as infrações descritas no item “d”, de 0,5% a 30% por dia de atraso injustificado sobre o valor da parcela inadimplida, até o limite de 30 (trinta) dias.</w:t>
      </w:r>
    </w:p>
    <w:p w14:paraId="0FC75ABC">
      <w:pPr>
        <w:pStyle w:val="45"/>
        <w:numPr>
          <w:ilvl w:val="2"/>
          <w:numId w:val="7"/>
        </w:numPr>
        <w:tabs>
          <w:tab w:val="clear" w:pos="360"/>
        </w:tabs>
        <w:spacing w:line="360" w:lineRule="auto"/>
        <w:rPr>
          <w:color w:val="auto"/>
        </w:rPr>
      </w:pPr>
      <w:r>
        <w:rPr>
          <w:color w:val="auto"/>
        </w:rPr>
        <w:t>Compensatória, para as infrações descritas acima alíneas “e” a “h” de 0,5% a 30% do valor da contratação.</w:t>
      </w:r>
    </w:p>
    <w:p w14:paraId="28839BF8">
      <w:pPr>
        <w:pStyle w:val="45"/>
        <w:numPr>
          <w:ilvl w:val="2"/>
          <w:numId w:val="7"/>
        </w:numPr>
        <w:tabs>
          <w:tab w:val="clear" w:pos="360"/>
        </w:tabs>
        <w:spacing w:line="360" w:lineRule="auto"/>
        <w:rPr>
          <w:color w:val="auto"/>
        </w:rPr>
      </w:pPr>
      <w:r>
        <w:rPr>
          <w:color w:val="auto"/>
        </w:rPr>
        <w:t>Compensatória, para a inexecução total do contrato prevista acima na alínea “c”, de 0,5% a 30% do valor da contratação.</w:t>
      </w:r>
    </w:p>
    <w:p w14:paraId="199FC5AA">
      <w:pPr>
        <w:pStyle w:val="45"/>
        <w:numPr>
          <w:ilvl w:val="2"/>
          <w:numId w:val="7"/>
        </w:numPr>
        <w:tabs>
          <w:tab w:val="clear" w:pos="360"/>
        </w:tabs>
        <w:spacing w:line="360" w:lineRule="auto"/>
        <w:rPr>
          <w:color w:val="auto"/>
        </w:rPr>
      </w:pPr>
      <w:r>
        <w:rPr>
          <w:color w:val="auto"/>
        </w:rPr>
        <w:t>Compensatória, para a infração descrita acima na alínea “b”, de 0,5% a 30% do valor da contratação.</w:t>
      </w:r>
    </w:p>
    <w:p w14:paraId="50A7124F">
      <w:pPr>
        <w:pStyle w:val="45"/>
        <w:numPr>
          <w:ilvl w:val="2"/>
          <w:numId w:val="7"/>
        </w:numPr>
        <w:tabs>
          <w:tab w:val="clear" w:pos="360"/>
        </w:tabs>
        <w:spacing w:line="360" w:lineRule="auto"/>
        <w:rPr>
          <w:color w:val="auto"/>
        </w:rPr>
      </w:pPr>
      <w:bookmarkStart w:id="93" w:name="_Hlk175669195"/>
      <w:r>
        <w:rPr>
          <w:color w:val="auto"/>
        </w:rPr>
        <w:t>Compensatória, em substituição à multa moratória para a infração descrita acima na</w:t>
      </w:r>
      <w:r>
        <w:rPr>
          <w:b/>
          <w:color w:val="auto"/>
          <w:u w:val="single"/>
        </w:rPr>
        <w:t xml:space="preserve"> </w:t>
      </w:r>
      <w:r>
        <w:rPr>
          <w:color w:val="auto"/>
        </w:rPr>
        <w:t>alínea “d”, de 0,5% a 30% do valor da contratação.</w:t>
      </w:r>
    </w:p>
    <w:bookmarkEnd w:id="93"/>
    <w:p w14:paraId="7AB6B909">
      <w:pPr>
        <w:pStyle w:val="45"/>
        <w:numPr>
          <w:ilvl w:val="2"/>
          <w:numId w:val="7"/>
        </w:numPr>
        <w:tabs>
          <w:tab w:val="clear" w:pos="360"/>
        </w:tabs>
        <w:spacing w:line="360" w:lineRule="auto"/>
        <w:rPr>
          <w:color w:val="auto"/>
        </w:rPr>
      </w:pPr>
      <w:r>
        <w:rPr>
          <w:color w:val="auto"/>
        </w:rPr>
        <w:t xml:space="preserve">Compensatória, para a infração descrita acima na alínea “a”, de 0,5% a 30% do valor da contratação </w:t>
      </w:r>
    </w:p>
    <w:p w14:paraId="0EE42E5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previstas neste Termo de Referência não exclui, em hipótese alguma, a obrigação de reparação integral do dano causado ao Contratante.</w:t>
      </w:r>
    </w:p>
    <w:p w14:paraId="15160EA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Todas as sanções previstas neste Termo de Referência poderão ser aplicadas cumulativamente com a multa.</w:t>
      </w:r>
    </w:p>
    <w:p w14:paraId="1897350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Antes da aplicação da multa será facultada a defesa do interessado no prazo de 15 (quinze) dias úteis, contado da data de sua intimação.</w:t>
      </w:r>
    </w:p>
    <w:p w14:paraId="2EF9AE0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0843629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multa poderá ser recolhida administrativamente no prazo máximo de 15 (quinze) dias úteis, a contar da data do recebimento da comunicação enviada pela autoridade competente.</w:t>
      </w:r>
    </w:p>
    <w:p w14:paraId="4492561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73B1BF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a garantia da ampla defesa e contraditório, as notificações serão enviadas eletronicamente para os endereços de e-mail informados na proposta comercial, bem como os cadastrados pela empresa no SICAF.</w:t>
      </w:r>
    </w:p>
    <w:p w14:paraId="22D39BF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endereços de e-mail informados na proposta comercial e/ou cadastrados no Sicaf serão considerados de uso contínuo da empresa, não cabendo alegação de desconhecimento das comunicações a eles comprovadamente enviadas.</w:t>
      </w:r>
    </w:p>
    <w:p w14:paraId="2D32B45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Na aplicação das sanções serão considerados:</w:t>
      </w:r>
    </w:p>
    <w:p w14:paraId="51FD4C3B">
      <w:pPr>
        <w:pStyle w:val="45"/>
        <w:numPr>
          <w:ilvl w:val="2"/>
          <w:numId w:val="7"/>
        </w:numPr>
        <w:tabs>
          <w:tab w:val="clear" w:pos="360"/>
        </w:tabs>
        <w:spacing w:line="360" w:lineRule="auto"/>
        <w:rPr>
          <w:color w:val="auto"/>
        </w:rPr>
      </w:pPr>
      <w:r>
        <w:rPr>
          <w:color w:val="auto"/>
        </w:rPr>
        <w:t>a natureza e a gravidade da infração cometida;</w:t>
      </w:r>
    </w:p>
    <w:p w14:paraId="6ACEE04E">
      <w:pPr>
        <w:pStyle w:val="45"/>
        <w:numPr>
          <w:ilvl w:val="2"/>
          <w:numId w:val="7"/>
        </w:numPr>
        <w:tabs>
          <w:tab w:val="clear" w:pos="360"/>
        </w:tabs>
        <w:spacing w:line="360" w:lineRule="auto"/>
        <w:rPr>
          <w:color w:val="auto"/>
        </w:rPr>
      </w:pPr>
      <w:r>
        <w:rPr>
          <w:color w:val="auto"/>
        </w:rPr>
        <w:t>as peculiaridades do caso concreto;</w:t>
      </w:r>
    </w:p>
    <w:p w14:paraId="246FA249">
      <w:pPr>
        <w:pStyle w:val="45"/>
        <w:numPr>
          <w:ilvl w:val="2"/>
          <w:numId w:val="7"/>
        </w:numPr>
        <w:tabs>
          <w:tab w:val="clear" w:pos="360"/>
        </w:tabs>
        <w:spacing w:line="360" w:lineRule="auto"/>
        <w:rPr>
          <w:color w:val="auto"/>
        </w:rPr>
      </w:pPr>
      <w:r>
        <w:rPr>
          <w:color w:val="auto"/>
        </w:rPr>
        <w:t>as circunstâncias agravantes ou atenuantes;</w:t>
      </w:r>
    </w:p>
    <w:p w14:paraId="05C4944F">
      <w:pPr>
        <w:pStyle w:val="45"/>
        <w:numPr>
          <w:ilvl w:val="2"/>
          <w:numId w:val="7"/>
        </w:numPr>
        <w:tabs>
          <w:tab w:val="clear" w:pos="360"/>
        </w:tabs>
        <w:spacing w:line="360" w:lineRule="auto"/>
        <w:rPr>
          <w:color w:val="auto"/>
        </w:rPr>
      </w:pPr>
      <w:r>
        <w:rPr>
          <w:color w:val="auto"/>
        </w:rPr>
        <w:t>os danos que dela provierem para o Contratante; e</w:t>
      </w:r>
    </w:p>
    <w:p w14:paraId="48B0ED5B">
      <w:pPr>
        <w:pStyle w:val="45"/>
        <w:numPr>
          <w:ilvl w:val="2"/>
          <w:numId w:val="7"/>
        </w:numPr>
        <w:tabs>
          <w:tab w:val="clear" w:pos="360"/>
        </w:tabs>
        <w:spacing w:line="360" w:lineRule="auto"/>
        <w:rPr>
          <w:color w:val="auto"/>
        </w:rPr>
      </w:pPr>
      <w:r>
        <w:rPr>
          <w:color w:val="auto"/>
        </w:rPr>
        <w:t>a implantação ou o aperfeiçoamento de programa de integridade, conforme normas e orientações dos órgãos de controle.</w:t>
      </w:r>
    </w:p>
    <w:p w14:paraId="6DD7C20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04EA052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A personalidade jurídica do Contratado poderá ser desconsiderada sempre que utilizada com abuso do direito para facilitar, encobrir ou dissimular a prática dos atos ilícitos </w:t>
      </w:r>
      <w:bookmarkStart w:id="94" w:name="_Hlk170830482"/>
      <w:r>
        <w:rPr>
          <w:rFonts w:asciiTheme="minorHAnsi" w:hAnsiTheme="minorHAnsi" w:cstheme="minorHAnsi"/>
          <w:sz w:val="22"/>
          <w:szCs w:val="22"/>
        </w:rPr>
        <w:t>previstos neste Termo de Referência</w:t>
      </w:r>
      <w:bookmarkEnd w:id="94"/>
      <w:r>
        <w:rPr>
          <w:rFonts w:asciiTheme="minorHAnsi" w:hAnsiTheme="minorHAnsi" w:cstheme="minorHAnsi"/>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63B258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66BEA97E">
      <w:pPr>
        <w:pStyle w:val="45"/>
        <w:numPr>
          <w:ilvl w:val="2"/>
          <w:numId w:val="7"/>
        </w:numPr>
        <w:tabs>
          <w:tab w:val="clear" w:pos="360"/>
        </w:tabs>
        <w:spacing w:line="360" w:lineRule="auto"/>
        <w:rPr>
          <w:rFonts w:eastAsiaTheme="minorEastAsia"/>
          <w:color w:val="auto"/>
        </w:rPr>
      </w:pPr>
      <w:r>
        <w:rPr>
          <w:rFonts w:eastAsiaTheme="minorEastAsia"/>
          <w:color w:val="auto"/>
        </w:rPr>
        <w:t>As penalidades serão obrigatoriamente registradas no SICAF.</w:t>
      </w:r>
    </w:p>
    <w:p w14:paraId="6D0537D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sanções de impedimento de licitar e contratar e declaração de inidoneidade para licitar ou contratar são passíveis de reabilitação na forma do art. 163 da Lei nº 14.133, de 2021.</w:t>
      </w:r>
    </w:p>
    <w:p w14:paraId="4AA1E57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00B5E96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previstas neste edital não exclui, em hipótese alguma, a obrigação de reparação integral dos danos causados ao Complexo Hospitalar e de Saúde-CHS/UFBA.</w:t>
      </w:r>
    </w:p>
    <w:p w14:paraId="2A678CAA">
      <w:pPr>
        <w:pStyle w:val="80"/>
        <w:numPr>
          <w:ilvl w:val="0"/>
          <w:numId w:val="7"/>
        </w:numPr>
        <w:tabs>
          <w:tab w:val="left" w:pos="284"/>
        </w:tabs>
        <w:spacing w:before="0" w:line="360" w:lineRule="auto"/>
        <w:ind w:left="0" w:right="140" w:firstLine="0"/>
        <w:rPr>
          <w:rFonts w:asciiTheme="minorHAnsi" w:hAnsiTheme="minorHAnsi" w:cstheme="minorHAnsi"/>
          <w:bCs/>
          <w:color w:val="auto"/>
          <w:sz w:val="22"/>
          <w:szCs w:val="22"/>
        </w:rPr>
      </w:pPr>
      <w:r>
        <w:rPr>
          <w:rFonts w:asciiTheme="minorHAnsi" w:hAnsiTheme="minorHAnsi" w:eastAsiaTheme="minorEastAsia" w:cstheme="minorHAnsi"/>
          <w:color w:val="auto"/>
          <w:sz w:val="22"/>
          <w:szCs w:val="22"/>
        </w:rPr>
        <w:t>CRITÉRIOS</w:t>
      </w:r>
      <w:r>
        <w:rPr>
          <w:rFonts w:asciiTheme="minorHAnsi" w:hAnsiTheme="minorHAnsi" w:cstheme="minorHAnsi"/>
          <w:color w:val="auto"/>
          <w:sz w:val="22"/>
          <w:szCs w:val="22"/>
        </w:rPr>
        <w:t xml:space="preserve"> DE MEDIÇÃO E DE PAGAMENTO</w:t>
      </w:r>
    </w:p>
    <w:p w14:paraId="2E154A65">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Recebimento</w:t>
      </w:r>
    </w:p>
    <w:p w14:paraId="743EC787">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AD243D4">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Os bens poderão ser rejeitados, no todo ou em parte, inclusive antes do recebimento provisório, quando em desacordo com as especificações constantes no Termo de Referência e na proposta, devendo ser substituídos no prazo de 15 (quinze) dias corridos, a contar da notificação da contratada, às suas custas, sem prejuízo da aplicação das penalidades.</w:t>
      </w:r>
    </w:p>
    <w:p w14:paraId="7FF12974">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6A45851">
      <w:pPr>
        <w:pStyle w:val="45"/>
        <w:numPr>
          <w:ilvl w:val="2"/>
          <w:numId w:val="7"/>
        </w:numPr>
        <w:tabs>
          <w:tab w:val="clear" w:pos="360"/>
        </w:tabs>
        <w:spacing w:line="360" w:lineRule="auto"/>
        <w:rPr>
          <w:color w:val="auto"/>
        </w:rPr>
      </w:pPr>
      <w:r>
        <w:rPr>
          <w:color w:val="auto"/>
        </w:rPr>
        <w:t>Em caso de não conformidade, a Comissão/ Servidor designado devolverá Nota Fiscal / Materiais, para as devidas correções.</w:t>
      </w:r>
    </w:p>
    <w:p w14:paraId="5E627150">
      <w:pPr>
        <w:pStyle w:val="45"/>
        <w:numPr>
          <w:ilvl w:val="2"/>
          <w:numId w:val="7"/>
        </w:numPr>
        <w:tabs>
          <w:tab w:val="clear" w:pos="360"/>
        </w:tabs>
        <w:spacing w:line="360" w:lineRule="auto"/>
        <w:rPr>
          <w:color w:val="auto"/>
        </w:rPr>
      </w:pPr>
      <w:r>
        <w:rPr>
          <w:color w:val="auto"/>
        </w:rPr>
        <w:t>Durante o recebimento provisório, o Hospital Ana Nery (HAN) poderá exigir a substituição de qualquer do(s) material (is) que não esteja (m) de acordo com a(s) especificação(ões) desta solicitação.</w:t>
      </w:r>
    </w:p>
    <w:p w14:paraId="7B7406E0">
      <w:pPr>
        <w:pStyle w:val="45"/>
        <w:numPr>
          <w:ilvl w:val="2"/>
          <w:numId w:val="7"/>
        </w:numPr>
        <w:tabs>
          <w:tab w:val="clear" w:pos="360"/>
        </w:tabs>
        <w:spacing w:line="360" w:lineRule="auto"/>
        <w:rPr>
          <w:color w:val="auto"/>
        </w:rPr>
      </w:pPr>
      <w:r>
        <w:rPr>
          <w:color w:val="auto"/>
        </w:rPr>
        <w:t>Não serão pagos o(s) material(is) entregue(s) em locais diferentes do mencionado no item 6.1 desta solicitação ou materiais entregues a funcionários do Hospital Ana Nery não autorizados.</w:t>
      </w:r>
    </w:p>
    <w:p w14:paraId="35CE24D5">
      <w:pPr>
        <w:pStyle w:val="45"/>
        <w:numPr>
          <w:ilvl w:val="2"/>
          <w:numId w:val="7"/>
        </w:numPr>
        <w:tabs>
          <w:tab w:val="clear" w:pos="360"/>
        </w:tabs>
        <w:spacing w:line="360" w:lineRule="auto"/>
        <w:rPr>
          <w:color w:val="auto"/>
        </w:rPr>
      </w:pPr>
      <w:r>
        <w:rPr>
          <w:color w:val="auto"/>
        </w:rPr>
        <w:t>Na hipótese de a verificação, a que se refere o subitem anterior não ser procedida dentro do prazo fixado, reputar-se-á como realizada, consumando-se o recebimento definitivo no dia do esgotamento do prazo.</w:t>
      </w:r>
    </w:p>
    <w:p w14:paraId="51037C2B">
      <w:pPr>
        <w:pStyle w:val="45"/>
        <w:numPr>
          <w:ilvl w:val="2"/>
          <w:numId w:val="7"/>
        </w:numPr>
        <w:tabs>
          <w:tab w:val="clear" w:pos="360"/>
        </w:tabs>
        <w:spacing w:line="360" w:lineRule="auto"/>
        <w:rPr>
          <w:color w:val="auto"/>
        </w:rPr>
      </w:pPr>
      <w:r>
        <w:rPr>
          <w:color w:val="auto"/>
        </w:rPr>
        <w:t>Os bens que não atenderem as especificações deverão ser substituídos pela Contratada, no prazo máximo de dez (10) dias corridos, sob pena de aplicação das sanções previstas no Termo de Referência.</w:t>
      </w:r>
    </w:p>
    <w:p w14:paraId="1B77C57A">
      <w:pPr>
        <w:pStyle w:val="45"/>
        <w:numPr>
          <w:ilvl w:val="2"/>
          <w:numId w:val="7"/>
        </w:numPr>
        <w:tabs>
          <w:tab w:val="clear" w:pos="360"/>
        </w:tabs>
        <w:spacing w:line="360" w:lineRule="auto"/>
        <w:rPr>
          <w:color w:val="auto"/>
        </w:rPr>
      </w:pPr>
      <w:r>
        <w:rPr>
          <w:color w:val="auto"/>
        </w:rPr>
        <w:t>A administração rejeitará, no todo ou em parte, a entrega dos bens em desacordo com as especificações técnicas exigidas.</w:t>
      </w:r>
    </w:p>
    <w:p w14:paraId="0E775F9E">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Para as contratações decorrentes de despesas cujos valores não ultrapassem o limite de que trata o inciso II do art. 75 da Lei nº 14.133, de 2021, o prazo máximo para o recebimento definitivo será de até 05(cinco) dias úteis.</w:t>
      </w:r>
    </w:p>
    <w:p w14:paraId="3775F4D0">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prazo para recebimento definitivo poderá ser excepcionalmente prorrogado, de forma justificada, por igual período, quando houver necessidade de diligências para a aferição do atendimento das exigências contratuais.</w:t>
      </w:r>
    </w:p>
    <w:p w14:paraId="30F6762F">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Style w:val="13"/>
          <w:rFonts w:asciiTheme="minorHAnsi" w:hAnsiTheme="minorHAnsi" w:cstheme="minorHAnsi"/>
          <w:color w:val="auto"/>
          <w:sz w:val="22"/>
          <w:szCs w:val="22"/>
        </w:rPr>
        <w:t>art. 143 da Lei nº 14.133, de 2021</w:t>
      </w:r>
      <w:r>
        <w:rPr>
          <w:rStyle w:val="13"/>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 comunicando-se à empresa para emissão de Nota Fiscal no que pertine à parcela incontroversa da execução do objeto, para efeito de liquidação e pagamento.</w:t>
      </w:r>
    </w:p>
    <w:p w14:paraId="599EB25B">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0FA5A6F">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recebimento provisório ou definitivo não excluirá a responsabilidade civil pela solidez e pela segurança dos bens nem a responsabilidade ético-profissional pela perfeita execução do contrato.</w:t>
      </w:r>
    </w:p>
    <w:p w14:paraId="24BDF9EB">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As atividades de montagem, instalação e quaisquer outras necessárias para o funcionamento ou uso do bem correrão por conta do Contratado e são condição para o recebimento do objeto.</w:t>
      </w:r>
    </w:p>
    <w:p w14:paraId="0640CCAB">
      <w:pPr>
        <w:pStyle w:val="58"/>
        <w:widowControl w:val="0"/>
        <w:spacing w:line="360" w:lineRule="auto"/>
        <w:ind w:left="0" w:right="140"/>
        <w:jc w:val="both"/>
        <w:rPr>
          <w:rFonts w:asciiTheme="minorHAnsi" w:hAnsiTheme="minorHAnsi" w:eastAsiaTheme="majorEastAsia" w:cstheme="minorHAnsi"/>
          <w:bCs/>
          <w:sz w:val="22"/>
          <w:szCs w:val="22"/>
        </w:rPr>
      </w:pPr>
    </w:p>
    <w:p w14:paraId="41DF9925">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Liquidação</w:t>
      </w:r>
    </w:p>
    <w:p w14:paraId="6397460D">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Recebida a Nota Fiscal ou documento de cobrança equivalente, correrá o prazo de dez dias úteis para fins de liquidação, na forma desta seção, prorrogáveis por igual período, nos termos do art. 7º, §3º da Instrução Normativa SEGES/ME nº 77/2022.</w:t>
      </w:r>
    </w:p>
    <w:p w14:paraId="15D9B186">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\h </w:instrText>
      </w:r>
      <w:r>
        <w:fldChar w:fldCharType="separate"/>
      </w:r>
      <w:r>
        <w:rPr>
          <w:rStyle w:val="13"/>
          <w:rFonts w:asciiTheme="minorHAnsi" w:hAnsiTheme="minorHAnsi" w:cstheme="minorHAnsi"/>
          <w:color w:val="auto"/>
          <w:sz w:val="22"/>
          <w:szCs w:val="22"/>
        </w:rPr>
        <w:t>inciso II do art. 75 da Lei nº 14.133, de 2021</w:t>
      </w:r>
      <w:r>
        <w:rPr>
          <w:rStyle w:val="13"/>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w:t>
      </w:r>
    </w:p>
    <w:p w14:paraId="02F4ADD7">
      <w:pPr>
        <w:pStyle w:val="58"/>
        <w:widowControl w:val="0"/>
        <w:numPr>
          <w:ilvl w:val="1"/>
          <w:numId w:val="7"/>
        </w:numPr>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Para fins de liquidação, o setor competente deverá verificar se a nota fiscal ou instrumento de cobrança equivalente apresentado expressa os elementos necessários e essenciais do documento, tais como: </w:t>
      </w:r>
    </w:p>
    <w:p w14:paraId="656BA309">
      <w:pPr>
        <w:pStyle w:val="45"/>
        <w:numPr>
          <w:ilvl w:val="2"/>
          <w:numId w:val="7"/>
        </w:numPr>
        <w:tabs>
          <w:tab w:val="clear" w:pos="360"/>
        </w:tabs>
        <w:spacing w:line="360" w:lineRule="auto"/>
        <w:rPr>
          <w:color w:val="auto"/>
        </w:rPr>
      </w:pPr>
      <w:r>
        <w:rPr>
          <w:color w:val="auto"/>
        </w:rPr>
        <w:t>o prazo de validade;</w:t>
      </w:r>
    </w:p>
    <w:p w14:paraId="0EEBDD77">
      <w:pPr>
        <w:pStyle w:val="45"/>
        <w:numPr>
          <w:ilvl w:val="2"/>
          <w:numId w:val="7"/>
        </w:numPr>
        <w:tabs>
          <w:tab w:val="clear" w:pos="360"/>
        </w:tabs>
        <w:spacing w:line="360" w:lineRule="auto"/>
        <w:rPr>
          <w:color w:val="auto"/>
        </w:rPr>
      </w:pPr>
      <w:r>
        <w:rPr>
          <w:color w:val="auto"/>
        </w:rPr>
        <w:t xml:space="preserve">a data da emissão; </w:t>
      </w:r>
    </w:p>
    <w:p w14:paraId="4313F1B5">
      <w:pPr>
        <w:pStyle w:val="45"/>
        <w:numPr>
          <w:ilvl w:val="2"/>
          <w:numId w:val="7"/>
        </w:numPr>
        <w:tabs>
          <w:tab w:val="clear" w:pos="360"/>
        </w:tabs>
        <w:spacing w:line="360" w:lineRule="auto"/>
        <w:rPr>
          <w:color w:val="auto"/>
        </w:rPr>
      </w:pPr>
      <w:r>
        <w:rPr>
          <w:color w:val="auto"/>
        </w:rPr>
        <w:t xml:space="preserve">os dados do contrato e do órgão contratante; </w:t>
      </w:r>
    </w:p>
    <w:p w14:paraId="4FAAB373">
      <w:pPr>
        <w:pStyle w:val="45"/>
        <w:numPr>
          <w:ilvl w:val="2"/>
          <w:numId w:val="7"/>
        </w:numPr>
        <w:tabs>
          <w:tab w:val="clear" w:pos="360"/>
        </w:tabs>
        <w:spacing w:line="360" w:lineRule="auto"/>
        <w:rPr>
          <w:color w:val="auto"/>
        </w:rPr>
      </w:pPr>
      <w:r>
        <w:rPr>
          <w:color w:val="auto"/>
        </w:rPr>
        <w:t xml:space="preserve">o período respectivo de execução do contrato; </w:t>
      </w:r>
    </w:p>
    <w:p w14:paraId="33B06FF8">
      <w:pPr>
        <w:pStyle w:val="45"/>
        <w:numPr>
          <w:ilvl w:val="2"/>
          <w:numId w:val="7"/>
        </w:numPr>
        <w:tabs>
          <w:tab w:val="clear" w:pos="360"/>
        </w:tabs>
        <w:spacing w:line="360" w:lineRule="auto"/>
        <w:rPr>
          <w:color w:val="auto"/>
        </w:rPr>
      </w:pPr>
      <w:r>
        <w:rPr>
          <w:color w:val="auto"/>
        </w:rPr>
        <w:t xml:space="preserve">o valor a pagar; e </w:t>
      </w:r>
    </w:p>
    <w:p w14:paraId="759145CC">
      <w:pPr>
        <w:pStyle w:val="45"/>
        <w:numPr>
          <w:ilvl w:val="2"/>
          <w:numId w:val="7"/>
        </w:numPr>
        <w:tabs>
          <w:tab w:val="clear" w:pos="360"/>
        </w:tabs>
        <w:spacing w:line="360" w:lineRule="auto"/>
        <w:rPr>
          <w:color w:val="auto"/>
        </w:rPr>
      </w:pPr>
      <w:r>
        <w:rPr>
          <w:color w:val="auto"/>
        </w:rPr>
        <w:t>eventual destaque do valor de retenções tributárias cabíveis.</w:t>
      </w:r>
    </w:p>
    <w:p w14:paraId="4AE7E58C">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6F54070">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 A nota fiscal ou instrumento de cobrança equivalente deverá ser obrigatoriamente acompanhado da comprovação da regularidade fiscal, constatada por meio de consulta </w:t>
      </w:r>
      <w:r>
        <w:rPr>
          <w:rFonts w:asciiTheme="minorHAnsi" w:hAnsiTheme="minorHAnsi" w:eastAsiaTheme="majorEastAsia" w:cstheme="minorHAnsi"/>
          <w:bCs/>
          <w:iCs/>
          <w:sz w:val="22"/>
          <w:szCs w:val="22"/>
        </w:rPr>
        <w:t>on-line</w:t>
      </w:r>
      <w:r>
        <w:rPr>
          <w:rFonts w:asciiTheme="minorHAnsi" w:hAnsiTheme="minorHAnsi" w:eastAsiaTheme="majorEastAsia" w:cstheme="minorHAnsi"/>
          <w:bCs/>
          <w:sz w:val="22"/>
          <w:szCs w:val="22"/>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Style w:val="13"/>
          <w:rFonts w:asciiTheme="minorHAnsi" w:hAnsiTheme="minorHAnsi" w:cstheme="minorHAnsi"/>
          <w:color w:val="auto"/>
          <w:sz w:val="22"/>
          <w:szCs w:val="22"/>
        </w:rPr>
        <w:t xml:space="preserve">art. 68 da Lei nº 14.133, de 2021.  </w:t>
      </w:r>
      <w:r>
        <w:rPr>
          <w:rStyle w:val="13"/>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 xml:space="preserve"> </w:t>
      </w:r>
    </w:p>
    <w:p w14:paraId="6CF004E7">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A Administração deverá realizar consulta ao SICAF para: </w:t>
      </w:r>
    </w:p>
    <w:p w14:paraId="4CD2434F">
      <w:pPr>
        <w:pStyle w:val="58"/>
        <w:widowControl w:val="0"/>
        <w:numPr>
          <w:ilvl w:val="0"/>
          <w:numId w:val="12"/>
        </w:numPr>
        <w:spacing w:line="360" w:lineRule="auto"/>
        <w:ind w:right="14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verificar a manutenção das condições de habilitação exigidas no edital; </w:t>
      </w:r>
    </w:p>
    <w:p w14:paraId="2D5440E9">
      <w:pPr>
        <w:pStyle w:val="58"/>
        <w:widowControl w:val="0"/>
        <w:numPr>
          <w:ilvl w:val="0"/>
          <w:numId w:val="12"/>
        </w:numPr>
        <w:spacing w:line="360" w:lineRule="auto"/>
        <w:ind w:right="14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identificar possível razão que impeça a participação em licitação, no âmbito do órgão ou entidade, proibição de contratar com o Poder Público, bem como ocorrências impeditivas indiretas (INSTRUÇÃO NORMATIVA Nº 3, DE 26 DE ABRIL DE 2018).</w:t>
      </w:r>
    </w:p>
    <w:p w14:paraId="0064FD06">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891CFBB">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2F2BF70">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Persistindo a irregularidade, o contratante deverá adotar as medidas necessárias à rescisão contratual nos autos do processo administrativo correspondente, assegurada ao contratado a ampla defesa. </w:t>
      </w:r>
    </w:p>
    <w:p w14:paraId="121D3CB1">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Havendo a efetiva execução do objeto, os pagamentos serão realizados normalmente, até que se decida pela rescisão do contrato, caso o contratado não regularize sua situação junto ao SICAF.  </w:t>
      </w:r>
    </w:p>
    <w:p w14:paraId="7DF4C1F4">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Prazo de pagamento</w:t>
      </w:r>
    </w:p>
    <w:p w14:paraId="1C8C69DC">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pagamento será efetuado no prazo de até 10 (dez) dias úteis contados da finalização da liquidação da despesa, conforme seção anterior, nos termos da </w:t>
      </w:r>
      <w:r>
        <w:fldChar w:fldCharType="begin"/>
      </w:r>
      <w:r>
        <w:instrText xml:space="preserve"> HYPERLINK "https://in.gov.br/en/web/dou/-/instrucao-normativa-seges/me-n-77-de-4-de-novembro-de-2022-441681061" \h </w:instrText>
      </w:r>
      <w:r>
        <w:fldChar w:fldCharType="separate"/>
      </w:r>
      <w:r>
        <w:rPr>
          <w:rStyle w:val="13"/>
          <w:rFonts w:asciiTheme="minorHAnsi" w:hAnsiTheme="minorHAnsi" w:cstheme="minorHAnsi"/>
          <w:color w:val="auto"/>
          <w:sz w:val="22"/>
          <w:szCs w:val="22"/>
        </w:rPr>
        <w:t>Instrução Normativa SEGES/ME nº 77, de 2022</w:t>
      </w:r>
      <w:r>
        <w:rPr>
          <w:rStyle w:val="13"/>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w:t>
      </w:r>
    </w:p>
    <w:p w14:paraId="3B22FE9E">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 xml:space="preserve">No caso de atraso pelo Contratante, os valores devidos ao Contratado serão atualizados monetariamente entre o termo final do prazo de pagamento até a data de sua efetiva realização, mediante aplicação do índice </w:t>
      </w:r>
      <w:r>
        <w:rPr>
          <w:rFonts w:asciiTheme="minorHAnsi" w:hAnsiTheme="minorHAnsi" w:cstheme="minorHAnsi"/>
          <w:sz w:val="22"/>
          <w:szCs w:val="22"/>
        </w:rPr>
        <w:t>IPCA/IBGE</w:t>
      </w:r>
      <w:r>
        <w:rPr>
          <w:rFonts w:asciiTheme="minorHAnsi" w:hAnsiTheme="minorHAnsi" w:eastAsiaTheme="majorEastAsia" w:cstheme="minorHAnsi"/>
          <w:sz w:val="22"/>
          <w:szCs w:val="22"/>
        </w:rPr>
        <w:t xml:space="preserve"> de correção monetária.</w:t>
      </w:r>
    </w:p>
    <w:p w14:paraId="072059D2">
      <w:pPr>
        <w:pStyle w:val="58"/>
        <w:widowControl w:val="0"/>
        <w:spacing w:line="360" w:lineRule="auto"/>
        <w:ind w:left="0" w:right="140"/>
        <w:jc w:val="both"/>
        <w:rPr>
          <w:rFonts w:asciiTheme="minorHAnsi" w:hAnsiTheme="minorHAnsi" w:eastAsiaTheme="majorEastAsia" w:cstheme="minorHAnsi"/>
          <w:bCs/>
          <w:sz w:val="22"/>
          <w:szCs w:val="22"/>
        </w:rPr>
      </w:pPr>
    </w:p>
    <w:p w14:paraId="310A450A">
      <w:pPr>
        <w:pStyle w:val="58"/>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Forma de pagamento</w:t>
      </w:r>
    </w:p>
    <w:p w14:paraId="00482485">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pagamento será realizado por meio de ordem bancária, para crédito em banco, agência e conta corrente indicados pelo contratado.</w:t>
      </w:r>
    </w:p>
    <w:p w14:paraId="3DA414F9">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Será considerada data do pagamento o dia em que constar como emitida a ordem bancária para pagamento.</w:t>
      </w:r>
    </w:p>
    <w:p w14:paraId="1F92881F">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Quando do pagamento, será efetuada a retenção tributária prevista na legislação aplicável.</w:t>
      </w:r>
    </w:p>
    <w:p w14:paraId="01B9D165">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Independentemente do percentual de tributo inserido na planilha, quando houver, serão retidos na fonte, quando da realização do pagamento, os percentuais estabelecidos na legislação vigente.</w:t>
      </w:r>
    </w:p>
    <w:p w14:paraId="206E8D6E">
      <w:pPr>
        <w:pStyle w:val="58"/>
        <w:widowControl w:val="0"/>
        <w:numPr>
          <w:ilvl w:val="1"/>
          <w:numId w:val="7"/>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Fonts w:asciiTheme="minorHAnsi" w:hAnsiTheme="minorHAnsi" w:eastAsiaTheme="majorEastAsia" w:cstheme="minorHAnsi"/>
          <w:bCs/>
          <w:sz w:val="22"/>
          <w:szCs w:val="22"/>
        </w:rPr>
        <w:t>Lei Complementar nº 123, de 2006</w:t>
      </w:r>
      <w:r>
        <w:rPr>
          <w:rFonts w:asciiTheme="minorHAnsi" w:hAnsiTheme="minorHAnsi" w:eastAsiaTheme="majorEastAsia" w:cstheme="minorHAnsi"/>
          <w:bCs/>
          <w:sz w:val="22"/>
          <w:szCs w:val="22"/>
        </w:rPr>
        <w:fldChar w:fldCharType="end"/>
      </w:r>
      <w:r>
        <w:rPr>
          <w:rFonts w:asciiTheme="minorHAnsi" w:hAnsiTheme="minorHAnsi" w:eastAsiaTheme="majorEastAsia" w:cstheme="minorHAnsi"/>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7CC789">
      <w:pPr>
        <w:pStyle w:val="44"/>
      </w:pPr>
    </w:p>
    <w:p w14:paraId="614AF16E">
      <w:pPr>
        <w:pStyle w:val="44"/>
      </w:pPr>
      <w:r>
        <w:t>Cessão de Crédito</w:t>
      </w:r>
    </w:p>
    <w:p w14:paraId="69D16BDF">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As cessões de crédito dependerão de prévia aprovação do Contratante.</w:t>
      </w:r>
    </w:p>
    <w:p w14:paraId="5D8C4DF0">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 eficácia da cessão de crédito, em relação à Administração, está condicionada à celebração de termo aditivo ao contrato administrativo.</w:t>
      </w:r>
    </w:p>
    <w:p w14:paraId="069C7805">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608438F5">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0318FF26">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 cessão de crédito não afetará a execução do objeto contratado, que continuará sob a integral responsabilidade do Contratado.</w:t>
      </w:r>
    </w:p>
    <w:p w14:paraId="18E6F494">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 disposto nesta seção não afeta as operações de crédito de que trata a Instrução Normativa SEGES/MGI nº 82, de 21 de fevereiro de 2025, as quais ficam por esta regidas.</w:t>
      </w:r>
    </w:p>
    <w:p w14:paraId="677486A4">
      <w:pPr>
        <w:pStyle w:val="58"/>
        <w:widowControl w:val="0"/>
        <w:spacing w:line="360" w:lineRule="auto"/>
        <w:ind w:left="0" w:right="140"/>
        <w:jc w:val="both"/>
        <w:rPr>
          <w:rFonts w:asciiTheme="minorHAnsi" w:hAnsiTheme="minorHAnsi" w:eastAsiaTheme="majorEastAsia" w:cstheme="minorHAnsi"/>
          <w:b/>
          <w:sz w:val="22"/>
          <w:szCs w:val="22"/>
        </w:rPr>
      </w:pPr>
    </w:p>
    <w:p w14:paraId="6E008E67">
      <w:pPr>
        <w:pStyle w:val="58"/>
        <w:widowControl w:val="0"/>
        <w:spacing w:line="360" w:lineRule="auto"/>
        <w:ind w:left="0" w:right="140"/>
        <w:jc w:val="both"/>
        <w:rPr>
          <w:rFonts w:asciiTheme="minorHAnsi" w:hAnsiTheme="minorHAnsi" w:eastAsiaTheme="majorEastAsia" w:cstheme="minorHAnsi"/>
          <w:b/>
          <w:sz w:val="22"/>
          <w:szCs w:val="22"/>
        </w:rPr>
      </w:pPr>
      <w:r>
        <w:rPr>
          <w:rFonts w:asciiTheme="minorHAnsi" w:hAnsiTheme="minorHAnsi" w:eastAsiaTheme="majorEastAsia" w:cstheme="minorHAnsi"/>
          <w:b/>
          <w:sz w:val="22"/>
          <w:szCs w:val="22"/>
        </w:rPr>
        <w:t>Reajuste</w:t>
      </w:r>
    </w:p>
    <w:p w14:paraId="0517EA0F">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Os preços inicialmente contratados são fixos e irreajustáveis no prazo de um ano contado da data do orçamento estimado, em __/__/__ (DD/MM/AAAA).</w:t>
      </w:r>
    </w:p>
    <w:p w14:paraId="61BEC749">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8.41.</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 xml:space="preserve">Após o interregno de um ano, e independentemente de pedido do Contratado, os preços iniciais serão reajustados, mediante a aplicação, pelo Contratante, do índice </w:t>
      </w:r>
      <w:r>
        <w:rPr>
          <w:rFonts w:asciiTheme="minorHAnsi" w:hAnsiTheme="minorHAnsi" w:cstheme="minorHAnsi"/>
          <w:sz w:val="22"/>
          <w:szCs w:val="22"/>
        </w:rPr>
        <w:t>IPCA/IBGE</w:t>
      </w:r>
      <w:r>
        <w:rPr>
          <w:rFonts w:asciiTheme="minorHAnsi" w:hAnsiTheme="minorHAnsi" w:eastAsiaTheme="majorEastAsia" w:cstheme="minorHAnsi"/>
          <w:sz w:val="22"/>
          <w:szCs w:val="22"/>
        </w:rPr>
        <w:t>, exclusivamente para as obrigações iniciadas e concluídas após a ocorrência da anualidade.</w:t>
      </w:r>
    </w:p>
    <w:p w14:paraId="4657B6CB">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8.42.</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Nos reajustes subsequentes ao primeiro, o interregno mínimo de um ano será contado a partir dos efeitos financeiros do último reajuste.</w:t>
      </w:r>
    </w:p>
    <w:p w14:paraId="087C7313">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8.43.</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6FA62602">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8.44.</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Nas aferições finais, o(s) índice(s) utilizado(s) para reajuste será(ão), obrigatoriamente, o(s) definitivo(s).</w:t>
      </w:r>
    </w:p>
    <w:p w14:paraId="09F69176">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8.45.</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C561D6C">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8.46.</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Na ausência de previsão legal quanto ao índice substituto, as partes elegerão novo índice oficial, para reajustamento do preço do valor remanescente, por meio de termo aditivo.</w:t>
      </w:r>
    </w:p>
    <w:p w14:paraId="2B4336CA">
      <w:pPr>
        <w:pStyle w:val="58"/>
        <w:widowControl w:val="0"/>
        <w:numPr>
          <w:ilvl w:val="1"/>
          <w:numId w:val="7"/>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8.47.</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O reajuste será realizado por apostilamento.</w:t>
      </w:r>
    </w:p>
    <w:p w14:paraId="6871E150">
      <w:pPr>
        <w:pStyle w:val="58"/>
        <w:widowControl w:val="0"/>
        <w:spacing w:line="360" w:lineRule="auto"/>
        <w:ind w:left="0" w:right="140"/>
        <w:jc w:val="both"/>
        <w:rPr>
          <w:rFonts w:asciiTheme="minorHAnsi" w:hAnsiTheme="minorHAnsi" w:eastAsiaTheme="majorEastAsia" w:cstheme="minorHAnsi"/>
          <w:sz w:val="22"/>
          <w:szCs w:val="22"/>
        </w:rPr>
      </w:pPr>
    </w:p>
    <w:p w14:paraId="1F3B432F">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FORMA</w:t>
      </w:r>
      <w:r>
        <w:rPr>
          <w:rFonts w:asciiTheme="minorHAnsi" w:hAnsiTheme="minorHAnsi" w:cstheme="minorHAnsi"/>
          <w:color w:val="auto"/>
          <w:sz w:val="22"/>
          <w:szCs w:val="22"/>
        </w:rPr>
        <w:t xml:space="preserve"> E CRITÉRIOS DE SELEÇÃO DO FORNECEDOR E FORMA DE FORNECIMENTO</w:t>
      </w:r>
    </w:p>
    <w:p w14:paraId="26B6C5C5">
      <w:pPr>
        <w:pStyle w:val="138"/>
        <w:rPr>
          <w:color w:val="auto"/>
        </w:rPr>
      </w:pPr>
      <w:r>
        <w:rPr>
          <w:color w:val="auto"/>
        </w:rPr>
        <w:t>Forma de seleção e critério de julgamento da proposta</w:t>
      </w:r>
    </w:p>
    <w:p w14:paraId="06D1039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fornecedor será selecionado por meio da realização de procedimento de LICITAÇÃO, para Registro de Preços, na modalidade PREGÃO, sob a forma ELETRÔNICA, com adoção do critério de julgamento pelo MENOR PREÇO.</w:t>
      </w:r>
    </w:p>
    <w:p w14:paraId="10BD60E9">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fornecimento do objeto será integral.</w:t>
      </w:r>
    </w:p>
    <w:p w14:paraId="02A8C911">
      <w:pPr>
        <w:pStyle w:val="58"/>
        <w:widowControl w:val="0"/>
        <w:spacing w:line="360" w:lineRule="auto"/>
        <w:ind w:left="0" w:right="140"/>
        <w:jc w:val="both"/>
        <w:rPr>
          <w:rFonts w:asciiTheme="minorHAnsi" w:hAnsiTheme="minorHAnsi" w:cstheme="minorHAnsi"/>
          <w:sz w:val="22"/>
          <w:szCs w:val="22"/>
        </w:rPr>
      </w:pPr>
    </w:p>
    <w:p w14:paraId="4B32AD4C">
      <w:pPr>
        <w:pStyle w:val="44"/>
      </w:pPr>
      <w:r>
        <w:t>Critérios de aceitabilidade de preços</w:t>
      </w:r>
    </w:p>
    <w:p w14:paraId="562E51F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Em se tratando de contratação para registro de preços, caso adotado o critério de julgamento de menor preço ou de maior desconto por grupo de itens, o critério de aceitabilidade de preços unitários máximos será: </w:t>
      </w:r>
    </w:p>
    <w:p w14:paraId="27D2AFF9">
      <w:pPr>
        <w:pStyle w:val="45"/>
        <w:widowControl w:val="0"/>
        <w:numPr>
          <w:ilvl w:val="2"/>
          <w:numId w:val="13"/>
        </w:numPr>
        <w:tabs>
          <w:tab w:val="clear" w:pos="360"/>
        </w:tabs>
        <w:spacing w:line="360" w:lineRule="auto"/>
        <w:ind w:right="140"/>
        <w:rPr>
          <w:color w:val="auto"/>
        </w:rPr>
      </w:pPr>
      <w:r>
        <w:rPr>
          <w:color w:val="auto"/>
        </w:rPr>
        <w:t>Valores unitários: conforme tabela constante no item 1.1. deste Termo de Referência.</w:t>
      </w:r>
    </w:p>
    <w:p w14:paraId="32A5DC8C">
      <w:pPr>
        <w:pStyle w:val="138"/>
        <w:rPr>
          <w:color w:val="auto"/>
        </w:rPr>
      </w:pPr>
      <w:r>
        <w:rPr>
          <w:color w:val="auto"/>
        </w:rPr>
        <w:t>Exigências de habilitação</w:t>
      </w:r>
    </w:p>
    <w:p w14:paraId="741A6FC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fins de habilitação, deverá o licitante comprovar os seguintes requisitos:</w:t>
      </w:r>
    </w:p>
    <w:p w14:paraId="530F3B75">
      <w:pPr>
        <w:pStyle w:val="138"/>
        <w:rPr>
          <w:color w:val="auto"/>
        </w:rPr>
      </w:pPr>
      <w:r>
        <w:rPr>
          <w:color w:val="auto"/>
        </w:rPr>
        <w:t>Habilitação jurídica</w:t>
      </w:r>
    </w:p>
    <w:p w14:paraId="6C0C3299">
      <w:pPr>
        <w:pStyle w:val="58"/>
        <w:widowControl w:val="0"/>
        <w:numPr>
          <w:ilvl w:val="1"/>
          <w:numId w:val="7"/>
        </w:numPr>
        <w:spacing w:line="360" w:lineRule="auto"/>
        <w:ind w:left="0" w:right="140" w:firstLine="0"/>
        <w:jc w:val="both"/>
        <w:rPr>
          <w:rFonts w:asciiTheme="minorHAnsi" w:hAnsiTheme="minorHAnsi" w:cstheme="minorHAnsi"/>
          <w:sz w:val="22"/>
          <w:szCs w:val="22"/>
        </w:rPr>
      </w:pPr>
      <w:bookmarkStart w:id="95" w:name="_Ref115800561"/>
      <w:r>
        <w:rPr>
          <w:rFonts w:asciiTheme="minorHAnsi" w:hAnsiTheme="minorHAnsi" w:cstheme="minorHAnsi"/>
          <w:sz w:val="22"/>
          <w:szCs w:val="22"/>
        </w:rPr>
        <w:t>Pessoa física: cédula de identidade (RG) ou documento equivalente que, por força de lei, tenha validade para fins de identificação em todo o território nacional;</w:t>
      </w:r>
      <w:bookmarkEnd w:id="95"/>
    </w:p>
    <w:p w14:paraId="209A3EA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Empresário individual: inscrição no Registro Público de Empresas Mercantis, a cargo da Junta Comercial da respectiva sede; </w:t>
      </w:r>
    </w:p>
    <w:p w14:paraId="25DECCD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2"/>
          <w:szCs w:val="22"/>
        </w:rPr>
        <w:t>https://www.gov.br/empresas-e-negocios/pt-br/empreendedor</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0E74101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082720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2"/>
          <w:szCs w:val="22"/>
        </w:rPr>
        <w:t>Normativa DREI/ME n.º 77, de 18 de março de 2020</w:t>
      </w:r>
      <w:r>
        <w:rPr>
          <w:rFonts w:asciiTheme="minorHAnsi" w:hAnsiTheme="minorHAnsi" w:cstheme="minorHAnsi"/>
          <w:sz w:val="22"/>
          <w:szCs w:val="22"/>
        </w:rPr>
        <w:fldChar w:fldCharType="end"/>
      </w:r>
      <w:r>
        <w:rPr>
          <w:rFonts w:asciiTheme="minorHAnsi" w:hAnsiTheme="minorHAnsi" w:cstheme="minorHAnsi"/>
          <w:sz w:val="22"/>
          <w:szCs w:val="22"/>
        </w:rPr>
        <w:t>.</w:t>
      </w:r>
    </w:p>
    <w:p w14:paraId="53C8C84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Sociedade simples: inscrição do ato constitutivo no Registro Civil de Pessoas Jurídicas do local de sua sede, acompanhada de documento comprobatório de seus administradores;</w:t>
      </w:r>
    </w:p>
    <w:p w14:paraId="7EF2A633">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96" w:name="_Int_ySfCXwr4"/>
      <w:r>
        <w:rPr>
          <w:rFonts w:asciiTheme="minorHAnsi" w:hAnsiTheme="minorHAnsi" w:cstheme="minorHAnsi"/>
          <w:sz w:val="22"/>
          <w:szCs w:val="22"/>
        </w:rPr>
        <w:t>Mercantis onde</w:t>
      </w:r>
      <w:bookmarkEnd w:id="96"/>
      <w:r>
        <w:rPr>
          <w:rFonts w:asciiTheme="minorHAnsi" w:hAnsiTheme="minorHAnsi" w:cstheme="minorHAnsi"/>
          <w:sz w:val="22"/>
          <w:szCs w:val="22"/>
        </w:rPr>
        <w:t xml:space="preserve"> opera, com averbação no Registro onde tem sede a matriz</w:t>
      </w:r>
    </w:p>
    <w:p w14:paraId="206A8C1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Sociedade cooperativa: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2"/>
          <w:szCs w:val="22"/>
        </w:rPr>
        <w:t>art. 107 da Lei nº 5.764, de 16 de dezembro 1971</w:t>
      </w:r>
      <w:r>
        <w:rPr>
          <w:rFonts w:asciiTheme="minorHAnsi" w:hAnsiTheme="minorHAnsi" w:cstheme="minorHAnsi"/>
          <w:sz w:val="22"/>
          <w:szCs w:val="22"/>
        </w:rPr>
        <w:fldChar w:fldCharType="end"/>
      </w:r>
      <w:r>
        <w:rPr>
          <w:rFonts w:asciiTheme="minorHAnsi" w:hAnsiTheme="minorHAnsi" w:cstheme="minorHAnsi"/>
          <w:sz w:val="22"/>
          <w:szCs w:val="22"/>
        </w:rPr>
        <w:t>.</w:t>
      </w:r>
    </w:p>
    <w:p w14:paraId="01BEE2C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deverão estar acompanhados de todas as alterações ou da consolidação respectiva.</w:t>
      </w:r>
    </w:p>
    <w:p w14:paraId="4D1D0EA8">
      <w:pPr>
        <w:pStyle w:val="58"/>
        <w:widowControl w:val="0"/>
        <w:spacing w:line="360" w:lineRule="auto"/>
        <w:ind w:left="0" w:right="140"/>
        <w:jc w:val="both"/>
        <w:rPr>
          <w:rFonts w:asciiTheme="minorHAnsi" w:hAnsiTheme="minorHAnsi" w:cstheme="minorHAnsi"/>
          <w:sz w:val="22"/>
          <w:szCs w:val="22"/>
        </w:rPr>
      </w:pPr>
    </w:p>
    <w:p w14:paraId="0D4F5E4C">
      <w:pPr>
        <w:pStyle w:val="138"/>
        <w:rPr>
          <w:color w:val="auto"/>
        </w:rPr>
      </w:pPr>
      <w:r>
        <w:rPr>
          <w:color w:val="auto"/>
        </w:rPr>
        <w:t>Habilitação fiscal, social e trabalhista</w:t>
      </w:r>
    </w:p>
    <w:p w14:paraId="02077FF9">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inscrição no Cadastro Nacional de Pessoas Jurídicas ou no Cadastro de Pessoas Físicas, conforme o caso;</w:t>
      </w:r>
    </w:p>
    <w:p w14:paraId="3878E92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67134E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com o Fundo de Garantia do Tempo de Serviço (FGTS);</w:t>
      </w:r>
    </w:p>
    <w:p w14:paraId="3A735FE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367991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Prova de inscrição no cadastro de contribuintes Estadual e Municipal, relativo ao domicílio ou sede do fornecedor, pertinente ao seu ramo de atividade e compatível com o objeto contratual; </w:t>
      </w:r>
    </w:p>
    <w:p w14:paraId="2736350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com a Fazenda Estadual e Municipal, do domicílio ou sede do fornecedor, relativa à atividade em cujo exercício contrata ou concorre;</w:t>
      </w:r>
    </w:p>
    <w:p w14:paraId="6089F1C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2AE1375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24D6E2A">
      <w:pPr>
        <w:pStyle w:val="58"/>
        <w:widowControl w:val="0"/>
        <w:spacing w:line="360" w:lineRule="auto"/>
        <w:ind w:left="0" w:right="140"/>
        <w:jc w:val="both"/>
        <w:rPr>
          <w:rFonts w:asciiTheme="minorHAnsi" w:hAnsiTheme="minorHAnsi" w:cstheme="minorHAnsi"/>
          <w:sz w:val="22"/>
          <w:szCs w:val="22"/>
        </w:rPr>
      </w:pPr>
    </w:p>
    <w:p w14:paraId="11C1FFE0">
      <w:pPr>
        <w:pStyle w:val="138"/>
        <w:rPr>
          <w:color w:val="auto"/>
        </w:rPr>
      </w:pPr>
      <w:r>
        <w:rPr>
          <w:color w:val="auto"/>
        </w:rPr>
        <w:t>Qualificação Econômico-Financeira</w:t>
      </w:r>
    </w:p>
    <w:p w14:paraId="2694137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Certidão negativa de falência expedida pelo distribuidor da sede do fornecedor - </w:t>
      </w:r>
      <w:r>
        <w:fldChar w:fldCharType="begin"/>
      </w:r>
      <w:r>
        <w:instrText xml:space="preserve"> HYPERLINK "http://www.planalto.gov.br/ccivil_03/_ato2019-2022/2021/lei/L14133.htm" \l "art69" \h </w:instrText>
      </w:r>
      <w:r>
        <w:fldChar w:fldCharType="separate"/>
      </w:r>
      <w:r>
        <w:rPr>
          <w:rFonts w:asciiTheme="minorHAnsi" w:hAnsiTheme="minorHAnsi" w:cstheme="minorHAnsi"/>
          <w:sz w:val="22"/>
          <w:szCs w:val="22"/>
        </w:rPr>
        <w:t>Lei nº 14.133, de 2021, art. 69, caput, inciso II</w:t>
      </w:r>
      <w:r>
        <w:rPr>
          <w:rFonts w:asciiTheme="minorHAnsi" w:hAnsiTheme="minorHAnsi" w:cstheme="minorHAnsi"/>
          <w:sz w:val="22"/>
          <w:szCs w:val="22"/>
        </w:rPr>
        <w:fldChar w:fldCharType="end"/>
      </w:r>
      <w:r>
        <w:rPr>
          <w:rFonts w:asciiTheme="minorHAnsi" w:hAnsiTheme="minorHAnsi" w:cstheme="minorHAnsi"/>
          <w:sz w:val="22"/>
          <w:szCs w:val="22"/>
        </w:rPr>
        <w:t>);</w:t>
      </w:r>
    </w:p>
    <w:p w14:paraId="1BB329D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Balanço patrimonial, demonstração de resultado de exercício e demais demonstrações contábeis dos 2 (dois) últimos exercícios sociais, comprovando;</w:t>
      </w:r>
    </w:p>
    <w:p w14:paraId="6A8528B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Índices de Liquidez Geral (LG), Liquidez Corrente (LC), e Solvência Geral (SG) superiores a 1 (um);</w:t>
      </w:r>
    </w:p>
    <w:p w14:paraId="3DA29ED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w:t>
      </w:r>
    </w:p>
    <w:p w14:paraId="296CDDE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referidos acima limitar-se-ão ao último exercício no caso de a pessoa jurídica ter sido constituída há menos de 2 (dois) anos;</w:t>
      </w:r>
    </w:p>
    <w:p w14:paraId="2210680B">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referidos acima deverão ser exigidos com base no limite definido pela Receita Federal do Brasil para transmissão da Escrituração Contábil Digital - ECD ao Sped.</w:t>
      </w:r>
    </w:p>
    <w:p w14:paraId="48A86D1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 ou do item pertinente.</w:t>
      </w:r>
    </w:p>
    <w:p w14:paraId="02D085A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 (Lei nº 14.133, de 2021, art. 65, §1º).</w:t>
      </w:r>
    </w:p>
    <w:p w14:paraId="0E5FC0F2">
      <w:pPr>
        <w:pStyle w:val="58"/>
        <w:widowControl w:val="0"/>
        <w:spacing w:line="360" w:lineRule="auto"/>
        <w:ind w:left="0" w:right="140"/>
        <w:jc w:val="both"/>
        <w:rPr>
          <w:rFonts w:asciiTheme="minorHAnsi" w:hAnsiTheme="minorHAnsi" w:cstheme="minorHAnsi"/>
          <w:b/>
          <w:sz w:val="22"/>
          <w:szCs w:val="22"/>
        </w:rPr>
      </w:pPr>
    </w:p>
    <w:p w14:paraId="4F7F6177">
      <w:pPr>
        <w:pStyle w:val="58"/>
        <w:widowControl w:val="0"/>
        <w:spacing w:line="360" w:lineRule="auto"/>
        <w:ind w:left="0" w:right="140"/>
        <w:jc w:val="both"/>
        <w:rPr>
          <w:rFonts w:asciiTheme="minorHAnsi" w:hAnsiTheme="minorHAnsi" w:cstheme="minorHAnsi"/>
          <w:b/>
          <w:sz w:val="22"/>
          <w:szCs w:val="22"/>
        </w:rPr>
      </w:pPr>
      <w:r>
        <w:rPr>
          <w:rFonts w:asciiTheme="minorHAnsi" w:hAnsiTheme="minorHAnsi" w:cstheme="minorHAnsi"/>
          <w:b/>
          <w:sz w:val="22"/>
          <w:szCs w:val="22"/>
        </w:rPr>
        <w:t>Disposições gerais sobre habilitação</w:t>
      </w:r>
    </w:p>
    <w:p w14:paraId="020F6C1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permitida a participação de empresas estrangeiras que não funcionem no País, as exigências de habilitação serão atendidas mediante documentos equivalentes, inicialmente apresentados em tradução livre.</w:t>
      </w:r>
    </w:p>
    <w:p w14:paraId="6171F68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2F99221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serão aceitos documentos de habilitação com indicação de CNPJ/CPF diferentes, salvo aqueles legalmente permitidos.</w:t>
      </w:r>
    </w:p>
    <w:p w14:paraId="1A0B654C">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FFF0EA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Serão aceitos registros de CNPJ de fornecedor matriz e filial com diferenças de números de documentos pertinentes ao CND e ao CRF/FGTS, quando for comprovada a centralização do recolhimento dessas contribuições.</w:t>
      </w:r>
    </w:p>
    <w:p w14:paraId="472EA5C9">
      <w:pPr>
        <w:pStyle w:val="138"/>
        <w:rPr>
          <w:color w:val="auto"/>
        </w:rPr>
      </w:pPr>
      <w:r>
        <w:rPr>
          <w:color w:val="auto"/>
        </w:rPr>
        <w:t>Qualificação Técnica</w:t>
      </w:r>
    </w:p>
    <w:p w14:paraId="69FFD46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Quanto à forma:</w:t>
      </w:r>
    </w:p>
    <w:p w14:paraId="05650873">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Todas as características declaradas devem ser descritas pelos licitantes e comprovadas através de documentos de domínio público emitidos pelo fabricante, tais como: catálogos, manuais, fichas de especificação técnica ou páginas da internet impressas, onde o produto ou componente ofertado seja claramente descrito em forma visual e/ou escrita. Devem ser indicados todos os modelos de todos os produtos ofertados;</w:t>
      </w:r>
    </w:p>
    <w:p w14:paraId="4919D27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materiais informativos utilizados para comprovar as especificações dos produtos cotados, que estejam impressos em idioma diverso do nacional, deverão ser apresentados com tradução para o português.</w:t>
      </w:r>
    </w:p>
    <w:p w14:paraId="682ECF1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por distribuidoras devem se referir a cada marca/laboratório dos produtos cotados.</w:t>
      </w:r>
    </w:p>
    <w:p w14:paraId="6A3D828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poderão ser apresentados em original, cópia autenticada ou cópia simples acompanhada do original, para que possa ser autenticada.</w:t>
      </w:r>
    </w:p>
    <w:p w14:paraId="0408B88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por meio de publicação no Diário Oficial deve(m), preferencialmente, destacar, com marca-texto, o(s) produto(s) cotado(s).</w:t>
      </w:r>
    </w:p>
    <w:p w14:paraId="234C0DE4">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registros ou publicações no DOU devem ser identificados com o número do item/lote a que se referem, a fim de facilitar o julgamento das Propostas de Preços.</w:t>
      </w:r>
    </w:p>
    <w:p w14:paraId="7080922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se fizer necessário, nos termos da Portaria nº 1818/97 do Ministério da Saúde, serão exigidos os originais ou cópias autenticadas dos protocolos dos métodos de controle de qualidade, Rede Brasileira de Laboratórios Analíticos em Saúde (REBLAS).</w:t>
      </w:r>
    </w:p>
    <w:p w14:paraId="7EA4D71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 Quanto ao conteúdo, deverão ser apresentados:</w:t>
      </w:r>
    </w:p>
    <w:p w14:paraId="51A4890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Certificado de registro de cada produto no Ministério da Saúde, fornecido através do seu órgão competente, conforme o art. 7 do Decreto Federal nº 8077, ou publicação no D.O.U.</w:t>
      </w:r>
    </w:p>
    <w:p w14:paraId="41FA95F2">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registro vencido, o fornecedor deverá apresentar as Certidões de Registro vencidas e todos os pedidos de revalidações (Petição 1 e 2) com o carimbo do Protocolo do Ministério da Saúde perfeitamente legível, para averiguação do prazo previsto no art. 8º do Decreto Federal nº 8077/13.</w:t>
      </w:r>
    </w:p>
    <w:p w14:paraId="5C9F5A0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Tratando-se de produtos dispensados de registro, que figurem em relações elaboradas pela ANVISA, conforme previsto na Lei nº 6.360/76 e Decreto nº 8077/13, deverão ser apresentados o cadastramento ou a comprovação de dispensa.</w:t>
      </w:r>
    </w:p>
    <w:p w14:paraId="74B1E978">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se fizer necessário, nos termos da Portaria nº 1818/97 do Ministério da Saúde, serão exigidos os originais ou cópias autenticadas dos protocolos dos métodos de controle de qualidade e Registro da ANVISA.</w:t>
      </w:r>
    </w:p>
    <w:p w14:paraId="0194013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No caso de atividade de fabricação, importação ou distribuição de materiais para uso em saúde, deverá fornecer:</w:t>
      </w:r>
    </w:p>
    <w:p w14:paraId="284CC3CD">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Autorização para funcionamento expedido pela Agencia Nacional da Vigilância Sanitária, do Ministério da Saúde (ANVISA), do fabricante ou importador, se for o caso.</w:t>
      </w:r>
    </w:p>
    <w:p w14:paraId="2106F8C5">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Alvará ou licença para funcionamento, expedido pelo serviço de vigilância sanitária da Secretária da Saúde estadual ou municipal da sede do licitante, se for o caso.</w:t>
      </w:r>
    </w:p>
    <w:p w14:paraId="772EE34B">
      <w:pPr>
        <w:pStyle w:val="58"/>
        <w:widowControl w:val="0"/>
        <w:spacing w:line="360" w:lineRule="auto"/>
        <w:ind w:left="0" w:right="140"/>
        <w:jc w:val="both"/>
        <w:rPr>
          <w:rFonts w:asciiTheme="minorHAnsi" w:hAnsiTheme="minorHAnsi" w:cstheme="minorHAnsi"/>
          <w:sz w:val="22"/>
          <w:szCs w:val="22"/>
        </w:rPr>
      </w:pPr>
    </w:p>
    <w:p w14:paraId="6849AA44">
      <w:pPr>
        <w:pStyle w:val="80"/>
        <w:numPr>
          <w:ilvl w:val="0"/>
          <w:numId w:val="7"/>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ESTIMATIVAS</w:t>
      </w:r>
      <w:r>
        <w:rPr>
          <w:rFonts w:asciiTheme="minorHAnsi" w:hAnsiTheme="minorHAnsi" w:cstheme="minorHAnsi"/>
          <w:color w:val="auto"/>
          <w:sz w:val="22"/>
          <w:szCs w:val="22"/>
        </w:rPr>
        <w:t xml:space="preserve"> DO VALOR DA CONTRATAÇÃO</w:t>
      </w:r>
    </w:p>
    <w:p w14:paraId="2BEFF0DF">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custo estimado da contratação, que corresponde ao valor máximo aceitável, é de R$</w:t>
      </w:r>
      <w:r>
        <w:rPr>
          <w:rFonts w:asciiTheme="minorHAnsi" w:hAnsiTheme="minorHAnsi" w:cstheme="minorHAnsi"/>
          <w:bCs/>
          <w:sz w:val="22"/>
          <w:szCs w:val="22"/>
        </w:rPr>
        <w:t xml:space="preserve">            2.341.622,80 ( dois milhões, trezentos e quarenta e um mil, seiscentos e vinte e dois reais e oitenta centavos)</w:t>
      </w:r>
      <w:r>
        <w:rPr>
          <w:rFonts w:asciiTheme="minorHAnsi" w:hAnsiTheme="minorHAnsi" w:cstheme="minorHAnsi"/>
          <w:sz w:val="22"/>
          <w:szCs w:val="22"/>
        </w:rPr>
        <w:t>, conforme custos unitários apostos na tabela contida no item1.1 acima.</w:t>
      </w:r>
    </w:p>
    <w:p w14:paraId="153C4C1E">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De acordo com a Orientação Normativa nº 47 de 25 de abril de 2014, AGU, em licitação dividida em itens ou lotes/grupos, deverá ser adotada a participação exclusiva de microempresa, empresa de pequeno porte ou sociedade cooperativa (art. 34 da lei nº 11.488, de 2007) em relação aos itens ou lotes/grupos cujo valor seja igual ou inferior a R$ 80.000,00 (oitenta mil reais), desde que não haja a subsunção a quaisquer das situações previstas pelo Art. 10 do Decreto Nº 8.538, de 2015.</w:t>
      </w:r>
    </w:p>
    <w:p w14:paraId="50F2674A">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os itens  09 até 11, 15, 20, 26, 29, 32, 33 e 36, os valores encontram-se acima de R$ 80.000,00, não sendo aplicado o critério de exclusividade.</w:t>
      </w:r>
    </w:p>
    <w:p w14:paraId="630D89E7">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Por determinação do Hospital Ana Nery, documento anexo aos autos, para os itens 01 até 08, 12 até 14, 16 até 19, 21 até 25, 27, 28, 30, 31, 34 e 35, muito embora estejam abaixo de R$ 80.000,00 (oitenta mil reais) não será aplicado o critério de exclusividade, em atendimento ao Art. 49, III da Lei Complementar nº 123, de 2006, in verbis:</w:t>
      </w:r>
    </w:p>
    <w:p w14:paraId="57E79761">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Art. 49. Não se aplica o disposto nos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"http://www.planalto.gov.br/ccivil_03/LEIS/LCP/Lcp123.htm" \l "art47" </w:instrText>
      </w:r>
      <w:r>
        <w:rPr>
          <w:rFonts w:asciiTheme="minorHAnsi" w:hAnsiTheme="minorHAnsi" w:cstheme="minorHAnsi"/>
          <w:sz w:val="22"/>
          <w:szCs w:val="22"/>
        </w:rPr>
        <w:fldChar w:fldCharType="separate"/>
      </w:r>
      <w:r>
        <w:t>arts. 47 e 48 desta Lei Complementar</w:t>
      </w:r>
      <w:r>
        <w:fldChar w:fldCharType="end"/>
      </w:r>
      <w:r>
        <w:rPr>
          <w:rFonts w:asciiTheme="minorHAnsi" w:hAnsiTheme="minorHAnsi" w:cstheme="minorHAnsi"/>
          <w:sz w:val="22"/>
          <w:szCs w:val="22"/>
        </w:rPr>
        <w:t> quando:</w:t>
      </w:r>
    </w:p>
    <w:p w14:paraId="38514670">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w:t>
      </w:r>
    </w:p>
    <w:p w14:paraId="5785A286">
      <w:pPr>
        <w:pStyle w:val="58"/>
        <w:widowControl w:val="0"/>
        <w:numPr>
          <w:ilvl w:val="1"/>
          <w:numId w:val="7"/>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III - o tratamento diferenciado e simplificado para as microempresas e empresas de pequeno porte não for vantajoso para a administração pública ou representar prejuízo ao conjunto ou complexo do objeto a ser contratado;</w:t>
      </w:r>
    </w:p>
    <w:p w14:paraId="6B55C9DA">
      <w:pPr>
        <w:pStyle w:val="58"/>
        <w:widowControl w:val="0"/>
        <w:numPr>
          <w:ilvl w:val="1"/>
          <w:numId w:val="7"/>
        </w:numPr>
        <w:ind w:left="0" w:right="140" w:firstLine="0"/>
        <w:jc w:val="both"/>
        <w:rPr>
          <w:rFonts w:asciiTheme="minorHAnsi" w:hAnsiTheme="minorHAnsi" w:cstheme="minorHAnsi"/>
          <w:sz w:val="22"/>
          <w:szCs w:val="22"/>
        </w:rPr>
      </w:pPr>
      <w:r>
        <w:rPr>
          <w:rFonts w:asciiTheme="minorHAnsi" w:hAnsiTheme="minorHAnsi" w:cstheme="minorHAnsi"/>
          <w:sz w:val="22"/>
          <w:szCs w:val="22"/>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7A779013">
      <w:pPr>
        <w:pStyle w:val="45"/>
        <w:numPr>
          <w:ilvl w:val="2"/>
          <w:numId w:val="7"/>
        </w:numPr>
        <w:tabs>
          <w:tab w:val="clear" w:pos="360"/>
        </w:tabs>
        <w:spacing w:line="240" w:lineRule="auto"/>
        <w:rPr>
          <w:rFonts w:eastAsiaTheme="minorEastAsia"/>
          <w:color w:val="auto"/>
        </w:rPr>
      </w:pPr>
      <w:r>
        <w:rPr>
          <w:rFonts w:eastAsiaTheme="minorEastAsia"/>
          <w:color w:val="auto"/>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1CD20102">
      <w:pPr>
        <w:pStyle w:val="45"/>
        <w:numPr>
          <w:ilvl w:val="2"/>
          <w:numId w:val="7"/>
        </w:numPr>
        <w:tabs>
          <w:tab w:val="clear" w:pos="360"/>
        </w:tabs>
        <w:spacing w:line="240" w:lineRule="auto"/>
        <w:rPr>
          <w:rFonts w:eastAsiaTheme="minorEastAsia"/>
          <w:color w:val="auto"/>
        </w:rPr>
      </w:pPr>
      <w:r>
        <w:rPr>
          <w:rFonts w:eastAsiaTheme="minorEastAsia"/>
          <w:color w:val="auto"/>
        </w:rPr>
        <w:t>em caso de criação, alteração ou extinção de quaisquer tributos ou encargos legais ou superveniência de disposições legais, com comprovada repercussão sobre os preços registrados;</w:t>
      </w:r>
    </w:p>
    <w:p w14:paraId="0F767EAC">
      <w:pPr>
        <w:pStyle w:val="45"/>
        <w:numPr>
          <w:ilvl w:val="2"/>
          <w:numId w:val="7"/>
        </w:numPr>
        <w:tabs>
          <w:tab w:val="clear" w:pos="360"/>
        </w:tabs>
        <w:spacing w:line="240" w:lineRule="auto"/>
        <w:rPr>
          <w:rFonts w:eastAsiaTheme="minorEastAsia"/>
          <w:color w:val="auto"/>
        </w:rPr>
      </w:pPr>
      <w:r>
        <w:rPr>
          <w:rFonts w:eastAsiaTheme="minorEastAsia"/>
          <w:color w:val="auto"/>
        </w:rPr>
        <w:t>serão reajustados os preços registrados, respeitada a contagem da anualidade e o índice previsto para a contratação; ou</w:t>
      </w:r>
    </w:p>
    <w:p w14:paraId="1F0E1F31">
      <w:pPr>
        <w:pStyle w:val="45"/>
        <w:numPr>
          <w:ilvl w:val="2"/>
          <w:numId w:val="7"/>
        </w:numPr>
        <w:tabs>
          <w:tab w:val="clear" w:pos="360"/>
        </w:tabs>
        <w:spacing w:line="240" w:lineRule="auto"/>
        <w:rPr>
          <w:rFonts w:eastAsiaTheme="minorEastAsia"/>
          <w:color w:val="auto"/>
        </w:rPr>
      </w:pPr>
      <w:r>
        <w:rPr>
          <w:rFonts w:eastAsiaTheme="minorEastAsia"/>
          <w:color w:val="auto"/>
        </w:rPr>
        <w:t>poderão ser repactuados, a pedido do interessado, conforme critérios definidos para a contratação.</w:t>
      </w:r>
    </w:p>
    <w:p w14:paraId="50A5821B">
      <w:pPr>
        <w:pStyle w:val="51"/>
        <w:spacing w:line="240" w:lineRule="auto"/>
        <w:rPr>
          <w:color w:val="auto"/>
        </w:rPr>
      </w:pPr>
    </w:p>
    <w:p w14:paraId="263C3758">
      <w:pPr>
        <w:pStyle w:val="80"/>
        <w:numPr>
          <w:ilvl w:val="0"/>
          <w:numId w:val="7"/>
        </w:numPr>
        <w:tabs>
          <w:tab w:val="left" w:pos="284"/>
        </w:tabs>
        <w:spacing w:before="0" w:line="24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 xml:space="preserve"> ADEQUAÇÃO</w:t>
      </w:r>
      <w:r>
        <w:rPr>
          <w:rFonts w:asciiTheme="minorHAnsi" w:hAnsiTheme="minorHAnsi" w:cstheme="minorHAnsi"/>
          <w:color w:val="auto"/>
          <w:sz w:val="22"/>
          <w:szCs w:val="22"/>
        </w:rPr>
        <w:t xml:space="preserve"> ORÇAMENTÁRIA</w:t>
      </w:r>
    </w:p>
    <w:bookmarkEnd w:id="89"/>
    <w:p w14:paraId="64DD8C57">
      <w:pPr>
        <w:pStyle w:val="58"/>
        <w:widowControl w:val="0"/>
        <w:numPr>
          <w:ilvl w:val="1"/>
          <w:numId w:val="7"/>
        </w:numPr>
        <w:ind w:left="0" w:right="140" w:firstLine="0"/>
        <w:jc w:val="both"/>
        <w:rPr>
          <w:rFonts w:asciiTheme="minorHAnsi" w:hAnsiTheme="minorHAnsi" w:cstheme="minorHAnsi"/>
          <w:sz w:val="22"/>
          <w:szCs w:val="22"/>
        </w:rPr>
      </w:pPr>
      <w:r>
        <w:rPr>
          <w:rFonts w:asciiTheme="minorHAnsi" w:hAnsiTheme="minorHAnsi" w:cstheme="minorHAnsi"/>
          <w:sz w:val="22"/>
          <w:szCs w:val="22"/>
        </w:rPr>
        <w:t>A indicação da dotação orçamentária fica postergada para o momento da assinatura do contrato ou instrumento equivalente.</w:t>
      </w:r>
    </w:p>
    <w:p w14:paraId="1392B979">
      <w:pPr>
        <w:pStyle w:val="44"/>
        <w:spacing w:line="240" w:lineRule="auto"/>
      </w:pPr>
      <w:r>
        <w:t>12.</w:t>
      </w:r>
      <w:r>
        <w:tab/>
      </w:r>
      <w:r>
        <w:t>DISPOSIÇÕES FINAIS</w:t>
      </w:r>
    </w:p>
    <w:p w14:paraId="2FFCFBB4">
      <w:pPr>
        <w:pStyle w:val="58"/>
        <w:widowControl w:val="0"/>
        <w:numPr>
          <w:ilvl w:val="1"/>
          <w:numId w:val="7"/>
        </w:numPr>
        <w:ind w:left="0" w:right="140" w:firstLine="0"/>
        <w:jc w:val="both"/>
        <w:rPr>
          <w:rFonts w:asciiTheme="minorHAnsi" w:hAnsiTheme="minorHAnsi" w:cstheme="minorHAnsi"/>
          <w:sz w:val="22"/>
          <w:szCs w:val="22"/>
        </w:rPr>
      </w:pPr>
      <w:r>
        <w:rPr>
          <w:rFonts w:asciiTheme="minorHAnsi" w:hAnsiTheme="minorHAnsi" w:cstheme="minorHAnsi"/>
          <w:sz w:val="22"/>
          <w:szCs w:val="22"/>
        </w:rPr>
        <w:t>As informações contidas neste Termo de Referência não são classificadas como sigilosas.</w:t>
      </w:r>
    </w:p>
    <w:p w14:paraId="5376A642">
      <w:pPr>
        <w:pStyle w:val="44"/>
        <w:spacing w:line="240" w:lineRule="auto"/>
      </w:pPr>
    </w:p>
    <w:p w14:paraId="6FF66C68">
      <w:pPr>
        <w:spacing w:after="0" w:line="240" w:lineRule="auto"/>
        <w:ind w:right="140"/>
        <w:jc w:val="both"/>
        <w:rPr>
          <w:rFonts w:cstheme="minorHAnsi"/>
        </w:rPr>
      </w:pPr>
      <w:r>
        <w:rPr>
          <w:rFonts w:cstheme="minorHAnsi"/>
        </w:rPr>
        <w:t>Salvador, 30 de julho de 2025.</w:t>
      </w:r>
    </w:p>
    <w:p w14:paraId="0D9439F3">
      <w:pPr>
        <w:spacing w:after="0" w:line="240" w:lineRule="auto"/>
        <w:ind w:right="140"/>
        <w:jc w:val="both"/>
        <w:rPr>
          <w:rFonts w:cstheme="minorHAnsi"/>
        </w:rPr>
      </w:pPr>
      <w:r>
        <w:rPr>
          <w:rFonts w:cstheme="minorHAnsi"/>
        </w:rPr>
        <w:t>Solicitado por:</w:t>
      </w:r>
    </w:p>
    <w:p w14:paraId="30459127">
      <w:pPr>
        <w:spacing w:after="0" w:line="240" w:lineRule="auto"/>
        <w:ind w:right="140"/>
        <w:jc w:val="both"/>
        <w:rPr>
          <w:rFonts w:cstheme="minorHAnsi"/>
          <w:b/>
        </w:rPr>
      </w:pPr>
    </w:p>
    <w:p w14:paraId="3F0E299C">
      <w:pPr>
        <w:spacing w:after="0" w:line="240" w:lineRule="auto"/>
        <w:ind w:right="140"/>
        <w:jc w:val="center"/>
        <w:rPr>
          <w:rFonts w:cstheme="minorHAnsi"/>
          <w:b/>
        </w:rPr>
      </w:pPr>
      <w:r>
        <w:rPr>
          <w:rFonts w:cstheme="minorHAnsi"/>
          <w:b/>
        </w:rPr>
        <w:t>_____________________________</w:t>
      </w:r>
    </w:p>
    <w:p w14:paraId="02C7552A">
      <w:pPr>
        <w:tabs>
          <w:tab w:val="left" w:pos="0"/>
        </w:tabs>
        <w:spacing w:after="0" w:line="240" w:lineRule="auto"/>
        <w:ind w:right="140"/>
        <w:jc w:val="center"/>
        <w:rPr>
          <w:rFonts w:cstheme="minorHAnsi"/>
          <w:b/>
        </w:rPr>
      </w:pPr>
      <w:r>
        <w:rPr>
          <w:rFonts w:cstheme="minorHAnsi"/>
          <w:b/>
        </w:rPr>
        <w:t xml:space="preserve">    Luciano Pacheco </w:t>
      </w:r>
    </w:p>
    <w:p w14:paraId="77A23D78">
      <w:pPr>
        <w:tabs>
          <w:tab w:val="left" w:pos="0"/>
        </w:tabs>
        <w:spacing w:after="0" w:line="240" w:lineRule="auto"/>
        <w:ind w:right="140"/>
        <w:jc w:val="center"/>
        <w:rPr>
          <w:rFonts w:cstheme="minorHAnsi"/>
          <w:b/>
        </w:rPr>
      </w:pPr>
      <w:r>
        <w:rPr>
          <w:rFonts w:cstheme="minorHAnsi"/>
          <w:b/>
        </w:rPr>
        <w:t>Coordenador de Farmácia / HAN</w:t>
      </w:r>
    </w:p>
    <w:p w14:paraId="42E24744">
      <w:pPr>
        <w:tabs>
          <w:tab w:val="left" w:pos="0"/>
        </w:tabs>
        <w:spacing w:after="0" w:line="240" w:lineRule="auto"/>
        <w:ind w:right="140"/>
        <w:jc w:val="center"/>
        <w:rPr>
          <w:rFonts w:cstheme="minorHAnsi"/>
          <w:b/>
        </w:rPr>
      </w:pPr>
    </w:p>
    <w:p w14:paraId="61120D87">
      <w:pPr>
        <w:spacing w:after="0" w:line="240" w:lineRule="auto"/>
        <w:ind w:right="140"/>
        <w:jc w:val="center"/>
        <w:rPr>
          <w:rFonts w:cstheme="minorHAnsi"/>
          <w:b/>
        </w:rPr>
      </w:pPr>
      <w:r>
        <w:rPr>
          <w:rFonts w:cstheme="minorHAnsi"/>
          <w:b/>
        </w:rPr>
        <w:t>_____________________________</w:t>
      </w:r>
    </w:p>
    <w:p w14:paraId="79F94EC2">
      <w:pPr>
        <w:tabs>
          <w:tab w:val="left" w:pos="0"/>
        </w:tabs>
        <w:spacing w:after="0" w:line="240" w:lineRule="auto"/>
        <w:ind w:right="140"/>
        <w:jc w:val="center"/>
        <w:rPr>
          <w:rFonts w:cstheme="minorHAnsi"/>
          <w:b/>
        </w:rPr>
      </w:pPr>
      <w:r>
        <w:rPr>
          <w:rFonts w:cstheme="minorHAnsi"/>
          <w:b/>
        </w:rPr>
        <w:t>Jefferson Oliveira</w:t>
      </w:r>
    </w:p>
    <w:p w14:paraId="7B50ACD3">
      <w:pPr>
        <w:tabs>
          <w:tab w:val="left" w:pos="0"/>
        </w:tabs>
        <w:spacing w:after="0" w:line="240" w:lineRule="auto"/>
        <w:ind w:right="140"/>
        <w:jc w:val="center"/>
        <w:rPr>
          <w:rFonts w:cstheme="minorHAnsi"/>
          <w:b/>
        </w:rPr>
      </w:pPr>
      <w:r>
        <w:rPr>
          <w:rFonts w:cstheme="minorHAnsi"/>
          <w:b/>
        </w:rPr>
        <w:t>Gerente de Suprimentos/HAN</w:t>
      </w:r>
    </w:p>
    <w:p w14:paraId="17D0535D">
      <w:pPr>
        <w:tabs>
          <w:tab w:val="left" w:pos="0"/>
        </w:tabs>
        <w:spacing w:after="0" w:line="240" w:lineRule="auto"/>
        <w:ind w:right="140"/>
        <w:jc w:val="center"/>
        <w:rPr>
          <w:rFonts w:cstheme="minorHAnsi"/>
          <w:b/>
        </w:rPr>
      </w:pPr>
    </w:p>
    <w:p w14:paraId="00CC8ACF">
      <w:pPr>
        <w:spacing w:after="0" w:line="240" w:lineRule="auto"/>
        <w:ind w:right="140"/>
        <w:jc w:val="center"/>
        <w:rPr>
          <w:rFonts w:eastAsia="Calibri" w:cstheme="minorHAnsi"/>
        </w:rPr>
      </w:pPr>
      <w:r>
        <w:rPr>
          <w:rFonts w:eastAsia="Calibri" w:cstheme="minorHAnsi"/>
          <w:b/>
          <w:bCs/>
          <w:iCs/>
        </w:rPr>
        <w:t>APROVO O PRESENTE TERMO DE REFERÊNCIA</w:t>
      </w:r>
    </w:p>
    <w:p w14:paraId="782CD5FE">
      <w:pPr>
        <w:autoSpaceDE w:val="0"/>
        <w:autoSpaceDN w:val="0"/>
        <w:adjustRightInd w:val="0"/>
        <w:spacing w:after="0" w:line="240" w:lineRule="auto"/>
        <w:ind w:right="140"/>
        <w:jc w:val="center"/>
        <w:rPr>
          <w:rFonts w:eastAsia="Calibri" w:cstheme="minorHAnsi"/>
          <w:b/>
          <w:bCs/>
          <w:iCs/>
        </w:rPr>
      </w:pPr>
      <w:r>
        <w:rPr>
          <w:rFonts w:eastAsia="Calibri" w:cstheme="minorHAnsi"/>
          <w:b/>
          <w:bCs/>
          <w:iCs/>
        </w:rPr>
        <w:t>E AUTORIZO A REALIZAÇÃO DA LICITAÇÃO.</w:t>
      </w:r>
    </w:p>
    <w:p w14:paraId="02338E47">
      <w:pPr>
        <w:autoSpaceDE w:val="0"/>
        <w:autoSpaceDN w:val="0"/>
        <w:adjustRightInd w:val="0"/>
        <w:spacing w:after="0" w:line="240" w:lineRule="auto"/>
        <w:ind w:right="140"/>
        <w:jc w:val="center"/>
        <w:rPr>
          <w:rFonts w:eastAsia="Calibri" w:cstheme="minorHAnsi"/>
        </w:rPr>
      </w:pPr>
      <w:r>
        <w:rPr>
          <w:rFonts w:eastAsia="Calibri" w:cstheme="minorHAnsi"/>
        </w:rPr>
        <w:t>________________________________</w:t>
      </w:r>
    </w:p>
    <w:p w14:paraId="7614631D">
      <w:pPr>
        <w:autoSpaceDE w:val="0"/>
        <w:autoSpaceDN w:val="0"/>
        <w:adjustRightInd w:val="0"/>
        <w:spacing w:after="0" w:line="240" w:lineRule="auto"/>
        <w:ind w:right="140"/>
        <w:jc w:val="center"/>
        <w:rPr>
          <w:rFonts w:eastAsia="Calibri" w:cstheme="minorHAnsi"/>
        </w:rPr>
      </w:pPr>
      <w:r>
        <w:rPr>
          <w:rFonts w:eastAsia="Calibri" w:cstheme="minorHAnsi"/>
          <w:b/>
          <w:bCs/>
        </w:rPr>
        <w:t>Dr. Luiz Carlos Santana Passos</w:t>
      </w:r>
    </w:p>
    <w:p w14:paraId="500109E4">
      <w:pPr>
        <w:autoSpaceDE w:val="0"/>
        <w:autoSpaceDN w:val="0"/>
        <w:adjustRightInd w:val="0"/>
        <w:spacing w:after="0" w:line="240" w:lineRule="auto"/>
        <w:ind w:right="140"/>
        <w:jc w:val="center"/>
        <w:rPr>
          <w:rFonts w:eastAsia="Calibri" w:cstheme="minorHAnsi"/>
        </w:rPr>
      </w:pPr>
      <w:r>
        <w:rPr>
          <w:rFonts w:eastAsia="Calibri" w:cstheme="minorHAnsi"/>
        </w:rPr>
        <w:t>Diretor Geral – HAN</w:t>
      </w:r>
    </w:p>
    <w:p w14:paraId="05479E19">
      <w:pPr>
        <w:spacing w:after="0" w:line="240" w:lineRule="auto"/>
        <w:ind w:right="140"/>
        <w:jc w:val="center"/>
        <w:rPr>
          <w:rFonts w:cstheme="minorHAnsi"/>
        </w:rPr>
      </w:pPr>
      <w:r>
        <w:rPr>
          <w:rFonts w:eastAsia="Calibri" w:cstheme="minorHAnsi"/>
          <w:b/>
          <w:bCs/>
        </w:rPr>
        <w:t>Salvador</w:t>
      </w:r>
      <w:r>
        <w:rPr>
          <w:rFonts w:eastAsia="Calibri" w:cstheme="minorHAnsi"/>
        </w:rPr>
        <w:t>, ____/_____/_____</w:t>
      </w:r>
    </w:p>
    <w:p w14:paraId="74B2E7C9">
      <w:pPr>
        <w:jc w:val="center"/>
        <w:outlineLvl w:val="0"/>
        <w:rPr>
          <w:rFonts w:ascii="Times New Roman" w:hAnsi="Times New Roman" w:cs="Times New Roman"/>
          <w:b/>
        </w:rPr>
      </w:pPr>
    </w:p>
    <w:p w14:paraId="2AE0DE12">
      <w:pPr>
        <w:jc w:val="center"/>
        <w:outlineLvl w:val="0"/>
        <w:rPr>
          <w:rFonts w:ascii="Times New Roman" w:hAnsi="Times New Roman" w:cs="Times New Roman"/>
          <w:b/>
        </w:rPr>
      </w:pPr>
      <w:r>
        <w:rPr>
          <w:rFonts w:ascii="Times New Roman" w:hAnsi="Times New Roman" w:cs="Times New Roman"/>
          <w:b/>
        </w:rPr>
        <w:t>ANEXO II</w:t>
      </w:r>
    </w:p>
    <w:p w14:paraId="6A6D9E09">
      <w:pPr>
        <w:spacing w:before="120" w:after="120" w:line="360" w:lineRule="auto"/>
        <w:ind w:left="357"/>
        <w:jc w:val="center"/>
        <w:outlineLvl w:val="0"/>
        <w:rPr>
          <w:rFonts w:ascii="Times New Roman" w:hAnsi="Times New Roman" w:cs="Times New Roman"/>
          <w:b/>
        </w:rPr>
      </w:pPr>
    </w:p>
    <w:p w14:paraId="1DA064EC">
      <w:pPr>
        <w:spacing w:before="120" w:after="120" w:line="360" w:lineRule="auto"/>
        <w:jc w:val="center"/>
        <w:rPr>
          <w:rFonts w:ascii="Times New Roman" w:hAnsi="Times New Roman" w:cs="Times New Roman"/>
          <w:b/>
        </w:rPr>
      </w:pPr>
      <w:r>
        <w:rPr>
          <w:rFonts w:ascii="Times New Roman" w:hAnsi="Times New Roman" w:cs="Times New Roman"/>
          <w:b/>
        </w:rPr>
        <w:t>Regras aplicáveis ao instrumento substitutivo ao contrato</w:t>
      </w:r>
    </w:p>
    <w:p w14:paraId="43CEA5BA">
      <w:pPr>
        <w:spacing w:before="120" w:after="120" w:line="240" w:lineRule="auto"/>
        <w:jc w:val="both"/>
        <w:rPr>
          <w:rFonts w:ascii="Times New Roman" w:hAnsi="Times New Roman" w:cs="Times New Roman"/>
          <w:b/>
          <w:i/>
          <w:iCs/>
        </w:rPr>
      </w:pPr>
      <w:r>
        <w:rPr>
          <w:rFonts w:ascii="Times New Roman" w:hAnsi="Times New Roman" w:cs="Times New Roman"/>
          <w:b/>
          <w:i/>
          <w:iCs/>
        </w:rPr>
        <w:t xml:space="preserve"> (Compra com entrega imediata e integral de bens adquiridos, sem previsão de obrigações futuras, inclusive quanto à assistência técnica, independentemente do valor - art. 95, inciso II, da Lei n. 14.133/2021)</w:t>
      </w:r>
    </w:p>
    <w:p w14:paraId="74E1F848">
      <w:pPr>
        <w:spacing w:before="120" w:after="120" w:line="360" w:lineRule="auto"/>
        <w:ind w:left="357"/>
        <w:jc w:val="center"/>
        <w:rPr>
          <w:rFonts w:ascii="Times New Roman" w:hAnsi="Times New Roman" w:cs="Times New Roman"/>
          <w:b/>
          <w:i/>
          <w:iCs/>
        </w:rPr>
      </w:pPr>
      <w:bookmarkStart w:id="97" w:name="_Hlk175669327"/>
    </w:p>
    <w:p w14:paraId="24CB7C66">
      <w:pPr>
        <w:pStyle w:val="67"/>
        <w:keepNext w:val="0"/>
        <w:keepLines w:val="0"/>
        <w:numPr>
          <w:ilvl w:val="0"/>
          <w:numId w:val="14"/>
        </w:numPr>
        <w:tabs>
          <w:tab w:val="clear" w:pos="567"/>
        </w:tabs>
        <w:spacing w:before="120" w:beforeLines="0" w:after="120" w:afterLines="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FORMALIZAÇÃO DA CONTRATAÇÃO</w:t>
      </w:r>
    </w:p>
    <w:p w14:paraId="00A5EC91">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O adjudicatário terá o prazo de </w:t>
      </w:r>
      <w:r>
        <w:rPr>
          <w:rFonts w:ascii="Times New Roman" w:hAnsi="Times New Roman" w:cs="Times New Roman"/>
          <w:b/>
          <w:sz w:val="22"/>
          <w:szCs w:val="22"/>
        </w:rPr>
        <w:t>5 (cinco) dias</w:t>
      </w:r>
      <w:r>
        <w:rPr>
          <w:rFonts w:ascii="Times New Roman" w:hAnsi="Times New Roman" w:cs="Times New Roman"/>
          <w:i/>
          <w:sz w:val="22"/>
          <w:szCs w:val="22"/>
        </w:rPr>
        <w:t xml:space="preserve">, </w:t>
      </w:r>
      <w:r>
        <w:rPr>
          <w:rFonts w:ascii="Times New Roman" w:hAnsi="Times New Roman" w:cs="Times New Roman"/>
          <w:sz w:val="22"/>
          <w:szCs w:val="22"/>
        </w:rPr>
        <w:t>contado a partir da data de sua convocação, para aceitar o instrumento equivalente ao contrato</w:t>
      </w:r>
      <w:r>
        <w:rPr>
          <w:rFonts w:ascii="Times New Roman" w:hAnsi="Times New Roman" w:cs="Times New Roman"/>
          <w:b/>
          <w:sz w:val="22"/>
          <w:szCs w:val="22"/>
        </w:rPr>
        <w:t xml:space="preserve"> </w:t>
      </w:r>
      <w:r>
        <w:rPr>
          <w:rFonts w:ascii="Times New Roman" w:hAnsi="Times New Roman" w:cs="Times New Roman"/>
          <w:i/>
          <w:sz w:val="22"/>
          <w:szCs w:val="22"/>
        </w:rPr>
        <w:t>[constante deste Anexo]</w:t>
      </w:r>
      <w:r>
        <w:rPr>
          <w:rFonts w:ascii="Times New Roman" w:hAnsi="Times New Roman" w:cs="Times New Roman"/>
          <w:sz w:val="22"/>
          <w:szCs w:val="22"/>
        </w:rPr>
        <w:t>, sob pena de decair do direito à contratação, sem prejuízo das sanções previstas.</w:t>
      </w:r>
    </w:p>
    <w:bookmarkEnd w:id="97"/>
    <w:p w14:paraId="26CFCEFE">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O prazo poderá ser prorrogado, por igual período, por solicitação justificada do adjudicatário e aceita pela Administração.</w:t>
      </w:r>
    </w:p>
    <w:p w14:paraId="7945835E">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O aceite do instrumento equivalente pelo adjudicatário implica no reconhecimento de que:</w:t>
      </w:r>
    </w:p>
    <w:p w14:paraId="2FDB2FE5">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referido instrumento substitui o termo de contrato, sendo-lhe aplicáveis as disposições da Lei nº 14.133/2021;</w:t>
      </w:r>
    </w:p>
    <w:p w14:paraId="376FED11">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o Contratado se vincula à sua proposta e às previsões contidas no Edital no Termo de Referência e em seus anexos, conforme Termo de Ciência e Concordância (Anexo II).</w:t>
      </w:r>
    </w:p>
    <w:p w14:paraId="3FFA895E">
      <w:pPr>
        <w:pStyle w:val="45"/>
        <w:tabs>
          <w:tab w:val="clear" w:pos="360"/>
        </w:tabs>
        <w:spacing w:line="360" w:lineRule="auto"/>
        <w:ind w:left="284" w:firstLine="0"/>
        <w:rPr>
          <w:rFonts w:ascii="Times New Roman" w:hAnsi="Times New Roman" w:cs="Times New Roman"/>
          <w:color w:val="auto"/>
        </w:rPr>
      </w:pPr>
    </w:p>
    <w:p w14:paraId="38F21426">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VIGÊNCIA E PRORROGAÇÃO</w:t>
      </w:r>
    </w:p>
    <w:p w14:paraId="154B57B3">
      <w:pPr>
        <w:pStyle w:val="154"/>
        <w:numPr>
          <w:ilvl w:val="1"/>
          <w:numId w:val="15"/>
        </w:numPr>
        <w:spacing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O prazo de vigência da contratação é aquele estabelecido no Termo de Referência, na forma do artigo 105 da Lei n° 14.133, de 2021.</w:t>
      </w:r>
    </w:p>
    <w:p w14:paraId="15B8A70C">
      <w:pPr>
        <w:pStyle w:val="154"/>
        <w:numPr>
          <w:ilvl w:val="1"/>
          <w:numId w:val="15"/>
        </w:numPr>
        <w:spacing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07F76450">
      <w:pPr>
        <w:pStyle w:val="154"/>
        <w:numPr>
          <w:ilvl w:val="0"/>
          <w:numId w:val="0"/>
        </w:numPr>
        <w:spacing w:line="360" w:lineRule="auto"/>
        <w:rPr>
          <w:rFonts w:ascii="Times New Roman" w:hAnsi="Times New Roman" w:cs="Times New Roman"/>
          <w:color w:val="auto"/>
          <w:sz w:val="22"/>
          <w:szCs w:val="22"/>
        </w:rPr>
      </w:pPr>
    </w:p>
    <w:p w14:paraId="6DABC97B">
      <w:pPr>
        <w:pStyle w:val="154"/>
        <w:numPr>
          <w:ilvl w:val="0"/>
          <w:numId w:val="0"/>
        </w:numPr>
        <w:spacing w:line="360" w:lineRule="auto"/>
        <w:rPr>
          <w:rFonts w:ascii="Times New Roman" w:hAnsi="Times New Roman" w:cs="Times New Roman"/>
          <w:color w:val="auto"/>
          <w:sz w:val="22"/>
          <w:szCs w:val="22"/>
        </w:rPr>
      </w:pPr>
    </w:p>
    <w:p w14:paraId="491874C5">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 xml:space="preserve">OBRIGAÇÕES DO CONTRATANTE </w:t>
      </w:r>
    </w:p>
    <w:p w14:paraId="567F1B9B">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São obrigações do Contratante:</w:t>
      </w:r>
    </w:p>
    <w:p w14:paraId="54FF24E2">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Exigir o cumprimento de todas as obrigações assumidas pelo Contratado, de acordo com o Termo de Referência e seus anexos;</w:t>
      </w:r>
    </w:p>
    <w:p w14:paraId="18698F81">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Receber o objeto no prazo e condições estabelecidas no Termo de Referência;</w:t>
      </w:r>
    </w:p>
    <w:p w14:paraId="4C00092F">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0B0CC87">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Acompanhar e fiscalizar a execução contratual e o cumprimento das obrigações pelo Contratado;</w:t>
      </w:r>
    </w:p>
    <w:p w14:paraId="3003DEA9">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Efetuar o pagamento ao Contratado do valor correspondente </w:t>
      </w:r>
      <w:r>
        <w:rPr>
          <w:rFonts w:ascii="Times New Roman" w:hAnsi="Times New Roman" w:eastAsia="Arial" w:cs="Times New Roman"/>
          <w:color w:val="auto"/>
        </w:rPr>
        <w:t>ao fornecimento</w:t>
      </w:r>
      <w:r>
        <w:rPr>
          <w:rFonts w:ascii="Times New Roman" w:hAnsi="Times New Roman" w:cs="Times New Roman"/>
          <w:color w:val="auto"/>
        </w:rPr>
        <w:t xml:space="preserve"> do objeto, no prazo, forma e condições estabelecidos no Termo de Referência</w:t>
      </w:r>
      <w:r>
        <w:rPr>
          <w:rFonts w:ascii="Times New Roman" w:hAnsi="Times New Roman" w:eastAsia="Arial" w:cs="Times New Roman"/>
          <w:color w:val="auto"/>
        </w:rPr>
        <w:t xml:space="preserve"> e neste Anexo</w:t>
      </w:r>
      <w:r>
        <w:rPr>
          <w:rFonts w:ascii="Times New Roman" w:hAnsi="Times New Roman" w:cs="Times New Roman"/>
          <w:color w:val="auto"/>
        </w:rPr>
        <w:t>;</w:t>
      </w:r>
    </w:p>
    <w:p w14:paraId="09344183">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Aplicar ao Contratado as sanções previstas na lei e no Termo de Referência; </w:t>
      </w:r>
    </w:p>
    <w:p w14:paraId="4454EBEE">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Cientificar o órgão de representação judicial da Advocacia-Geral da União para adoção das medidas cabíveis quando do descumprimento de obrigações pelo Contratado;</w:t>
      </w:r>
    </w:p>
    <w:p w14:paraId="1CAA24B6">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Explicitamente emitir decisão sobre todas as solicitações e reclamações relacionadas à execução contratual, ressalvados os requerimentos manifestamente impertinentes, meramente protelatórios ou de nenhum interesse para a boa execução do ajuste.</w:t>
      </w:r>
    </w:p>
    <w:p w14:paraId="3449DEC2">
      <w:pPr>
        <w:pStyle w:val="46"/>
        <w:numPr>
          <w:ilvl w:val="3"/>
          <w:numId w:val="15"/>
        </w:numPr>
        <w:tabs>
          <w:tab w:val="clear" w:pos="360"/>
        </w:tabs>
        <w:spacing w:line="360" w:lineRule="auto"/>
        <w:ind w:left="567" w:firstLine="0"/>
        <w:rPr>
          <w:rFonts w:ascii="Times New Roman" w:hAnsi="Times New Roman" w:cs="Times New Roman"/>
          <w:bCs/>
          <w:color w:val="auto"/>
        </w:rPr>
      </w:pPr>
      <w:r>
        <w:rPr>
          <w:rFonts w:ascii="Times New Roman" w:hAnsi="Times New Roman" w:cs="Times New Roman"/>
          <w:color w:val="auto"/>
        </w:rPr>
        <w:t xml:space="preserve"> A Administração terá o prazo de</w:t>
      </w:r>
      <w:r>
        <w:rPr>
          <w:rFonts w:ascii="Times New Roman" w:hAnsi="Times New Roman" w:cs="Times New Roman"/>
          <w:i/>
          <w:color w:val="auto"/>
        </w:rPr>
        <w:t xml:space="preserve"> </w:t>
      </w:r>
      <w:r>
        <w:rPr>
          <w:rFonts w:ascii="Times New Roman" w:hAnsi="Times New Roman" w:cs="Times New Roman"/>
          <w:b/>
          <w:color w:val="auto"/>
        </w:rPr>
        <w:t>5 (cinco) dias</w:t>
      </w:r>
      <w:r>
        <w:rPr>
          <w:rFonts w:ascii="Times New Roman" w:hAnsi="Times New Roman" w:cs="Times New Roman"/>
          <w:color w:val="auto"/>
        </w:rPr>
        <w:t xml:space="preserve">, a contar da data do protocolo do requerimento para decidir, admitida a prorrogação motivada, por igual período. </w:t>
      </w:r>
    </w:p>
    <w:p w14:paraId="5BF601BB">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Responder eventuais pedidos de reestabelecimento do equilíbrio econômico-financeiro feitos pelo Contratado no prazo máximo de </w:t>
      </w:r>
      <w:r>
        <w:rPr>
          <w:rFonts w:ascii="Times New Roman" w:hAnsi="Times New Roman" w:cs="Times New Roman"/>
          <w:b/>
          <w:color w:val="auto"/>
        </w:rPr>
        <w:t>5 (cinco) dias.</w:t>
      </w:r>
    </w:p>
    <w:p w14:paraId="39D34367">
      <w:pPr>
        <w:pStyle w:val="149"/>
        <w:numPr>
          <w:ilvl w:val="1"/>
          <w:numId w:val="15"/>
        </w:numPr>
        <w:spacing w:line="360" w:lineRule="auto"/>
        <w:ind w:left="0" w:firstLine="0"/>
        <w:rPr>
          <w:rFonts w:ascii="Times New Roman" w:hAnsi="Times New Roman" w:cs="Times New Roman"/>
          <w:sz w:val="22"/>
          <w:szCs w:val="22"/>
        </w:rPr>
      </w:pPr>
      <w:bookmarkStart w:id="98" w:name="_Hlk114499841"/>
      <w:bookmarkEnd w:id="98"/>
      <w:r>
        <w:rPr>
          <w:rFonts w:ascii="Times New Roman" w:hAnsi="Times New Roman" w:cs="Times New Roman"/>
          <w:sz w:val="22"/>
          <w:szCs w:val="22"/>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00D714B6">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OBRIGAÇÕES DO CONTRATADO</w:t>
      </w:r>
    </w:p>
    <w:p w14:paraId="644306B9">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623E8960">
      <w:pPr>
        <w:pStyle w:val="45"/>
        <w:numPr>
          <w:ilvl w:val="2"/>
          <w:numId w:val="15"/>
        </w:numPr>
        <w:tabs>
          <w:tab w:val="clear" w:pos="360"/>
        </w:tabs>
        <w:spacing w:line="360" w:lineRule="auto"/>
        <w:ind w:left="284" w:firstLine="0"/>
        <w:rPr>
          <w:rFonts w:ascii="Times New Roman" w:hAnsi="Times New Roman" w:eastAsia="Arial" w:cs="Times New Roman"/>
          <w:color w:val="auto"/>
        </w:rPr>
      </w:pPr>
      <w:bookmarkStart w:id="99" w:name="_Hlk175669396"/>
      <w:r>
        <w:rPr>
          <w:rFonts w:ascii="Times New Roman" w:hAnsi="Times New Roman" w:cs="Times New Roman"/>
          <w:color w:val="auto"/>
        </w:rPr>
        <w:t xml:space="preserve">Entregar o objeto acompanhado do manual do usuário, com uma versão em </w:t>
      </w:r>
      <w:r>
        <w:rPr>
          <w:rFonts w:ascii="Times New Roman" w:hAnsi="Times New Roman" w:eastAsia="Arial" w:cs="Times New Roman"/>
          <w:color w:val="auto"/>
        </w:rPr>
        <w:t>português.</w:t>
      </w:r>
    </w:p>
    <w:bookmarkEnd w:id="99"/>
    <w:p w14:paraId="4C88CBA9">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Responsabilizar-se pelos vícios e danos decorrentes do objeto, de acordo com o Código de </w:t>
      </w:r>
      <w:r>
        <w:rPr>
          <w:rFonts w:ascii="Times New Roman" w:hAnsi="Times New Roman" w:eastAsia="MS Mincho" w:cs="Times New Roman"/>
          <w:color w:val="auto"/>
        </w:rPr>
        <w:t>Defesa</w:t>
      </w:r>
      <w:r>
        <w:rPr>
          <w:rFonts w:ascii="Times New Roman" w:hAnsi="Times New Roman" w:cs="Times New Roman"/>
          <w:color w:val="auto"/>
        </w:rPr>
        <w:t xml:space="preserve"> do Consumidor;</w:t>
      </w:r>
    </w:p>
    <w:p w14:paraId="074186B4">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Comunicar ao Contratante, no prazo máximo de 24 (vinte e quatro) horas que antecede a </w:t>
      </w:r>
      <w:r>
        <w:rPr>
          <w:rFonts w:ascii="Times New Roman" w:hAnsi="Times New Roman" w:eastAsia="MS Mincho" w:cs="Times New Roman"/>
          <w:color w:val="auto"/>
        </w:rPr>
        <w:t>data</w:t>
      </w:r>
      <w:r>
        <w:rPr>
          <w:rFonts w:ascii="Times New Roman" w:hAnsi="Times New Roman" w:cs="Times New Roman"/>
          <w:color w:val="auto"/>
        </w:rPr>
        <w:t xml:space="preserve"> da entrega, os motivos que impossibilitem o cumprimento do prazo previsto, com a devida comprovação;</w:t>
      </w:r>
    </w:p>
    <w:p w14:paraId="3FDEFBB5">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Atender às determinações regulares emitidas pelo fiscal </w:t>
      </w:r>
      <w:r>
        <w:rPr>
          <w:rFonts w:ascii="Times New Roman" w:hAnsi="Times New Roman" w:eastAsia="Arial" w:cs="Times New Roman"/>
          <w:color w:val="auto"/>
        </w:rPr>
        <w:t>ou gestor contratuais</w:t>
      </w:r>
      <w:r>
        <w:rPr>
          <w:rFonts w:ascii="Times New Roman" w:hAnsi="Times New Roman" w:cs="Times New Roman"/>
          <w:color w:val="auto"/>
        </w:rPr>
        <w:t xml:space="preserve"> ou autoridade superior e prestar todo esclarecimento ou informação por eles solicitados;</w:t>
      </w:r>
    </w:p>
    <w:p w14:paraId="6A907C01">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Reparar, corrigir, remover, reconstruir ou substituir, às suas expensas, no total ou em parte, no prazo fixado pelo fiscal</w:t>
      </w:r>
      <w:r>
        <w:rPr>
          <w:rFonts w:ascii="Times New Roman" w:hAnsi="Times New Roman" w:eastAsia="Arial" w:cs="Times New Roman"/>
          <w:color w:val="auto"/>
        </w:rPr>
        <w:t xml:space="preserve"> contratual</w:t>
      </w:r>
      <w:r>
        <w:rPr>
          <w:rFonts w:ascii="Times New Roman" w:hAnsi="Times New Roman" w:cs="Times New Roman"/>
          <w:color w:val="auto"/>
        </w:rPr>
        <w:t xml:space="preserve">, os </w:t>
      </w:r>
      <w:r>
        <w:rPr>
          <w:rFonts w:ascii="Times New Roman" w:hAnsi="Times New Roman" w:eastAsia="Arial" w:cs="Times New Roman"/>
          <w:color w:val="auto"/>
        </w:rPr>
        <w:t>bens</w:t>
      </w:r>
      <w:r>
        <w:rPr>
          <w:rFonts w:ascii="Times New Roman" w:hAnsi="Times New Roman" w:cs="Times New Roman"/>
          <w:color w:val="auto"/>
        </w:rPr>
        <w:t xml:space="preserve"> nos quais se verificarem vícios, defeitos ou incorreções resultantes da execução ou dos materiais empregados;</w:t>
      </w:r>
    </w:p>
    <w:p w14:paraId="6B4FE79E">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9BB175">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Quando não for possível a verificação da regularidade no Sistema de Cadastro de Fornecedores – SICAF, o Contratado deverá entregar ao setor responsável pela fiscalização contratual, </w:t>
      </w:r>
      <w:r>
        <w:rPr>
          <w:rFonts w:ascii="Times New Roman" w:hAnsi="Times New Roman" w:eastAsia="MS Mincho" w:cs="Times New Roman"/>
          <w:color w:val="auto"/>
        </w:rPr>
        <w:t>junto com a Nota Fiscal para fins de pagamento, os seguintes documentos:</w:t>
      </w:r>
    </w:p>
    <w:p w14:paraId="3C554CCF">
      <w:pPr>
        <w:pStyle w:val="46"/>
        <w:numPr>
          <w:ilvl w:val="3"/>
          <w:numId w:val="15"/>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prova de regularidade relativa à Seguridade Social;</w:t>
      </w:r>
    </w:p>
    <w:p w14:paraId="139A2F83">
      <w:pPr>
        <w:pStyle w:val="46"/>
        <w:numPr>
          <w:ilvl w:val="3"/>
          <w:numId w:val="15"/>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certidão conjunta relativa aos tributos federais e à Dívida Ativa da União;</w:t>
      </w:r>
    </w:p>
    <w:p w14:paraId="75459C36">
      <w:pPr>
        <w:pStyle w:val="46"/>
        <w:numPr>
          <w:ilvl w:val="3"/>
          <w:numId w:val="15"/>
        </w:numPr>
        <w:tabs>
          <w:tab w:val="clear" w:pos="360"/>
        </w:tabs>
        <w:spacing w:line="360" w:lineRule="auto"/>
        <w:ind w:left="567" w:firstLine="0"/>
        <w:rPr>
          <w:rFonts w:ascii="Times New Roman" w:hAnsi="Times New Roman" w:cs="Times New Roman"/>
          <w:color w:val="auto"/>
        </w:rPr>
      </w:pPr>
      <w:r>
        <w:rPr>
          <w:rFonts w:ascii="Times New Roman" w:hAnsi="Times New Roman" w:eastAsia="MS Mincho" w:cs="Times New Roman"/>
          <w:color w:val="auto"/>
        </w:rPr>
        <w:t xml:space="preserve">certidões que comprovem a regularidade perante a Fazenda Estadual ou Distrital do domicílio ou sede do Contratado; </w:t>
      </w:r>
    </w:p>
    <w:p w14:paraId="4950B336">
      <w:pPr>
        <w:pStyle w:val="46"/>
        <w:numPr>
          <w:ilvl w:val="3"/>
          <w:numId w:val="15"/>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Certidão de Regularidade do FGTS – CRF; e</w:t>
      </w:r>
    </w:p>
    <w:p w14:paraId="5EE6002E">
      <w:pPr>
        <w:pStyle w:val="46"/>
        <w:numPr>
          <w:ilvl w:val="3"/>
          <w:numId w:val="15"/>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 xml:space="preserve">Certidão Negativa de Débitos Trabalhistas – CNDT; </w:t>
      </w:r>
    </w:p>
    <w:p w14:paraId="51BB6F21">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Responsabilizar-se pelo cumprimento </w:t>
      </w:r>
      <w:r>
        <w:rPr>
          <w:rFonts w:ascii="Times New Roman" w:hAnsi="Times New Roman" w:eastAsia="MS Mincho" w:cs="Times New Roman"/>
          <w:color w:val="auto"/>
        </w:rPr>
        <w:t>de</w:t>
      </w:r>
      <w:r>
        <w:rPr>
          <w:rFonts w:ascii="Times New Roman" w:hAnsi="Times New Roman" w:cs="Times New Roman"/>
          <w:color w:val="auto"/>
        </w:rPr>
        <w:t xml:space="preserve"> todas as obrigações trabalhistas, previdenciárias, </w:t>
      </w:r>
      <w:r>
        <w:rPr>
          <w:rFonts w:ascii="Times New Roman" w:hAnsi="Times New Roman" w:eastAsia="MS Mincho" w:cs="Times New Roman"/>
          <w:color w:val="auto"/>
        </w:rPr>
        <w:t>fiscais, comerciais</w:t>
      </w:r>
      <w:r>
        <w:rPr>
          <w:rFonts w:ascii="Times New Roman" w:hAnsi="Times New Roman" w:cs="Times New Roman"/>
          <w:color w:val="auto"/>
        </w:rPr>
        <w:t xml:space="preserve"> e as demais previstas em legislação específica, cuja inadimplência não transfere a responsabilidade ao </w:t>
      </w:r>
      <w:r>
        <w:rPr>
          <w:rFonts w:ascii="Times New Roman" w:hAnsi="Times New Roman" w:eastAsia="MS Mincho" w:cs="Times New Roman"/>
          <w:color w:val="auto"/>
        </w:rPr>
        <w:t>Contratante e não poderá onerar o objeto da contratação;</w:t>
      </w:r>
    </w:p>
    <w:p w14:paraId="68EC2813">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Comunicar ao Fiscal, no prazo de 24 (vinte e quatro) horas, qualquer ocorrência anormal ou acidente que se verifique no local </w:t>
      </w:r>
      <w:r>
        <w:rPr>
          <w:rFonts w:ascii="Times New Roman" w:hAnsi="Times New Roman" w:eastAsia="MS Mincho" w:cs="Times New Roman"/>
          <w:color w:val="auto"/>
        </w:rPr>
        <w:t>da execução do objeto contratual</w:t>
      </w:r>
      <w:r>
        <w:rPr>
          <w:rFonts w:ascii="Times New Roman" w:hAnsi="Times New Roman" w:cs="Times New Roman"/>
          <w:color w:val="auto"/>
        </w:rPr>
        <w:t>.</w:t>
      </w:r>
    </w:p>
    <w:p w14:paraId="2F074B8D">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Paralisar, por determinação do Contratante, qualquer atividade que não esteja sendo executada de acordo com a boa técnica ou que ponha em risco a segurança de pessoas ou bens de terceiros.</w:t>
      </w:r>
    </w:p>
    <w:p w14:paraId="6B05DFE7">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 xml:space="preserve">Manter, durante toda a vigência da contratação, em compatibilidade com as obrigações assumidas, todas as condições exigidas para habilitação na licitação ou para qualificação na contratação direta; </w:t>
      </w:r>
    </w:p>
    <w:p w14:paraId="408D3A9B">
      <w:pPr>
        <w:pStyle w:val="45"/>
        <w:numPr>
          <w:ilvl w:val="2"/>
          <w:numId w:val="15"/>
        </w:numPr>
        <w:tabs>
          <w:tab w:val="clear" w:pos="360"/>
        </w:tabs>
        <w:spacing w:line="360" w:lineRule="auto"/>
        <w:ind w:left="284" w:firstLine="0"/>
        <w:rPr>
          <w:rFonts w:ascii="Times New Roman" w:hAnsi="Times New Roman" w:cs="Times New Roman"/>
          <w:b/>
          <w:color w:val="auto"/>
        </w:rPr>
      </w:pPr>
      <w:r>
        <w:rPr>
          <w:rFonts w:ascii="Times New Roman" w:hAnsi="Times New Roman" w:cs="Times New Roman"/>
          <w:color w:val="auto"/>
        </w:rPr>
        <w:t>Cumprir, durante todo o período de execução contratual, a reserva de cargos prevista em lei para pessoa com deficiência, para reabilitado da Previdência Social ou para aprendiz, bem como as reservas de cargos previstas na legislação;</w:t>
      </w:r>
    </w:p>
    <w:p w14:paraId="7E9AD7CB">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Comprovar a reserva de cargos a que se refere a cláusula acima, no prazo fixado pela fiscalização contratual, com a indicação dos empregados que preencheram as referidas vagas;</w:t>
      </w:r>
    </w:p>
    <w:p w14:paraId="3F021440">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Guardar sigilo sobre todas as informações obtidas em decorrência da execução do objeto;</w:t>
      </w:r>
    </w:p>
    <w:p w14:paraId="0408F264">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91F6A0C">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Cumprir, além dos postulados legais vigentes de âmbito federal, estadual ou municipal, as normas de segurança do Contratante;</w:t>
      </w:r>
    </w:p>
    <w:p w14:paraId="7C753FE8">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DA EXTINÇÃO CONTRATUAL</w:t>
      </w:r>
    </w:p>
    <w:p w14:paraId="4224CAE7">
      <w:pPr>
        <w:pStyle w:val="154"/>
        <w:numPr>
          <w:ilvl w:val="1"/>
          <w:numId w:val="15"/>
        </w:numPr>
        <w:spacing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A contratação será extinta quando cumpridas as obrigações de ambas as partes, ainda que isso ocorra antes do prazo estipulado para tanto.</w:t>
      </w:r>
    </w:p>
    <w:p w14:paraId="0850A683">
      <w:pPr>
        <w:pStyle w:val="154"/>
        <w:numPr>
          <w:ilvl w:val="1"/>
          <w:numId w:val="15"/>
        </w:numPr>
        <w:spacing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Se as obrigações não forem cumpridas no prazo estipulado, a vigência ficará prorrogada até a conclusão do objeto, caso em que deverá a Administração providenciar a readequação do cronograma fixado para a contratação.</w:t>
      </w:r>
    </w:p>
    <w:p w14:paraId="7BC67B71">
      <w:pPr>
        <w:pStyle w:val="154"/>
        <w:numPr>
          <w:ilvl w:val="1"/>
          <w:numId w:val="15"/>
        </w:numPr>
        <w:spacing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Quando a não conclusão do objeto referida no item anterior decorrer de culpa do Contratado:</w:t>
      </w:r>
    </w:p>
    <w:p w14:paraId="6EE0CAE3">
      <w:pPr>
        <w:pStyle w:val="156"/>
        <w:numPr>
          <w:ilvl w:val="2"/>
          <w:numId w:val="15"/>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ficará ele constituído em mora, sendo-lhe aplicáveis as respectivas sanções administrativas; e</w:t>
      </w:r>
    </w:p>
    <w:p w14:paraId="65B42B0E">
      <w:pPr>
        <w:pStyle w:val="156"/>
        <w:numPr>
          <w:ilvl w:val="2"/>
          <w:numId w:val="15"/>
        </w:numPr>
        <w:spacing w:line="360" w:lineRule="auto"/>
        <w:ind w:left="284" w:firstLine="0"/>
        <w:rPr>
          <w:rFonts w:ascii="Times New Roman" w:hAnsi="Times New Roman" w:cs="Times New Roman"/>
          <w:color w:val="auto"/>
          <w:sz w:val="22"/>
          <w:szCs w:val="22"/>
        </w:rPr>
      </w:pPr>
      <w:r>
        <w:rPr>
          <w:rFonts w:ascii="Times New Roman" w:hAnsi="Times New Roman" w:cs="Times New Roman"/>
          <w:color w:val="auto"/>
          <w:sz w:val="22"/>
          <w:szCs w:val="22"/>
        </w:rPr>
        <w:t>poderá a Administração optar pela extinção contratual e, nesse caso, adotará as medidas admitidas em lei para a continuidade da execução contratual.</w:t>
      </w:r>
    </w:p>
    <w:p w14:paraId="79409F65">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 contratação poderá ser extinta antes de cumpridas as obrigações nela estipuladas, ou antes do prazo fixado, por algum dos motivos previstos no artigo 137 da Lei nº 14.133/21, bem como amigavelmente, assegurados o contraditório e a ampla defesa.</w:t>
      </w:r>
    </w:p>
    <w:p w14:paraId="460F9F60">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Nesta hipótese, aplicam-se também os artigos 138 e 139 da mesma Lei.</w:t>
      </w:r>
    </w:p>
    <w:p w14:paraId="0DD7F043">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A alteração social ou a modificação da finalidade ou da estrutura da empresa não ensejará a extinção se não restringir sua capacidade de concluir o objeto.</w:t>
      </w:r>
    </w:p>
    <w:p w14:paraId="4BE6DBB7">
      <w:pPr>
        <w:pStyle w:val="46"/>
        <w:numPr>
          <w:ilvl w:val="3"/>
          <w:numId w:val="15"/>
        </w:numPr>
        <w:tabs>
          <w:tab w:val="clear" w:pos="360"/>
        </w:tabs>
        <w:spacing w:line="360" w:lineRule="auto"/>
        <w:ind w:left="567" w:firstLine="0"/>
        <w:rPr>
          <w:rFonts w:ascii="Times New Roman" w:hAnsi="Times New Roman" w:cs="Times New Roman"/>
          <w:color w:val="auto"/>
        </w:rPr>
      </w:pPr>
      <w:r>
        <w:rPr>
          <w:rFonts w:ascii="Times New Roman" w:hAnsi="Times New Roman" w:cs="Times New Roman"/>
          <w:color w:val="auto"/>
        </w:rPr>
        <w:t>Se a operação implicar mudança da pessoa jurídica contratada, deverá ser formalizado termo aditivo para alteração subjetiva.</w:t>
      </w:r>
    </w:p>
    <w:p w14:paraId="102ACF86">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O termo de extinção, sempre que possível, será precedido:</w:t>
      </w:r>
    </w:p>
    <w:p w14:paraId="7537AE43">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Balanço dos eventos contratuais já cumpridos ou parcialmente cumpridos;</w:t>
      </w:r>
    </w:p>
    <w:p w14:paraId="0E1F4C30">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Relação dos pagamentos já efetuados e ainda devidos;</w:t>
      </w:r>
    </w:p>
    <w:p w14:paraId="2C2B778B">
      <w:pPr>
        <w:pStyle w:val="45"/>
        <w:numPr>
          <w:ilvl w:val="2"/>
          <w:numId w:val="15"/>
        </w:numPr>
        <w:tabs>
          <w:tab w:val="clear" w:pos="360"/>
        </w:tabs>
        <w:spacing w:line="360" w:lineRule="auto"/>
        <w:ind w:left="284" w:firstLine="0"/>
        <w:rPr>
          <w:rFonts w:ascii="Times New Roman" w:hAnsi="Times New Roman" w:cs="Times New Roman"/>
          <w:color w:val="auto"/>
        </w:rPr>
      </w:pPr>
      <w:r>
        <w:rPr>
          <w:rFonts w:ascii="Times New Roman" w:hAnsi="Times New Roman" w:cs="Times New Roman"/>
          <w:color w:val="auto"/>
        </w:rPr>
        <w:t>Indenizações e multas.</w:t>
      </w:r>
    </w:p>
    <w:p w14:paraId="46FF0C2D">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 extinção contratual não configura óbice para o reconhecimento do desequilíbrio econômico-financeiro, hipótese em que será concedida indenização por meio de termo indenizatório.</w:t>
      </w:r>
    </w:p>
    <w:p w14:paraId="73ECB5F8">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contratuais, ou que deles seja cônjuge, companheiro ou parente em linha reta, colateral ou por afinidade, até o terceiro grau.</w:t>
      </w:r>
    </w:p>
    <w:p w14:paraId="0F9E75E0">
      <w:pPr>
        <w:pStyle w:val="149"/>
        <w:spacing w:line="360" w:lineRule="auto"/>
        <w:rPr>
          <w:rFonts w:ascii="Times New Roman" w:hAnsi="Times New Roman" w:cs="Times New Roman"/>
          <w:sz w:val="22"/>
          <w:szCs w:val="22"/>
        </w:rPr>
      </w:pPr>
    </w:p>
    <w:p w14:paraId="3AB0669A">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DOS CASOS OMISSOS</w:t>
      </w:r>
    </w:p>
    <w:p w14:paraId="1EC24C75">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Os casos omissos serão decididos pelo Contratante, segundo as disposições contidas na Lei nº 14.133, de 2021,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Fonts w:ascii="Times New Roman" w:hAnsi="Times New Roman" w:cs="Times New Roman"/>
          <w:sz w:val="22"/>
          <w:szCs w:val="22"/>
        </w:rPr>
        <w:t>Lei nº 8.078, de 1990 – Código de Defesa do Consumidor</w:t>
      </w:r>
      <w:r>
        <w:rPr>
          <w:rFonts w:ascii="Times New Roman" w:hAnsi="Times New Roman" w:cs="Times New Roman"/>
          <w:sz w:val="22"/>
          <w:szCs w:val="22"/>
        </w:rPr>
        <w:fldChar w:fldCharType="end"/>
      </w:r>
      <w:r>
        <w:rPr>
          <w:rFonts w:ascii="Times New Roman" w:hAnsi="Times New Roman" w:cs="Times New Roman"/>
          <w:sz w:val="22"/>
          <w:szCs w:val="22"/>
        </w:rPr>
        <w:t xml:space="preserve"> – e normas e princípios gerais dos contratos.</w:t>
      </w:r>
    </w:p>
    <w:p w14:paraId="743E78C0">
      <w:pPr>
        <w:pStyle w:val="149"/>
        <w:spacing w:line="360" w:lineRule="auto"/>
        <w:rPr>
          <w:rFonts w:ascii="Times New Roman" w:hAnsi="Times New Roman" w:cs="Times New Roman"/>
          <w:sz w:val="22"/>
          <w:szCs w:val="22"/>
        </w:rPr>
      </w:pPr>
    </w:p>
    <w:p w14:paraId="6E359936">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ALTERAÇÕES</w:t>
      </w:r>
    </w:p>
    <w:p w14:paraId="60D6B72C">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Eventuais alterações contratuais reger-se-ão pela disciplina dos arts. 124 e seguintes da Lei nº 14.133, de 2021.</w:t>
      </w:r>
    </w:p>
    <w:p w14:paraId="50272E44">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O Contratado é obrigado a aceitar, nas mesmas condições contratuais, os acréscimos ou supressões que se fizerem necessários, até o limite de 25% (vinte e cinco por cento) do valor inicial atualizado da contratação.</w:t>
      </w:r>
    </w:p>
    <w:p w14:paraId="581D07EA">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As supressões resultantes de acordo celebrado entre as partes contratantes poderão exceder o limite de 25% (vinte e cinco por cento) do valor inicial atualizado do contrato.</w:t>
      </w:r>
    </w:p>
    <w:p w14:paraId="2953C0EA">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6B58E7D8">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Registros que não caracterizam alterações contratuais podem ser realizados por simples apostila, dispensada a celebração de termo aditivo, na forma do art. 136 da Lei nº 14.133, de 2021.</w:t>
      </w:r>
    </w:p>
    <w:p w14:paraId="6B4A5B4A">
      <w:pPr>
        <w:pStyle w:val="149"/>
        <w:spacing w:line="360" w:lineRule="auto"/>
        <w:rPr>
          <w:rFonts w:ascii="Times New Roman" w:hAnsi="Times New Roman" w:cs="Times New Roman"/>
          <w:sz w:val="22"/>
          <w:szCs w:val="22"/>
        </w:rPr>
      </w:pPr>
    </w:p>
    <w:p w14:paraId="05620B53">
      <w:pPr>
        <w:pStyle w:val="149"/>
        <w:spacing w:line="360" w:lineRule="auto"/>
        <w:rPr>
          <w:rFonts w:ascii="Times New Roman" w:hAnsi="Times New Roman" w:cs="Times New Roman"/>
          <w:sz w:val="22"/>
          <w:szCs w:val="22"/>
        </w:rPr>
      </w:pPr>
    </w:p>
    <w:p w14:paraId="13B9F3E5">
      <w:pPr>
        <w:pStyle w:val="67"/>
        <w:keepNext w:val="0"/>
        <w:keepLines w:val="0"/>
        <w:numPr>
          <w:ilvl w:val="0"/>
          <w:numId w:val="15"/>
        </w:numPr>
        <w:tabs>
          <w:tab w:val="clear" w:pos="567"/>
        </w:tabs>
        <w:spacing w:before="120" w:beforeLines="0" w:after="120" w:afterLines="0" w:line="360" w:lineRule="auto"/>
        <w:ind w:left="357" w:hanging="357"/>
        <w:rPr>
          <w:rFonts w:ascii="Times New Roman" w:hAnsi="Times New Roman" w:cs="Times New Roman"/>
          <w:color w:val="auto"/>
          <w:sz w:val="22"/>
          <w:szCs w:val="22"/>
        </w:rPr>
      </w:pPr>
      <w:r>
        <w:rPr>
          <w:rFonts w:ascii="Times New Roman" w:hAnsi="Times New Roman" w:cs="Times New Roman"/>
          <w:color w:val="auto"/>
          <w:sz w:val="22"/>
          <w:szCs w:val="22"/>
        </w:rPr>
        <w:t>FORO</w:t>
      </w:r>
    </w:p>
    <w:p w14:paraId="038CE9F3">
      <w:pPr>
        <w:pStyle w:val="149"/>
        <w:numPr>
          <w:ilvl w:val="1"/>
          <w:numId w:val="15"/>
        </w:numPr>
        <w:spacing w:line="360" w:lineRule="auto"/>
        <w:ind w:left="0" w:firstLine="0"/>
        <w:rPr>
          <w:rFonts w:ascii="Times New Roman" w:hAnsi="Times New Roman" w:cs="Times New Roman"/>
          <w:sz w:val="22"/>
          <w:szCs w:val="22"/>
        </w:rPr>
      </w:pPr>
      <w:r>
        <w:rPr>
          <w:rFonts w:ascii="Times New Roman" w:hAnsi="Times New Roman" w:cs="Times New Roman"/>
          <w:sz w:val="22"/>
          <w:szCs w:val="22"/>
        </w:rPr>
        <w:t>Fica definido o Foro da Justiça Federal em Salvador, Seção Judiciária do Estado da Bahia para dirimir os litígios que decorrerem da execução contratual que não puderem ser compostos pela conciliação, conforme art. 92, §1º, da Lei nº 14.133, de 2021.</w:t>
      </w:r>
    </w:p>
    <w:p w14:paraId="0C7DE6DA">
      <w:pPr>
        <w:rPr>
          <w:rFonts w:ascii="Times New Roman" w:hAnsi="Times New Roman" w:eastAsia="Times New Roman" w:cs="Times New Roman"/>
          <w:u w:val="single"/>
        </w:rPr>
      </w:pPr>
      <w:r>
        <w:rPr>
          <w:rFonts w:ascii="Times New Roman" w:hAnsi="Times New Roman" w:eastAsia="Times New Roman" w:cs="Times New Roman"/>
          <w:u w:val="single"/>
        </w:rPr>
        <w:br w:type="page"/>
      </w:r>
    </w:p>
    <w:p w14:paraId="40CDC4A4">
      <w:pPr>
        <w:jc w:val="center"/>
        <w:outlineLvl w:val="0"/>
        <w:rPr>
          <w:rFonts w:ascii="Times New Roman" w:hAnsi="Times New Roman" w:cs="Times New Roman"/>
          <w:b/>
        </w:rPr>
      </w:pPr>
      <w:r>
        <w:rPr>
          <w:rFonts w:ascii="Times New Roman" w:hAnsi="Times New Roman" w:cs="Times New Roman"/>
          <w:b/>
        </w:rPr>
        <w:t>ANEXO III</w:t>
      </w:r>
    </w:p>
    <w:p w14:paraId="4EBCCD82">
      <w:pPr>
        <w:jc w:val="center"/>
        <w:outlineLvl w:val="0"/>
        <w:rPr>
          <w:rFonts w:ascii="Times New Roman" w:hAnsi="Times New Roman" w:cs="Times New Roman"/>
          <w:b/>
        </w:rPr>
      </w:pPr>
    </w:p>
    <w:p w14:paraId="247B565C">
      <w:pPr>
        <w:spacing w:after="360"/>
        <w:jc w:val="center"/>
        <w:rPr>
          <w:rFonts w:ascii="Times New Roman" w:hAnsi="Times New Roman" w:cs="Times New Roman"/>
          <w:b/>
        </w:rPr>
      </w:pPr>
      <w:r>
        <w:rPr>
          <w:rFonts w:ascii="Times New Roman" w:hAnsi="Times New Roman" w:cs="Times New Roman"/>
          <w:b/>
        </w:rPr>
        <w:t>TERMO DE CIÊNCIA E CONCORDÂNCIA</w:t>
      </w:r>
    </w:p>
    <w:p w14:paraId="22F86872">
      <w:pPr>
        <w:spacing w:before="120" w:after="120" w:line="276" w:lineRule="auto"/>
        <w:ind w:firstLine="1134"/>
        <w:jc w:val="both"/>
        <w:rPr>
          <w:rFonts w:ascii="Times New Roman" w:hAnsi="Times New Roman" w:cs="Times New Roman"/>
        </w:rPr>
      </w:pPr>
      <w:r>
        <w:rPr>
          <w:rFonts w:ascii="Times New Roman" w:hAnsi="Times New Roman" w:cs="Times New Roman"/>
        </w:rPr>
        <w:t xml:space="preserve">Por meio deste instrumento, ..................... </w:t>
      </w:r>
      <w:r>
        <w:rPr>
          <w:rFonts w:ascii="Times New Roman" w:hAnsi="Times New Roman" w:cs="Times New Roman"/>
          <w:i/>
          <w:iCs/>
        </w:rPr>
        <w:t>(identificar o Contratado)</w:t>
      </w:r>
      <w:r>
        <w:rPr>
          <w:rFonts w:ascii="Times New Roman" w:hAnsi="Times New Roman" w:cs="Times New Roman"/>
        </w:rPr>
        <w:t xml:space="preserve"> declara que está ciente e concorda com as disposições e obrigações previstas no</w:t>
      </w:r>
      <w:r>
        <w:rPr>
          <w:rFonts w:ascii="Times New Roman" w:hAnsi="Times New Roman" w:cs="Times New Roman"/>
          <w:i/>
          <w:iCs/>
        </w:rPr>
        <w:t xml:space="preserve"> Edital</w:t>
      </w:r>
      <w:r>
        <w:rPr>
          <w:rFonts w:ascii="Times New Roman" w:hAnsi="Times New Roman" w:cs="Times New Roman"/>
        </w:rPr>
        <w:t xml:space="preserve">, no Termo de Referência e nos demais anexos a que se refere o </w:t>
      </w:r>
      <w:r>
        <w:rPr>
          <w:rFonts w:ascii="Times New Roman" w:hAnsi="Times New Roman" w:cs="Times New Roman"/>
          <w:i/>
          <w:iCs/>
        </w:rPr>
        <w:t xml:space="preserve">Pregão </w:t>
      </w:r>
      <w:r>
        <w:rPr>
          <w:rFonts w:ascii="Times New Roman" w:hAnsi="Times New Roman" w:cs="Times New Roman"/>
        </w:rPr>
        <w:t>nº 70/2025, bem como que se responsabiliza, sob as penas da Lei, pela veracidade e legitimidade das informações e documentos apresentados durante o processo de contratação.</w:t>
      </w:r>
    </w:p>
    <w:p w14:paraId="0197EF81">
      <w:pPr>
        <w:spacing w:before="360"/>
        <w:jc w:val="center"/>
        <w:rPr>
          <w:rFonts w:ascii="Times New Roman" w:hAnsi="Times New Roman" w:cs="Times New Roman"/>
        </w:rPr>
      </w:pPr>
      <w:r>
        <w:rPr>
          <w:rFonts w:ascii="Times New Roman" w:hAnsi="Times New Roman" w:cs="Times New Roman"/>
        </w:rPr>
        <w:t>Local-UF, ........ de ................... de 20.... .</w:t>
      </w:r>
    </w:p>
    <w:p w14:paraId="7C5F9278">
      <w:pPr>
        <w:spacing w:before="480"/>
        <w:jc w:val="center"/>
        <w:rPr>
          <w:rFonts w:ascii="Times New Roman" w:hAnsi="Times New Roman" w:cs="Times New Roman"/>
        </w:rPr>
      </w:pPr>
      <w:r>
        <w:rPr>
          <w:rFonts w:ascii="Times New Roman" w:hAnsi="Times New Roman" w:cs="Times New Roman"/>
        </w:rPr>
        <w:t>__________________________________________</w:t>
      </w:r>
    </w:p>
    <w:p w14:paraId="20F180D7">
      <w:pPr>
        <w:jc w:val="center"/>
        <w:rPr>
          <w:rFonts w:ascii="Times New Roman" w:hAnsi="Times New Roman" w:cs="Times New Roman"/>
        </w:rPr>
      </w:pPr>
      <w:r>
        <w:rPr>
          <w:rFonts w:ascii="Times New Roman" w:hAnsi="Times New Roman" w:cs="Times New Roman"/>
        </w:rPr>
        <w:t xml:space="preserve">(Nome </w:t>
      </w:r>
      <w:r>
        <w:rPr>
          <w:rFonts w:ascii="Times New Roman" w:hAnsi="Times New Roman" w:cs="Times New Roman"/>
          <w:i/>
        </w:rPr>
        <w:t>e Cargo do Representante Legal</w:t>
      </w:r>
      <w:r>
        <w:rPr>
          <w:rFonts w:ascii="Times New Roman" w:hAnsi="Times New Roman" w:cs="Times New Roman"/>
        </w:rPr>
        <w:t>)</w:t>
      </w:r>
    </w:p>
    <w:p w14:paraId="319AD71A">
      <w:pPr>
        <w:spacing w:before="120" w:after="120" w:line="360" w:lineRule="auto"/>
        <w:ind w:left="284"/>
        <w:jc w:val="center"/>
        <w:rPr>
          <w:rFonts w:ascii="Times New Roman" w:hAnsi="Times New Roman" w:cs="Times New Roman"/>
        </w:rPr>
      </w:pPr>
    </w:p>
    <w:p w14:paraId="690A7C1E">
      <w:pPr>
        <w:spacing w:before="120" w:after="120" w:line="360" w:lineRule="auto"/>
        <w:ind w:left="284"/>
        <w:jc w:val="center"/>
        <w:rPr>
          <w:rFonts w:ascii="Times New Roman" w:hAnsi="Times New Roman" w:cs="Times New Roman"/>
        </w:rPr>
      </w:pPr>
    </w:p>
    <w:p w14:paraId="67B5F314">
      <w:pPr>
        <w:spacing w:before="120" w:after="120" w:line="360" w:lineRule="auto"/>
        <w:ind w:left="284"/>
        <w:jc w:val="center"/>
        <w:rPr>
          <w:rFonts w:ascii="Times New Roman" w:hAnsi="Times New Roman" w:cs="Times New Roman"/>
        </w:rPr>
      </w:pPr>
    </w:p>
    <w:p w14:paraId="5D9F66FA">
      <w:pPr>
        <w:spacing w:before="120" w:after="120" w:line="360" w:lineRule="auto"/>
        <w:ind w:left="284"/>
        <w:jc w:val="center"/>
        <w:rPr>
          <w:rFonts w:ascii="Times New Roman" w:hAnsi="Times New Roman" w:cs="Times New Roman"/>
        </w:rPr>
      </w:pPr>
    </w:p>
    <w:p w14:paraId="67208719">
      <w:pPr>
        <w:spacing w:before="120" w:after="120" w:line="360" w:lineRule="auto"/>
        <w:ind w:left="284"/>
        <w:jc w:val="center"/>
        <w:rPr>
          <w:rFonts w:ascii="Times New Roman" w:hAnsi="Times New Roman" w:cs="Times New Roman"/>
        </w:rPr>
      </w:pPr>
    </w:p>
    <w:p w14:paraId="76A759D4">
      <w:pPr>
        <w:spacing w:before="120" w:after="120" w:line="360" w:lineRule="auto"/>
        <w:ind w:left="284"/>
        <w:jc w:val="center"/>
        <w:rPr>
          <w:rFonts w:ascii="Times New Roman" w:hAnsi="Times New Roman" w:cs="Times New Roman"/>
        </w:rPr>
      </w:pPr>
    </w:p>
    <w:p w14:paraId="5B7D2EAE">
      <w:pPr>
        <w:spacing w:before="120" w:after="120" w:line="360" w:lineRule="auto"/>
        <w:ind w:left="284"/>
        <w:jc w:val="center"/>
        <w:rPr>
          <w:rFonts w:ascii="Times New Roman" w:hAnsi="Times New Roman" w:cs="Times New Roman"/>
        </w:rPr>
      </w:pPr>
    </w:p>
    <w:p w14:paraId="56ED0565">
      <w:pPr>
        <w:spacing w:before="120" w:after="120" w:line="360" w:lineRule="auto"/>
        <w:ind w:left="284"/>
        <w:jc w:val="center"/>
        <w:rPr>
          <w:rFonts w:ascii="Times New Roman" w:hAnsi="Times New Roman" w:cs="Times New Roman"/>
        </w:rPr>
      </w:pPr>
    </w:p>
    <w:p w14:paraId="18A8C550">
      <w:pPr>
        <w:spacing w:before="120" w:after="120" w:line="360" w:lineRule="auto"/>
        <w:ind w:left="284"/>
        <w:jc w:val="center"/>
        <w:rPr>
          <w:rFonts w:ascii="Times New Roman" w:hAnsi="Times New Roman" w:cs="Times New Roman"/>
        </w:rPr>
      </w:pPr>
    </w:p>
    <w:p w14:paraId="250737D9">
      <w:pPr>
        <w:spacing w:before="120" w:after="120" w:line="360" w:lineRule="auto"/>
        <w:ind w:left="284"/>
        <w:jc w:val="center"/>
        <w:rPr>
          <w:rFonts w:ascii="Times New Roman" w:hAnsi="Times New Roman" w:cs="Times New Roman"/>
        </w:rPr>
      </w:pPr>
    </w:p>
    <w:p w14:paraId="00840ED7">
      <w:pPr>
        <w:spacing w:before="120" w:after="120" w:line="360" w:lineRule="auto"/>
        <w:ind w:left="284"/>
        <w:jc w:val="center"/>
        <w:rPr>
          <w:rFonts w:ascii="Times New Roman" w:hAnsi="Times New Roman" w:cs="Times New Roman"/>
        </w:rPr>
      </w:pPr>
    </w:p>
    <w:p w14:paraId="02702F6B">
      <w:pPr>
        <w:spacing w:before="120" w:after="120" w:line="360" w:lineRule="auto"/>
        <w:ind w:left="284"/>
        <w:jc w:val="center"/>
        <w:rPr>
          <w:rFonts w:ascii="Times New Roman" w:hAnsi="Times New Roman" w:cs="Times New Roman"/>
        </w:rPr>
      </w:pPr>
    </w:p>
    <w:p w14:paraId="5849F085">
      <w:pPr>
        <w:spacing w:before="120" w:after="120" w:line="360" w:lineRule="auto"/>
        <w:ind w:left="284"/>
        <w:jc w:val="center"/>
        <w:rPr>
          <w:rFonts w:ascii="Times New Roman" w:hAnsi="Times New Roman" w:cs="Times New Roman"/>
        </w:rPr>
      </w:pPr>
    </w:p>
    <w:p w14:paraId="69A6E0CF">
      <w:pPr>
        <w:spacing w:before="120" w:after="120" w:line="360" w:lineRule="auto"/>
        <w:ind w:left="284"/>
        <w:jc w:val="center"/>
        <w:rPr>
          <w:rFonts w:ascii="Times New Roman" w:hAnsi="Times New Roman" w:cs="Times New Roman"/>
        </w:rPr>
      </w:pPr>
    </w:p>
    <w:p w14:paraId="5A786384">
      <w:pPr>
        <w:spacing w:line="360" w:lineRule="auto"/>
        <w:ind w:left="284"/>
        <w:jc w:val="center"/>
        <w:rPr>
          <w:rFonts w:ascii="Times New Roman" w:hAnsi="Times New Roman" w:cs="Times New Roman"/>
          <w:b/>
          <w:u w:val="single"/>
        </w:rPr>
      </w:pPr>
      <w:r>
        <w:rPr>
          <w:rFonts w:ascii="Times New Roman" w:hAnsi="Times New Roman" w:cs="Times New Roman"/>
          <w:b/>
          <w:u w:val="single"/>
        </w:rPr>
        <w:t>ANEXO IV</w:t>
      </w:r>
    </w:p>
    <w:p w14:paraId="2EADE359">
      <w:pPr>
        <w:spacing w:line="360" w:lineRule="auto"/>
        <w:ind w:left="284"/>
        <w:jc w:val="center"/>
        <w:rPr>
          <w:rFonts w:ascii="Times New Roman" w:hAnsi="Times New Roman" w:cs="Times New Roman"/>
          <w:b/>
          <w:u w:val="single"/>
        </w:rPr>
      </w:pPr>
      <w:r>
        <w:rPr>
          <w:rFonts w:ascii="Times New Roman" w:hAnsi="Times New Roman" w:cs="Times New Roman"/>
          <w:b/>
          <w:u w:val="single"/>
        </w:rPr>
        <w:t>MINUTA DA ATA DE REGISTRO DE PREÇOS Nº XX/XX</w:t>
      </w:r>
    </w:p>
    <w:p w14:paraId="4802B174">
      <w:pPr>
        <w:spacing w:line="360" w:lineRule="auto"/>
        <w:ind w:left="284"/>
        <w:jc w:val="center"/>
        <w:rPr>
          <w:rFonts w:ascii="Times New Roman" w:hAnsi="Times New Roman" w:cs="Times New Roman"/>
          <w:b/>
          <w:u w:val="single"/>
        </w:rPr>
      </w:pPr>
    </w:p>
    <w:p w14:paraId="208FF493">
      <w:pPr>
        <w:spacing w:line="360" w:lineRule="auto"/>
        <w:ind w:left="284"/>
        <w:jc w:val="center"/>
        <w:rPr>
          <w:rFonts w:ascii="Times New Roman" w:hAnsi="Times New Roman" w:cs="Times New Roman"/>
          <w:b/>
        </w:rPr>
      </w:pPr>
    </w:p>
    <w:p w14:paraId="4CDF69B1">
      <w:pPr>
        <w:spacing w:line="360" w:lineRule="auto"/>
        <w:ind w:left="284"/>
        <w:jc w:val="both"/>
        <w:rPr>
          <w:rFonts w:ascii="Times New Roman" w:hAnsi="Times New Roman" w:cs="Times New Roman"/>
          <w:b/>
        </w:rPr>
      </w:pPr>
      <w:r>
        <w:rPr>
          <w:rFonts w:ascii="Times New Roman" w:hAnsi="Times New Roman" w:cs="Times New Roman"/>
          <w:b/>
        </w:rPr>
        <w:t>Processo Administrativo n° 23066.042669/2025-76</w:t>
      </w:r>
    </w:p>
    <w:p w14:paraId="037A3E3B">
      <w:pPr>
        <w:spacing w:line="360" w:lineRule="auto"/>
        <w:ind w:left="284"/>
        <w:jc w:val="both"/>
        <w:rPr>
          <w:rFonts w:ascii="Times New Roman" w:hAnsi="Times New Roman" w:cs="Times New Roman"/>
          <w:b/>
        </w:rPr>
      </w:pPr>
      <w:r>
        <w:rPr>
          <w:rFonts w:ascii="Times New Roman" w:hAnsi="Times New Roman" w:cs="Times New Roman"/>
          <w:b/>
        </w:rPr>
        <w:t>Ata de Registro de Preços nº XX/XXXX</w:t>
      </w:r>
    </w:p>
    <w:p w14:paraId="47B2487E">
      <w:pPr>
        <w:spacing w:line="360" w:lineRule="auto"/>
        <w:ind w:left="284"/>
        <w:jc w:val="center"/>
        <w:rPr>
          <w:rFonts w:ascii="Times New Roman" w:hAnsi="Times New Roman" w:cs="Times New Roman"/>
          <w:b/>
        </w:rPr>
      </w:pPr>
    </w:p>
    <w:p w14:paraId="34727DAC">
      <w:pPr>
        <w:spacing w:line="360" w:lineRule="auto"/>
        <w:ind w:left="284"/>
        <w:jc w:val="both"/>
        <w:rPr>
          <w:rFonts w:ascii="Times New Roman" w:hAnsi="Times New Roman" w:cs="Times New Roman"/>
          <w:b/>
        </w:rPr>
      </w:pPr>
    </w:p>
    <w:p w14:paraId="07C7D823">
      <w:pPr>
        <w:spacing w:before="120" w:after="120" w:line="240" w:lineRule="auto"/>
        <w:ind w:left="284"/>
        <w:jc w:val="both"/>
        <w:rPr>
          <w:rFonts w:ascii="Times New Roman" w:hAnsi="Times New Roman" w:cs="Times New Roman"/>
          <w:b/>
        </w:rPr>
      </w:pPr>
      <w:r>
        <w:rPr>
          <w:rFonts w:ascii="Times New Roman" w:hAnsi="Times New Roman" w:cs="Times New Roman"/>
          <w:lang w:eastAsia="ar-SA"/>
        </w:rPr>
        <w:t xml:space="preserve">A </w:t>
      </w:r>
      <w:r>
        <w:rPr>
          <w:rFonts w:ascii="Times New Roman" w:hAnsi="Times New Roman" w:cs="Times New Roman"/>
          <w:b/>
        </w:rPr>
        <w:t>UNIVERSIDADE FEDERAL DA BAHIA</w:t>
      </w:r>
      <w:r>
        <w:rPr>
          <w:rFonts w:ascii="Times New Roman" w:hAnsi="Times New Roman" w:cs="Times New Roman"/>
        </w:rPr>
        <w:t xml:space="preserve">, Instituição de Ensino Superior, sob a forma de Autarquia Federal vinculada ao Ministério da Educação, com personalidade jurídica e patrimônio próprio, criada pelo Decreto-Lei nº 9.155 de 08 de abril de 1946, através do </w:t>
      </w:r>
      <w:r>
        <w:rPr>
          <w:rFonts w:ascii="Times New Roman" w:hAnsi="Times New Roman" w:cs="Times New Roman"/>
          <w:b/>
        </w:rPr>
        <w:t>COMPLEXO HOSPITALAR E DE SAÚDE/UFBA</w:t>
      </w:r>
      <w:r>
        <w:rPr>
          <w:rFonts w:ascii="Times New Roman" w:hAnsi="Times New Roman" w:cs="Times New Roman"/>
        </w:rPr>
        <w:t>, inscrito no CNPJ/MF sob n.º 15.180.714/0005-20, com sede na Rua Barão de Jeremoabo, PAF IV, 1 andar, Ondina , CEP 40170-115, Ondina, Salvador -Ba</w:t>
      </w:r>
      <w:r>
        <w:rPr>
          <w:rFonts w:ascii="Times New Roman" w:hAnsi="Times New Roman" w:cs="Times New Roman"/>
          <w:lang w:eastAsia="ar-SA"/>
        </w:rPr>
        <w:t xml:space="preserve">, neste ato representado pelo(a) seu(ua) Ordenador(a) de Despesa Substituto(a), nomeado(a) através da Portaria </w:t>
      </w:r>
      <w:r>
        <w:rPr>
          <w:rFonts w:ascii="Times New Roman" w:hAnsi="Times New Roman" w:cs="Times New Roman"/>
          <w:bCs/>
          <w:lang w:eastAsia="ar-SA"/>
        </w:rPr>
        <w:t>nº 131 de 05 de outubro de 2021</w:t>
      </w:r>
      <w:r>
        <w:rPr>
          <w:rFonts w:ascii="Times New Roman" w:hAnsi="Times New Roman" w:cs="Times New Roman"/>
          <w:lang w:eastAsia="ar-SA"/>
        </w:rPr>
        <w:t xml:space="preserve">, </w:t>
      </w:r>
      <w:r>
        <w:rPr>
          <w:rFonts w:ascii="Times New Roman" w:hAnsi="Times New Roman" w:cs="Times New Roman"/>
          <w:b/>
        </w:rPr>
        <w:t>DEBORAH LANDULFO MEDRADO DE VINHAES TORRES</w:t>
      </w:r>
      <w:r>
        <w:rPr>
          <w:rFonts w:ascii="Times New Roman" w:hAnsi="Times New Roman" w:cs="Times New Roman"/>
        </w:rPr>
        <w:t xml:space="preserve">, matrícula SIAPE 8285469, considerando o julgamento da licitação na modalidade de pregão, na forma </w:t>
      </w:r>
      <w:r>
        <w:rPr>
          <w:rFonts w:ascii="Times New Roman" w:hAnsi="Times New Roman" w:cs="Times New Roman"/>
          <w:iCs/>
        </w:rPr>
        <w:t>eletrônica</w:t>
      </w:r>
      <w:r>
        <w:rPr>
          <w:rFonts w:ascii="Times New Roman" w:hAnsi="Times New Roman" w:cs="Times New Roman"/>
        </w:rPr>
        <w:t xml:space="preserve">, para </w:t>
      </w:r>
      <w:r>
        <w:rPr>
          <w:rFonts w:ascii="Times New Roman" w:hAnsi="Times New Roman" w:cs="Times New Roman"/>
          <w:b/>
        </w:rPr>
        <w:t>REGISTRO DE PREÇOS</w:t>
      </w:r>
      <w:r>
        <w:rPr>
          <w:rFonts w:ascii="Times New Roman" w:hAnsi="Times New Roman" w:cs="Times New Roman"/>
        </w:rPr>
        <w:t xml:space="preserve"> nº </w:t>
      </w:r>
      <w:r>
        <w:rPr>
          <w:rFonts w:ascii="Times New Roman" w:hAnsi="Times New Roman" w:cs="Times New Roman"/>
          <w:b/>
        </w:rPr>
        <w:t>90085/2025</w:t>
      </w:r>
      <w:r>
        <w:rPr>
          <w:rFonts w:ascii="Times New Roman" w:hAnsi="Times New Roman" w:cs="Times New Roman"/>
        </w:rPr>
        <w:t xml:space="preserve">, publicada no ...... de ...../...../200....., processo administrativo </w:t>
      </w:r>
      <w:r>
        <w:rPr>
          <w:rFonts w:ascii="Times New Roman" w:hAnsi="Times New Roman" w:cs="Times New Roman"/>
          <w:b/>
        </w:rPr>
        <w:t>nº 23066.042669/2025-76</w:t>
      </w:r>
      <w:r>
        <w:rPr>
          <w:rFonts w:ascii="Times New Roman" w:hAnsi="Times New Roman" w:cs="Times New Roman"/>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60756C5D">
      <w:pPr>
        <w:spacing w:line="360" w:lineRule="auto"/>
        <w:ind w:left="284"/>
        <w:jc w:val="both"/>
        <w:rPr>
          <w:rFonts w:ascii="Times New Roman" w:hAnsi="Times New Roman" w:cs="Times New Roman"/>
        </w:rPr>
      </w:pPr>
    </w:p>
    <w:p w14:paraId="18E214B3">
      <w:pPr>
        <w:spacing w:line="360" w:lineRule="auto"/>
        <w:ind w:left="284"/>
        <w:jc w:val="both"/>
        <w:rPr>
          <w:rFonts w:ascii="Times New Roman" w:hAnsi="Times New Roman" w:cs="Times New Roman"/>
        </w:rPr>
      </w:pPr>
    </w:p>
    <w:p w14:paraId="1231E053">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DO OBJETO</w:t>
      </w:r>
    </w:p>
    <w:p w14:paraId="2700F9D8">
      <w:pPr>
        <w:widowControl w:val="0"/>
        <w:numPr>
          <w:ilvl w:val="1"/>
          <w:numId w:val="17"/>
        </w:numPr>
        <w:suppressAutoHyphens/>
        <w:spacing w:before="120" w:after="120" w:line="360" w:lineRule="auto"/>
        <w:jc w:val="both"/>
        <w:rPr>
          <w:rFonts w:ascii="Times New Roman" w:hAnsi="Times New Roman" w:cs="Times New Roman"/>
        </w:rPr>
      </w:pPr>
      <w:r>
        <w:rPr>
          <w:rFonts w:ascii="Times New Roman" w:hAnsi="Times New Roman" w:cs="Times New Roman"/>
        </w:rPr>
        <w:t>A presente Ata tem por objeto o registro de preços para a eventual contratação</w:t>
      </w:r>
      <w:r>
        <w:rPr>
          <w:rFonts w:ascii="Times New Roman" w:hAnsi="Times New Roman" w:cs="Times New Roman"/>
          <w:b/>
          <w:caps/>
        </w:rPr>
        <w:t xml:space="preserve"> </w:t>
      </w:r>
      <w:r>
        <w:rPr>
          <w:rFonts w:ascii="Times New Roman" w:hAnsi="Times New Roman" w:cs="Times New Roman"/>
        </w:rPr>
        <w:t xml:space="preserve">de </w:t>
      </w:r>
      <w:r>
        <w:rPr>
          <w:rFonts w:ascii="Times New Roman" w:hAnsi="Times New Roman" w:cs="Times New Roman"/>
          <w:b/>
          <w:bCs/>
        </w:rPr>
        <w:t>MEDICAMENTOS</w:t>
      </w:r>
      <w:r>
        <w:rPr>
          <w:rFonts w:ascii="Times New Roman" w:hAnsi="Times New Roman" w:cs="Times New Roman"/>
        </w:rPr>
        <w:t xml:space="preserve">, especificado (s) no(s) item (ns) .......... do Termo de Referência, Anexo I do Edital de Licitação nº </w:t>
      </w:r>
      <w:r>
        <w:rPr>
          <w:rFonts w:ascii="Times New Roman" w:hAnsi="Times New Roman" w:cs="Times New Roman"/>
          <w:b/>
        </w:rPr>
        <w:t>90085/2025</w:t>
      </w:r>
      <w:r>
        <w:rPr>
          <w:rFonts w:ascii="Times New Roman" w:hAnsi="Times New Roman" w:cs="Times New Roman"/>
        </w:rPr>
        <w:t>, que é parte integrante desta Ata, assim como as propostas cujos preços tenham sido registrados, independentemente de transcrição.</w:t>
      </w:r>
    </w:p>
    <w:p w14:paraId="1A077F17">
      <w:pPr>
        <w:widowControl w:val="0"/>
        <w:suppressAutoHyphens/>
        <w:spacing w:before="120" w:after="120" w:line="360" w:lineRule="auto"/>
        <w:jc w:val="both"/>
        <w:rPr>
          <w:rFonts w:ascii="Times New Roman" w:hAnsi="Times New Roman" w:cs="Times New Roman"/>
        </w:rPr>
      </w:pPr>
    </w:p>
    <w:p w14:paraId="5E0BEBDE">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 xml:space="preserve"> DOS PREÇOS, ESPECIFICAÇÕES E QUANTITATIVOS</w:t>
      </w:r>
    </w:p>
    <w:p w14:paraId="318A148C">
      <w:pPr>
        <w:widowControl w:val="0"/>
        <w:numPr>
          <w:ilvl w:val="1"/>
          <w:numId w:val="16"/>
        </w:numPr>
        <w:suppressAutoHyphens/>
        <w:spacing w:before="120" w:after="120" w:line="360" w:lineRule="auto"/>
        <w:ind w:left="284" w:firstLine="0"/>
        <w:jc w:val="both"/>
        <w:rPr>
          <w:rFonts w:ascii="Times New Roman" w:hAnsi="Times New Roman" w:cs="Times New Roman"/>
        </w:rPr>
      </w:pPr>
      <w:r>
        <w:rPr>
          <w:rFonts w:ascii="Times New Roman" w:hAnsi="Times New Roman" w:cs="Times New Roman"/>
        </w:rPr>
        <w:t xml:space="preserve">O preço registrado, as especificações do objeto, as quantidades mínimas e máximas de cada item, fornecedor (es) e as demais condições ofertadas na(s) proposta(s) são as que seguem: </w:t>
      </w:r>
    </w:p>
    <w:tbl>
      <w:tblPr>
        <w:tblStyle w:val="8"/>
        <w:tblW w:w="8221" w:type="dxa"/>
        <w:tblInd w:w="281" w:type="dxa"/>
        <w:tblLayout w:type="fixed"/>
        <w:tblCellMar>
          <w:top w:w="0" w:type="dxa"/>
          <w:left w:w="10" w:type="dxa"/>
          <w:bottom w:w="0" w:type="dxa"/>
          <w:right w:w="10" w:type="dxa"/>
        </w:tblCellMar>
      </w:tblPr>
      <w:tblGrid>
        <w:gridCol w:w="709"/>
        <w:gridCol w:w="992"/>
        <w:gridCol w:w="850"/>
        <w:gridCol w:w="993"/>
        <w:gridCol w:w="850"/>
        <w:gridCol w:w="851"/>
        <w:gridCol w:w="992"/>
        <w:gridCol w:w="709"/>
        <w:gridCol w:w="1275"/>
      </w:tblGrid>
      <w:tr w14:paraId="2CF1FB96">
        <w:tblPrEx>
          <w:tblCellMar>
            <w:top w:w="0" w:type="dxa"/>
            <w:left w:w="10" w:type="dxa"/>
            <w:bottom w:w="0" w:type="dxa"/>
            <w:right w:w="10" w:type="dxa"/>
          </w:tblCellMar>
        </w:tblPrEx>
        <w:trPr>
          <w:trHeight w:val="511" w:hRule="atLeast"/>
        </w:trPr>
        <w:tc>
          <w:tcPr>
            <w:tcW w:w="709" w:type="dxa"/>
            <w:tcBorders>
              <w:top w:val="single" w:color="000000" w:sz="2" w:space="0"/>
              <w:left w:val="single" w:color="000000" w:sz="2" w:space="0"/>
              <w:bottom w:val="single" w:color="000000" w:sz="2" w:space="0"/>
              <w:right w:val="single" w:color="000000" w:sz="2" w:space="0"/>
            </w:tcBorders>
            <w:vAlign w:val="center"/>
          </w:tcPr>
          <w:p w14:paraId="01A6375D">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Item</w:t>
            </w:r>
          </w:p>
          <w:p w14:paraId="42AC84CF">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do</w:t>
            </w:r>
          </w:p>
          <w:p w14:paraId="0E0BCFC1">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TR</w:t>
            </w:r>
          </w:p>
        </w:tc>
        <w:tc>
          <w:tcPr>
            <w:tcW w:w="7512" w:type="dxa"/>
            <w:gridSpan w:val="8"/>
            <w:tcBorders>
              <w:top w:val="single" w:color="000000" w:sz="2" w:space="0"/>
              <w:left w:val="single" w:color="000000" w:sz="2" w:space="0"/>
              <w:bottom w:val="single" w:color="000000" w:sz="2" w:space="0"/>
              <w:right w:val="single" w:color="000000" w:sz="2" w:space="0"/>
            </w:tcBorders>
          </w:tcPr>
          <w:p w14:paraId="0E366384">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 xml:space="preserve">Fornecedor </w:t>
            </w:r>
            <w:r>
              <w:rPr>
                <w:rFonts w:ascii="Times New Roman" w:hAnsi="Times New Roman" w:cs="Times New Roman"/>
                <w:i/>
                <w:sz w:val="18"/>
                <w:szCs w:val="18"/>
              </w:rPr>
              <w:t>[razão social, CNPJ/MF, endereço, contatos, representante]</w:t>
            </w:r>
          </w:p>
        </w:tc>
      </w:tr>
      <w:tr w14:paraId="4592D967">
        <w:tblPrEx>
          <w:tblCellMar>
            <w:top w:w="0" w:type="dxa"/>
            <w:left w:w="10" w:type="dxa"/>
            <w:bottom w:w="0" w:type="dxa"/>
            <w:right w:w="10" w:type="dxa"/>
          </w:tblCellMar>
        </w:tblPrEx>
        <w:trPr>
          <w:trHeight w:val="674" w:hRule="atLeast"/>
        </w:trPr>
        <w:tc>
          <w:tcPr>
            <w:tcW w:w="709" w:type="dxa"/>
            <w:tcBorders>
              <w:top w:val="nil"/>
              <w:left w:val="single" w:color="000000" w:sz="2" w:space="0"/>
              <w:bottom w:val="single" w:color="000000" w:sz="2" w:space="0"/>
              <w:right w:val="nil"/>
            </w:tcBorders>
            <w:vAlign w:val="center"/>
          </w:tcPr>
          <w:p w14:paraId="359662D7">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X</w:t>
            </w:r>
          </w:p>
        </w:tc>
        <w:tc>
          <w:tcPr>
            <w:tcW w:w="992" w:type="dxa"/>
            <w:tcBorders>
              <w:top w:val="nil"/>
              <w:left w:val="single" w:color="000000" w:sz="2" w:space="0"/>
              <w:bottom w:val="single" w:color="000000" w:sz="2" w:space="0"/>
              <w:right w:val="nil"/>
            </w:tcBorders>
          </w:tcPr>
          <w:p w14:paraId="119F25B6">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Especificação</w:t>
            </w:r>
          </w:p>
        </w:tc>
        <w:tc>
          <w:tcPr>
            <w:tcW w:w="850" w:type="dxa"/>
            <w:tcBorders>
              <w:top w:val="nil"/>
              <w:left w:val="single" w:color="000000" w:sz="2" w:space="0"/>
              <w:bottom w:val="single" w:color="000000" w:sz="2" w:space="0"/>
              <w:right w:val="nil"/>
            </w:tcBorders>
          </w:tcPr>
          <w:p w14:paraId="06516EA1">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 xml:space="preserve">Marca </w:t>
            </w:r>
          </w:p>
          <w:p w14:paraId="39B91643">
            <w:pPr>
              <w:widowControl w:val="0"/>
              <w:autoSpaceDE w:val="0"/>
              <w:autoSpaceDN w:val="0"/>
              <w:adjustRightInd w:val="0"/>
              <w:ind w:right="-28"/>
              <w:jc w:val="center"/>
              <w:rPr>
                <w:rFonts w:ascii="Times New Roman" w:hAnsi="Times New Roman" w:cs="Times New Roman"/>
                <w:i/>
                <w:iCs/>
                <w:sz w:val="18"/>
                <w:szCs w:val="18"/>
              </w:rPr>
            </w:pPr>
            <w:r>
              <w:rPr>
                <w:rFonts w:ascii="Times New Roman" w:hAnsi="Times New Roman" w:cs="Times New Roman"/>
                <w:i/>
                <w:iCs/>
                <w:sz w:val="18"/>
                <w:szCs w:val="18"/>
              </w:rPr>
              <w:t>(se exigida no edital)</w:t>
            </w:r>
          </w:p>
        </w:tc>
        <w:tc>
          <w:tcPr>
            <w:tcW w:w="993" w:type="dxa"/>
            <w:tcBorders>
              <w:top w:val="nil"/>
              <w:left w:val="single" w:color="000000" w:sz="2" w:space="0"/>
              <w:bottom w:val="single" w:color="000000" w:sz="2" w:space="0"/>
              <w:right w:val="nil"/>
            </w:tcBorders>
          </w:tcPr>
          <w:p w14:paraId="1F222B13">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Modelo</w:t>
            </w:r>
          </w:p>
          <w:p w14:paraId="2D97265A">
            <w:pPr>
              <w:widowControl w:val="0"/>
              <w:autoSpaceDE w:val="0"/>
              <w:autoSpaceDN w:val="0"/>
              <w:adjustRightInd w:val="0"/>
              <w:ind w:right="-28"/>
              <w:jc w:val="center"/>
              <w:rPr>
                <w:rFonts w:ascii="Times New Roman" w:hAnsi="Times New Roman" w:cs="Times New Roman"/>
                <w:i/>
                <w:iCs/>
                <w:sz w:val="18"/>
                <w:szCs w:val="18"/>
              </w:rPr>
            </w:pPr>
            <w:r>
              <w:rPr>
                <w:rFonts w:ascii="Times New Roman" w:hAnsi="Times New Roman" w:cs="Times New Roman"/>
                <w:i/>
                <w:iCs/>
                <w:sz w:val="18"/>
                <w:szCs w:val="18"/>
              </w:rPr>
              <w:t>(se exigido no edital)</w:t>
            </w:r>
          </w:p>
        </w:tc>
        <w:tc>
          <w:tcPr>
            <w:tcW w:w="850" w:type="dxa"/>
            <w:tcBorders>
              <w:top w:val="nil"/>
              <w:left w:val="single" w:color="000000" w:sz="2" w:space="0"/>
              <w:bottom w:val="single" w:color="000000" w:sz="2" w:space="0"/>
              <w:right w:val="nil"/>
            </w:tcBorders>
          </w:tcPr>
          <w:p w14:paraId="72E83CFE">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Unidade</w:t>
            </w:r>
          </w:p>
        </w:tc>
        <w:tc>
          <w:tcPr>
            <w:tcW w:w="851" w:type="dxa"/>
            <w:tcBorders>
              <w:top w:val="nil"/>
              <w:left w:val="single" w:color="000000" w:sz="2" w:space="0"/>
              <w:bottom w:val="single" w:color="000000" w:sz="2" w:space="0"/>
              <w:right w:val="nil"/>
            </w:tcBorders>
          </w:tcPr>
          <w:p w14:paraId="378E28A9">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Quantidade</w:t>
            </w:r>
            <w:r>
              <w:rPr>
                <w:rFonts w:ascii="Times New Roman" w:hAnsi="Times New Roman" w:cs="Times New Roman"/>
                <w:sz w:val="18"/>
                <w:szCs w:val="18"/>
              </w:rPr>
              <w:br w:type="textWrapping"/>
            </w:r>
            <w:r>
              <w:rPr>
                <w:rFonts w:ascii="Times New Roman" w:hAnsi="Times New Roman" w:cs="Times New Roman"/>
                <w:sz w:val="18"/>
                <w:szCs w:val="18"/>
              </w:rPr>
              <w:t>Máxima</w:t>
            </w:r>
          </w:p>
        </w:tc>
        <w:tc>
          <w:tcPr>
            <w:tcW w:w="992" w:type="dxa"/>
            <w:tcBorders>
              <w:top w:val="nil"/>
              <w:left w:val="single" w:color="000000" w:sz="2" w:space="0"/>
              <w:bottom w:val="single" w:color="000000" w:sz="2" w:space="0"/>
              <w:right w:val="single" w:color="000000" w:sz="2" w:space="0"/>
            </w:tcBorders>
          </w:tcPr>
          <w:p w14:paraId="6CCFABA0">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Quantidade</w:t>
            </w:r>
            <w:r>
              <w:rPr>
                <w:rFonts w:ascii="Times New Roman" w:hAnsi="Times New Roman" w:cs="Times New Roman"/>
                <w:sz w:val="18"/>
                <w:szCs w:val="18"/>
              </w:rPr>
              <w:br w:type="textWrapping"/>
            </w:r>
            <w:r>
              <w:rPr>
                <w:rFonts w:ascii="Times New Roman" w:hAnsi="Times New Roman" w:cs="Times New Roman"/>
                <w:sz w:val="18"/>
                <w:szCs w:val="18"/>
              </w:rPr>
              <w:t>Mínima</w:t>
            </w:r>
          </w:p>
        </w:tc>
        <w:tc>
          <w:tcPr>
            <w:tcW w:w="709" w:type="dxa"/>
            <w:tcBorders>
              <w:top w:val="nil"/>
              <w:left w:val="single" w:color="000000" w:sz="2" w:space="0"/>
              <w:bottom w:val="single" w:color="000000" w:sz="2" w:space="0"/>
              <w:right w:val="nil"/>
            </w:tcBorders>
          </w:tcPr>
          <w:p w14:paraId="3A6064BA">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Valor</w:t>
            </w:r>
            <w:r>
              <w:rPr>
                <w:rFonts w:ascii="Times New Roman" w:hAnsi="Times New Roman" w:cs="Times New Roman"/>
                <w:sz w:val="18"/>
                <w:szCs w:val="18"/>
              </w:rPr>
              <w:br w:type="textWrapping"/>
            </w:r>
            <w:r>
              <w:rPr>
                <w:rFonts w:ascii="Times New Roman" w:hAnsi="Times New Roman" w:cs="Times New Roman"/>
                <w:sz w:val="18"/>
                <w:szCs w:val="18"/>
              </w:rPr>
              <w:t>Unitário</w:t>
            </w:r>
          </w:p>
        </w:tc>
        <w:tc>
          <w:tcPr>
            <w:tcW w:w="1275" w:type="dxa"/>
            <w:tcBorders>
              <w:top w:val="nil"/>
              <w:left w:val="single" w:color="000000" w:sz="2" w:space="0"/>
              <w:bottom w:val="single" w:color="000000" w:sz="2" w:space="0"/>
              <w:right w:val="single" w:color="000000" w:sz="2" w:space="0"/>
            </w:tcBorders>
          </w:tcPr>
          <w:p w14:paraId="69D848E1">
            <w:pPr>
              <w:widowControl w:val="0"/>
              <w:autoSpaceDE w:val="0"/>
              <w:autoSpaceDN w:val="0"/>
              <w:adjustRightInd w:val="0"/>
              <w:ind w:right="-28"/>
              <w:jc w:val="center"/>
              <w:rPr>
                <w:rFonts w:ascii="Times New Roman" w:hAnsi="Times New Roman" w:cs="Times New Roman"/>
                <w:sz w:val="18"/>
                <w:szCs w:val="18"/>
              </w:rPr>
            </w:pPr>
            <w:r>
              <w:rPr>
                <w:rFonts w:ascii="Times New Roman" w:hAnsi="Times New Roman" w:cs="Times New Roman"/>
                <w:sz w:val="18"/>
                <w:szCs w:val="18"/>
              </w:rPr>
              <w:t>Prazo garantia ou validade</w:t>
            </w:r>
          </w:p>
        </w:tc>
      </w:tr>
      <w:tr w14:paraId="1F7AAC0A">
        <w:tblPrEx>
          <w:tblCellMar>
            <w:top w:w="0" w:type="dxa"/>
            <w:left w:w="10" w:type="dxa"/>
            <w:bottom w:w="0" w:type="dxa"/>
            <w:right w:w="10" w:type="dxa"/>
          </w:tblCellMar>
        </w:tblPrEx>
        <w:trPr>
          <w:trHeight w:val="174" w:hRule="atLeast"/>
        </w:trPr>
        <w:tc>
          <w:tcPr>
            <w:tcW w:w="709" w:type="dxa"/>
            <w:tcBorders>
              <w:top w:val="nil"/>
              <w:left w:val="single" w:color="000000" w:sz="2" w:space="0"/>
              <w:bottom w:val="single" w:color="000000" w:sz="2" w:space="0"/>
              <w:right w:val="nil"/>
            </w:tcBorders>
          </w:tcPr>
          <w:p w14:paraId="5585B03E">
            <w:pPr>
              <w:widowControl w:val="0"/>
              <w:autoSpaceDE w:val="0"/>
              <w:autoSpaceDN w:val="0"/>
              <w:adjustRightInd w:val="0"/>
              <w:spacing w:line="360" w:lineRule="auto"/>
              <w:ind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nil"/>
            </w:tcBorders>
          </w:tcPr>
          <w:p w14:paraId="0FCB1FD6">
            <w:pPr>
              <w:widowControl w:val="0"/>
              <w:autoSpaceDE w:val="0"/>
              <w:autoSpaceDN w:val="0"/>
              <w:adjustRightInd w:val="0"/>
              <w:spacing w:line="360" w:lineRule="auto"/>
              <w:ind w:right="-30"/>
              <w:jc w:val="both"/>
              <w:rPr>
                <w:rFonts w:ascii="Times New Roman" w:hAnsi="Times New Roman" w:cs="Times New Roman"/>
                <w:sz w:val="18"/>
                <w:szCs w:val="18"/>
              </w:rPr>
            </w:pPr>
          </w:p>
        </w:tc>
        <w:tc>
          <w:tcPr>
            <w:tcW w:w="850" w:type="dxa"/>
            <w:tcBorders>
              <w:top w:val="nil"/>
              <w:left w:val="single" w:color="000000" w:sz="2" w:space="0"/>
              <w:bottom w:val="single" w:color="000000" w:sz="2" w:space="0"/>
              <w:right w:val="nil"/>
            </w:tcBorders>
          </w:tcPr>
          <w:p w14:paraId="7635E3F0">
            <w:pPr>
              <w:widowControl w:val="0"/>
              <w:autoSpaceDE w:val="0"/>
              <w:autoSpaceDN w:val="0"/>
              <w:adjustRightInd w:val="0"/>
              <w:spacing w:line="360" w:lineRule="auto"/>
              <w:ind w:right="-30"/>
              <w:jc w:val="both"/>
              <w:rPr>
                <w:rFonts w:ascii="Times New Roman" w:hAnsi="Times New Roman" w:cs="Times New Roman"/>
                <w:sz w:val="18"/>
                <w:szCs w:val="18"/>
              </w:rPr>
            </w:pPr>
          </w:p>
        </w:tc>
        <w:tc>
          <w:tcPr>
            <w:tcW w:w="993" w:type="dxa"/>
            <w:tcBorders>
              <w:top w:val="nil"/>
              <w:left w:val="single" w:color="000000" w:sz="2" w:space="0"/>
              <w:bottom w:val="single" w:color="000000" w:sz="2" w:space="0"/>
              <w:right w:val="nil"/>
            </w:tcBorders>
          </w:tcPr>
          <w:p w14:paraId="6BCF4AE0">
            <w:pPr>
              <w:widowControl w:val="0"/>
              <w:autoSpaceDE w:val="0"/>
              <w:autoSpaceDN w:val="0"/>
              <w:adjustRightInd w:val="0"/>
              <w:spacing w:line="360" w:lineRule="auto"/>
              <w:ind w:right="-30"/>
              <w:jc w:val="both"/>
              <w:rPr>
                <w:rFonts w:ascii="Times New Roman" w:hAnsi="Times New Roman" w:cs="Times New Roman"/>
                <w:sz w:val="18"/>
                <w:szCs w:val="18"/>
              </w:rPr>
            </w:pPr>
          </w:p>
        </w:tc>
        <w:tc>
          <w:tcPr>
            <w:tcW w:w="850" w:type="dxa"/>
            <w:tcBorders>
              <w:top w:val="nil"/>
              <w:left w:val="single" w:color="000000" w:sz="2" w:space="0"/>
              <w:bottom w:val="single" w:color="000000" w:sz="2" w:space="0"/>
              <w:right w:val="nil"/>
            </w:tcBorders>
          </w:tcPr>
          <w:p w14:paraId="6CA0DF54">
            <w:pPr>
              <w:widowControl w:val="0"/>
              <w:autoSpaceDE w:val="0"/>
              <w:autoSpaceDN w:val="0"/>
              <w:adjustRightInd w:val="0"/>
              <w:spacing w:line="360" w:lineRule="auto"/>
              <w:ind w:right="-30"/>
              <w:jc w:val="both"/>
              <w:rPr>
                <w:rFonts w:ascii="Times New Roman" w:hAnsi="Times New Roman" w:cs="Times New Roman"/>
                <w:sz w:val="18"/>
                <w:szCs w:val="18"/>
              </w:rPr>
            </w:pPr>
          </w:p>
        </w:tc>
        <w:tc>
          <w:tcPr>
            <w:tcW w:w="851" w:type="dxa"/>
            <w:tcBorders>
              <w:top w:val="nil"/>
              <w:left w:val="single" w:color="000000" w:sz="2" w:space="0"/>
              <w:bottom w:val="single" w:color="000000" w:sz="2" w:space="0"/>
              <w:right w:val="nil"/>
            </w:tcBorders>
          </w:tcPr>
          <w:p w14:paraId="6922634B">
            <w:pPr>
              <w:widowControl w:val="0"/>
              <w:autoSpaceDE w:val="0"/>
              <w:autoSpaceDN w:val="0"/>
              <w:adjustRightInd w:val="0"/>
              <w:spacing w:line="360" w:lineRule="auto"/>
              <w:ind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single" w:color="000000" w:sz="2" w:space="0"/>
            </w:tcBorders>
          </w:tcPr>
          <w:p w14:paraId="50921B99">
            <w:pPr>
              <w:widowControl w:val="0"/>
              <w:autoSpaceDE w:val="0"/>
              <w:autoSpaceDN w:val="0"/>
              <w:adjustRightInd w:val="0"/>
              <w:spacing w:line="360" w:lineRule="auto"/>
              <w:ind w:right="-30"/>
              <w:jc w:val="both"/>
              <w:rPr>
                <w:rFonts w:ascii="Times New Roman" w:hAnsi="Times New Roman" w:cs="Times New Roman"/>
                <w:sz w:val="18"/>
                <w:szCs w:val="18"/>
              </w:rPr>
            </w:pPr>
          </w:p>
        </w:tc>
        <w:tc>
          <w:tcPr>
            <w:tcW w:w="709" w:type="dxa"/>
            <w:tcBorders>
              <w:top w:val="nil"/>
              <w:left w:val="single" w:color="000000" w:sz="2" w:space="0"/>
              <w:bottom w:val="single" w:color="000000" w:sz="2" w:space="0"/>
              <w:right w:val="nil"/>
            </w:tcBorders>
          </w:tcPr>
          <w:p w14:paraId="01AA7AA7">
            <w:pPr>
              <w:widowControl w:val="0"/>
              <w:autoSpaceDE w:val="0"/>
              <w:autoSpaceDN w:val="0"/>
              <w:adjustRightInd w:val="0"/>
              <w:spacing w:line="360" w:lineRule="auto"/>
              <w:ind w:right="-30"/>
              <w:jc w:val="both"/>
              <w:rPr>
                <w:rFonts w:ascii="Times New Roman" w:hAnsi="Times New Roman" w:cs="Times New Roman"/>
                <w:sz w:val="18"/>
                <w:szCs w:val="18"/>
              </w:rPr>
            </w:pPr>
          </w:p>
        </w:tc>
        <w:tc>
          <w:tcPr>
            <w:tcW w:w="1275" w:type="dxa"/>
            <w:tcBorders>
              <w:top w:val="nil"/>
              <w:left w:val="single" w:color="000000" w:sz="2" w:space="0"/>
              <w:bottom w:val="single" w:color="000000" w:sz="2" w:space="0"/>
              <w:right w:val="single" w:color="000000" w:sz="2" w:space="0"/>
            </w:tcBorders>
          </w:tcPr>
          <w:p w14:paraId="0348A9F8">
            <w:pPr>
              <w:widowControl w:val="0"/>
              <w:autoSpaceDE w:val="0"/>
              <w:autoSpaceDN w:val="0"/>
              <w:adjustRightInd w:val="0"/>
              <w:spacing w:line="360" w:lineRule="auto"/>
              <w:ind w:right="-30"/>
              <w:jc w:val="both"/>
              <w:rPr>
                <w:rFonts w:ascii="Times New Roman" w:hAnsi="Times New Roman" w:cs="Times New Roman"/>
                <w:sz w:val="18"/>
                <w:szCs w:val="18"/>
              </w:rPr>
            </w:pPr>
          </w:p>
        </w:tc>
      </w:tr>
    </w:tbl>
    <w:p w14:paraId="303EFE4B">
      <w:pPr>
        <w:widowControl w:val="0"/>
        <w:suppressAutoHyphens/>
        <w:spacing w:line="360" w:lineRule="auto"/>
        <w:jc w:val="both"/>
        <w:rPr>
          <w:rFonts w:ascii="Times New Roman" w:hAnsi="Times New Roman" w:cs="Times New Roman"/>
        </w:rPr>
      </w:pPr>
    </w:p>
    <w:p w14:paraId="15FF6989">
      <w:pPr>
        <w:widowControl w:val="0"/>
        <w:numPr>
          <w:ilvl w:val="1"/>
          <w:numId w:val="16"/>
        </w:numPr>
        <w:suppressAutoHyphens/>
        <w:spacing w:before="120" w:after="120" w:line="360" w:lineRule="auto"/>
        <w:ind w:left="284" w:firstLine="0"/>
        <w:jc w:val="both"/>
        <w:rPr>
          <w:rFonts w:ascii="Times New Roman" w:hAnsi="Times New Roman" w:cs="Times New Roman"/>
        </w:rPr>
      </w:pPr>
      <w:r>
        <w:rPr>
          <w:rFonts w:ascii="Times New Roman" w:hAnsi="Times New Roman" w:cs="Times New Roman"/>
        </w:rPr>
        <w:t>A listagem do cadastro de reserva referente ao presente registro de preços consta como anexo a esta Ata.</w:t>
      </w:r>
    </w:p>
    <w:p w14:paraId="03B2F026">
      <w:pPr>
        <w:widowControl w:val="0"/>
        <w:suppressAutoHyphens/>
        <w:spacing w:before="120" w:after="120" w:line="360" w:lineRule="auto"/>
        <w:ind w:left="284"/>
        <w:jc w:val="both"/>
        <w:rPr>
          <w:rFonts w:ascii="Times New Roman" w:hAnsi="Times New Roman" w:cs="Times New Roman"/>
        </w:rPr>
      </w:pPr>
    </w:p>
    <w:p w14:paraId="0B9800E0">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DA ADESÃO À ATA DE REGISTRO DE PREÇOS</w:t>
      </w:r>
    </w:p>
    <w:p w14:paraId="22A4BF44">
      <w:pPr>
        <w:pStyle w:val="44"/>
        <w:widowControl w:val="0"/>
        <w:numPr>
          <w:ilvl w:val="1"/>
          <w:numId w:val="18"/>
        </w:numPr>
        <w:autoSpaceDE w:val="0"/>
        <w:autoSpaceDN w:val="0"/>
        <w:adjustRightInd w:val="0"/>
        <w:spacing w:line="360" w:lineRule="auto"/>
        <w:ind w:left="284" w:firstLine="0"/>
        <w:contextualSpacing/>
        <w:rPr>
          <w:rFonts w:ascii="Times New Roman" w:hAnsi="Times New Roman" w:cs="Times New Roman"/>
        </w:rPr>
      </w:pPr>
      <w:r>
        <w:rPr>
          <w:rFonts w:ascii="Times New Roman" w:hAnsi="Times New Roman" w:cs="Times New Roman"/>
        </w:rPr>
        <w:t>Não será admitida a adesão à ata de registro de preços decorrente desta licitação ou desta contratação direta, conforme justificativa apresentada nos estudos técnicos preliminares.</w:t>
      </w:r>
    </w:p>
    <w:p w14:paraId="7072243E">
      <w:pPr>
        <w:pStyle w:val="44"/>
        <w:widowControl w:val="0"/>
        <w:numPr>
          <w:ilvl w:val="1"/>
          <w:numId w:val="18"/>
        </w:numPr>
        <w:autoSpaceDE w:val="0"/>
        <w:autoSpaceDN w:val="0"/>
        <w:adjustRightInd w:val="0"/>
        <w:spacing w:line="360" w:lineRule="auto"/>
        <w:ind w:left="284" w:firstLine="0"/>
        <w:contextualSpacing/>
        <w:rPr>
          <w:rFonts w:ascii="Times New Roman" w:hAnsi="Times New Roman" w:cs="Times New Roman"/>
        </w:rPr>
      </w:pPr>
      <w:r>
        <w:rPr>
          <w:rFonts w:ascii="Times New Roman" w:hAnsi="Times New Roman" w:cs="Times New Roman"/>
        </w:rPr>
        <w:t>É vedado efetuar acréscimos nos quantitativos fixados na ata de registro de preços.</w:t>
      </w:r>
    </w:p>
    <w:p w14:paraId="3A115135">
      <w:pPr>
        <w:widowControl w:val="0"/>
        <w:spacing w:before="120" w:after="120" w:line="360" w:lineRule="auto"/>
        <w:ind w:left="284"/>
        <w:contextualSpacing/>
        <w:jc w:val="both"/>
        <w:rPr>
          <w:rFonts w:ascii="Times New Roman" w:hAnsi="Times New Roman" w:cs="Times New Roman"/>
        </w:rPr>
      </w:pPr>
    </w:p>
    <w:p w14:paraId="551F5D33">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VALIDADE, FORMALIZAÇÃO DA ATA DE REGISTRO DE PREÇOS E CADASTRO RESERVA</w:t>
      </w:r>
    </w:p>
    <w:p w14:paraId="7CFB42D2">
      <w:pPr>
        <w:pStyle w:val="44"/>
        <w:widowControl w:val="0"/>
        <w:numPr>
          <w:ilvl w:val="1"/>
          <w:numId w:val="16"/>
        </w:numPr>
        <w:autoSpaceDE w:val="0"/>
        <w:autoSpaceDN w:val="0"/>
        <w:adjustRightInd w:val="0"/>
        <w:spacing w:line="360" w:lineRule="auto"/>
        <w:ind w:left="284" w:firstLine="0"/>
        <w:contextualSpacing/>
        <w:rPr>
          <w:rFonts w:ascii="Times New Roman" w:hAnsi="Times New Roman" w:cs="Times New Roman"/>
        </w:rPr>
      </w:pPr>
      <w:r>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13049458">
      <w:pPr>
        <w:pStyle w:val="48"/>
        <w:numPr>
          <w:ilvl w:val="2"/>
          <w:numId w:val="16"/>
        </w:numPr>
        <w:spacing w:line="360" w:lineRule="auto"/>
        <w:rPr>
          <w:rFonts w:ascii="Times New Roman" w:hAnsi="Times New Roman" w:cs="Times New Roman"/>
          <w:i w:val="0"/>
          <w:iCs w:val="0"/>
          <w:color w:val="auto"/>
        </w:rPr>
      </w:pPr>
      <w:r>
        <w:rPr>
          <w:rFonts w:ascii="Times New Roman" w:hAnsi="Times New Roman" w:cs="Times New Roman"/>
          <w:i w:val="0"/>
          <w:iCs w:val="0"/>
          <w:color w:val="auto"/>
        </w:rPr>
        <w:t xml:space="preserve">Em caso de prorrogação da ata, </w:t>
      </w:r>
      <w:r>
        <w:rPr>
          <w:rFonts w:ascii="Times New Roman" w:hAnsi="Times New Roman" w:cs="Times New Roman"/>
          <w:i w:val="0"/>
          <w:color w:val="auto"/>
        </w:rPr>
        <w:t xml:space="preserve">poderá </w:t>
      </w:r>
      <w:r>
        <w:rPr>
          <w:rFonts w:ascii="Times New Roman" w:hAnsi="Times New Roman" w:cs="Times New Roman"/>
          <w:i w:val="0"/>
          <w:iCs w:val="0"/>
          <w:color w:val="auto"/>
        </w:rPr>
        <w:t>ser renovado o quantitativo originalmente registrado.</w:t>
      </w:r>
    </w:p>
    <w:p w14:paraId="30FCB9CD">
      <w:pPr>
        <w:pStyle w:val="48"/>
        <w:numPr>
          <w:ilvl w:val="2"/>
          <w:numId w:val="16"/>
        </w:numPr>
        <w:spacing w:line="360" w:lineRule="auto"/>
        <w:rPr>
          <w:rFonts w:ascii="Times New Roman" w:hAnsi="Times New Roman" w:cs="Times New Roman"/>
          <w:i w:val="0"/>
          <w:color w:val="auto"/>
        </w:rPr>
      </w:pPr>
      <w:r>
        <w:rPr>
          <w:rFonts w:ascii="Times New Roman" w:hAnsi="Times New Roman" w:cs="Times New Roman"/>
          <w:i w:val="0"/>
          <w:color w:val="auto"/>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62DAC15D">
      <w:pPr>
        <w:pStyle w:val="48"/>
        <w:numPr>
          <w:ilvl w:val="2"/>
          <w:numId w:val="16"/>
        </w:numPr>
        <w:spacing w:line="360" w:lineRule="auto"/>
        <w:rPr>
          <w:rFonts w:ascii="Times New Roman" w:hAnsi="Times New Roman" w:cs="Times New Roman"/>
          <w:i w:val="0"/>
          <w:color w:val="auto"/>
        </w:rPr>
      </w:pPr>
      <w:r>
        <w:rPr>
          <w:rFonts w:ascii="Times New Roman" w:hAnsi="Times New Roman" w:cs="Times New Roman"/>
          <w:i w:val="0"/>
          <w:color w:val="auto"/>
        </w:rPr>
        <w:t>Na formalização do contrato ou do instrumento substituto deverá haver a indicação da disponibilidade dos créditos orçamentários respectivos.</w:t>
      </w:r>
    </w:p>
    <w:p w14:paraId="52AE8202">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A contratação com os fornecedores registrados na ata será formalizada pelo órgão ou pela en</w:t>
      </w:r>
      <w:r>
        <w:rPr>
          <w:rFonts w:ascii="Times New Roman" w:hAnsi="Times New Roman" w:eastAsia="Arial" w:cs="Times New Roman"/>
        </w:rPr>
        <w:t>ti</w:t>
      </w:r>
      <w:r>
        <w:rPr>
          <w:rFonts w:ascii="Times New Roman" w:hAnsi="Times New Roman" w:cs="Times New Roman"/>
        </w:rPr>
        <w:t>dade interessada por intermédio de instrumento contratual, emissão de nota de empenho de despesa, autorização de compra ou outro instrumento hábil, conforme o art. 95 da Lei nº 14.133, de 2021.</w:t>
      </w:r>
    </w:p>
    <w:p w14:paraId="151F76DE">
      <w:pPr>
        <w:pStyle w:val="159"/>
        <w:numPr>
          <w:ilvl w:val="2"/>
          <w:numId w:val="16"/>
        </w:numPr>
        <w:tabs>
          <w:tab w:val="left" w:pos="1560"/>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 O instrumento contratual de que trata o item 4.2. deverá ser assinado no prazo de validade da ata de registro de preços.</w:t>
      </w:r>
    </w:p>
    <w:p w14:paraId="22C6AA85">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Os contratos decorrentes do sistema de registro de preços poderão ser alterados, observado o art. 124 da Lei nº 14.133, de 2021.</w:t>
      </w:r>
    </w:p>
    <w:p w14:paraId="73085DDA">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Após a homologação da licitação ou da contratação direta, deverão ser observadas as seguintes condições para formalização da ata de registro de preços:</w:t>
      </w:r>
    </w:p>
    <w:p w14:paraId="0D4D4BB1">
      <w:pPr>
        <w:pStyle w:val="159"/>
        <w:numPr>
          <w:ilvl w:val="2"/>
          <w:numId w:val="16"/>
        </w:numPr>
        <w:tabs>
          <w:tab w:val="left" w:pos="567"/>
          <w:tab w:val="left" w:pos="851"/>
        </w:tabs>
        <w:spacing w:line="360" w:lineRule="auto"/>
        <w:ind w:left="1418" w:hanging="709"/>
        <w:rPr>
          <w:rFonts w:ascii="Times New Roman" w:hAnsi="Times New Roman" w:cs="Times New Roman"/>
          <w:color w:val="auto"/>
          <w:sz w:val="22"/>
          <w:szCs w:val="22"/>
        </w:rPr>
      </w:pPr>
      <w:r>
        <w:rPr>
          <w:rFonts w:ascii="Times New Roman" w:hAnsi="Times New Roman" w:cs="Times New Roman"/>
          <w:color w:val="auto"/>
          <w:sz w:val="22"/>
          <w:szCs w:val="22"/>
        </w:rPr>
        <w:t>Serão registrados na ata os preços e os quantita</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 xml:space="preserve">vos do adjudicatário, devendo ser observada a possibilidade de o licitante oferecer ou não proposta em quantitativo inferior ao máximo previsto </w:t>
      </w:r>
      <w:r>
        <w:rPr>
          <w:rFonts w:ascii="Times New Roman" w:hAnsi="Times New Roman" w:cs="Times New Roman"/>
          <w:iCs/>
          <w:color w:val="auto"/>
          <w:sz w:val="22"/>
          <w:szCs w:val="22"/>
        </w:rPr>
        <w:t xml:space="preserve">no edital </w:t>
      </w:r>
      <w:r>
        <w:rPr>
          <w:rFonts w:ascii="Times New Roman" w:hAnsi="Times New Roman" w:cs="Times New Roman"/>
          <w:color w:val="auto"/>
          <w:sz w:val="22"/>
          <w:szCs w:val="22"/>
        </w:rPr>
        <w:t>e se obrigar nos limites dela;</w:t>
      </w:r>
    </w:p>
    <w:p w14:paraId="17F6FC34">
      <w:pPr>
        <w:pStyle w:val="159"/>
        <w:numPr>
          <w:ilvl w:val="2"/>
          <w:numId w:val="16"/>
        </w:numPr>
        <w:tabs>
          <w:tab w:val="left" w:pos="567"/>
          <w:tab w:val="left" w:pos="851"/>
        </w:tabs>
        <w:spacing w:line="360" w:lineRule="auto"/>
        <w:ind w:left="1418" w:hanging="709"/>
        <w:rPr>
          <w:rFonts w:ascii="Times New Roman" w:hAnsi="Times New Roman" w:cs="Times New Roman"/>
          <w:color w:val="auto"/>
          <w:sz w:val="22"/>
          <w:szCs w:val="22"/>
        </w:rPr>
      </w:pPr>
      <w:r>
        <w:rPr>
          <w:rFonts w:ascii="Times New Roman" w:hAnsi="Times New Roman" w:cs="Times New Roman"/>
          <w:color w:val="auto"/>
          <w:sz w:val="22"/>
          <w:szCs w:val="22"/>
        </w:rPr>
        <w:t>Será incluído na ata, na forma de anexo, o registro dos licitantes ou dos fornecedores que:</w:t>
      </w:r>
    </w:p>
    <w:p w14:paraId="3997AC6C">
      <w:pPr>
        <w:pStyle w:val="158"/>
        <w:numPr>
          <w:ilvl w:val="3"/>
          <w:numId w:val="16"/>
        </w:numPr>
        <w:spacing w:line="360" w:lineRule="auto"/>
        <w:ind w:left="2268" w:hanging="850"/>
        <w:rPr>
          <w:rFonts w:ascii="Times New Roman" w:hAnsi="Times New Roman" w:cs="Times New Roman"/>
          <w:color w:val="auto"/>
          <w:sz w:val="22"/>
          <w:szCs w:val="22"/>
        </w:rPr>
      </w:pPr>
      <w:r>
        <w:rPr>
          <w:rFonts w:ascii="Times New Roman" w:hAnsi="Times New Roman" w:cs="Times New Roman"/>
          <w:color w:val="auto"/>
          <w:sz w:val="22"/>
          <w:szCs w:val="22"/>
        </w:rPr>
        <w:t xml:space="preserve">Aceitarem cotar os bens, as obras ou os serviços com preços iguais aos do adjudicatário, observada a classificação da licitação; e </w:t>
      </w:r>
    </w:p>
    <w:p w14:paraId="434731C8">
      <w:pPr>
        <w:pStyle w:val="158"/>
        <w:numPr>
          <w:ilvl w:val="3"/>
          <w:numId w:val="16"/>
        </w:numPr>
        <w:spacing w:line="360" w:lineRule="auto"/>
        <w:ind w:left="2268" w:hanging="850"/>
        <w:rPr>
          <w:rFonts w:ascii="Times New Roman" w:hAnsi="Times New Roman" w:cs="Times New Roman"/>
          <w:color w:val="auto"/>
          <w:sz w:val="22"/>
          <w:szCs w:val="22"/>
        </w:rPr>
      </w:pPr>
      <w:r>
        <w:rPr>
          <w:rFonts w:ascii="Times New Roman" w:hAnsi="Times New Roman" w:cs="Times New Roman"/>
          <w:color w:val="auto"/>
          <w:sz w:val="22"/>
          <w:szCs w:val="22"/>
        </w:rPr>
        <w:t xml:space="preserve">Mantiverem sua proposta original. </w:t>
      </w:r>
      <w:bookmarkStart w:id="100" w:name="cadastro_reserva"/>
      <w:bookmarkEnd w:id="100"/>
    </w:p>
    <w:p w14:paraId="161304FB">
      <w:pPr>
        <w:pStyle w:val="159"/>
        <w:numPr>
          <w:ilvl w:val="2"/>
          <w:numId w:val="16"/>
        </w:numPr>
        <w:tabs>
          <w:tab w:val="left" w:pos="993"/>
        </w:tabs>
        <w:spacing w:line="360" w:lineRule="auto"/>
        <w:ind w:left="2268" w:hanging="850"/>
        <w:rPr>
          <w:rFonts w:ascii="Times New Roman" w:hAnsi="Times New Roman" w:cs="Times New Roman"/>
          <w:color w:val="auto"/>
          <w:sz w:val="22"/>
          <w:szCs w:val="22"/>
        </w:rPr>
      </w:pPr>
      <w:r>
        <w:rPr>
          <w:rFonts w:ascii="Times New Roman" w:hAnsi="Times New Roman" w:cs="Times New Roman"/>
          <w:color w:val="auto"/>
          <w:sz w:val="22"/>
          <w:szCs w:val="22"/>
        </w:rPr>
        <w:t>Será respeitada, nas contratações, a ordem de classificação dos licitantes ou dos fornecedores registrados na ata.</w:t>
      </w:r>
    </w:p>
    <w:p w14:paraId="46E90A85">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O registro a que se refere o item 4.4.2</w:t>
      </w:r>
      <w:r>
        <w:rPr>
          <w:rFonts w:ascii="Times New Roman" w:hAnsi="Times New Roman" w:cs="Times New Roman"/>
          <w:b/>
          <w:bCs/>
        </w:rPr>
        <w:t xml:space="preserve"> </w:t>
      </w:r>
      <w:r>
        <w:rPr>
          <w:rFonts w:ascii="Times New Roman" w:hAnsi="Times New Roman" w:cs="Times New Roman"/>
        </w:rPr>
        <w:t>tem por obje</w:t>
      </w:r>
      <w:r>
        <w:rPr>
          <w:rFonts w:ascii="Times New Roman" w:hAnsi="Times New Roman" w:eastAsia="Arial" w:cs="Times New Roman"/>
        </w:rPr>
        <w:t>ti</w:t>
      </w:r>
      <w:r>
        <w:rPr>
          <w:rFonts w:ascii="Times New Roman" w:hAnsi="Times New Roman" w:cs="Times New Roman"/>
        </w:rPr>
        <w:t>vo a formação de cadastro de reserva para o caso de impossibilidade de atendimento pelo signatário da ata.</w:t>
      </w:r>
    </w:p>
    <w:p w14:paraId="107197D3">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22429815">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 xml:space="preserve">A habilitação dos licitantes que comporão o cadastro de reserva a que se refere o item </w:t>
      </w:r>
      <w:r>
        <w:rPr>
          <w:rFonts w:ascii="Times New Roman" w:hAnsi="Times New Roman" w:cs="Times New Roman"/>
        </w:rPr>
        <w:fldChar w:fldCharType="begin"/>
      </w:r>
      <w:r>
        <w:rPr>
          <w:rFonts w:ascii="Times New Roman" w:hAnsi="Times New Roman" w:cs="Times New Roman"/>
        </w:rPr>
        <w:instrText xml:space="preserve"> REF cadastro_reserva \r \h  \* MERGEFORMAT </w:instrText>
      </w:r>
      <w:r>
        <w:rPr>
          <w:rFonts w:ascii="Times New Roman" w:hAnsi="Times New Roman" w:cs="Times New Roman"/>
        </w:rPr>
        <w:fldChar w:fldCharType="separate"/>
      </w:r>
      <w:r>
        <w:rPr>
          <w:rFonts w:ascii="Times New Roman" w:hAnsi="Times New Roman" w:cs="Times New Roman"/>
        </w:rPr>
        <w:t>4.4.2.2</w:t>
      </w:r>
      <w:r>
        <w:rPr>
          <w:rFonts w:ascii="Times New Roman" w:hAnsi="Times New Roman" w:cs="Times New Roman"/>
        </w:rPr>
        <w:fldChar w:fldCharType="end"/>
      </w:r>
      <w:r>
        <w:rPr>
          <w:rFonts w:ascii="Times New Roman" w:hAnsi="Times New Roman" w:cs="Times New Roman"/>
        </w:rPr>
        <w:t xml:space="preserve"> somente será efetuada quando houver necessidade de contratação dos licitantes remanescentes, nas seguintes hipóteses:</w:t>
      </w:r>
      <w:bookmarkStart w:id="101" w:name="habilitacao_reserva"/>
      <w:bookmarkEnd w:id="101"/>
    </w:p>
    <w:p w14:paraId="10155106">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Quando o licitante vencedor não assinar a ata de registro de preços, no prazo e nas condições estabelecidos </w:t>
      </w:r>
      <w:r>
        <w:rPr>
          <w:rFonts w:ascii="Times New Roman" w:hAnsi="Times New Roman" w:cs="Times New Roman"/>
          <w:iCs/>
          <w:color w:val="auto"/>
          <w:sz w:val="22"/>
          <w:szCs w:val="22"/>
        </w:rPr>
        <w:t>no edital;</w:t>
      </w:r>
      <w:r>
        <w:rPr>
          <w:rFonts w:ascii="Times New Roman" w:hAnsi="Times New Roman" w:cs="Times New Roman"/>
          <w:color w:val="auto"/>
          <w:sz w:val="22"/>
          <w:szCs w:val="22"/>
        </w:rPr>
        <w:t xml:space="preserve"> e</w:t>
      </w:r>
    </w:p>
    <w:p w14:paraId="3A987EFB">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Quando houver o cancelamento do registro do licitante ou do registro de preços nas hipóteses previstas no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cancelamento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8</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w:t>
      </w:r>
    </w:p>
    <w:p w14:paraId="55390CE2">
      <w:pPr>
        <w:pStyle w:val="44"/>
        <w:numPr>
          <w:ilvl w:val="1"/>
          <w:numId w:val="16"/>
        </w:numPr>
        <w:tabs>
          <w:tab w:val="left" w:pos="426"/>
        </w:tabs>
        <w:spacing w:line="360" w:lineRule="auto"/>
        <w:ind w:left="284" w:firstLine="0"/>
        <w:rPr>
          <w:rFonts w:ascii="Times New Roman" w:hAnsi="Times New Roman" w:cs="Times New Roman"/>
        </w:rPr>
      </w:pPr>
      <w:r>
        <w:rPr>
          <w:rFonts w:ascii="Times New Roman" w:hAnsi="Times New Roman" w:cs="Times New Roman"/>
        </w:rPr>
        <w:t>O preço registrado com indicação dos licitantes e fornecedores será divulgado no PNCP e ficará disponibilizado durante a vigência da ata de registro de preços.</w:t>
      </w:r>
    </w:p>
    <w:p w14:paraId="3E9B194A">
      <w:pPr>
        <w:pStyle w:val="44"/>
        <w:numPr>
          <w:ilvl w:val="1"/>
          <w:numId w:val="16"/>
        </w:numPr>
        <w:tabs>
          <w:tab w:val="left" w:pos="426"/>
        </w:tabs>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DDA0A1E">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837BC5E">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A ata de registro de preços será assinada por meio de assinatura digital e disponibilizada no Sistema de Registro de Preços.</w:t>
      </w:r>
    </w:p>
    <w:p w14:paraId="54E46ED4">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 xml:space="preserve">Quando o convocado não assinar a ata de registro de preços no prazo e nas condições estabelecidos no edital ou no aviso de contratação, e observado o disposto no item </w:t>
      </w:r>
      <w:r>
        <w:rPr>
          <w:rFonts w:ascii="Times New Roman" w:hAnsi="Times New Roman" w:cs="Times New Roman"/>
        </w:rPr>
        <w:fldChar w:fldCharType="begin"/>
      </w:r>
      <w:r>
        <w:rPr>
          <w:rFonts w:ascii="Times New Roman" w:hAnsi="Times New Roman" w:cs="Times New Roman"/>
        </w:rPr>
        <w:instrText xml:space="preserve"> REF habilitacao_reserva \r \h  \* MERGEFORMAT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t>, observando o item 4.7 e subitens, fica facultado à Administração convocar os licitantes remanescentes do cadastro de reserva, na ordem de classificação, para fazê-lo em igual prazo e nas condições propostas pelo primeiro classificado.</w:t>
      </w:r>
      <w:bookmarkStart w:id="102" w:name="recusa_dos_que_baixaram_preco"/>
      <w:bookmarkEnd w:id="102"/>
    </w:p>
    <w:p w14:paraId="738B8600">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Na hipótese de nenhum dos licitantes que trata o item 4.4.2.1, aceitar a contratação nos termos do item anterior, a Administração, observados o valor es</w:t>
      </w:r>
      <w:r>
        <w:rPr>
          <w:rFonts w:ascii="Times New Roman" w:hAnsi="Times New Roman" w:eastAsia="Arial" w:cs="Times New Roman"/>
        </w:rPr>
        <w:t>ti</w:t>
      </w:r>
      <w:r>
        <w:rPr>
          <w:rFonts w:ascii="Times New Roman" w:hAnsi="Times New Roman" w:cs="Times New Roman"/>
        </w:rPr>
        <w:t xml:space="preserve">mado e sua eventual atualização nos termos </w:t>
      </w:r>
      <w:r>
        <w:rPr>
          <w:rFonts w:ascii="Times New Roman" w:hAnsi="Times New Roman" w:cs="Times New Roman"/>
          <w:iCs/>
        </w:rPr>
        <w:t>do</w:t>
      </w:r>
      <w:r>
        <w:rPr>
          <w:rFonts w:ascii="Times New Roman" w:hAnsi="Times New Roman" w:cs="Times New Roman"/>
          <w:i/>
          <w:iCs/>
        </w:rPr>
        <w:t xml:space="preserve"> </w:t>
      </w:r>
      <w:r>
        <w:rPr>
          <w:rFonts w:ascii="Times New Roman" w:hAnsi="Times New Roman" w:cs="Times New Roman"/>
          <w:iCs/>
        </w:rPr>
        <w:t xml:space="preserve">edital, </w:t>
      </w:r>
      <w:r>
        <w:rPr>
          <w:rFonts w:ascii="Times New Roman" w:hAnsi="Times New Roman" w:cs="Times New Roman"/>
        </w:rPr>
        <w:t>poderá:</w:t>
      </w:r>
    </w:p>
    <w:p w14:paraId="049D5877">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1C4B169F">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Adjudicar e firmar o contrato nas condições ofertadas pelos licitantes ou fornecedores remanescentes, atendida a ordem classificatória, quando frustrada a negociação de melhor condição.</w:t>
      </w:r>
    </w:p>
    <w:p w14:paraId="2DC8E752">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8E484F5">
      <w:pPr>
        <w:pStyle w:val="44"/>
        <w:autoSpaceDE w:val="0"/>
        <w:autoSpaceDN w:val="0"/>
        <w:adjustRightInd w:val="0"/>
        <w:spacing w:line="360" w:lineRule="auto"/>
        <w:ind w:left="284"/>
        <w:rPr>
          <w:rFonts w:ascii="Times New Roman" w:hAnsi="Times New Roman" w:cs="Times New Roman"/>
        </w:rPr>
      </w:pPr>
    </w:p>
    <w:p w14:paraId="213BB94C">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ALTERAÇÃO OU ATUALIZAÇÃO DOS PREÇOS REGISTRADOS</w:t>
      </w:r>
    </w:p>
    <w:p w14:paraId="2E4EE04E">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Os preços registrados poderão ser alterados ou atualizados em decorrência de eventual redução dos preços pra</w:t>
      </w:r>
      <w:r>
        <w:rPr>
          <w:rFonts w:ascii="Times New Roman" w:hAnsi="Times New Roman" w:eastAsia="Calibri" w:cs="Times New Roman"/>
        </w:rPr>
        <w:t>ti</w:t>
      </w:r>
      <w:r>
        <w:rPr>
          <w:rFonts w:ascii="Times New Roman" w:hAnsi="Times New Roman" w:cs="Times New Roman"/>
        </w:rPr>
        <w:t>cados no mercado ou de fato que eleve o custo dos bens, das obras ou dos serviços registrados, nas seguintes situações:</w:t>
      </w:r>
    </w:p>
    <w:p w14:paraId="18CD5573">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CA8EDE4">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Em caso de criação, alteração ou ex</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nção de quaisquer tributos ou encargos legais ou a superveniência de disposições legais, com comprovada repercussão sobre os preços registrados; </w:t>
      </w:r>
    </w:p>
    <w:p w14:paraId="5A48AD43">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Na hipótese de previsão no edital de cláusula de reajustamento ou repactuação sobre os preços registrados, nos termos da Lei nº 14.133, de 2021.</w:t>
      </w:r>
    </w:p>
    <w:p w14:paraId="28D313C1">
      <w:pPr>
        <w:pStyle w:val="158"/>
        <w:numPr>
          <w:ilvl w:val="3"/>
          <w:numId w:val="16"/>
        </w:numPr>
        <w:spacing w:line="360" w:lineRule="auto"/>
        <w:ind w:left="2410" w:hanging="850"/>
        <w:rPr>
          <w:rFonts w:ascii="Times New Roman" w:hAnsi="Times New Roman" w:cs="Times New Roman"/>
          <w:color w:val="auto"/>
          <w:sz w:val="22"/>
          <w:szCs w:val="22"/>
        </w:rPr>
      </w:pPr>
      <w:r>
        <w:rPr>
          <w:rFonts w:ascii="Times New Roman" w:hAnsi="Times New Roman" w:cs="Times New Roman"/>
          <w:color w:val="auto"/>
          <w:sz w:val="22"/>
          <w:szCs w:val="22"/>
        </w:rPr>
        <w:t xml:space="preserve">No caso do reajustamento, deverá ser respeitada a contagem da anualidade e o índice previstos para a contratação;  </w:t>
      </w:r>
    </w:p>
    <w:p w14:paraId="69A8CD14">
      <w:pPr>
        <w:pStyle w:val="158"/>
        <w:numPr>
          <w:ilvl w:val="3"/>
          <w:numId w:val="16"/>
        </w:numPr>
        <w:spacing w:line="360" w:lineRule="auto"/>
        <w:ind w:left="2410" w:hanging="850"/>
        <w:rPr>
          <w:rFonts w:ascii="Times New Roman" w:hAnsi="Times New Roman" w:cs="Times New Roman"/>
          <w:color w:val="auto"/>
          <w:sz w:val="22"/>
          <w:szCs w:val="22"/>
        </w:rPr>
      </w:pPr>
      <w:r>
        <w:rPr>
          <w:rFonts w:ascii="Times New Roman" w:hAnsi="Times New Roman" w:cs="Times New Roman"/>
          <w:color w:val="auto"/>
          <w:sz w:val="22"/>
          <w:szCs w:val="22"/>
        </w:rPr>
        <w:t>No caso da repactuação, poderá ser a pedido do interessado, conforme critérios definidos para a contratação.</w:t>
      </w:r>
    </w:p>
    <w:p w14:paraId="1B817A23">
      <w:pPr>
        <w:pStyle w:val="158"/>
        <w:spacing w:line="360" w:lineRule="auto"/>
        <w:ind w:left="2410"/>
        <w:rPr>
          <w:rFonts w:ascii="Times New Roman" w:hAnsi="Times New Roman" w:cs="Times New Roman"/>
          <w:color w:val="auto"/>
          <w:sz w:val="22"/>
          <w:szCs w:val="22"/>
        </w:rPr>
      </w:pPr>
    </w:p>
    <w:p w14:paraId="5B77E6F6">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NEGOCIAÇÃO DE PREÇOS REGISTRADOS</w:t>
      </w:r>
    </w:p>
    <w:p w14:paraId="12CDF450">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Na hipótese de o preço registrado tornar-se superior ao preço pra</w:t>
      </w:r>
      <w:r>
        <w:rPr>
          <w:rFonts w:ascii="Times New Roman" w:hAnsi="Times New Roman" w:eastAsia="Calibri" w:cs="Times New Roman"/>
        </w:rPr>
        <w:t>ti</w:t>
      </w:r>
      <w:r>
        <w:rPr>
          <w:rFonts w:ascii="Times New Roman" w:hAnsi="Times New Roman" w:cs="Times New Roman"/>
        </w:rPr>
        <w:t>cado no mercado por mo</w:t>
      </w:r>
      <w:r>
        <w:rPr>
          <w:rFonts w:ascii="Times New Roman" w:hAnsi="Times New Roman" w:eastAsia="Calibri" w:cs="Times New Roman"/>
        </w:rPr>
        <w:t>ti</w:t>
      </w:r>
      <w:r>
        <w:rPr>
          <w:rFonts w:ascii="Times New Roman" w:hAnsi="Times New Roman" w:cs="Times New Roman"/>
        </w:rPr>
        <w:t>vo superveniente, o órgão ou en</w:t>
      </w:r>
      <w:r>
        <w:rPr>
          <w:rFonts w:ascii="Times New Roman" w:hAnsi="Times New Roman" w:eastAsia="Calibri" w:cs="Times New Roman"/>
        </w:rPr>
        <w:t>ti</w:t>
      </w:r>
      <w:r>
        <w:rPr>
          <w:rFonts w:ascii="Times New Roman" w:hAnsi="Times New Roman" w:cs="Times New Roman"/>
        </w:rPr>
        <w:t>dade gerenciadora convocará o fornecedor para negociar a redução do preço registrado.</w:t>
      </w:r>
    </w:p>
    <w:p w14:paraId="127EFDFB">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Caso não aceite reduzir seu preço aos valores pra</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cados pelo mercado, o fornecedor será liberado do compromisso assumido quanto ao item registrado, sem aplicação de penalidades administrativas.</w:t>
      </w:r>
    </w:p>
    <w:p w14:paraId="4AAB2279">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61B3A5C">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Se não obtiver êxito nas negociações, o órgão ou en</w:t>
      </w:r>
      <w:r>
        <w:rPr>
          <w:rFonts w:ascii="Times New Roman" w:hAnsi="Times New Roman" w:eastAsia="Calibri" w:cs="Times New Roman"/>
          <w:color w:val="auto"/>
          <w:sz w:val="22"/>
          <w:szCs w:val="22"/>
        </w:rPr>
        <w:t>tid</w:t>
      </w:r>
      <w:r>
        <w:rPr>
          <w:rFonts w:ascii="Times New Roman" w:hAnsi="Times New Roman" w:cs="Times New Roman"/>
          <w:color w:val="auto"/>
          <w:sz w:val="22"/>
          <w:szCs w:val="22"/>
        </w:rPr>
        <w:t>ade gerenciadora procederá ao cancelamento da ata de registro de preços, adotando as medidas cabíveis para obtenção de contratação mais vantajosa.</w:t>
      </w:r>
      <w:bookmarkStart w:id="103" w:name="reducao_preco_mercado_negociacao_frustra"/>
      <w:bookmarkEnd w:id="103"/>
    </w:p>
    <w:p w14:paraId="2795F58F">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Na hipótese de redução do preço registrado, o gerenciador comunicará aos órgãos e às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dades que </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5264F3EC">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04" w:name="hipotese_preco_mercado_maior"/>
      <w:bookmarkEnd w:id="104"/>
    </w:p>
    <w:p w14:paraId="683A79D6">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105" w:name="prova_preco_mercado_maior"/>
      <w:bookmarkEnd w:id="105"/>
    </w:p>
    <w:p w14:paraId="25E133DF">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Não hipótese de não comprovação da existência de fato superveniente que inviabilize o preço registrado, o pedido será indeferido pelo órgão ou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dade gerenciadora e o fornecedor deverá cumprir as obrigações estabelecidas na ata, sob pena de cancelamento do seu registro, nos termos do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cancelamento_do_fornecedor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8.1</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sem prejuízo das sanções previstas na Lei nº 14.133, de 2021, e na legislação aplicável.</w:t>
      </w:r>
      <w:bookmarkStart w:id="106" w:name="nao_comprovacao_majoracao_mercado"/>
      <w:bookmarkEnd w:id="106"/>
    </w:p>
    <w:p w14:paraId="784942BC">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5A2525C8">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Se não obtiver êxito nas negociações, o órgão ou entidade gerenciadora procederá ao cancelamento da ata de registro de preços, nos termos do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cancelamento_da_ata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8.4</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e adotará as medidas cabíveis para a obtenção da contratação mais vantajosa.</w:t>
      </w:r>
      <w:bookmarkStart w:id="107" w:name="majora_preco_mercado_negociacao_frustra"/>
      <w:bookmarkEnd w:id="107"/>
    </w:p>
    <w:p w14:paraId="17643F7B">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Na hipótese de comprovação da majoração do preço de mercado que inviabilize o preço registrado, conforme previsto no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hipotese_preco_mercado_maior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6.2</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xml:space="preserve"> e no item </w:t>
      </w:r>
      <w:r>
        <w:rPr>
          <w:rFonts w:ascii="Times New Roman" w:hAnsi="Times New Roman" w:cs="Times New Roman"/>
          <w:color w:val="auto"/>
          <w:sz w:val="22"/>
          <w:szCs w:val="22"/>
        </w:rPr>
        <w:fldChar w:fldCharType="begin"/>
      </w:r>
      <w:r>
        <w:rPr>
          <w:rFonts w:ascii="Times New Roman" w:hAnsi="Times New Roman" w:cs="Times New Roman"/>
          <w:color w:val="auto"/>
          <w:sz w:val="22"/>
          <w:szCs w:val="22"/>
        </w:rPr>
        <w:instrText xml:space="preserve"> REF prova_preco_mercado_maior \r \h  \* MERGEFORMAT </w:instrText>
      </w:r>
      <w:r>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t>6.2.1</w:t>
      </w:r>
      <w:r>
        <w:rPr>
          <w:rFonts w:ascii="Times New Roman" w:hAnsi="Times New Roman" w:cs="Times New Roman"/>
          <w:color w:val="auto"/>
          <w:sz w:val="22"/>
          <w:szCs w:val="22"/>
        </w:rPr>
        <w:fldChar w:fldCharType="end"/>
      </w:r>
      <w:r>
        <w:rPr>
          <w:rFonts w:ascii="Times New Roman" w:hAnsi="Times New Roman" w:cs="Times New Roman"/>
          <w:color w:val="auto"/>
          <w:sz w:val="22"/>
          <w:szCs w:val="22"/>
        </w:rPr>
        <w:t>, o órgão ou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dade gerenciadora atualizará o preço registrado, de acordo com a realidade dos valores praticados pelo mercado.</w:t>
      </w:r>
    </w:p>
    <w:p w14:paraId="1FA44DB2">
      <w:pPr>
        <w:pStyle w:val="159"/>
        <w:numPr>
          <w:ilvl w:val="2"/>
          <w:numId w:val="16"/>
        </w:numPr>
        <w:tabs>
          <w:tab w:val="left" w:pos="851"/>
        </w:tabs>
        <w:spacing w:line="360" w:lineRule="auto"/>
        <w:ind w:left="1560" w:hanging="709"/>
        <w:rPr>
          <w:rFonts w:ascii="Times New Roman" w:hAnsi="Times New Roman" w:cs="Times New Roman"/>
          <w:b/>
          <w:color w:val="auto"/>
          <w:sz w:val="22"/>
          <w:szCs w:val="22"/>
          <w:u w:val="single"/>
        </w:rPr>
      </w:pPr>
      <w:r>
        <w:rPr>
          <w:rFonts w:ascii="Times New Roman" w:hAnsi="Times New Roman" w:cs="Times New Roman"/>
          <w:color w:val="auto"/>
          <w:sz w:val="22"/>
          <w:szCs w:val="22"/>
        </w:rPr>
        <w:t>O órgão ou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dade gerenciadora comunicará aos órgãos e às en</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 xml:space="preserve">dades que </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verem firmado contratos decorrentes da ata de registro de preços sobre a efe</w:t>
      </w:r>
      <w:r>
        <w:rPr>
          <w:rFonts w:ascii="Times New Roman" w:hAnsi="Times New Roman" w:eastAsia="Calibri" w:cs="Times New Roman"/>
          <w:color w:val="auto"/>
          <w:sz w:val="22"/>
          <w:szCs w:val="22"/>
        </w:rPr>
        <w:t>ti</w:t>
      </w:r>
      <w:r>
        <w:rPr>
          <w:rFonts w:ascii="Times New Roman" w:hAnsi="Times New Roman" w:cs="Times New Roman"/>
          <w:color w:val="auto"/>
          <w:sz w:val="22"/>
          <w:szCs w:val="22"/>
        </w:rPr>
        <w:t>va alteração do preço registrado, para que avaliem a necessidade de alteração contratual, observado o disposto no art. 124 da Lei nº 14.133, de 2021.</w:t>
      </w:r>
    </w:p>
    <w:p w14:paraId="7AA73479">
      <w:pPr>
        <w:pStyle w:val="159"/>
        <w:numPr>
          <w:ilvl w:val="0"/>
          <w:numId w:val="0"/>
        </w:numPr>
        <w:tabs>
          <w:tab w:val="left" w:pos="851"/>
        </w:tabs>
        <w:spacing w:line="360" w:lineRule="auto"/>
        <w:ind w:left="284"/>
        <w:rPr>
          <w:rFonts w:ascii="Times New Roman" w:hAnsi="Times New Roman" w:cs="Times New Roman"/>
          <w:b/>
          <w:color w:val="auto"/>
          <w:sz w:val="22"/>
          <w:szCs w:val="22"/>
          <w:u w:val="single"/>
        </w:rPr>
      </w:pPr>
    </w:p>
    <w:p w14:paraId="041AA0A1">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REMANEJAMENTO DAS QUANTIDADES REGISTRADAS NA ATA DE REGISTRO DE PREÇOS</w:t>
      </w:r>
    </w:p>
    <w:p w14:paraId="2C547A0C">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 xml:space="preserve"> As quan</w:t>
      </w:r>
      <w:r>
        <w:rPr>
          <w:rFonts w:ascii="Times New Roman" w:hAnsi="Times New Roman" w:eastAsia="Arial" w:cs="Times New Roman"/>
        </w:rPr>
        <w:t>ti</w:t>
      </w:r>
      <w:r>
        <w:rPr>
          <w:rFonts w:ascii="Times New Roman" w:hAnsi="Times New Roman" w:cs="Times New Roman"/>
        </w:rPr>
        <w:t>dades previstas para os itens com preços registrados nas atas de registro de preços poderão ser remanejadas pelo órgão ou en</w:t>
      </w:r>
      <w:r>
        <w:rPr>
          <w:rFonts w:ascii="Times New Roman" w:hAnsi="Times New Roman" w:eastAsia="Arial" w:cs="Times New Roman"/>
        </w:rPr>
        <w:t>ti</w:t>
      </w:r>
      <w:r>
        <w:rPr>
          <w:rFonts w:ascii="Times New Roman" w:hAnsi="Times New Roman" w:cs="Times New Roman"/>
        </w:rPr>
        <w:t>dade gerenciadora entre os órgãos ou as en</w:t>
      </w:r>
      <w:r>
        <w:rPr>
          <w:rFonts w:ascii="Times New Roman" w:hAnsi="Times New Roman" w:eastAsia="Arial" w:cs="Times New Roman"/>
        </w:rPr>
        <w:t>ti</w:t>
      </w:r>
      <w:r>
        <w:rPr>
          <w:rFonts w:ascii="Times New Roman" w:hAnsi="Times New Roman" w:cs="Times New Roman"/>
        </w:rPr>
        <w:t>dades par</w:t>
      </w:r>
      <w:r>
        <w:rPr>
          <w:rFonts w:ascii="Times New Roman" w:hAnsi="Times New Roman" w:eastAsia="Arial" w:cs="Times New Roman"/>
        </w:rPr>
        <w:t>ti</w:t>
      </w:r>
      <w:r>
        <w:rPr>
          <w:rFonts w:ascii="Times New Roman" w:hAnsi="Times New Roman" w:cs="Times New Roman"/>
        </w:rPr>
        <w:t>cipantes e não par</w:t>
      </w:r>
      <w:r>
        <w:rPr>
          <w:rFonts w:ascii="Times New Roman" w:hAnsi="Times New Roman" w:eastAsia="Arial" w:cs="Times New Roman"/>
        </w:rPr>
        <w:t>ti</w:t>
      </w:r>
      <w:r>
        <w:rPr>
          <w:rFonts w:ascii="Times New Roman" w:hAnsi="Times New Roman" w:cs="Times New Roman"/>
        </w:rPr>
        <w:t>cipantes do registro de preços.</w:t>
      </w:r>
    </w:p>
    <w:p w14:paraId="2904AB23">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 xml:space="preserve"> O remanejamento somente poderá ser feito:</w:t>
      </w:r>
    </w:p>
    <w:p w14:paraId="030470E7">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De órgão ou en</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dade par</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cipante para órgão ou en</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dade par</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cipante; ou</w:t>
      </w:r>
    </w:p>
    <w:p w14:paraId="1F0E4071">
      <w:pPr>
        <w:pStyle w:val="159"/>
        <w:numPr>
          <w:ilvl w:val="2"/>
          <w:numId w:val="16"/>
        </w:numPr>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De órgão ou en</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dade par</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cipante para órgão ou entidade não participante.</w:t>
      </w:r>
    </w:p>
    <w:p w14:paraId="1D16A741">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O órgão ou en</w:t>
      </w:r>
      <w:r>
        <w:rPr>
          <w:rFonts w:ascii="Times New Roman" w:hAnsi="Times New Roman" w:eastAsia="Arial" w:cs="Times New Roman"/>
        </w:rPr>
        <w:t>ti</w:t>
      </w:r>
      <w:r>
        <w:rPr>
          <w:rFonts w:ascii="Times New Roman" w:hAnsi="Times New Roman" w:cs="Times New Roman"/>
        </w:rPr>
        <w:t>dade gerenciadora que tiver es</w:t>
      </w:r>
      <w:r>
        <w:rPr>
          <w:rFonts w:ascii="Times New Roman" w:hAnsi="Times New Roman" w:eastAsia="Arial" w:cs="Times New Roman"/>
        </w:rPr>
        <w:t>ti</w:t>
      </w:r>
      <w:r>
        <w:rPr>
          <w:rFonts w:ascii="Times New Roman" w:hAnsi="Times New Roman" w:cs="Times New Roman"/>
        </w:rPr>
        <w:t>mado as quan</w:t>
      </w:r>
      <w:r>
        <w:rPr>
          <w:rFonts w:ascii="Times New Roman" w:hAnsi="Times New Roman" w:eastAsia="Arial" w:cs="Times New Roman"/>
        </w:rPr>
        <w:t>ti</w:t>
      </w:r>
      <w:r>
        <w:rPr>
          <w:rFonts w:ascii="Times New Roman" w:hAnsi="Times New Roman" w:cs="Times New Roman"/>
        </w:rPr>
        <w:t>dades que pretende contratar será considerado participante para efeito do remanejamento.</w:t>
      </w:r>
      <w:bookmarkStart w:id="108" w:name="gerenciador_estimador_é_partic_em_remane"/>
      <w:bookmarkEnd w:id="108"/>
    </w:p>
    <w:p w14:paraId="5B14FE42">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Na hipótese de remanejamento de órgão ou entidade par</w:t>
      </w:r>
      <w:r>
        <w:rPr>
          <w:rFonts w:ascii="Times New Roman" w:hAnsi="Times New Roman" w:eastAsia="Arial" w:cs="Times New Roman"/>
        </w:rPr>
        <w:t>ti</w:t>
      </w:r>
      <w:r>
        <w:rPr>
          <w:rFonts w:ascii="Times New Roman" w:hAnsi="Times New Roman" w:cs="Times New Roman"/>
        </w:rPr>
        <w:t>cipante para órgão ou entidade não participante, serão observados os limites previstos no art. 32 do Decreto nº 11.462, de 2023.</w:t>
      </w:r>
    </w:p>
    <w:p w14:paraId="2FF83FAC">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08BED08A">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CF579DF">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 xml:space="preserve">Na hipótese da compra centralizada, não havendo indicação pelo órgão ou pela entidade gerenciadora, dos quantitativos dos participantes da compra centralizada, nos termos do item </w:t>
      </w:r>
      <w:r>
        <w:rPr>
          <w:rFonts w:ascii="Times New Roman" w:hAnsi="Times New Roman" w:cs="Times New Roman"/>
        </w:rPr>
        <w:fldChar w:fldCharType="begin"/>
      </w:r>
      <w:r>
        <w:rPr>
          <w:rFonts w:ascii="Times New Roman" w:hAnsi="Times New Roman" w:cs="Times New Roman"/>
        </w:rPr>
        <w:instrText xml:space="preserve"> REF gerenciador_estimador_é_partic_em_remane \r \h  \* MERGEFORMAT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t>, a distribuição das quantidades para a execução descentralizada será por meio do remanejamento.</w:t>
      </w:r>
    </w:p>
    <w:p w14:paraId="4E923A59">
      <w:pPr>
        <w:pStyle w:val="44"/>
        <w:autoSpaceDE w:val="0"/>
        <w:autoSpaceDN w:val="0"/>
        <w:adjustRightInd w:val="0"/>
        <w:spacing w:line="360" w:lineRule="auto"/>
        <w:ind w:left="284"/>
        <w:rPr>
          <w:rFonts w:ascii="Times New Roman" w:hAnsi="Times New Roman" w:cs="Times New Roman"/>
        </w:rPr>
      </w:pPr>
    </w:p>
    <w:p w14:paraId="2D25E811">
      <w:pPr>
        <w:pStyle w:val="58"/>
        <w:numPr>
          <w:ilvl w:val="0"/>
          <w:numId w:val="16"/>
        </w:numPr>
        <w:spacing w:before="120" w:after="120" w:line="360" w:lineRule="auto"/>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CANCELAMENTO DO REGISTRO DO LICITANTE VENCEDOR E DOS PREÇOS REGISTRADOS</w:t>
      </w:r>
      <w:bookmarkStart w:id="109" w:name="cancelamento"/>
      <w:bookmarkEnd w:id="109"/>
    </w:p>
    <w:p w14:paraId="57B6C2B6">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O registro do fornecedor será cancelado pelo gerenciador, quando o fornecedor:</w:t>
      </w:r>
      <w:bookmarkStart w:id="110" w:name="cancelamento_do_fornecedor"/>
      <w:bookmarkEnd w:id="110"/>
    </w:p>
    <w:p w14:paraId="3F1AAF40">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Descumprir as condições da ata de registro de preços, sem motivo justificado;</w:t>
      </w:r>
    </w:p>
    <w:p w14:paraId="48F0A072">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Não re</w:t>
      </w:r>
      <w:r>
        <w:rPr>
          <w:rFonts w:ascii="Times New Roman" w:hAnsi="Times New Roman" w:eastAsia="Arial" w:cs="Times New Roman"/>
          <w:color w:val="auto"/>
          <w:sz w:val="22"/>
          <w:szCs w:val="22"/>
        </w:rPr>
        <w:t>ti</w:t>
      </w:r>
      <w:r>
        <w:rPr>
          <w:rFonts w:ascii="Times New Roman" w:hAnsi="Times New Roman" w:cs="Times New Roman"/>
          <w:color w:val="auto"/>
          <w:sz w:val="22"/>
          <w:szCs w:val="22"/>
        </w:rPr>
        <w:t>rar a nota de empenho, ou instrumento equivalente, no prazo estabelecido pela Administração sem justificativa razoável;</w:t>
      </w:r>
    </w:p>
    <w:p w14:paraId="7AE4417F">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Não aceitar manter seu preço registrado, na hipótese prevista no artigo 27, § 2º, do Decreto nº 11.462, de 2023; ou</w:t>
      </w:r>
    </w:p>
    <w:p w14:paraId="2E81E213">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 Sofrer sanção prevista nos incisos III ou IV do caput do art. 156 da Lei nº 14.133, de 2021.</w:t>
      </w:r>
    </w:p>
    <w:p w14:paraId="17B5A502">
      <w:pPr>
        <w:pStyle w:val="158"/>
        <w:numPr>
          <w:ilvl w:val="3"/>
          <w:numId w:val="16"/>
        </w:numPr>
        <w:tabs>
          <w:tab w:val="left" w:pos="2552"/>
        </w:tabs>
        <w:spacing w:line="360" w:lineRule="auto"/>
        <w:ind w:left="2552" w:hanging="851"/>
        <w:rPr>
          <w:rFonts w:ascii="Times New Roman" w:hAnsi="Times New Roman" w:cs="Times New Roman"/>
          <w:color w:val="auto"/>
          <w:sz w:val="22"/>
          <w:szCs w:val="22"/>
        </w:rPr>
      </w:pPr>
      <w:r>
        <w:rPr>
          <w:rFonts w:ascii="Times New Roman" w:hAnsi="Times New Roman" w:cs="Times New Roman"/>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7496ABE">
      <w:pPr>
        <w:pStyle w:val="44"/>
        <w:numPr>
          <w:ilvl w:val="1"/>
          <w:numId w:val="16"/>
        </w:numPr>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 xml:space="preserve">O cancelamento de registros nas hipóteses previstas no item </w:t>
      </w:r>
      <w:r>
        <w:rPr>
          <w:rFonts w:ascii="Times New Roman" w:hAnsi="Times New Roman" w:cs="Times New Roman"/>
        </w:rPr>
        <w:fldChar w:fldCharType="begin"/>
      </w:r>
      <w:r>
        <w:rPr>
          <w:rFonts w:ascii="Times New Roman" w:hAnsi="Times New Roman" w:cs="Times New Roman"/>
        </w:rPr>
        <w:instrText xml:space="preserve"> REF cancelamento_do_fornecedor \r \h  \* MERGEFORMAT </w:instrText>
      </w:r>
      <w:r>
        <w:rPr>
          <w:rFonts w:ascii="Times New Roman" w:hAnsi="Times New Roman" w:cs="Times New Roman"/>
        </w:rPr>
        <w:fldChar w:fldCharType="separate"/>
      </w:r>
      <w:r>
        <w:rPr>
          <w:rFonts w:ascii="Times New Roman" w:hAnsi="Times New Roman" w:cs="Times New Roman"/>
        </w:rPr>
        <w:t>8.1</w:t>
      </w:r>
      <w:r>
        <w:rPr>
          <w:rFonts w:ascii="Times New Roman" w:hAnsi="Times New Roman" w:cs="Times New Roman"/>
        </w:rPr>
        <w:fldChar w:fldCharType="end"/>
      </w:r>
      <w:r>
        <w:rPr>
          <w:rFonts w:ascii="Times New Roman" w:hAnsi="Times New Roman" w:cs="Times New Roman"/>
        </w:rPr>
        <w:t xml:space="preserve"> será formalizado por despacho do órgão ou da entidade gerenciadora, garantidos os princípios do contraditório e da ampla defesa.</w:t>
      </w:r>
    </w:p>
    <w:p w14:paraId="69B025B9">
      <w:pPr>
        <w:pStyle w:val="44"/>
        <w:numPr>
          <w:ilvl w:val="1"/>
          <w:numId w:val="16"/>
        </w:numPr>
        <w:tabs>
          <w:tab w:val="left" w:pos="426"/>
        </w:tabs>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75B63F65">
      <w:pPr>
        <w:pStyle w:val="44"/>
        <w:numPr>
          <w:ilvl w:val="1"/>
          <w:numId w:val="16"/>
        </w:numPr>
        <w:tabs>
          <w:tab w:val="left" w:pos="426"/>
        </w:tabs>
        <w:autoSpaceDE w:val="0"/>
        <w:autoSpaceDN w:val="0"/>
        <w:adjustRightInd w:val="0"/>
        <w:spacing w:line="360" w:lineRule="auto"/>
        <w:ind w:left="284" w:firstLine="0"/>
        <w:rPr>
          <w:rFonts w:ascii="Times New Roman" w:hAnsi="Times New Roman" w:cs="Times New Roman"/>
        </w:rPr>
      </w:pPr>
      <w:r>
        <w:rPr>
          <w:rFonts w:ascii="Times New Roman" w:hAnsi="Times New Roman" w:cs="Times New Roman"/>
        </w:rPr>
        <w:t>O cancelamento dos preços registrados poderá ser realizado pelo gerenciador, em determinada ata de registro de preços, total ou parcialmente, nas seguintes hipóteses, desde que devidamente comprovadas e justificadas:</w:t>
      </w:r>
      <w:bookmarkStart w:id="111" w:name="cancelamento_da_ata"/>
      <w:bookmarkEnd w:id="111"/>
      <w:r>
        <w:rPr>
          <w:rFonts w:ascii="Times New Roman" w:hAnsi="Times New Roman" w:cs="Times New Roman"/>
        </w:rPr>
        <w:t xml:space="preserve"> </w:t>
      </w:r>
    </w:p>
    <w:p w14:paraId="126C2E93">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Por razão de interesse público;</w:t>
      </w:r>
    </w:p>
    <w:p w14:paraId="71E30C7F">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A pedido do fornecedor, decorrente de caso fortuito ou força maior; ou</w:t>
      </w:r>
    </w:p>
    <w:p w14:paraId="44B20239">
      <w:pPr>
        <w:pStyle w:val="159"/>
        <w:numPr>
          <w:ilvl w:val="2"/>
          <w:numId w:val="16"/>
        </w:numPr>
        <w:tabs>
          <w:tab w:val="left" w:pos="851"/>
        </w:tabs>
        <w:spacing w:line="36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Se não houver êxito nas negociações, nas hipóteses em que o preço de mercado tornar-se superior ou inferior ao preço registrado, nos termos dos artigos 26, § 3º e 27, § 4º, ambos do Decreto nº 11.462, de 2023. </w:t>
      </w:r>
    </w:p>
    <w:p w14:paraId="4C8DAE4F">
      <w:pPr>
        <w:pStyle w:val="159"/>
        <w:numPr>
          <w:ilvl w:val="0"/>
          <w:numId w:val="0"/>
        </w:numPr>
        <w:tabs>
          <w:tab w:val="left" w:pos="851"/>
        </w:tabs>
        <w:spacing w:line="360" w:lineRule="auto"/>
        <w:ind w:left="284"/>
        <w:rPr>
          <w:rFonts w:ascii="Times New Roman" w:hAnsi="Times New Roman" w:cs="Times New Roman"/>
          <w:color w:val="auto"/>
          <w:sz w:val="22"/>
          <w:szCs w:val="22"/>
        </w:rPr>
      </w:pPr>
    </w:p>
    <w:p w14:paraId="000F53C4">
      <w:pPr>
        <w:pStyle w:val="58"/>
        <w:numPr>
          <w:ilvl w:val="0"/>
          <w:numId w:val="16"/>
        </w:numPr>
        <w:spacing w:before="120" w:after="120"/>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DAS PENALIDADES</w:t>
      </w:r>
    </w:p>
    <w:p w14:paraId="53565EF5">
      <w:pPr>
        <w:pStyle w:val="44"/>
        <w:numPr>
          <w:ilvl w:val="1"/>
          <w:numId w:val="16"/>
        </w:numPr>
        <w:autoSpaceDE w:val="0"/>
        <w:autoSpaceDN w:val="0"/>
        <w:adjustRightInd w:val="0"/>
        <w:spacing w:line="240" w:lineRule="auto"/>
        <w:ind w:left="284" w:firstLine="0"/>
        <w:rPr>
          <w:rFonts w:ascii="Times New Roman" w:hAnsi="Times New Roman" w:cs="Times New Roman"/>
        </w:rPr>
      </w:pPr>
      <w:r>
        <w:rPr>
          <w:rFonts w:ascii="Times New Roman" w:hAnsi="Times New Roman" w:cs="Times New Roman"/>
        </w:rPr>
        <w:t>O descumprimento da Ata de Registro de Preços ensejará aplicação das penalidades estabelecidas no edital.</w:t>
      </w:r>
    </w:p>
    <w:p w14:paraId="2DCBD848">
      <w:pPr>
        <w:pStyle w:val="159"/>
        <w:numPr>
          <w:ilvl w:val="2"/>
          <w:numId w:val="16"/>
        </w:numPr>
        <w:spacing w:line="240" w:lineRule="auto"/>
        <w:ind w:left="1560"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As sanções também se aplicam aos integrantes do cadastro de reserva no registro de preços que, convocados, não honrarem o compromisso assumido injustificadamente após terem assinado a ata. </w:t>
      </w:r>
    </w:p>
    <w:p w14:paraId="4F5A5B7B">
      <w:pPr>
        <w:pStyle w:val="44"/>
        <w:numPr>
          <w:ilvl w:val="1"/>
          <w:numId w:val="16"/>
        </w:numPr>
        <w:autoSpaceDE w:val="0"/>
        <w:autoSpaceDN w:val="0"/>
        <w:adjustRightInd w:val="0"/>
        <w:spacing w:line="240" w:lineRule="auto"/>
        <w:ind w:left="284" w:firstLine="0"/>
        <w:rPr>
          <w:rFonts w:ascii="Times New Roman" w:hAnsi="Times New Roman" w:cs="Times New Roman"/>
        </w:rPr>
      </w:pPr>
      <w:r>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15C7950C">
      <w:pPr>
        <w:pStyle w:val="44"/>
        <w:numPr>
          <w:ilvl w:val="1"/>
          <w:numId w:val="16"/>
        </w:numPr>
        <w:autoSpaceDE w:val="0"/>
        <w:autoSpaceDN w:val="0"/>
        <w:adjustRightInd w:val="0"/>
        <w:spacing w:line="240" w:lineRule="auto"/>
        <w:ind w:left="284" w:firstLine="0"/>
        <w:rPr>
          <w:rFonts w:ascii="Times New Roman" w:hAnsi="Times New Roman" w:cs="Times New Roman"/>
        </w:rPr>
      </w:pPr>
      <w:r>
        <w:rPr>
          <w:rFonts w:ascii="Times New Roman" w:hAnsi="Times New Roman" w:cs="Times New Roman"/>
        </w:rPr>
        <w:t>O órgão ou entidade participante deverá comunicar ao órgão gerenciador qualquer das ocorrências previstas no item 8.1, dada a necessidade de instauração de procedimento para cancelamento do registro do fornecedor.</w:t>
      </w:r>
    </w:p>
    <w:p w14:paraId="6C2341B8">
      <w:pPr>
        <w:pStyle w:val="44"/>
        <w:autoSpaceDE w:val="0"/>
        <w:autoSpaceDN w:val="0"/>
        <w:adjustRightInd w:val="0"/>
        <w:spacing w:line="240" w:lineRule="auto"/>
        <w:ind w:left="284"/>
        <w:rPr>
          <w:rFonts w:ascii="Times New Roman" w:hAnsi="Times New Roman" w:cs="Times New Roman"/>
        </w:rPr>
      </w:pPr>
    </w:p>
    <w:p w14:paraId="113C88CC">
      <w:pPr>
        <w:pStyle w:val="58"/>
        <w:numPr>
          <w:ilvl w:val="0"/>
          <w:numId w:val="16"/>
        </w:numPr>
        <w:spacing w:before="120" w:after="120"/>
        <w:ind w:hanging="76"/>
        <w:contextualSpacing w:val="0"/>
        <w:jc w:val="both"/>
        <w:rPr>
          <w:rFonts w:ascii="Times New Roman" w:hAnsi="Times New Roman" w:cs="Times New Roman"/>
          <w:b/>
          <w:sz w:val="22"/>
          <w:szCs w:val="22"/>
        </w:rPr>
      </w:pPr>
      <w:r>
        <w:rPr>
          <w:rFonts w:ascii="Times New Roman" w:hAnsi="Times New Roman" w:cs="Times New Roman"/>
          <w:b/>
          <w:sz w:val="22"/>
          <w:szCs w:val="22"/>
        </w:rPr>
        <w:t>CONDIÇÕES GERAIS</w:t>
      </w:r>
    </w:p>
    <w:p w14:paraId="12B59B8D">
      <w:pPr>
        <w:pStyle w:val="44"/>
        <w:numPr>
          <w:ilvl w:val="1"/>
          <w:numId w:val="16"/>
        </w:numPr>
        <w:autoSpaceDE w:val="0"/>
        <w:autoSpaceDN w:val="0"/>
        <w:adjustRightInd w:val="0"/>
        <w:spacing w:line="240" w:lineRule="auto"/>
        <w:ind w:left="284" w:firstLine="0"/>
        <w:rPr>
          <w:rFonts w:ascii="Times New Roman" w:hAnsi="Times New Roman" w:cs="Times New Roman"/>
        </w:rPr>
      </w:pPr>
      <w:r>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45C80E0B">
      <w:pPr>
        <w:pStyle w:val="44"/>
        <w:numPr>
          <w:ilvl w:val="1"/>
          <w:numId w:val="16"/>
        </w:numPr>
        <w:autoSpaceDE w:val="0"/>
        <w:autoSpaceDN w:val="0"/>
        <w:adjustRightInd w:val="0"/>
        <w:spacing w:line="240" w:lineRule="auto"/>
        <w:ind w:left="284" w:firstLine="0"/>
        <w:rPr>
          <w:rFonts w:ascii="Times New Roman" w:hAnsi="Times New Roman" w:cs="Times New Roman"/>
        </w:rPr>
      </w:pPr>
      <w:r>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3D6D547C">
      <w:pPr>
        <w:widowControl w:val="0"/>
        <w:spacing w:before="120" w:after="120" w:line="240" w:lineRule="auto"/>
        <w:ind w:left="284"/>
        <w:contextualSpacing/>
        <w:jc w:val="both"/>
        <w:rPr>
          <w:rFonts w:ascii="Times New Roman" w:hAnsi="Times New Roman" w:cs="Times New Roman"/>
          <w:i/>
          <w:iCs/>
        </w:rPr>
      </w:pPr>
      <w:r>
        <w:rPr>
          <w:rFonts w:ascii="Times New Roman" w:hAnsi="Times New Roman" w:cs="Times New Roman"/>
        </w:rPr>
        <w:t>Para firmeza e validade do pactuado, a presente Ata foi lavrada em 02 (duas) vias de igual teor, que, depois de lida e achada em ordem, vai assinada pelas partes</w:t>
      </w:r>
      <w:r>
        <w:rPr>
          <w:rFonts w:ascii="Times New Roman" w:hAnsi="Times New Roman" w:cs="Times New Roman"/>
          <w:iCs/>
        </w:rPr>
        <w:t xml:space="preserve"> e encaminhada cópia aos demais órgãos participantes (se houver).</w:t>
      </w:r>
      <w:r>
        <w:rPr>
          <w:rFonts w:ascii="Times New Roman" w:hAnsi="Times New Roman" w:cs="Times New Roman"/>
          <w:i/>
          <w:iCs/>
        </w:rPr>
        <w:t xml:space="preserve"> </w:t>
      </w:r>
    </w:p>
    <w:p w14:paraId="40737EF4">
      <w:pPr>
        <w:widowControl w:val="0"/>
        <w:spacing w:before="120" w:after="120" w:line="240" w:lineRule="auto"/>
        <w:ind w:left="284"/>
        <w:contextualSpacing/>
        <w:jc w:val="both"/>
        <w:rPr>
          <w:rFonts w:ascii="Times New Roman" w:hAnsi="Times New Roman" w:cs="Times New Roman"/>
        </w:rPr>
      </w:pPr>
    </w:p>
    <w:p w14:paraId="784237E9">
      <w:pPr>
        <w:widowControl w:val="0"/>
        <w:spacing w:before="120" w:after="120" w:line="240" w:lineRule="auto"/>
        <w:ind w:left="284"/>
        <w:contextualSpacing/>
        <w:jc w:val="both"/>
        <w:rPr>
          <w:rFonts w:ascii="Times New Roman" w:hAnsi="Times New Roman" w:cs="Times New Roman"/>
        </w:rPr>
      </w:pPr>
      <w:r>
        <w:rPr>
          <w:rFonts w:ascii="Times New Roman" w:hAnsi="Times New Roman" w:cs="Times New Roman"/>
        </w:rPr>
        <w:t xml:space="preserve">Salvador-Ba, </w:t>
      </w:r>
      <w:r>
        <w:rPr>
          <w:rFonts w:ascii="Times New Roman" w:hAnsi="Times New Roman" w:cs="Times New Roman"/>
          <w:b/>
          <w:bCs/>
        </w:rPr>
        <w:t>XX</w:t>
      </w:r>
      <w:r>
        <w:rPr>
          <w:rFonts w:ascii="Times New Roman" w:hAnsi="Times New Roman" w:cs="Times New Roman"/>
        </w:rPr>
        <w:t xml:space="preserve"> de </w:t>
      </w:r>
      <w:r>
        <w:rPr>
          <w:rFonts w:ascii="Times New Roman" w:hAnsi="Times New Roman" w:cs="Times New Roman"/>
          <w:b/>
          <w:bCs/>
        </w:rPr>
        <w:t>XXXX</w:t>
      </w:r>
      <w:r>
        <w:rPr>
          <w:rFonts w:ascii="Times New Roman" w:hAnsi="Times New Roman" w:cs="Times New Roman"/>
        </w:rPr>
        <w:t xml:space="preserve"> de </w:t>
      </w:r>
      <w:r>
        <w:rPr>
          <w:rFonts w:ascii="Times New Roman" w:hAnsi="Times New Roman" w:cs="Times New Roman"/>
          <w:b/>
          <w:bCs/>
        </w:rPr>
        <w:t>XXXX</w:t>
      </w:r>
      <w:r>
        <w:rPr>
          <w:rFonts w:ascii="Times New Roman" w:hAnsi="Times New Roman" w:cs="Times New Roman"/>
        </w:rPr>
        <w:t>.</w:t>
      </w:r>
    </w:p>
    <w:p w14:paraId="6B3B23CF">
      <w:pPr>
        <w:widowControl w:val="0"/>
        <w:spacing w:before="120" w:after="120" w:line="240" w:lineRule="auto"/>
        <w:ind w:left="284"/>
        <w:contextualSpacing/>
        <w:jc w:val="both"/>
        <w:rPr>
          <w:rFonts w:ascii="Times New Roman" w:hAnsi="Times New Roman" w:cs="Times New Roman"/>
        </w:rPr>
      </w:pPr>
    </w:p>
    <w:p w14:paraId="463409B9">
      <w:pPr>
        <w:spacing w:line="240" w:lineRule="auto"/>
        <w:ind w:left="284"/>
        <w:jc w:val="both"/>
        <w:rPr>
          <w:rFonts w:ascii="Times New Roman" w:hAnsi="Times New Roman" w:cs="Times New Roman"/>
          <w:bCs/>
        </w:rPr>
      </w:pPr>
    </w:p>
    <w:p w14:paraId="24D34AA3">
      <w:pPr>
        <w:spacing w:line="240" w:lineRule="auto"/>
        <w:ind w:left="284"/>
        <w:jc w:val="both"/>
        <w:rPr>
          <w:rFonts w:ascii="Times New Roman" w:hAnsi="Times New Roman" w:cs="Times New Roman"/>
          <w:bCs/>
        </w:rPr>
      </w:pPr>
      <w:r>
        <w:rPr>
          <w:rFonts w:ascii="Times New Roman" w:hAnsi="Times New Roman" w:cs="Times New Roman"/>
          <w:bCs/>
        </w:rPr>
        <w:t>____________________________________________________</w:t>
      </w:r>
    </w:p>
    <w:p w14:paraId="7E1198E9">
      <w:pPr>
        <w:spacing w:line="240" w:lineRule="auto"/>
        <w:ind w:left="284"/>
        <w:jc w:val="both"/>
        <w:rPr>
          <w:rFonts w:ascii="Times New Roman" w:hAnsi="Times New Roman" w:cs="Times New Roman"/>
          <w:bCs/>
        </w:rPr>
      </w:pPr>
      <w:r>
        <w:rPr>
          <w:rFonts w:ascii="Times New Roman" w:hAnsi="Times New Roman" w:cs="Times New Roman"/>
          <w:bCs/>
        </w:rPr>
        <w:t>DEBORAH LANDULFO MEDRADO DE VINHAES TORRES</w:t>
      </w:r>
    </w:p>
    <w:p w14:paraId="49290822">
      <w:pPr>
        <w:spacing w:line="240" w:lineRule="auto"/>
        <w:ind w:left="284"/>
        <w:jc w:val="both"/>
        <w:rPr>
          <w:rFonts w:ascii="Times New Roman" w:hAnsi="Times New Roman" w:cs="Times New Roman"/>
          <w:bCs/>
        </w:rPr>
      </w:pPr>
      <w:r>
        <w:rPr>
          <w:rFonts w:ascii="Times New Roman" w:hAnsi="Times New Roman" w:cs="Times New Roman"/>
          <w:bCs/>
        </w:rPr>
        <w:t>Ordenador(a) de Despesa Substituto(a)</w:t>
      </w:r>
    </w:p>
    <w:p w14:paraId="04C97B0D">
      <w:pPr>
        <w:spacing w:line="240" w:lineRule="auto"/>
        <w:ind w:left="284"/>
        <w:jc w:val="both"/>
        <w:rPr>
          <w:rFonts w:ascii="Times New Roman" w:hAnsi="Times New Roman" w:cs="Times New Roman"/>
          <w:bCs/>
        </w:rPr>
      </w:pPr>
    </w:p>
    <w:p w14:paraId="1405C9DE">
      <w:pPr>
        <w:spacing w:line="240" w:lineRule="auto"/>
        <w:ind w:left="284"/>
        <w:jc w:val="both"/>
        <w:rPr>
          <w:rFonts w:ascii="Times New Roman" w:hAnsi="Times New Roman" w:cs="Times New Roman"/>
          <w:bCs/>
        </w:rPr>
      </w:pPr>
    </w:p>
    <w:p w14:paraId="472B12F7">
      <w:pPr>
        <w:spacing w:line="240" w:lineRule="auto"/>
        <w:ind w:left="284"/>
        <w:jc w:val="both"/>
        <w:rPr>
          <w:rFonts w:ascii="Times New Roman" w:hAnsi="Times New Roman" w:cs="Times New Roman"/>
          <w:bCs/>
        </w:rPr>
      </w:pPr>
    </w:p>
    <w:p w14:paraId="20DF7AF6">
      <w:pPr>
        <w:spacing w:line="240" w:lineRule="auto"/>
        <w:ind w:left="284"/>
        <w:jc w:val="both"/>
        <w:rPr>
          <w:rFonts w:ascii="Times New Roman" w:hAnsi="Times New Roman" w:cs="Times New Roman"/>
        </w:rPr>
      </w:pPr>
      <w:r>
        <w:rPr>
          <w:rFonts w:ascii="Times New Roman" w:hAnsi="Times New Roman" w:cs="Times New Roman"/>
        </w:rPr>
        <w:t>_________________________________</w:t>
      </w:r>
    </w:p>
    <w:p w14:paraId="0BD214B0">
      <w:pPr>
        <w:spacing w:line="240" w:lineRule="auto"/>
        <w:ind w:left="284"/>
        <w:jc w:val="both"/>
        <w:rPr>
          <w:rFonts w:ascii="Times New Roman" w:hAnsi="Times New Roman" w:cs="Times New Roman"/>
          <w:b/>
          <w:u w:val="single"/>
        </w:rPr>
      </w:pPr>
      <w:r>
        <w:rPr>
          <w:rFonts w:ascii="Times New Roman" w:hAnsi="Times New Roman" w:cs="Times New Roman"/>
        </w:rPr>
        <w:t>Representante da Empresa</w:t>
      </w:r>
    </w:p>
    <w:p w14:paraId="4100D557">
      <w:pPr>
        <w:widowControl w:val="0"/>
        <w:autoSpaceDE w:val="0"/>
        <w:autoSpaceDN w:val="0"/>
        <w:adjustRightInd w:val="0"/>
        <w:spacing w:line="360" w:lineRule="auto"/>
        <w:ind w:left="284" w:right="-30"/>
        <w:jc w:val="center"/>
        <w:rPr>
          <w:rFonts w:ascii="Times New Roman" w:hAnsi="Times New Roman" w:cs="Times New Roman"/>
          <w:b/>
          <w:u w:val="single"/>
        </w:rPr>
      </w:pPr>
      <w:r>
        <w:rPr>
          <w:rFonts w:ascii="Times New Roman" w:hAnsi="Times New Roman" w:cs="Times New Roman"/>
          <w:b/>
          <w:u w:val="single"/>
        </w:rPr>
        <w:t>ANEXO A</w:t>
      </w:r>
    </w:p>
    <w:p w14:paraId="174579DF">
      <w:pPr>
        <w:widowControl w:val="0"/>
        <w:autoSpaceDE w:val="0"/>
        <w:autoSpaceDN w:val="0"/>
        <w:adjustRightInd w:val="0"/>
        <w:spacing w:line="360" w:lineRule="auto"/>
        <w:ind w:left="284" w:right="-30"/>
        <w:jc w:val="center"/>
        <w:rPr>
          <w:rFonts w:ascii="Times New Roman" w:hAnsi="Times New Roman" w:cs="Times New Roman"/>
          <w:b/>
          <w:u w:val="single"/>
        </w:rPr>
      </w:pPr>
      <w:r>
        <w:rPr>
          <w:rFonts w:ascii="Times New Roman" w:hAnsi="Times New Roman" w:cs="Times New Roman"/>
          <w:b/>
          <w:u w:val="single"/>
        </w:rPr>
        <w:t>Cadastro Reserva</w:t>
      </w:r>
    </w:p>
    <w:p w14:paraId="5AB040C9">
      <w:pPr>
        <w:widowControl w:val="0"/>
        <w:autoSpaceDE w:val="0"/>
        <w:autoSpaceDN w:val="0"/>
        <w:adjustRightInd w:val="0"/>
        <w:spacing w:line="360" w:lineRule="auto"/>
        <w:ind w:left="284" w:right="-30"/>
        <w:jc w:val="center"/>
        <w:rPr>
          <w:rFonts w:ascii="Times New Roman" w:hAnsi="Times New Roman" w:cs="Times New Roman"/>
          <w:b/>
          <w:u w:val="single"/>
        </w:rPr>
      </w:pPr>
    </w:p>
    <w:p w14:paraId="4D64413E">
      <w:pPr>
        <w:widowControl w:val="0"/>
        <w:autoSpaceDE w:val="0"/>
        <w:autoSpaceDN w:val="0"/>
        <w:adjustRightInd w:val="0"/>
        <w:spacing w:line="360" w:lineRule="auto"/>
        <w:ind w:right="-30"/>
        <w:jc w:val="both"/>
        <w:rPr>
          <w:rFonts w:ascii="Times New Roman" w:hAnsi="Times New Roman" w:cs="Times New Roman"/>
        </w:rPr>
      </w:pPr>
      <w:r>
        <w:rPr>
          <w:rFonts w:ascii="Times New Roman" w:hAnsi="Times New Roman" w:cs="Times New Roman"/>
        </w:rPr>
        <w:t>Seguindo a ordem de classificação, segue relação de fornecedores que aceitaram cotar os itens com preços iguais ao adjudicatário:</w:t>
      </w:r>
    </w:p>
    <w:p w14:paraId="39C66E34">
      <w:pPr>
        <w:widowControl w:val="0"/>
        <w:autoSpaceDE w:val="0"/>
        <w:autoSpaceDN w:val="0"/>
        <w:adjustRightInd w:val="0"/>
        <w:spacing w:line="360" w:lineRule="auto"/>
        <w:ind w:left="284" w:right="-30"/>
        <w:jc w:val="center"/>
        <w:rPr>
          <w:rFonts w:ascii="Times New Roman" w:hAnsi="Times New Roman" w:cs="Times New Roman"/>
        </w:rPr>
      </w:pPr>
    </w:p>
    <w:tbl>
      <w:tblPr>
        <w:tblStyle w:val="8"/>
        <w:tblW w:w="8634" w:type="dxa"/>
        <w:tblInd w:w="10" w:type="dxa"/>
        <w:tblLayout w:type="fixed"/>
        <w:tblCellMar>
          <w:top w:w="0" w:type="dxa"/>
          <w:left w:w="10" w:type="dxa"/>
          <w:bottom w:w="0" w:type="dxa"/>
          <w:right w:w="10" w:type="dxa"/>
        </w:tblCellMar>
      </w:tblPr>
      <w:tblGrid>
        <w:gridCol w:w="838"/>
        <w:gridCol w:w="1134"/>
        <w:gridCol w:w="850"/>
        <w:gridCol w:w="851"/>
        <w:gridCol w:w="992"/>
        <w:gridCol w:w="992"/>
        <w:gridCol w:w="993"/>
        <w:gridCol w:w="850"/>
        <w:gridCol w:w="1134"/>
      </w:tblGrid>
      <w:tr w14:paraId="408A77DB">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16F4DB31">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Item</w:t>
            </w:r>
          </w:p>
          <w:p w14:paraId="4B63EF1E">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do</w:t>
            </w:r>
          </w:p>
          <w:p w14:paraId="2C44F1D0">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TR</w:t>
            </w:r>
          </w:p>
        </w:tc>
        <w:tc>
          <w:tcPr>
            <w:tcW w:w="7796" w:type="dxa"/>
            <w:gridSpan w:val="8"/>
            <w:tcBorders>
              <w:top w:val="single" w:color="000000" w:sz="2" w:space="0"/>
              <w:left w:val="single" w:color="000000" w:sz="2" w:space="0"/>
              <w:bottom w:val="single" w:color="000000" w:sz="2" w:space="0"/>
              <w:right w:val="single" w:color="000000" w:sz="2" w:space="0"/>
            </w:tcBorders>
          </w:tcPr>
          <w:p w14:paraId="086DD416">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Fornecedor (razão social, CNPJ/MF, endereço, contatos, representante)</w:t>
            </w:r>
          </w:p>
          <w:p w14:paraId="0CAE18E2">
            <w:pPr>
              <w:widowControl w:val="0"/>
              <w:autoSpaceDE w:val="0"/>
              <w:autoSpaceDN w:val="0"/>
              <w:adjustRightInd w:val="0"/>
              <w:spacing w:line="360" w:lineRule="auto"/>
              <w:ind w:left="284" w:right="-30"/>
              <w:jc w:val="center"/>
              <w:rPr>
                <w:rFonts w:ascii="Times New Roman" w:hAnsi="Times New Roman" w:cs="Times New Roman"/>
                <w:sz w:val="18"/>
                <w:szCs w:val="18"/>
              </w:rPr>
            </w:pPr>
          </w:p>
        </w:tc>
      </w:tr>
      <w:tr w14:paraId="2C984057">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3D21C20A">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X</w:t>
            </w:r>
          </w:p>
        </w:tc>
        <w:tc>
          <w:tcPr>
            <w:tcW w:w="1134" w:type="dxa"/>
            <w:tcBorders>
              <w:top w:val="nil"/>
              <w:left w:val="single" w:color="000000" w:sz="2" w:space="0"/>
              <w:bottom w:val="single" w:color="000000" w:sz="2" w:space="0"/>
              <w:right w:val="nil"/>
            </w:tcBorders>
          </w:tcPr>
          <w:p w14:paraId="635E2E15">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Especificação</w:t>
            </w:r>
          </w:p>
        </w:tc>
        <w:tc>
          <w:tcPr>
            <w:tcW w:w="850" w:type="dxa"/>
            <w:tcBorders>
              <w:top w:val="nil"/>
              <w:left w:val="single" w:color="000000" w:sz="2" w:space="0"/>
              <w:bottom w:val="single" w:color="000000" w:sz="2" w:space="0"/>
              <w:right w:val="nil"/>
            </w:tcBorders>
          </w:tcPr>
          <w:p w14:paraId="72026426">
            <w:pPr>
              <w:widowControl w:val="0"/>
              <w:autoSpaceDE w:val="0"/>
              <w:autoSpaceDN w:val="0"/>
              <w:adjustRightInd w:val="0"/>
              <w:spacing w:line="360" w:lineRule="auto"/>
              <w:ind w:right="-30"/>
              <w:jc w:val="center"/>
              <w:rPr>
                <w:rFonts w:ascii="Times New Roman" w:hAnsi="Times New Roman" w:cs="Times New Roman"/>
                <w:iCs/>
                <w:sz w:val="18"/>
                <w:szCs w:val="18"/>
              </w:rPr>
            </w:pPr>
            <w:r>
              <w:rPr>
                <w:rFonts w:ascii="Times New Roman" w:hAnsi="Times New Roman" w:cs="Times New Roman"/>
                <w:iCs/>
                <w:sz w:val="18"/>
                <w:szCs w:val="18"/>
              </w:rPr>
              <w:t>Marca</w:t>
            </w:r>
          </w:p>
          <w:p w14:paraId="04B7A40C">
            <w:pPr>
              <w:widowControl w:val="0"/>
              <w:autoSpaceDE w:val="0"/>
              <w:autoSpaceDN w:val="0"/>
              <w:adjustRightInd w:val="0"/>
              <w:spacing w:line="360" w:lineRule="auto"/>
              <w:ind w:right="-30"/>
              <w:jc w:val="center"/>
              <w:rPr>
                <w:rFonts w:ascii="Times New Roman" w:hAnsi="Times New Roman" w:cs="Times New Roman"/>
                <w:iCs/>
                <w:sz w:val="18"/>
                <w:szCs w:val="18"/>
              </w:rPr>
            </w:pPr>
            <w:r>
              <w:rPr>
                <w:rFonts w:ascii="Times New Roman" w:hAnsi="Times New Roman" w:cs="Times New Roman"/>
                <w:iCs/>
                <w:sz w:val="18"/>
                <w:szCs w:val="18"/>
              </w:rPr>
              <w:t>(se exigida no edital)</w:t>
            </w:r>
          </w:p>
        </w:tc>
        <w:tc>
          <w:tcPr>
            <w:tcW w:w="851" w:type="dxa"/>
            <w:tcBorders>
              <w:top w:val="nil"/>
              <w:left w:val="single" w:color="000000" w:sz="2" w:space="0"/>
              <w:bottom w:val="single" w:color="000000" w:sz="2" w:space="0"/>
              <w:right w:val="nil"/>
            </w:tcBorders>
          </w:tcPr>
          <w:p w14:paraId="0731332E">
            <w:pPr>
              <w:widowControl w:val="0"/>
              <w:autoSpaceDE w:val="0"/>
              <w:autoSpaceDN w:val="0"/>
              <w:adjustRightInd w:val="0"/>
              <w:spacing w:line="360" w:lineRule="auto"/>
              <w:ind w:right="-30"/>
              <w:jc w:val="center"/>
              <w:rPr>
                <w:rFonts w:ascii="Times New Roman" w:hAnsi="Times New Roman" w:cs="Times New Roman"/>
                <w:iCs/>
                <w:sz w:val="18"/>
                <w:szCs w:val="18"/>
              </w:rPr>
            </w:pPr>
            <w:r>
              <w:rPr>
                <w:rFonts w:ascii="Times New Roman" w:hAnsi="Times New Roman" w:cs="Times New Roman"/>
                <w:iCs/>
                <w:sz w:val="18"/>
                <w:szCs w:val="18"/>
              </w:rPr>
              <w:t>Modelo</w:t>
            </w:r>
          </w:p>
          <w:p w14:paraId="4A40DC6F">
            <w:pPr>
              <w:widowControl w:val="0"/>
              <w:autoSpaceDE w:val="0"/>
              <w:autoSpaceDN w:val="0"/>
              <w:adjustRightInd w:val="0"/>
              <w:spacing w:line="360" w:lineRule="auto"/>
              <w:ind w:right="-30"/>
              <w:jc w:val="center"/>
              <w:rPr>
                <w:rFonts w:ascii="Times New Roman" w:hAnsi="Times New Roman" w:cs="Times New Roman"/>
                <w:iCs/>
                <w:sz w:val="18"/>
                <w:szCs w:val="18"/>
              </w:rPr>
            </w:pPr>
            <w:r>
              <w:rPr>
                <w:rFonts w:ascii="Times New Roman" w:hAnsi="Times New Roman" w:cs="Times New Roman"/>
                <w:iCs/>
                <w:sz w:val="18"/>
                <w:szCs w:val="18"/>
              </w:rPr>
              <w:t>(se exigido no edital)</w:t>
            </w:r>
          </w:p>
        </w:tc>
        <w:tc>
          <w:tcPr>
            <w:tcW w:w="992" w:type="dxa"/>
            <w:tcBorders>
              <w:top w:val="nil"/>
              <w:left w:val="single" w:color="000000" w:sz="2" w:space="0"/>
              <w:bottom w:val="single" w:color="000000" w:sz="2" w:space="0"/>
              <w:right w:val="nil"/>
            </w:tcBorders>
          </w:tcPr>
          <w:p w14:paraId="3731AF62">
            <w:pPr>
              <w:widowControl w:val="0"/>
              <w:autoSpaceDE w:val="0"/>
              <w:autoSpaceDN w:val="0"/>
              <w:adjustRightInd w:val="0"/>
              <w:spacing w:line="360" w:lineRule="auto"/>
              <w:ind w:left="-9" w:right="-30"/>
              <w:jc w:val="center"/>
              <w:rPr>
                <w:rFonts w:ascii="Times New Roman" w:hAnsi="Times New Roman" w:cs="Times New Roman"/>
                <w:sz w:val="18"/>
                <w:szCs w:val="18"/>
              </w:rPr>
            </w:pPr>
            <w:r>
              <w:rPr>
                <w:rFonts w:ascii="Times New Roman" w:hAnsi="Times New Roman" w:cs="Times New Roman"/>
                <w:sz w:val="18"/>
                <w:szCs w:val="18"/>
              </w:rPr>
              <w:t>Unidade</w:t>
            </w:r>
          </w:p>
        </w:tc>
        <w:tc>
          <w:tcPr>
            <w:tcW w:w="992" w:type="dxa"/>
            <w:tcBorders>
              <w:top w:val="nil"/>
              <w:left w:val="single" w:color="000000" w:sz="2" w:space="0"/>
              <w:bottom w:val="single" w:color="000000" w:sz="2" w:space="0"/>
              <w:right w:val="nil"/>
            </w:tcBorders>
          </w:tcPr>
          <w:p w14:paraId="5198C3E7">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Quantidade Máxima</w:t>
            </w:r>
          </w:p>
        </w:tc>
        <w:tc>
          <w:tcPr>
            <w:tcW w:w="993" w:type="dxa"/>
            <w:tcBorders>
              <w:top w:val="nil"/>
              <w:left w:val="single" w:color="000000" w:sz="2" w:space="0"/>
              <w:bottom w:val="single" w:color="000000" w:sz="2" w:space="0"/>
              <w:right w:val="single" w:color="000000" w:sz="2" w:space="0"/>
            </w:tcBorders>
          </w:tcPr>
          <w:p w14:paraId="744AAA28">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Quantidade Mínima</w:t>
            </w:r>
          </w:p>
        </w:tc>
        <w:tc>
          <w:tcPr>
            <w:tcW w:w="850" w:type="dxa"/>
            <w:tcBorders>
              <w:top w:val="nil"/>
              <w:left w:val="single" w:color="000000" w:sz="2" w:space="0"/>
              <w:bottom w:val="single" w:color="000000" w:sz="2" w:space="0"/>
              <w:right w:val="nil"/>
            </w:tcBorders>
          </w:tcPr>
          <w:p w14:paraId="4F00B8CC">
            <w:pPr>
              <w:widowControl w:val="0"/>
              <w:autoSpaceDE w:val="0"/>
              <w:autoSpaceDN w:val="0"/>
              <w:adjustRightInd w:val="0"/>
              <w:spacing w:line="360" w:lineRule="auto"/>
              <w:ind w:left="-12" w:right="-30"/>
              <w:jc w:val="center"/>
              <w:rPr>
                <w:rFonts w:ascii="Times New Roman" w:hAnsi="Times New Roman" w:cs="Times New Roman"/>
                <w:sz w:val="18"/>
                <w:szCs w:val="18"/>
              </w:rPr>
            </w:pPr>
            <w:r>
              <w:rPr>
                <w:rFonts w:ascii="Times New Roman" w:hAnsi="Times New Roman" w:cs="Times New Roman"/>
                <w:sz w:val="18"/>
                <w:szCs w:val="18"/>
              </w:rPr>
              <w:t>Valor Un</w:t>
            </w:r>
          </w:p>
        </w:tc>
        <w:tc>
          <w:tcPr>
            <w:tcW w:w="1134" w:type="dxa"/>
            <w:tcBorders>
              <w:top w:val="nil"/>
              <w:left w:val="single" w:color="000000" w:sz="2" w:space="0"/>
              <w:bottom w:val="single" w:color="000000" w:sz="2" w:space="0"/>
              <w:right w:val="single" w:color="000000" w:sz="2" w:space="0"/>
            </w:tcBorders>
          </w:tcPr>
          <w:p w14:paraId="37CF4527">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iCs/>
                <w:sz w:val="18"/>
                <w:szCs w:val="18"/>
              </w:rPr>
              <w:t>Prazo garantia ou validade</w:t>
            </w:r>
          </w:p>
        </w:tc>
      </w:tr>
      <w:tr w14:paraId="521CE65B">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4E41E01A">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1134" w:type="dxa"/>
            <w:tcBorders>
              <w:top w:val="nil"/>
              <w:left w:val="single" w:color="000000" w:sz="2" w:space="0"/>
              <w:bottom w:val="single" w:color="000000" w:sz="2" w:space="0"/>
              <w:right w:val="nil"/>
            </w:tcBorders>
          </w:tcPr>
          <w:p w14:paraId="6E70AB38">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850" w:type="dxa"/>
            <w:tcBorders>
              <w:top w:val="nil"/>
              <w:left w:val="single" w:color="000000" w:sz="2" w:space="0"/>
              <w:bottom w:val="single" w:color="000000" w:sz="2" w:space="0"/>
              <w:right w:val="nil"/>
            </w:tcBorders>
          </w:tcPr>
          <w:p w14:paraId="5D3C82EB">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851" w:type="dxa"/>
            <w:tcBorders>
              <w:top w:val="nil"/>
              <w:left w:val="single" w:color="000000" w:sz="2" w:space="0"/>
              <w:bottom w:val="single" w:color="000000" w:sz="2" w:space="0"/>
              <w:right w:val="nil"/>
            </w:tcBorders>
          </w:tcPr>
          <w:p w14:paraId="55A3B9AC">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nil"/>
            </w:tcBorders>
          </w:tcPr>
          <w:p w14:paraId="23FCE350">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nil"/>
            </w:tcBorders>
          </w:tcPr>
          <w:p w14:paraId="11B6E4FA">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993" w:type="dxa"/>
            <w:tcBorders>
              <w:top w:val="nil"/>
              <w:left w:val="single" w:color="000000" w:sz="2" w:space="0"/>
              <w:bottom w:val="single" w:color="000000" w:sz="2" w:space="0"/>
              <w:right w:val="single" w:color="000000" w:sz="2" w:space="0"/>
            </w:tcBorders>
          </w:tcPr>
          <w:p w14:paraId="15ABF384">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850" w:type="dxa"/>
            <w:tcBorders>
              <w:top w:val="nil"/>
              <w:left w:val="single" w:color="000000" w:sz="2" w:space="0"/>
              <w:bottom w:val="single" w:color="000000" w:sz="2" w:space="0"/>
              <w:right w:val="nil"/>
            </w:tcBorders>
          </w:tcPr>
          <w:p w14:paraId="5A059A1D">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1134" w:type="dxa"/>
            <w:tcBorders>
              <w:top w:val="nil"/>
              <w:left w:val="single" w:color="000000" w:sz="2" w:space="0"/>
              <w:bottom w:val="single" w:color="000000" w:sz="2" w:space="0"/>
              <w:right w:val="single" w:color="000000" w:sz="2" w:space="0"/>
            </w:tcBorders>
          </w:tcPr>
          <w:p w14:paraId="6AA6D118">
            <w:pPr>
              <w:widowControl w:val="0"/>
              <w:autoSpaceDE w:val="0"/>
              <w:autoSpaceDN w:val="0"/>
              <w:adjustRightInd w:val="0"/>
              <w:spacing w:line="360" w:lineRule="auto"/>
              <w:ind w:left="284" w:right="-30"/>
              <w:jc w:val="both"/>
              <w:rPr>
                <w:rFonts w:ascii="Times New Roman" w:hAnsi="Times New Roman" w:cs="Times New Roman"/>
                <w:sz w:val="18"/>
                <w:szCs w:val="18"/>
              </w:rPr>
            </w:pPr>
          </w:p>
        </w:tc>
      </w:tr>
    </w:tbl>
    <w:p w14:paraId="584D2264">
      <w:pPr>
        <w:widowControl w:val="0"/>
        <w:autoSpaceDE w:val="0"/>
        <w:autoSpaceDN w:val="0"/>
        <w:adjustRightInd w:val="0"/>
        <w:spacing w:line="360" w:lineRule="auto"/>
        <w:ind w:left="284" w:right="-30"/>
        <w:jc w:val="center"/>
        <w:rPr>
          <w:rFonts w:ascii="Times New Roman" w:hAnsi="Times New Roman" w:cs="Times New Roman"/>
        </w:rPr>
      </w:pPr>
    </w:p>
    <w:p w14:paraId="40E80873">
      <w:pPr>
        <w:widowControl w:val="0"/>
        <w:autoSpaceDE w:val="0"/>
        <w:autoSpaceDN w:val="0"/>
        <w:adjustRightInd w:val="0"/>
        <w:spacing w:line="360" w:lineRule="auto"/>
        <w:ind w:right="-30"/>
        <w:jc w:val="both"/>
        <w:rPr>
          <w:rFonts w:ascii="Times New Roman" w:hAnsi="Times New Roman" w:cs="Times New Roman"/>
        </w:rPr>
      </w:pPr>
      <w:r>
        <w:rPr>
          <w:rFonts w:ascii="Times New Roman" w:hAnsi="Times New Roman" w:cs="Times New Roman"/>
        </w:rPr>
        <w:t>Seguindo a ordem de classificação, segue relação de fornecedores que mantiveram sua proposta original:</w:t>
      </w:r>
    </w:p>
    <w:p w14:paraId="2E28DE62">
      <w:pPr>
        <w:widowControl w:val="0"/>
        <w:autoSpaceDE w:val="0"/>
        <w:autoSpaceDN w:val="0"/>
        <w:adjustRightInd w:val="0"/>
        <w:spacing w:line="360" w:lineRule="auto"/>
        <w:ind w:left="284" w:right="-30"/>
        <w:jc w:val="center"/>
        <w:rPr>
          <w:rFonts w:ascii="Times New Roman" w:hAnsi="Times New Roman" w:cs="Times New Roman"/>
        </w:rPr>
      </w:pPr>
    </w:p>
    <w:tbl>
      <w:tblPr>
        <w:tblStyle w:val="8"/>
        <w:tblW w:w="8634" w:type="dxa"/>
        <w:tblInd w:w="10" w:type="dxa"/>
        <w:tblLayout w:type="fixed"/>
        <w:tblCellMar>
          <w:top w:w="0" w:type="dxa"/>
          <w:left w:w="10" w:type="dxa"/>
          <w:bottom w:w="0" w:type="dxa"/>
          <w:right w:w="10" w:type="dxa"/>
        </w:tblCellMar>
      </w:tblPr>
      <w:tblGrid>
        <w:gridCol w:w="838"/>
        <w:gridCol w:w="1134"/>
        <w:gridCol w:w="850"/>
        <w:gridCol w:w="851"/>
        <w:gridCol w:w="992"/>
        <w:gridCol w:w="992"/>
        <w:gridCol w:w="851"/>
        <w:gridCol w:w="992"/>
        <w:gridCol w:w="1134"/>
      </w:tblGrid>
      <w:tr w14:paraId="4301100C">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585BAF23">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Item</w:t>
            </w:r>
          </w:p>
          <w:p w14:paraId="3EA78602">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do</w:t>
            </w:r>
          </w:p>
          <w:p w14:paraId="2A76D224">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TR</w:t>
            </w:r>
          </w:p>
        </w:tc>
        <w:tc>
          <w:tcPr>
            <w:tcW w:w="7796" w:type="dxa"/>
            <w:gridSpan w:val="8"/>
            <w:tcBorders>
              <w:top w:val="single" w:color="000000" w:sz="2" w:space="0"/>
              <w:left w:val="single" w:color="000000" w:sz="2" w:space="0"/>
              <w:bottom w:val="single" w:color="000000" w:sz="2" w:space="0"/>
              <w:right w:val="single" w:color="000000" w:sz="2" w:space="0"/>
            </w:tcBorders>
          </w:tcPr>
          <w:p w14:paraId="54758912">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Fornecedor (razão social, CNPJ/MF, endereço, contatos, representante)</w:t>
            </w:r>
          </w:p>
          <w:p w14:paraId="2047D13B">
            <w:pPr>
              <w:widowControl w:val="0"/>
              <w:autoSpaceDE w:val="0"/>
              <w:autoSpaceDN w:val="0"/>
              <w:adjustRightInd w:val="0"/>
              <w:spacing w:line="360" w:lineRule="auto"/>
              <w:ind w:left="284" w:right="-30"/>
              <w:jc w:val="center"/>
              <w:rPr>
                <w:rFonts w:ascii="Times New Roman" w:hAnsi="Times New Roman" w:cs="Times New Roman"/>
                <w:sz w:val="18"/>
                <w:szCs w:val="18"/>
              </w:rPr>
            </w:pPr>
          </w:p>
        </w:tc>
      </w:tr>
      <w:tr w14:paraId="44ADFC42">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71DC5EA3">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X</w:t>
            </w:r>
          </w:p>
        </w:tc>
        <w:tc>
          <w:tcPr>
            <w:tcW w:w="1134" w:type="dxa"/>
            <w:tcBorders>
              <w:top w:val="nil"/>
              <w:left w:val="single" w:color="000000" w:sz="2" w:space="0"/>
              <w:bottom w:val="single" w:color="000000" w:sz="2" w:space="0"/>
              <w:right w:val="nil"/>
            </w:tcBorders>
          </w:tcPr>
          <w:p w14:paraId="594F5EAD">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Especificação</w:t>
            </w:r>
          </w:p>
        </w:tc>
        <w:tc>
          <w:tcPr>
            <w:tcW w:w="850" w:type="dxa"/>
            <w:tcBorders>
              <w:top w:val="nil"/>
              <w:left w:val="single" w:color="000000" w:sz="2" w:space="0"/>
              <w:bottom w:val="single" w:color="000000" w:sz="2" w:space="0"/>
              <w:right w:val="nil"/>
            </w:tcBorders>
          </w:tcPr>
          <w:p w14:paraId="72BAAF7B">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Marca</w:t>
            </w:r>
          </w:p>
          <w:p w14:paraId="4911F25A">
            <w:pPr>
              <w:widowControl w:val="0"/>
              <w:autoSpaceDE w:val="0"/>
              <w:autoSpaceDN w:val="0"/>
              <w:adjustRightInd w:val="0"/>
              <w:spacing w:line="360" w:lineRule="auto"/>
              <w:ind w:left="-10" w:right="-30"/>
              <w:jc w:val="center"/>
              <w:rPr>
                <w:rFonts w:ascii="Times New Roman" w:hAnsi="Times New Roman" w:cs="Times New Roman"/>
                <w:sz w:val="18"/>
                <w:szCs w:val="18"/>
              </w:rPr>
            </w:pPr>
            <w:r>
              <w:rPr>
                <w:rFonts w:ascii="Times New Roman" w:hAnsi="Times New Roman" w:cs="Times New Roman"/>
                <w:sz w:val="18"/>
                <w:szCs w:val="18"/>
              </w:rPr>
              <w:t>(se exigida no edital)</w:t>
            </w:r>
          </w:p>
        </w:tc>
        <w:tc>
          <w:tcPr>
            <w:tcW w:w="851" w:type="dxa"/>
            <w:tcBorders>
              <w:top w:val="nil"/>
              <w:left w:val="single" w:color="000000" w:sz="2" w:space="0"/>
              <w:bottom w:val="single" w:color="000000" w:sz="2" w:space="0"/>
              <w:right w:val="nil"/>
            </w:tcBorders>
          </w:tcPr>
          <w:p w14:paraId="42C8160D">
            <w:pPr>
              <w:widowControl w:val="0"/>
              <w:autoSpaceDE w:val="0"/>
              <w:autoSpaceDN w:val="0"/>
              <w:adjustRightInd w:val="0"/>
              <w:spacing w:line="360" w:lineRule="auto"/>
              <w:ind w:left="284" w:right="-30"/>
              <w:jc w:val="center"/>
              <w:rPr>
                <w:rFonts w:ascii="Times New Roman" w:hAnsi="Times New Roman" w:cs="Times New Roman"/>
                <w:sz w:val="18"/>
                <w:szCs w:val="18"/>
              </w:rPr>
            </w:pPr>
            <w:r>
              <w:rPr>
                <w:rFonts w:ascii="Times New Roman" w:hAnsi="Times New Roman" w:cs="Times New Roman"/>
                <w:sz w:val="18"/>
                <w:szCs w:val="18"/>
              </w:rPr>
              <w:t>Modelo</w:t>
            </w:r>
          </w:p>
          <w:p w14:paraId="419FBA64">
            <w:pPr>
              <w:widowControl w:val="0"/>
              <w:autoSpaceDE w:val="0"/>
              <w:autoSpaceDN w:val="0"/>
              <w:adjustRightInd w:val="0"/>
              <w:spacing w:line="360" w:lineRule="auto"/>
              <w:ind w:left="14" w:right="-30"/>
              <w:jc w:val="center"/>
              <w:rPr>
                <w:rFonts w:ascii="Times New Roman" w:hAnsi="Times New Roman" w:cs="Times New Roman"/>
                <w:sz w:val="18"/>
                <w:szCs w:val="18"/>
              </w:rPr>
            </w:pPr>
            <w:r>
              <w:rPr>
                <w:rFonts w:ascii="Times New Roman" w:hAnsi="Times New Roman" w:cs="Times New Roman"/>
                <w:sz w:val="18"/>
                <w:szCs w:val="18"/>
              </w:rPr>
              <w:t>(se exigido no edital)</w:t>
            </w:r>
          </w:p>
        </w:tc>
        <w:tc>
          <w:tcPr>
            <w:tcW w:w="992" w:type="dxa"/>
            <w:tcBorders>
              <w:top w:val="nil"/>
              <w:left w:val="single" w:color="000000" w:sz="2" w:space="0"/>
              <w:bottom w:val="single" w:color="000000" w:sz="2" w:space="0"/>
              <w:right w:val="nil"/>
            </w:tcBorders>
          </w:tcPr>
          <w:p w14:paraId="510FC73A">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Unidade</w:t>
            </w:r>
          </w:p>
        </w:tc>
        <w:tc>
          <w:tcPr>
            <w:tcW w:w="992" w:type="dxa"/>
            <w:tcBorders>
              <w:top w:val="nil"/>
              <w:left w:val="single" w:color="000000" w:sz="2" w:space="0"/>
              <w:bottom w:val="single" w:color="000000" w:sz="2" w:space="0"/>
              <w:right w:val="nil"/>
            </w:tcBorders>
          </w:tcPr>
          <w:p w14:paraId="1D33FD91">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Quantidade Máxima</w:t>
            </w:r>
          </w:p>
        </w:tc>
        <w:tc>
          <w:tcPr>
            <w:tcW w:w="851" w:type="dxa"/>
            <w:tcBorders>
              <w:top w:val="nil"/>
              <w:left w:val="single" w:color="000000" w:sz="2" w:space="0"/>
              <w:bottom w:val="single" w:color="000000" w:sz="2" w:space="0"/>
              <w:right w:val="single" w:color="000000" w:sz="2" w:space="0"/>
            </w:tcBorders>
          </w:tcPr>
          <w:p w14:paraId="60AEE864">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Quantidade Mínima</w:t>
            </w:r>
          </w:p>
        </w:tc>
        <w:tc>
          <w:tcPr>
            <w:tcW w:w="992" w:type="dxa"/>
            <w:tcBorders>
              <w:top w:val="nil"/>
              <w:left w:val="single" w:color="000000" w:sz="2" w:space="0"/>
              <w:bottom w:val="single" w:color="000000" w:sz="2" w:space="0"/>
              <w:right w:val="nil"/>
            </w:tcBorders>
          </w:tcPr>
          <w:p w14:paraId="05455A5B">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Valor Un</w:t>
            </w:r>
          </w:p>
        </w:tc>
        <w:tc>
          <w:tcPr>
            <w:tcW w:w="1134" w:type="dxa"/>
            <w:tcBorders>
              <w:top w:val="nil"/>
              <w:left w:val="single" w:color="000000" w:sz="2" w:space="0"/>
              <w:bottom w:val="single" w:color="000000" w:sz="2" w:space="0"/>
              <w:right w:val="single" w:color="000000" w:sz="2" w:space="0"/>
            </w:tcBorders>
          </w:tcPr>
          <w:p w14:paraId="0191DCD2">
            <w:pPr>
              <w:widowControl w:val="0"/>
              <w:autoSpaceDE w:val="0"/>
              <w:autoSpaceDN w:val="0"/>
              <w:adjustRightInd w:val="0"/>
              <w:spacing w:line="360" w:lineRule="auto"/>
              <w:ind w:right="-30"/>
              <w:jc w:val="center"/>
              <w:rPr>
                <w:rFonts w:ascii="Times New Roman" w:hAnsi="Times New Roman" w:cs="Times New Roman"/>
                <w:sz w:val="18"/>
                <w:szCs w:val="18"/>
              </w:rPr>
            </w:pPr>
            <w:r>
              <w:rPr>
                <w:rFonts w:ascii="Times New Roman" w:hAnsi="Times New Roman" w:cs="Times New Roman"/>
                <w:sz w:val="18"/>
                <w:szCs w:val="18"/>
              </w:rPr>
              <w:t>Prazo garantia ou validade</w:t>
            </w:r>
          </w:p>
        </w:tc>
      </w:tr>
      <w:tr w14:paraId="0F1EC7F6">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2F1551F4">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1134" w:type="dxa"/>
            <w:tcBorders>
              <w:top w:val="nil"/>
              <w:left w:val="single" w:color="000000" w:sz="2" w:space="0"/>
              <w:bottom w:val="single" w:color="000000" w:sz="2" w:space="0"/>
              <w:right w:val="nil"/>
            </w:tcBorders>
          </w:tcPr>
          <w:p w14:paraId="16A6A703">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850" w:type="dxa"/>
            <w:tcBorders>
              <w:top w:val="nil"/>
              <w:left w:val="single" w:color="000000" w:sz="2" w:space="0"/>
              <w:bottom w:val="single" w:color="000000" w:sz="2" w:space="0"/>
              <w:right w:val="nil"/>
            </w:tcBorders>
          </w:tcPr>
          <w:p w14:paraId="3149F885">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851" w:type="dxa"/>
            <w:tcBorders>
              <w:top w:val="nil"/>
              <w:left w:val="single" w:color="000000" w:sz="2" w:space="0"/>
              <w:bottom w:val="single" w:color="000000" w:sz="2" w:space="0"/>
              <w:right w:val="nil"/>
            </w:tcBorders>
          </w:tcPr>
          <w:p w14:paraId="4420D783">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nil"/>
            </w:tcBorders>
          </w:tcPr>
          <w:p w14:paraId="196E83E9">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nil"/>
            </w:tcBorders>
          </w:tcPr>
          <w:p w14:paraId="25B8EB21">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851" w:type="dxa"/>
            <w:tcBorders>
              <w:top w:val="nil"/>
              <w:left w:val="single" w:color="000000" w:sz="2" w:space="0"/>
              <w:bottom w:val="single" w:color="000000" w:sz="2" w:space="0"/>
              <w:right w:val="single" w:color="000000" w:sz="2" w:space="0"/>
            </w:tcBorders>
          </w:tcPr>
          <w:p w14:paraId="10CB99D0">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992" w:type="dxa"/>
            <w:tcBorders>
              <w:top w:val="nil"/>
              <w:left w:val="single" w:color="000000" w:sz="2" w:space="0"/>
              <w:bottom w:val="single" w:color="000000" w:sz="2" w:space="0"/>
              <w:right w:val="nil"/>
            </w:tcBorders>
          </w:tcPr>
          <w:p w14:paraId="2EF2FB93">
            <w:pPr>
              <w:widowControl w:val="0"/>
              <w:autoSpaceDE w:val="0"/>
              <w:autoSpaceDN w:val="0"/>
              <w:adjustRightInd w:val="0"/>
              <w:spacing w:line="360" w:lineRule="auto"/>
              <w:ind w:left="284" w:right="-30"/>
              <w:jc w:val="both"/>
              <w:rPr>
                <w:rFonts w:ascii="Times New Roman" w:hAnsi="Times New Roman" w:cs="Times New Roman"/>
                <w:sz w:val="18"/>
                <w:szCs w:val="18"/>
              </w:rPr>
            </w:pPr>
          </w:p>
        </w:tc>
        <w:tc>
          <w:tcPr>
            <w:tcW w:w="1134" w:type="dxa"/>
            <w:tcBorders>
              <w:top w:val="nil"/>
              <w:left w:val="single" w:color="000000" w:sz="2" w:space="0"/>
              <w:bottom w:val="single" w:color="000000" w:sz="2" w:space="0"/>
              <w:right w:val="single" w:color="000000" w:sz="2" w:space="0"/>
            </w:tcBorders>
          </w:tcPr>
          <w:p w14:paraId="3C65EE07">
            <w:pPr>
              <w:widowControl w:val="0"/>
              <w:autoSpaceDE w:val="0"/>
              <w:autoSpaceDN w:val="0"/>
              <w:adjustRightInd w:val="0"/>
              <w:spacing w:line="360" w:lineRule="auto"/>
              <w:ind w:left="284" w:right="-30"/>
              <w:jc w:val="both"/>
              <w:rPr>
                <w:rFonts w:ascii="Times New Roman" w:hAnsi="Times New Roman" w:cs="Times New Roman"/>
                <w:sz w:val="18"/>
                <w:szCs w:val="18"/>
              </w:rPr>
            </w:pPr>
          </w:p>
        </w:tc>
      </w:tr>
    </w:tbl>
    <w:p w14:paraId="75C64AE1">
      <w:pPr>
        <w:spacing w:line="360" w:lineRule="auto"/>
        <w:jc w:val="center"/>
        <w:rPr>
          <w:rFonts w:ascii="Times New Roman" w:hAnsi="Times New Roman" w:cs="Times New Roman"/>
          <w:b/>
          <w:u w:val="single"/>
        </w:rPr>
      </w:pPr>
    </w:p>
    <w:p w14:paraId="46A2A62B">
      <w:pPr>
        <w:spacing w:line="360" w:lineRule="auto"/>
        <w:jc w:val="center"/>
        <w:rPr>
          <w:rFonts w:ascii="Times New Roman" w:hAnsi="Times New Roman" w:cs="Times New Roman"/>
        </w:rPr>
      </w:pPr>
      <w:r>
        <w:rPr>
          <w:rFonts w:ascii="Times New Roman" w:hAnsi="Times New Roman" w:cs="Times New Roman"/>
          <w:b/>
          <w:u w:val="single"/>
        </w:rPr>
        <w:t>ANEXO V</w:t>
      </w:r>
    </w:p>
    <w:p w14:paraId="63FB4E0E">
      <w:pPr>
        <w:spacing w:line="360" w:lineRule="auto"/>
        <w:ind w:right="-91"/>
        <w:jc w:val="center"/>
        <w:rPr>
          <w:rFonts w:ascii="Times New Roman" w:hAnsi="Times New Roman" w:cs="Times New Roman"/>
          <w:b/>
          <w:u w:val="single"/>
        </w:rPr>
      </w:pPr>
      <w:r>
        <w:rPr>
          <w:rFonts w:ascii="Times New Roman" w:hAnsi="Times New Roman" w:cs="Times New Roman"/>
          <w:b/>
          <w:u w:val="single"/>
        </w:rPr>
        <w:t xml:space="preserve">MODELO DE CADASTRO PARA ASSINATURA DE </w:t>
      </w:r>
    </w:p>
    <w:p w14:paraId="46A634D2">
      <w:pPr>
        <w:spacing w:line="360" w:lineRule="auto"/>
        <w:ind w:right="-91"/>
        <w:jc w:val="center"/>
        <w:rPr>
          <w:rFonts w:ascii="Times New Roman" w:hAnsi="Times New Roman" w:cs="Times New Roman"/>
          <w:b/>
          <w:u w:val="single"/>
        </w:rPr>
      </w:pPr>
      <w:r>
        <w:rPr>
          <w:rFonts w:ascii="Times New Roman" w:hAnsi="Times New Roman" w:cs="Times New Roman"/>
          <w:b/>
          <w:u w:val="single"/>
        </w:rPr>
        <w:t>ATA DE REGISTRO DE PREÇOS E RECEBIMENTO DE EMPENHO</w:t>
      </w:r>
    </w:p>
    <w:p w14:paraId="04641139">
      <w:pPr>
        <w:spacing w:after="0" w:line="240" w:lineRule="auto"/>
        <w:ind w:left="284"/>
        <w:rPr>
          <w:rFonts w:ascii="Times New Roman" w:hAnsi="Times New Roman" w:cs="Times New Roman"/>
        </w:rPr>
      </w:pPr>
      <w:r>
        <w:rPr>
          <w:rFonts w:ascii="Times New Roman" w:hAnsi="Times New Roman" w:cs="Times New Roman"/>
        </w:rPr>
        <w:t>(Timbre da empresa)</w:t>
      </w:r>
    </w:p>
    <w:p w14:paraId="4B10DB08">
      <w:pPr>
        <w:spacing w:after="0" w:line="240" w:lineRule="auto"/>
        <w:ind w:left="284"/>
        <w:rPr>
          <w:rFonts w:ascii="Times New Roman" w:hAnsi="Times New Roman" w:cs="Times New Roman"/>
        </w:rPr>
      </w:pPr>
      <w:r>
        <w:rPr>
          <w:rFonts w:ascii="Times New Roman" w:hAnsi="Times New Roman" w:cs="Times New Roman"/>
        </w:rPr>
        <w:t>(Número e ano da licitação)</w:t>
      </w:r>
    </w:p>
    <w:p w14:paraId="3766493E">
      <w:pPr>
        <w:spacing w:after="0" w:line="240" w:lineRule="auto"/>
        <w:ind w:left="284"/>
        <w:rPr>
          <w:rFonts w:ascii="Times New Roman" w:hAnsi="Times New Roman" w:cs="Times New Roman"/>
        </w:rPr>
      </w:pPr>
    </w:p>
    <w:p w14:paraId="59B2516D">
      <w:pPr>
        <w:spacing w:after="0" w:line="240" w:lineRule="auto"/>
        <w:ind w:left="284"/>
        <w:jc w:val="both"/>
        <w:rPr>
          <w:rFonts w:ascii="Times New Roman" w:hAnsi="Times New Roman" w:cs="Times New Roman"/>
        </w:rPr>
      </w:pPr>
      <w:r>
        <w:rPr>
          <w:rFonts w:ascii="Times New Roman" w:hAnsi="Times New Roman" w:cs="Times New Roman"/>
        </w:rPr>
        <w:t>NOME: ___________________________________________________________________</w:t>
      </w:r>
    </w:p>
    <w:p w14:paraId="0D0E4901">
      <w:pPr>
        <w:spacing w:after="0" w:line="240" w:lineRule="auto"/>
        <w:ind w:left="284"/>
        <w:jc w:val="both"/>
        <w:rPr>
          <w:rFonts w:ascii="Times New Roman" w:hAnsi="Times New Roman" w:cs="Times New Roman"/>
        </w:rPr>
      </w:pPr>
      <w:r>
        <w:rPr>
          <w:rFonts w:ascii="Times New Roman" w:hAnsi="Times New Roman" w:cs="Times New Roman"/>
        </w:rPr>
        <w:t>CARGO: _________________________________________________________________</w:t>
      </w:r>
    </w:p>
    <w:p w14:paraId="5030A957">
      <w:pPr>
        <w:spacing w:after="0" w:line="240" w:lineRule="auto"/>
        <w:ind w:left="284"/>
        <w:jc w:val="both"/>
        <w:rPr>
          <w:rFonts w:ascii="Times New Roman" w:hAnsi="Times New Roman" w:cs="Times New Roman"/>
        </w:rPr>
      </w:pPr>
      <w:r>
        <w:rPr>
          <w:rFonts w:ascii="Times New Roman" w:hAnsi="Times New Roman" w:cs="Times New Roman"/>
        </w:rPr>
        <w:t>TELEFONECOMERCIAL: ___________________CELULAR: _______________________E-MAIL: __________________________________________</w:t>
      </w:r>
    </w:p>
    <w:p w14:paraId="2F050B6A">
      <w:pPr>
        <w:spacing w:after="0" w:line="240" w:lineRule="auto"/>
        <w:ind w:left="284"/>
        <w:jc w:val="both"/>
        <w:rPr>
          <w:rFonts w:ascii="Times New Roman" w:hAnsi="Times New Roman" w:cs="Times New Roman"/>
        </w:rPr>
      </w:pPr>
      <w:r>
        <w:rPr>
          <w:rFonts w:ascii="Times New Roman" w:hAnsi="Times New Roman" w:cs="Times New Roman"/>
        </w:rPr>
        <w:t>Nº IDENTIDADE: _______, ORGÃO EMISSOR: __________Nº CPF: ________________</w:t>
      </w:r>
    </w:p>
    <w:p w14:paraId="26EFF2F4">
      <w:pPr>
        <w:spacing w:after="0" w:line="240" w:lineRule="auto"/>
        <w:ind w:left="284"/>
        <w:jc w:val="both"/>
        <w:rPr>
          <w:rFonts w:ascii="Times New Roman" w:hAnsi="Times New Roman" w:cs="Times New Roman"/>
        </w:rPr>
      </w:pPr>
      <w:r>
        <w:rPr>
          <w:rFonts w:ascii="Times New Roman" w:hAnsi="Times New Roman" w:cs="Times New Roman"/>
        </w:rPr>
        <w:t>ENDEREÇO RESIDENCIAL: __________________________CEP:_____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t>_______________NACIONALIDADE:_____________ESTADO CIVIL: _____________</w:t>
      </w:r>
    </w:p>
    <w:p w14:paraId="79719A47">
      <w:pPr>
        <w:spacing w:after="0" w:line="240" w:lineRule="auto"/>
        <w:ind w:left="284"/>
        <w:jc w:val="both"/>
        <w:rPr>
          <w:rFonts w:ascii="Times New Roman" w:hAnsi="Times New Roman" w:cs="Times New Roman"/>
        </w:rPr>
      </w:pPr>
    </w:p>
    <w:p w14:paraId="17B4512F">
      <w:pPr>
        <w:spacing w:after="0" w:line="240" w:lineRule="auto"/>
        <w:ind w:left="284"/>
        <w:jc w:val="both"/>
        <w:rPr>
          <w:rFonts w:ascii="Times New Roman" w:hAnsi="Times New Roman" w:cs="Times New Roman"/>
        </w:rPr>
      </w:pPr>
    </w:p>
    <w:p w14:paraId="3334DF3F">
      <w:pPr>
        <w:spacing w:after="0" w:line="240" w:lineRule="auto"/>
        <w:ind w:left="284"/>
        <w:jc w:val="both"/>
        <w:rPr>
          <w:rFonts w:ascii="Times New Roman" w:hAnsi="Times New Roman" w:cs="Times New Roman"/>
        </w:rPr>
      </w:pPr>
      <w:r>
        <w:rPr>
          <w:rFonts w:ascii="Times New Roman" w:hAnsi="Times New Roman" w:cs="Times New Roman"/>
        </w:rPr>
        <w:t>Município, _______ DE ___________________ DE ___________.</w:t>
      </w:r>
    </w:p>
    <w:p w14:paraId="6070E1ED">
      <w:pPr>
        <w:spacing w:after="0" w:line="240" w:lineRule="auto"/>
        <w:ind w:left="284"/>
        <w:jc w:val="both"/>
        <w:rPr>
          <w:rFonts w:ascii="Times New Roman" w:hAnsi="Times New Roman" w:cs="Times New Roman"/>
        </w:rPr>
      </w:pPr>
    </w:p>
    <w:p w14:paraId="08347E4E">
      <w:pPr>
        <w:spacing w:after="0" w:line="240" w:lineRule="auto"/>
        <w:ind w:left="284"/>
        <w:jc w:val="both"/>
        <w:rPr>
          <w:rFonts w:ascii="Times New Roman" w:hAnsi="Times New Roman" w:cs="Times New Roman"/>
        </w:rPr>
      </w:pPr>
    </w:p>
    <w:p w14:paraId="5597ADBA">
      <w:pPr>
        <w:spacing w:after="0" w:line="240" w:lineRule="auto"/>
        <w:ind w:left="284"/>
        <w:jc w:val="both"/>
        <w:rPr>
          <w:rFonts w:ascii="Times New Roman" w:hAnsi="Times New Roman" w:cs="Times New Roman"/>
        </w:rPr>
      </w:pPr>
      <w:r>
        <w:rPr>
          <w:rFonts w:ascii="Times New Roman" w:hAnsi="Times New Roman" w:cs="Times New Roman"/>
        </w:rPr>
        <w:t>_________________________________________________</w:t>
      </w:r>
    </w:p>
    <w:p w14:paraId="5E5F4866">
      <w:pPr>
        <w:tabs>
          <w:tab w:val="left" w:pos="6681"/>
        </w:tabs>
        <w:spacing w:after="0" w:line="240" w:lineRule="auto"/>
        <w:ind w:left="284"/>
        <w:rPr>
          <w:rFonts w:ascii="Times New Roman" w:hAnsi="Times New Roman" w:cs="Times New Roman"/>
          <w:b/>
        </w:rPr>
      </w:pPr>
      <w:r>
        <w:rPr>
          <w:rFonts w:ascii="Times New Roman" w:hAnsi="Times New Roman" w:cs="Times New Roman"/>
          <w:b/>
        </w:rPr>
        <w:t>(ASSINATURA DO RESPONSÁVEL DA EMPRESA E CARIMBO)</w:t>
      </w:r>
      <w:r>
        <w:rPr>
          <w:rFonts w:ascii="Times New Roman" w:hAnsi="Times New Roman" w:cs="Times New Roman"/>
          <w:b/>
        </w:rPr>
        <w:tab/>
      </w:r>
    </w:p>
    <w:p w14:paraId="26A8B033">
      <w:pPr>
        <w:tabs>
          <w:tab w:val="left" w:pos="6681"/>
        </w:tabs>
        <w:spacing w:after="0" w:line="240" w:lineRule="auto"/>
        <w:ind w:left="284"/>
        <w:rPr>
          <w:rFonts w:ascii="Times New Roman" w:hAnsi="Times New Roman" w:cs="Times New Roman"/>
        </w:rPr>
      </w:pPr>
    </w:p>
    <w:p w14:paraId="1389D64F">
      <w:pPr>
        <w:tabs>
          <w:tab w:val="left" w:pos="6681"/>
        </w:tabs>
        <w:spacing w:after="0" w:line="240" w:lineRule="auto"/>
        <w:ind w:left="284"/>
        <w:rPr>
          <w:rFonts w:ascii="Times New Roman" w:hAnsi="Times New Roman" w:cs="Times New Roman"/>
        </w:rPr>
      </w:pPr>
    </w:p>
    <w:p w14:paraId="79FB5764">
      <w:pPr>
        <w:tabs>
          <w:tab w:val="left" w:pos="6681"/>
        </w:tabs>
        <w:spacing w:after="0" w:line="240" w:lineRule="auto"/>
        <w:ind w:left="284"/>
        <w:rPr>
          <w:rFonts w:ascii="Times New Roman" w:hAnsi="Times New Roman" w:cs="Times New Roman"/>
        </w:rPr>
      </w:pPr>
    </w:p>
    <w:p w14:paraId="175E8A96">
      <w:pPr>
        <w:tabs>
          <w:tab w:val="left" w:pos="6681"/>
        </w:tabs>
        <w:spacing w:after="0" w:line="240" w:lineRule="auto"/>
        <w:ind w:left="284"/>
        <w:rPr>
          <w:rFonts w:ascii="Times New Roman" w:hAnsi="Times New Roman" w:cs="Times New Roman"/>
        </w:rPr>
      </w:pPr>
      <w:r>
        <w:rPr>
          <w:rFonts w:ascii="Times New Roman" w:hAnsi="Times New Roman" w:cs="Times New Roman"/>
        </w:rPr>
        <w:t xml:space="preserve">OBS: </w:t>
      </w:r>
    </w:p>
    <w:p w14:paraId="525D7054">
      <w:pPr>
        <w:numPr>
          <w:ilvl w:val="0"/>
          <w:numId w:val="19"/>
        </w:numPr>
        <w:tabs>
          <w:tab w:val="left" w:pos="709"/>
        </w:tabs>
        <w:spacing w:after="0" w:line="240" w:lineRule="auto"/>
        <w:ind w:left="284" w:firstLine="0"/>
        <w:rPr>
          <w:rFonts w:ascii="Times New Roman" w:hAnsi="Times New Roman" w:cs="Times New Roman"/>
        </w:rPr>
      </w:pPr>
      <w:r>
        <w:rPr>
          <w:rFonts w:ascii="Times New Roman" w:hAnsi="Times New Roman" w:cs="Times New Roman"/>
        </w:rPr>
        <w:t xml:space="preserve">Preencher com dados do responsável para assinatura do contrato, caso a empresa seja vencedora na licitação. </w:t>
      </w:r>
    </w:p>
    <w:p w14:paraId="3D6AB32C">
      <w:pPr>
        <w:numPr>
          <w:ilvl w:val="0"/>
          <w:numId w:val="19"/>
        </w:numPr>
        <w:tabs>
          <w:tab w:val="left" w:pos="709"/>
        </w:tabs>
        <w:spacing w:after="0" w:line="240" w:lineRule="auto"/>
        <w:ind w:left="284" w:firstLine="0"/>
        <w:rPr>
          <w:rFonts w:ascii="Times New Roman" w:hAnsi="Times New Roman" w:cs="Times New Roman"/>
        </w:rPr>
      </w:pPr>
      <w:r>
        <w:rPr>
          <w:rFonts w:ascii="Times New Roman" w:hAnsi="Times New Roman" w:cs="Times New Roman"/>
        </w:rPr>
        <w:t>Anexar cópia autenticada do contrato social.</w:t>
      </w:r>
    </w:p>
    <w:p w14:paraId="4BFD5E29">
      <w:pPr>
        <w:numPr>
          <w:ilvl w:val="0"/>
          <w:numId w:val="19"/>
        </w:numPr>
        <w:tabs>
          <w:tab w:val="left" w:pos="709"/>
        </w:tabs>
        <w:spacing w:after="0" w:line="240" w:lineRule="auto"/>
        <w:ind w:left="284" w:firstLine="0"/>
        <w:rPr>
          <w:rFonts w:ascii="Times New Roman" w:hAnsi="Times New Roman" w:cs="Times New Roman"/>
        </w:rPr>
      </w:pPr>
      <w:r>
        <w:rPr>
          <w:rFonts w:ascii="Times New Roman" w:hAnsi="Times New Roman" w:cs="Times New Roman"/>
        </w:rPr>
        <w:t>Caso não tenha vínculo empregatício com a empresa anexar procuração.</w:t>
      </w:r>
    </w:p>
    <w:p w14:paraId="2050811C">
      <w:pPr>
        <w:numPr>
          <w:ilvl w:val="0"/>
          <w:numId w:val="19"/>
        </w:numPr>
        <w:tabs>
          <w:tab w:val="left" w:pos="709"/>
        </w:tabs>
        <w:spacing w:after="0" w:line="240" w:lineRule="auto"/>
        <w:ind w:left="284" w:firstLine="0"/>
        <w:rPr>
          <w:rFonts w:ascii="Times New Roman" w:hAnsi="Times New Roman" w:cs="Times New Roman"/>
        </w:rPr>
      </w:pPr>
      <w:r>
        <w:rPr>
          <w:rFonts w:ascii="Times New Roman" w:hAnsi="Times New Roman" w:cs="Times New Roman"/>
        </w:rPr>
        <w:t xml:space="preserve">Este cadastro deverá ser apresentado dentro do envelope (proposta de preços). </w:t>
      </w:r>
    </w:p>
    <w:p w14:paraId="09205AA6">
      <w:pPr>
        <w:tabs>
          <w:tab w:val="left" w:pos="709"/>
        </w:tabs>
        <w:spacing w:after="0" w:line="240" w:lineRule="auto"/>
        <w:ind w:left="284"/>
        <w:rPr>
          <w:rFonts w:ascii="Times New Roman" w:hAnsi="Times New Roman" w:cs="Times New Roman"/>
        </w:rPr>
      </w:pPr>
    </w:p>
    <w:p w14:paraId="699DBAAB">
      <w:pPr>
        <w:tabs>
          <w:tab w:val="left" w:pos="709"/>
        </w:tabs>
        <w:spacing w:after="0" w:line="240" w:lineRule="auto"/>
        <w:ind w:left="284"/>
        <w:rPr>
          <w:rFonts w:ascii="Times New Roman" w:hAnsi="Times New Roman" w:cs="Times New Roman"/>
        </w:rPr>
      </w:pPr>
    </w:p>
    <w:p w14:paraId="5EA4773C">
      <w:pPr>
        <w:numPr>
          <w:ilvl w:val="0"/>
          <w:numId w:val="19"/>
        </w:numPr>
        <w:tabs>
          <w:tab w:val="left" w:pos="709"/>
        </w:tabs>
        <w:spacing w:after="0" w:line="360" w:lineRule="auto"/>
        <w:ind w:left="284" w:right="474" w:firstLine="0"/>
        <w:jc w:val="both"/>
        <w:rPr>
          <w:rFonts w:ascii="Times New Roman" w:hAnsi="Times New Roman" w:cs="Times New Roman"/>
          <w:b/>
        </w:rPr>
      </w:pPr>
      <w:r>
        <w:rPr>
          <w:rFonts w:ascii="Times New Roman" w:hAnsi="Times New Roman" w:cs="Times New Roman"/>
          <w:b/>
        </w:rPr>
        <w:t>O ENDEREÇO INFORMADO PARA ASSINATURA DA ATA DE REGISTRO DE PREÇOS SERÁ O EMAIL INSTITUCIONAL DO REPRESENTANTE LEGAL E SERVIRÁ PARA ENVIO DA NOTA DE EMPENHO.</w:t>
      </w:r>
    </w:p>
    <w:p w14:paraId="69498066">
      <w:pPr>
        <w:tabs>
          <w:tab w:val="left" w:pos="709"/>
        </w:tabs>
        <w:spacing w:after="0" w:line="360" w:lineRule="auto"/>
        <w:ind w:right="474"/>
        <w:jc w:val="both"/>
        <w:rPr>
          <w:rFonts w:ascii="Times New Roman" w:hAnsi="Times New Roman" w:cs="Times New Roman"/>
          <w:b/>
        </w:rPr>
      </w:pPr>
    </w:p>
    <w:p w14:paraId="55F38955">
      <w:pPr>
        <w:tabs>
          <w:tab w:val="left" w:pos="709"/>
        </w:tabs>
        <w:spacing w:after="0" w:line="360" w:lineRule="auto"/>
        <w:ind w:right="474"/>
        <w:jc w:val="both"/>
        <w:rPr>
          <w:rFonts w:ascii="Times New Roman" w:hAnsi="Times New Roman" w:cs="Times New Roman"/>
          <w:b/>
        </w:rPr>
      </w:pPr>
    </w:p>
    <w:p w14:paraId="554A1272">
      <w:pPr>
        <w:tabs>
          <w:tab w:val="left" w:pos="709"/>
        </w:tabs>
        <w:spacing w:after="0" w:line="360" w:lineRule="auto"/>
        <w:ind w:right="474"/>
        <w:jc w:val="both"/>
        <w:rPr>
          <w:rFonts w:ascii="Times New Roman" w:hAnsi="Times New Roman" w:cs="Times New Roman"/>
          <w:b/>
        </w:rPr>
      </w:pPr>
    </w:p>
    <w:p w14:paraId="65169785">
      <w:pPr>
        <w:tabs>
          <w:tab w:val="left" w:pos="709"/>
        </w:tabs>
        <w:spacing w:after="0" w:line="360" w:lineRule="auto"/>
        <w:ind w:right="474"/>
        <w:jc w:val="both"/>
        <w:rPr>
          <w:rFonts w:ascii="Times New Roman" w:hAnsi="Times New Roman" w:cs="Times New Roman"/>
          <w:b/>
        </w:rPr>
      </w:pPr>
    </w:p>
    <w:p w14:paraId="6884221D">
      <w:pPr>
        <w:tabs>
          <w:tab w:val="left" w:pos="709"/>
        </w:tabs>
        <w:spacing w:after="0" w:line="360" w:lineRule="auto"/>
        <w:ind w:right="474"/>
        <w:jc w:val="both"/>
        <w:rPr>
          <w:rFonts w:ascii="Times New Roman" w:hAnsi="Times New Roman" w:cs="Times New Roman"/>
          <w:b/>
        </w:rPr>
      </w:pPr>
    </w:p>
    <w:sectPr>
      <w:headerReference r:id="rId5" w:type="default"/>
      <w:footerReference r:id="rId6" w:type="default"/>
      <w:pgSz w:w="11906" w:h="16838"/>
      <w:pgMar w:top="2977" w:right="1701" w:bottom="1135" w:left="1701" w:header="708" w:footer="615"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Cambria"/>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Zurich BT">
    <w:altName w:val="Liberation Mono"/>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Palatino Linotype">
    <w:panose1 w:val="02040502050505030304"/>
    <w:charset w:val="00"/>
    <w:family w:val="roman"/>
    <w:pitch w:val="default"/>
    <w:sig w:usb0="E0000287" w:usb1="40000013" w:usb2="00000000" w:usb3="00000000" w:csb0="2000019F" w:csb1="00000000"/>
  </w:font>
  <w:font w:name="Wingdings">
    <w:panose1 w:val="05000000000000000000"/>
    <w:charset w:val="02"/>
    <w:family w:val="auto"/>
    <w:pitch w:val="default"/>
    <w:sig w:usb0="00000000" w:usb1="00000000" w:usb2="00000000" w:usb3="00000000" w:csb0="80000000" w:csb1="00000000"/>
  </w:font>
  <w:font w:name="Times New Roman, Times, serif">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DE1F">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AGU - Advocacia Geral da União / CGU - Consultoria-Geral da União / Câmara Nacional de Modelos de Licitações e Contratos da Consultoria-Geral da União</w:t>
    </w:r>
  </w:p>
  <w:p w14:paraId="177E3E01">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Atualização: ABR/2025</w:t>
    </w:r>
  </w:p>
  <w:p w14:paraId="0786686D">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Edital modelo para Pregão Eletrônico - Lei nº 14.133, de 2021.</w:t>
    </w:r>
  </w:p>
  <w:p w14:paraId="3B3C37E2">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Aprovado pela Secretaria de Gestão e Inovação. Identidade visual pela Secretaria de Gestão e Inovação</w:t>
    </w:r>
  </w:p>
  <w:p w14:paraId="596CE22F">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2"/>
      <w:tblW w:w="850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5"/>
      <w:gridCol w:w="4748"/>
      <w:gridCol w:w="2001"/>
    </w:tblGrid>
    <w:tr w14:paraId="6498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755" w:type="dxa"/>
        </w:tcPr>
        <w:p w14:paraId="454009F7">
          <w:pPr>
            <w:spacing w:after="0" w:line="240" w:lineRule="auto"/>
            <w:ind w:left="27" w:hanging="27"/>
            <w:jc w:val="center"/>
            <w:rPr>
              <w:rFonts w:ascii="Arial" w:hAnsi="Arial" w:eastAsia="Calibri" w:cs="Arial"/>
              <w:sz w:val="20"/>
              <w:szCs w:val="20"/>
            </w:rPr>
          </w:pPr>
          <w:r>
            <w:rPr>
              <w:rFonts w:ascii="Calibri" w:hAnsi="Calibri" w:eastAsia="Calibri" w:cs="Times New Roman"/>
              <w:sz w:val="20"/>
              <w:szCs w:val="20"/>
              <w:lang w:eastAsia="pt-BR"/>
            </w:rPr>
            <w:drawing>
              <wp:inline distT="0" distB="0" distL="0" distR="0">
                <wp:extent cx="673735" cy="9334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noChangeArrowheads="1"/>
                        </pic:cNvPicPr>
                      </pic:nvPicPr>
                      <pic:blipFill>
                        <a:blip r:embed="rId1" cstate="print"/>
                        <a:srcRect/>
                        <a:stretch>
                          <a:fillRect/>
                        </a:stretch>
                      </pic:blipFill>
                      <pic:spPr>
                        <a:xfrm>
                          <a:off x="0" y="0"/>
                          <a:ext cx="678297" cy="939180"/>
                        </a:xfrm>
                        <a:prstGeom prst="rect">
                          <a:avLst/>
                        </a:prstGeom>
                        <a:noFill/>
                        <a:ln w="9525">
                          <a:noFill/>
                          <a:miter lim="800000"/>
                          <a:headEnd/>
                          <a:tailEnd/>
                        </a:ln>
                      </pic:spPr>
                    </pic:pic>
                  </a:graphicData>
                </a:graphic>
              </wp:inline>
            </w:drawing>
          </w:r>
        </w:p>
      </w:tc>
      <w:tc>
        <w:tcPr>
          <w:tcW w:w="4748" w:type="dxa"/>
        </w:tcPr>
        <w:p w14:paraId="591E1C51">
          <w:pPr>
            <w:spacing w:after="0" w:line="240" w:lineRule="auto"/>
            <w:jc w:val="center"/>
            <w:rPr>
              <w:rFonts w:ascii="Arial" w:hAnsi="Arial" w:eastAsia="Calibri" w:cs="Arial"/>
              <w:sz w:val="18"/>
              <w:szCs w:val="18"/>
            </w:rPr>
          </w:pPr>
        </w:p>
        <w:p w14:paraId="6CA6373E">
          <w:pPr>
            <w:spacing w:after="0" w:line="240" w:lineRule="auto"/>
            <w:jc w:val="center"/>
            <w:rPr>
              <w:rFonts w:ascii="Arial" w:hAnsi="Arial" w:eastAsia="Calibri" w:cs="Arial"/>
              <w:sz w:val="18"/>
              <w:szCs w:val="18"/>
            </w:rPr>
          </w:pPr>
          <w:r>
            <w:rPr>
              <w:rFonts w:ascii="Arial" w:hAnsi="Arial" w:eastAsia="Calibri" w:cs="Arial"/>
              <w:sz w:val="18"/>
              <w:szCs w:val="18"/>
            </w:rPr>
            <w:t>Ministério da Educação</w:t>
          </w:r>
        </w:p>
        <w:p w14:paraId="44C62B3F">
          <w:pPr>
            <w:spacing w:after="0" w:line="240" w:lineRule="auto"/>
            <w:jc w:val="center"/>
            <w:rPr>
              <w:rFonts w:ascii="Arial" w:hAnsi="Arial" w:eastAsia="Calibri" w:cs="Arial"/>
              <w:sz w:val="18"/>
              <w:szCs w:val="18"/>
            </w:rPr>
          </w:pPr>
          <w:r>
            <w:rPr>
              <w:rFonts w:ascii="Arial" w:hAnsi="Arial" w:eastAsia="Calibri" w:cs="Arial"/>
              <w:sz w:val="18"/>
              <w:szCs w:val="18"/>
            </w:rPr>
            <w:t>Universidade Federal da Bahia</w:t>
          </w:r>
        </w:p>
        <w:p w14:paraId="4293BFDC">
          <w:pPr>
            <w:spacing w:after="0" w:line="240" w:lineRule="auto"/>
            <w:jc w:val="center"/>
            <w:rPr>
              <w:rFonts w:ascii="Arial" w:hAnsi="Arial" w:eastAsia="Calibri" w:cs="Arial"/>
              <w:b/>
              <w:sz w:val="18"/>
              <w:szCs w:val="18"/>
            </w:rPr>
          </w:pPr>
          <w:r>
            <w:rPr>
              <w:rFonts w:ascii="Arial" w:hAnsi="Arial" w:eastAsia="Calibri" w:cs="Arial"/>
              <w:b/>
              <w:sz w:val="18"/>
              <w:szCs w:val="18"/>
            </w:rPr>
            <w:t>Superintendência de Saúde</w:t>
          </w:r>
        </w:p>
        <w:p w14:paraId="61BFF858">
          <w:pPr>
            <w:spacing w:after="0" w:line="240" w:lineRule="auto"/>
            <w:jc w:val="center"/>
            <w:rPr>
              <w:rFonts w:ascii="Arial" w:hAnsi="Arial" w:eastAsia="Calibri" w:cs="Arial"/>
              <w:b/>
              <w:sz w:val="18"/>
              <w:szCs w:val="18"/>
            </w:rPr>
          </w:pPr>
          <w:r>
            <w:rPr>
              <w:rFonts w:ascii="Arial" w:hAnsi="Arial" w:eastAsia="Calibri" w:cs="Arial"/>
              <w:b/>
              <w:sz w:val="18"/>
              <w:szCs w:val="18"/>
            </w:rPr>
            <w:t>Sistema Universitário de Saúde - SIUNIS</w:t>
          </w:r>
        </w:p>
        <w:p w14:paraId="5310CF8C">
          <w:pPr>
            <w:spacing w:after="0" w:line="240" w:lineRule="auto"/>
            <w:jc w:val="center"/>
            <w:rPr>
              <w:rFonts w:ascii="Arial" w:hAnsi="Arial" w:eastAsia="Calibri" w:cs="Arial"/>
              <w:b/>
              <w:sz w:val="18"/>
              <w:szCs w:val="18"/>
            </w:rPr>
          </w:pPr>
          <w:r>
            <w:rPr>
              <w:rFonts w:ascii="Arial" w:hAnsi="Arial" w:eastAsia="Calibri" w:cs="Arial"/>
              <w:b/>
              <w:sz w:val="18"/>
              <w:szCs w:val="18"/>
            </w:rPr>
            <w:t>Complexo Hospitalar e de Saúde – UFBA</w:t>
          </w:r>
        </w:p>
        <w:p w14:paraId="4AE6E32E">
          <w:pPr>
            <w:spacing w:after="0" w:line="240" w:lineRule="auto"/>
            <w:jc w:val="center"/>
            <w:rPr>
              <w:rFonts w:ascii="Arial" w:hAnsi="Arial" w:eastAsia="Calibri" w:cs="Arial"/>
              <w:sz w:val="18"/>
              <w:szCs w:val="18"/>
            </w:rPr>
          </w:pPr>
        </w:p>
      </w:tc>
      <w:tc>
        <w:tcPr>
          <w:tcW w:w="2001" w:type="dxa"/>
        </w:tcPr>
        <w:p w14:paraId="6BB72F11">
          <w:pPr>
            <w:spacing w:after="0" w:line="240" w:lineRule="auto"/>
            <w:jc w:val="center"/>
            <w:rPr>
              <w:rFonts w:ascii="Arial" w:hAnsi="Arial" w:eastAsia="Calibri" w:cs="Arial"/>
              <w:sz w:val="18"/>
              <w:szCs w:val="18"/>
            </w:rPr>
          </w:pPr>
        </w:p>
        <w:p w14:paraId="184AB47A">
          <w:pPr>
            <w:spacing w:after="0" w:line="240" w:lineRule="auto"/>
            <w:jc w:val="center"/>
            <w:rPr>
              <w:rFonts w:ascii="Arial" w:hAnsi="Arial" w:eastAsia="Calibri" w:cs="Arial"/>
              <w:sz w:val="18"/>
              <w:szCs w:val="18"/>
            </w:rPr>
          </w:pPr>
        </w:p>
        <w:p w14:paraId="6457BBC7">
          <w:pPr>
            <w:spacing w:after="0" w:line="240" w:lineRule="auto"/>
            <w:jc w:val="center"/>
            <w:rPr>
              <w:rFonts w:ascii="Arial" w:hAnsi="Arial" w:eastAsia="Calibri" w:cs="Arial"/>
              <w:sz w:val="18"/>
              <w:szCs w:val="18"/>
            </w:rPr>
          </w:pPr>
          <w:r>
            <w:rPr>
              <w:rFonts w:ascii="Arial" w:hAnsi="Arial" w:eastAsia="Calibri" w:cs="Arial"/>
              <w:sz w:val="18"/>
              <w:szCs w:val="18"/>
              <w:lang w:eastAsia="pt-BR"/>
            </w:rPr>
            <w:drawing>
              <wp:inline distT="0" distB="0" distL="0" distR="0">
                <wp:extent cx="1133475" cy="45148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58199" cy="461516"/>
                        </a:xfrm>
                        <a:prstGeom prst="rect">
                          <a:avLst/>
                        </a:prstGeom>
                      </pic:spPr>
                    </pic:pic>
                  </a:graphicData>
                </a:graphic>
              </wp:inline>
            </w:drawing>
          </w:r>
        </w:p>
      </w:tc>
    </w:tr>
  </w:tbl>
  <w:p w14:paraId="2D5550BB">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1"/>
      <w:lvlText w:val=""/>
      <w:lvlJc w:val="left"/>
      <w:pPr>
        <w:tabs>
          <w:tab w:val="left" w:pos="1492"/>
        </w:tabs>
        <w:ind w:left="1492" w:hanging="360"/>
      </w:pPr>
      <w:rPr>
        <w:rFonts w:hint="default" w:ascii="Symbol" w:hAnsi="Symbol"/>
      </w:rPr>
    </w:lvl>
  </w:abstractNum>
  <w:abstractNum w:abstractNumId="1">
    <w:nsid w:val="07296612"/>
    <w:multiLevelType w:val="multilevel"/>
    <w:tmpl w:val="07296612"/>
    <w:lvl w:ilvl="0" w:tentative="0">
      <w:start w:val="1"/>
      <w:numFmt w:val="decimal"/>
      <w:lvlText w:val="%1."/>
      <w:lvlJc w:val="left"/>
      <w:pPr>
        <w:ind w:left="1639" w:hanging="221"/>
      </w:pPr>
      <w:rPr>
        <w:rFonts w:hint="default" w:ascii="Calibri" w:hAnsi="Calibri" w:eastAsia="Calibri" w:cs="Calibri"/>
        <w:b/>
        <w:bCs/>
        <w:i w:val="0"/>
        <w:iCs w:val="0"/>
        <w:spacing w:val="0"/>
        <w:w w:val="100"/>
        <w:sz w:val="22"/>
        <w:szCs w:val="22"/>
        <w:lang w:val="pt-PT" w:eastAsia="en-US" w:bidi="ar-SA"/>
      </w:rPr>
    </w:lvl>
    <w:lvl w:ilvl="1" w:tentative="0">
      <w:start w:val="0"/>
      <w:numFmt w:val="bullet"/>
      <w:lvlText w:val="•"/>
      <w:lvlJc w:val="left"/>
      <w:pPr>
        <w:ind w:left="2623" w:hanging="221"/>
      </w:pPr>
      <w:rPr>
        <w:rFonts w:hint="default"/>
        <w:lang w:val="pt-PT" w:eastAsia="en-US" w:bidi="ar-SA"/>
      </w:rPr>
    </w:lvl>
    <w:lvl w:ilvl="2" w:tentative="0">
      <w:start w:val="0"/>
      <w:numFmt w:val="bullet"/>
      <w:pStyle w:val="156"/>
      <w:lvlText w:val="•"/>
      <w:lvlJc w:val="left"/>
      <w:pPr>
        <w:ind w:left="3607" w:hanging="221"/>
      </w:pPr>
      <w:rPr>
        <w:rFonts w:hint="default"/>
        <w:lang w:val="pt-PT" w:eastAsia="en-US" w:bidi="ar-SA"/>
      </w:rPr>
    </w:lvl>
    <w:lvl w:ilvl="3" w:tentative="0">
      <w:start w:val="0"/>
      <w:numFmt w:val="bullet"/>
      <w:lvlText w:val="•"/>
      <w:lvlJc w:val="left"/>
      <w:pPr>
        <w:ind w:left="4590" w:hanging="221"/>
      </w:pPr>
      <w:rPr>
        <w:rFonts w:hint="default"/>
        <w:lang w:val="pt-PT" w:eastAsia="en-US" w:bidi="ar-SA"/>
      </w:rPr>
    </w:lvl>
    <w:lvl w:ilvl="4" w:tentative="0">
      <w:start w:val="0"/>
      <w:numFmt w:val="bullet"/>
      <w:lvlText w:val="•"/>
      <w:lvlJc w:val="left"/>
      <w:pPr>
        <w:ind w:left="5574" w:hanging="221"/>
      </w:pPr>
      <w:rPr>
        <w:rFonts w:hint="default"/>
        <w:lang w:val="pt-PT" w:eastAsia="en-US" w:bidi="ar-SA"/>
      </w:rPr>
    </w:lvl>
    <w:lvl w:ilvl="5" w:tentative="0">
      <w:start w:val="0"/>
      <w:numFmt w:val="bullet"/>
      <w:lvlText w:val="•"/>
      <w:lvlJc w:val="left"/>
      <w:pPr>
        <w:ind w:left="6558" w:hanging="221"/>
      </w:pPr>
      <w:rPr>
        <w:rFonts w:hint="default"/>
        <w:lang w:val="pt-PT" w:eastAsia="en-US" w:bidi="ar-SA"/>
      </w:rPr>
    </w:lvl>
    <w:lvl w:ilvl="6" w:tentative="0">
      <w:start w:val="0"/>
      <w:numFmt w:val="bullet"/>
      <w:lvlText w:val="•"/>
      <w:lvlJc w:val="left"/>
      <w:pPr>
        <w:ind w:left="7541" w:hanging="221"/>
      </w:pPr>
      <w:rPr>
        <w:rFonts w:hint="default"/>
        <w:lang w:val="pt-PT" w:eastAsia="en-US" w:bidi="ar-SA"/>
      </w:rPr>
    </w:lvl>
    <w:lvl w:ilvl="7" w:tentative="0">
      <w:start w:val="0"/>
      <w:numFmt w:val="bullet"/>
      <w:lvlText w:val="•"/>
      <w:lvlJc w:val="left"/>
      <w:pPr>
        <w:ind w:left="8525" w:hanging="221"/>
      </w:pPr>
      <w:rPr>
        <w:rFonts w:hint="default"/>
        <w:lang w:val="pt-PT" w:eastAsia="en-US" w:bidi="ar-SA"/>
      </w:rPr>
    </w:lvl>
    <w:lvl w:ilvl="8" w:tentative="0">
      <w:start w:val="0"/>
      <w:numFmt w:val="bullet"/>
      <w:lvlText w:val="•"/>
      <w:lvlJc w:val="left"/>
      <w:pPr>
        <w:ind w:left="9508" w:hanging="221"/>
      </w:pPr>
      <w:rPr>
        <w:rFonts w:hint="default"/>
        <w:lang w:val="pt-PT" w:eastAsia="en-US" w:bidi="ar-SA"/>
      </w:rPr>
    </w:lvl>
  </w:abstractNum>
  <w:abstractNum w:abstractNumId="2">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lvlText w:val="%1.%2."/>
      <w:lvlJc w:val="left"/>
      <w:pPr>
        <w:ind w:left="1709" w:hanging="432"/>
      </w:pPr>
      <w:rPr>
        <w:rFonts w:hint="default"/>
        <w:b w:val="0"/>
        <w:i w:val="0"/>
        <w:strike w:val="0"/>
        <w:color w:val="auto"/>
        <w:sz w:val="20"/>
        <w:szCs w:val="20"/>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3">
    <w:nsid w:val="0A9653D1"/>
    <w:multiLevelType w:val="multilevel"/>
    <w:tmpl w:val="0A9653D1"/>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ascii="Times New Roman" w:hAnsi="Times New Roman" w:cs="Times New Roman"/>
        <w:b/>
        <w:color w:val="auto"/>
        <w:sz w:val="22"/>
      </w:rPr>
    </w:lvl>
    <w:lvl w:ilvl="2" w:tentative="0">
      <w:start w:val="1"/>
      <w:numFmt w:val="decimal"/>
      <w:lvlText w:val="%1.%2.%3."/>
      <w:lvlJc w:val="left"/>
      <w:pPr>
        <w:ind w:left="1572" w:hanging="720"/>
      </w:pPr>
      <w:rPr>
        <w:rFonts w:hint="default" w:ascii="Times New Roman" w:hAnsi="Times New Roman" w:cs="Times New Roman"/>
        <w:b/>
        <w:color w:val="auto"/>
        <w:sz w:val="22"/>
        <w:szCs w:val="22"/>
      </w:rPr>
    </w:lvl>
    <w:lvl w:ilvl="3" w:tentative="0">
      <w:start w:val="1"/>
      <w:numFmt w:val="decimal"/>
      <w:lvlText w:val="%1.%2.%3.%4."/>
      <w:lvlJc w:val="left"/>
      <w:pPr>
        <w:ind w:left="1998" w:hanging="720"/>
      </w:pPr>
      <w:rPr>
        <w:rFonts w:hint="default"/>
        <w:b/>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4">
    <w:nsid w:val="0B335420"/>
    <w:multiLevelType w:val="multilevel"/>
    <w:tmpl w:val="0B335420"/>
    <w:lvl w:ilvl="0" w:tentative="0">
      <w:start w:val="1"/>
      <w:numFmt w:val="decimal"/>
      <w:lvlText w:val="%1."/>
      <w:lvlJc w:val="left"/>
      <w:pPr>
        <w:ind w:left="540" w:hanging="540"/>
      </w:pPr>
      <w:rPr>
        <w:rFonts w:hint="default"/>
      </w:rPr>
    </w:lvl>
    <w:lvl w:ilvl="1" w:tentative="0">
      <w:start w:val="2"/>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0B992A6B"/>
    <w:multiLevelType w:val="multilevel"/>
    <w:tmpl w:val="0B992A6B"/>
    <w:lvl w:ilvl="0" w:tentative="0">
      <w:start w:val="1"/>
      <w:numFmt w:val="decimal"/>
      <w:lvlText w:val="%1."/>
      <w:lvlJc w:val="left"/>
      <w:pPr>
        <w:ind w:left="0" w:firstLine="0"/>
      </w:pPr>
      <w:rPr>
        <w:rFonts w:hint="default" w:ascii="Times New Roman" w:hAnsi="Times New Roman" w:eastAsia="Calibri" w:cs="Times New Roman"/>
        <w:b/>
        <w:i w:val="0"/>
        <w:sz w:val="22"/>
      </w:rPr>
    </w:lvl>
    <w:lvl w:ilvl="1" w:tentative="0">
      <w:start w:val="1"/>
      <w:numFmt w:val="decimal"/>
      <w:pStyle w:val="51"/>
      <w:suff w:val="space"/>
      <w:lvlText w:val="%1.%2."/>
      <w:lvlJc w:val="left"/>
      <w:pPr>
        <w:ind w:left="0" w:firstLine="0"/>
      </w:pPr>
      <w:rPr>
        <w:rFonts w:hint="default" w:ascii="Times New Roman" w:hAnsi="Times New Roman" w:cs="Times New Roman"/>
        <w:b/>
        <w:i w:val="0"/>
        <w:color w:val="00000A"/>
        <w:sz w:val="22"/>
        <w:szCs w:val="22"/>
      </w:rPr>
    </w:lvl>
    <w:lvl w:ilvl="2" w:tentative="0">
      <w:start w:val="1"/>
      <w:numFmt w:val="decimal"/>
      <w:pStyle w:val="48"/>
      <w:suff w:val="space"/>
      <w:lvlText w:val="%1.%2.%3."/>
      <w:lvlJc w:val="left"/>
      <w:pPr>
        <w:ind w:left="5671" w:firstLine="0"/>
      </w:pPr>
      <w:rPr>
        <w:rFonts w:hint="default" w:ascii="Times New Roman" w:hAnsi="Times New Roman" w:cs="Times New Roman"/>
        <w:b/>
        <w:i w:val="0"/>
        <w:color w:val="00000A"/>
        <w:sz w:val="22"/>
        <w:szCs w:val="22"/>
      </w:rPr>
    </w:lvl>
    <w:lvl w:ilvl="3" w:tentative="0">
      <w:start w:val="1"/>
      <w:numFmt w:val="decimal"/>
      <w:suff w:val="space"/>
      <w:lvlText w:val="%1.%2.%3.%4."/>
      <w:lvlJc w:val="left"/>
      <w:pPr>
        <w:ind w:left="851" w:firstLine="0"/>
      </w:pPr>
      <w:rPr>
        <w:rFonts w:hint="default" w:ascii="Times New Roman" w:hAnsi="Times New Roman" w:cs="Times New Roman"/>
        <w:b/>
        <w:i w:val="0"/>
        <w:color w:val="00000A"/>
        <w:sz w:val="22"/>
      </w:rPr>
    </w:lvl>
    <w:lvl w:ilvl="4" w:tentative="0">
      <w:start w:val="1"/>
      <w:numFmt w:val="decimal"/>
      <w:suff w:val="space"/>
      <w:lvlText w:val="%1.%2.%3.%4.%5."/>
      <w:lvlJc w:val="left"/>
      <w:pPr>
        <w:ind w:left="6096" w:firstLine="0"/>
      </w:pPr>
      <w:rPr>
        <w:rFonts w:cs="Times New Roman"/>
        <w:b/>
        <w:i w:val="0"/>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6">
    <w:nsid w:val="1D5C100D"/>
    <w:multiLevelType w:val="multilevel"/>
    <w:tmpl w:val="1D5C100D"/>
    <w:lvl w:ilvl="0" w:tentative="0">
      <w:start w:val="1"/>
      <w:numFmt w:val="decimal"/>
      <w:lvlText w:val="%1."/>
      <w:lvlJc w:val="left"/>
      <w:pPr>
        <w:ind w:left="360" w:hanging="360"/>
      </w:pPr>
      <w:rPr>
        <w:b/>
      </w:rPr>
    </w:lvl>
    <w:lvl w:ilvl="1" w:tentative="0">
      <w:start w:val="1"/>
      <w:numFmt w:val="decimal"/>
      <w:lvlText w:val="%1.%2."/>
      <w:lvlJc w:val="left"/>
      <w:pPr>
        <w:ind w:left="4117" w:hanging="432"/>
      </w:pPr>
      <w:rPr>
        <w:b w:val="0"/>
        <w:i w:val="0"/>
        <w:strike w:val="0"/>
        <w:color w:val="auto"/>
        <w:sz w:val="22"/>
        <w:szCs w:val="22"/>
        <w:u w:val="none"/>
      </w:rPr>
    </w:lvl>
    <w:lvl w:ilvl="2" w:tentative="0">
      <w:start w:val="1"/>
      <w:numFmt w:val="decimal"/>
      <w:lvlText w:val="%1.%2."/>
      <w:lvlJc w:val="left"/>
      <w:pPr>
        <w:ind w:left="1638" w:hanging="504"/>
      </w:pPr>
      <w:rPr>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DED0DC5"/>
    <w:multiLevelType w:val="multilevel"/>
    <w:tmpl w:val="2DED0DC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39424AD7"/>
    <w:multiLevelType w:val="multilevel"/>
    <w:tmpl w:val="39424AD7"/>
    <w:lvl w:ilvl="0" w:tentative="0">
      <w:start w:val="1"/>
      <w:numFmt w:val="decimal"/>
      <w:pStyle w:val="3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9C45234"/>
    <w:multiLevelType w:val="multilevel"/>
    <w:tmpl w:val="39C45234"/>
    <w:lvl w:ilvl="0" w:tentative="0">
      <w:start w:val="3"/>
      <w:numFmt w:val="decimal"/>
      <w:lvlText w:val="%1."/>
      <w:lvlJc w:val="left"/>
      <w:pPr>
        <w:ind w:left="360" w:hanging="360"/>
      </w:pPr>
      <w:rPr>
        <w:b/>
      </w:rPr>
    </w:lvl>
    <w:lvl w:ilvl="1" w:tentative="0">
      <w:start w:val="1"/>
      <w:numFmt w:val="decimal"/>
      <w:lvlText w:val="%1.%2."/>
      <w:lvlJc w:val="left"/>
      <w:pPr>
        <w:ind w:left="1287" w:hanging="360"/>
      </w:pPr>
      <w:rPr>
        <w:rFonts w:hint="default" w:ascii="Times New Roman" w:hAnsi="Times New Roman" w:cs="Times New Roman"/>
        <w:b/>
        <w:i w:val="0"/>
        <w:color w:val="00000A"/>
        <w:sz w:val="22"/>
      </w:rPr>
    </w:lvl>
    <w:lvl w:ilvl="2" w:tentative="0">
      <w:start w:val="1"/>
      <w:numFmt w:val="decimal"/>
      <w:lvlText w:val="%1.%2.%3."/>
      <w:lvlJc w:val="left"/>
      <w:pPr>
        <w:ind w:left="2574" w:hanging="720"/>
      </w:pPr>
      <w:rPr>
        <w:rFonts w:hint="default" w:asciiTheme="minorHAnsi" w:hAnsiTheme="minorHAnsi" w:cstheme="minorHAnsi"/>
        <w:b/>
        <w:color w:val="auto"/>
        <w:sz w:val="22"/>
      </w:rPr>
    </w:lvl>
    <w:lvl w:ilvl="3" w:tentative="0">
      <w:start w:val="1"/>
      <w:numFmt w:val="decimal"/>
      <w:lvlText w:val="%1.%2.%3.%4."/>
      <w:lvlJc w:val="left"/>
      <w:pPr>
        <w:ind w:left="3501" w:hanging="720"/>
      </w:pPr>
      <w:rPr>
        <w:b/>
      </w:rPr>
    </w:lvl>
    <w:lvl w:ilvl="4" w:tentative="0">
      <w:start w:val="1"/>
      <w:numFmt w:val="decimal"/>
      <w:lvlText w:val="%1.%2.%3.%4.%5."/>
      <w:lvlJc w:val="left"/>
      <w:pPr>
        <w:ind w:left="4788" w:hanging="1080"/>
      </w:pPr>
    </w:lvl>
    <w:lvl w:ilvl="5" w:tentative="0">
      <w:start w:val="1"/>
      <w:numFmt w:val="decimal"/>
      <w:lvlText w:val="%1.%2.%3.%4.%5.%6."/>
      <w:lvlJc w:val="left"/>
      <w:pPr>
        <w:ind w:left="5715" w:hanging="1080"/>
      </w:pPr>
    </w:lvl>
    <w:lvl w:ilvl="6" w:tentative="0">
      <w:start w:val="1"/>
      <w:numFmt w:val="decimal"/>
      <w:lvlText w:val="%1.%2.%3.%4.%5.%6.%7."/>
      <w:lvlJc w:val="left"/>
      <w:pPr>
        <w:ind w:left="6642" w:hanging="1080"/>
      </w:pPr>
    </w:lvl>
    <w:lvl w:ilvl="7" w:tentative="0">
      <w:start w:val="1"/>
      <w:numFmt w:val="decimal"/>
      <w:lvlText w:val="%1.%2.%3.%4.%5.%6.%7.%8."/>
      <w:lvlJc w:val="left"/>
      <w:pPr>
        <w:ind w:left="7929" w:hanging="1440"/>
      </w:pPr>
    </w:lvl>
    <w:lvl w:ilvl="8" w:tentative="0">
      <w:start w:val="1"/>
      <w:numFmt w:val="decimal"/>
      <w:lvlText w:val="%1.%2.%3.%4.%5.%6.%7.%8.%9."/>
      <w:lvlJc w:val="left"/>
      <w:pPr>
        <w:ind w:left="8856" w:hanging="1440"/>
      </w:pPr>
    </w:lvl>
  </w:abstractNum>
  <w:abstractNum w:abstractNumId="10">
    <w:nsid w:val="40596472"/>
    <w:multiLevelType w:val="multilevel"/>
    <w:tmpl w:val="40596472"/>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1">
    <w:nsid w:val="42F154FF"/>
    <w:multiLevelType w:val="multilevel"/>
    <w:tmpl w:val="42F154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pStyle w:val="159"/>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54B4221"/>
    <w:multiLevelType w:val="multilevel"/>
    <w:tmpl w:val="654B42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6F178DF"/>
    <w:multiLevelType w:val="multilevel"/>
    <w:tmpl w:val="66F178DF"/>
    <w:lvl w:ilvl="0" w:tentative="0">
      <w:start w:val="1"/>
      <w:numFmt w:val="decimal"/>
      <w:suff w:val="space"/>
      <w:lvlText w:val="%1."/>
      <w:lvlJc w:val="left"/>
      <w:pPr>
        <w:ind w:left="0" w:firstLine="0"/>
      </w:pPr>
      <w:rPr>
        <w:rFonts w:ascii="Palatino Linotype" w:hAnsi="Palatino Linotype"/>
        <w:b/>
        <w:i w:val="0"/>
        <w:sz w:val="22"/>
      </w:rPr>
    </w:lvl>
    <w:lvl w:ilvl="1" w:tentative="0">
      <w:start w:val="1"/>
      <w:numFmt w:val="decimal"/>
      <w:suff w:val="space"/>
      <w:lvlText w:val="%1.%2."/>
      <w:lvlJc w:val="left"/>
      <w:pPr>
        <w:ind w:left="284" w:firstLine="0"/>
      </w:pPr>
      <w:rPr>
        <w:rFonts w:ascii="Palatino Linotype" w:hAnsi="Palatino Linotype"/>
        <w:b/>
        <w:i w:val="0"/>
        <w:color w:val="00000A"/>
        <w:sz w:val="22"/>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4">
    <w:nsid w:val="68696376"/>
    <w:multiLevelType w:val="multilevel"/>
    <w:tmpl w:val="68696376"/>
    <w:lvl w:ilvl="0" w:tentative="0">
      <w:start w:val="1"/>
      <w:numFmt w:val="lowerLetter"/>
      <w:lvlText w:val="%1)"/>
      <w:lvlJc w:val="left"/>
      <w:pPr>
        <w:ind w:left="2130" w:hanging="360"/>
      </w:pPr>
      <w:rPr>
        <w:b/>
      </w:rPr>
    </w:lvl>
    <w:lvl w:ilvl="1" w:tentative="0">
      <w:start w:val="1"/>
      <w:numFmt w:val="lowerLetter"/>
      <w:lvlText w:val="%2."/>
      <w:lvlJc w:val="left"/>
      <w:pPr>
        <w:ind w:left="2850" w:hanging="360"/>
      </w:p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abstractNum w:abstractNumId="15">
    <w:nsid w:val="7C8C666C"/>
    <w:multiLevelType w:val="multilevel"/>
    <w:tmpl w:val="7C8C666C"/>
    <w:lvl w:ilvl="0" w:tentative="0">
      <w:start w:val="1"/>
      <w:numFmt w:val="lowerLetter"/>
      <w:pStyle w:val="154"/>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8"/>
  </w:num>
  <w:num w:numId="3">
    <w:abstractNumId w:val="5"/>
  </w:num>
  <w:num w:numId="4">
    <w:abstractNumId w:val="15"/>
  </w:num>
  <w:num w:numId="5">
    <w:abstractNumId w:val="1"/>
  </w:num>
  <w:num w:numId="6">
    <w:abstractNumId w:val="11"/>
  </w:num>
  <w:num w:numId="7">
    <w:abstractNumId w:val="6"/>
  </w:num>
  <w:num w:numId="8">
    <w:abstractNumId w:val="4"/>
  </w:num>
  <w:num w:numId="9">
    <w:abstractNumId w:val="6"/>
    <w:lvlOverride w:ilvl="0">
      <w:lvl w:ilvl="0" w:tentative="1">
        <w:start w:val="1"/>
        <w:numFmt w:val="decimal"/>
        <w:lvlText w:val="%1."/>
        <w:lvlJc w:val="left"/>
        <w:pPr>
          <w:ind w:left="360" w:hanging="360"/>
        </w:pPr>
        <w:rPr>
          <w:rFonts w:hint="default"/>
          <w:b/>
        </w:rPr>
      </w:lvl>
    </w:lvlOverride>
    <w:lvlOverride w:ilvl="1">
      <w:lvl w:ilvl="1" w:tentative="1">
        <w:start w:val="0"/>
        <w:numFmt w:val="decimal"/>
        <w:lvlText w:val="%1.%2."/>
        <w:lvlJc w:val="left"/>
        <w:pPr>
          <w:ind w:left="999" w:hanging="432"/>
        </w:pPr>
        <w:rPr>
          <w:rFonts w:hint="default"/>
          <w:b w:val="0"/>
          <w:i w:val="0"/>
          <w:strike w:val="0"/>
          <w:color w:val="auto"/>
          <w:sz w:val="20"/>
          <w:szCs w:val="20"/>
          <w:u w:val="none"/>
        </w:rPr>
      </w:lvl>
    </w:lvlOverride>
    <w:lvlOverride w:ilvl="2">
      <w:lvl w:ilvl="2" w:tentative="1">
        <w:start w:val="1"/>
        <w:numFmt w:val="decimal"/>
        <w:lvlText w:val="%1.%2.%3"/>
        <w:lvlJc w:val="left"/>
        <w:pPr>
          <w:ind w:left="1638" w:hanging="504"/>
        </w:pPr>
        <w:rPr>
          <w:rFonts w:hint="default"/>
          <w:b w:val="0"/>
          <w:i w:val="0"/>
          <w:strike w:val="0"/>
          <w:color w:val="auto"/>
          <w:sz w:val="20"/>
          <w:szCs w:val="20"/>
        </w:rPr>
      </w:lvl>
    </w:lvlOverride>
    <w:lvlOverride w:ilvl="3">
      <w:lvl w:ilvl="3" w:tentative="1">
        <w:start w:val="1"/>
        <w:numFmt w:val="decimal"/>
        <w:lvlText w:val="%1.%2.%3.%4."/>
        <w:lvlJc w:val="left"/>
        <w:pPr>
          <w:ind w:left="2491" w:hanging="648"/>
        </w:pPr>
        <w:rPr>
          <w:rFonts w:hint="default"/>
        </w:rPr>
      </w:lvl>
    </w:lvlOverride>
    <w:lvlOverride w:ilvl="4">
      <w:lvl w:ilvl="4" w:tentative="1">
        <w:start w:val="1"/>
        <w:numFmt w:val="decimal"/>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10">
    <w:abstractNumId w:val="10"/>
  </w:num>
  <w:num w:numId="11">
    <w:abstractNumId w:val="14"/>
  </w:num>
  <w:num w:numId="12">
    <w:abstractNumId w:val="12"/>
  </w:num>
  <w:num w:numId="13">
    <w:abstractNumId w:val="6"/>
    <w:lvlOverride w:ilvl="0">
      <w:startOverride w:val="9"/>
    </w:lvlOverride>
    <w:lvlOverride w:ilvl="1">
      <w:startOverride w:val="4"/>
    </w:lvlOverride>
    <w:lvlOverride w:ilvl="2">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13"/>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94"/>
    <w:rsid w:val="00060094"/>
    <w:rsid w:val="000728B1"/>
    <w:rsid w:val="000A741E"/>
    <w:rsid w:val="000D0390"/>
    <w:rsid w:val="0010710C"/>
    <w:rsid w:val="00117499"/>
    <w:rsid w:val="001476FE"/>
    <w:rsid w:val="0019310F"/>
    <w:rsid w:val="002812DB"/>
    <w:rsid w:val="00290C0F"/>
    <w:rsid w:val="003A3AE7"/>
    <w:rsid w:val="003E75C2"/>
    <w:rsid w:val="0047214C"/>
    <w:rsid w:val="004A79E9"/>
    <w:rsid w:val="004B4CFD"/>
    <w:rsid w:val="005060F7"/>
    <w:rsid w:val="00510A4E"/>
    <w:rsid w:val="00513CB9"/>
    <w:rsid w:val="005C074E"/>
    <w:rsid w:val="005D52FF"/>
    <w:rsid w:val="00621BC0"/>
    <w:rsid w:val="006A2FC7"/>
    <w:rsid w:val="006E2E5A"/>
    <w:rsid w:val="0073645C"/>
    <w:rsid w:val="00772376"/>
    <w:rsid w:val="00780D9D"/>
    <w:rsid w:val="007A3B25"/>
    <w:rsid w:val="007E4137"/>
    <w:rsid w:val="00815B3C"/>
    <w:rsid w:val="00815CAA"/>
    <w:rsid w:val="00866030"/>
    <w:rsid w:val="00866619"/>
    <w:rsid w:val="008A2604"/>
    <w:rsid w:val="008C3C32"/>
    <w:rsid w:val="008D792B"/>
    <w:rsid w:val="008F4C7D"/>
    <w:rsid w:val="00950E59"/>
    <w:rsid w:val="009A6622"/>
    <w:rsid w:val="009C4962"/>
    <w:rsid w:val="009F4D9D"/>
    <w:rsid w:val="00A11A5F"/>
    <w:rsid w:val="00A6057C"/>
    <w:rsid w:val="00AC1F59"/>
    <w:rsid w:val="00AD39B9"/>
    <w:rsid w:val="00B071E2"/>
    <w:rsid w:val="00B133B6"/>
    <w:rsid w:val="00B65D85"/>
    <w:rsid w:val="00BD0102"/>
    <w:rsid w:val="00BF33D4"/>
    <w:rsid w:val="00D05F26"/>
    <w:rsid w:val="00D24ADA"/>
    <w:rsid w:val="00D4297F"/>
    <w:rsid w:val="00D87225"/>
    <w:rsid w:val="00E06FD7"/>
    <w:rsid w:val="00E30031"/>
    <w:rsid w:val="00E51DD6"/>
    <w:rsid w:val="00F318B9"/>
    <w:rsid w:val="00F76D35"/>
    <w:rsid w:val="00FB323D"/>
    <w:rsid w:val="2BDE3DD4"/>
    <w:rsid w:val="5956749C"/>
    <w:rsid w:val="6427436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0" w:name="FollowedHyperlink"/>
    <w:lsdException w:qFormat="1" w:unhideWhenUsed="0" w:uiPriority="22" w:semiHidden="0" w:name="Strong"/>
    <w:lsdException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67" w:name="Placeholder Text"/>
    <w:lsdException w:qFormat="1" w:unhideWhenUsed="0" w:uiPriority="1" w:semiHidden="0" w:name="List Paragraph"/>
    <w:lsdException w:qFormat="1" w:unhideWhenUsed="0" w:uiPriority="0" w:semiHidden="0" w:name="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53"/>
    <w:qFormat/>
    <w:uiPriority w:val="9"/>
    <w:pPr>
      <w:keepNext/>
      <w:keepLines/>
      <w:spacing w:before="480" w:after="0" w:line="240" w:lineRule="auto"/>
      <w:outlineLvl w:val="0"/>
    </w:pPr>
    <w:rPr>
      <w:rFonts w:asciiTheme="majorHAnsi" w:hAnsiTheme="majorHAnsi" w:eastAsiaTheme="majorEastAsia" w:cstheme="majorBidi"/>
      <w:b/>
      <w:bCs/>
      <w:color w:val="2E75B6" w:themeColor="accent1" w:themeShade="BF"/>
      <w:sz w:val="28"/>
      <w:szCs w:val="28"/>
      <w:lang w:eastAsia="pt-BR"/>
    </w:rPr>
  </w:style>
  <w:style w:type="paragraph" w:styleId="3">
    <w:name w:val="heading 2"/>
    <w:basedOn w:val="1"/>
    <w:next w:val="1"/>
    <w:link w:val="54"/>
    <w:qFormat/>
    <w:uiPriority w:val="1"/>
    <w:pPr>
      <w:keepNext/>
      <w:tabs>
        <w:tab w:val="left" w:pos="1701"/>
      </w:tabs>
      <w:spacing w:after="0" w:line="240" w:lineRule="auto"/>
      <w:ind w:right="-1"/>
      <w:jc w:val="center"/>
      <w:outlineLvl w:val="1"/>
    </w:pPr>
    <w:rPr>
      <w:rFonts w:ascii="Times New Roman" w:hAnsi="Times New Roman" w:cs="Times New Roman" w:eastAsiaTheme="minorEastAsia"/>
      <w:b/>
      <w:color w:val="000000"/>
      <w:sz w:val="24"/>
      <w:szCs w:val="20"/>
      <w:lang w:eastAsia="pt-BR"/>
    </w:rPr>
  </w:style>
  <w:style w:type="paragraph" w:styleId="4">
    <w:name w:val="heading 3"/>
    <w:basedOn w:val="1"/>
    <w:next w:val="1"/>
    <w:link w:val="5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56"/>
    <w:semiHidden/>
    <w:unhideWhenUsed/>
    <w:qFormat/>
    <w:uiPriority w:val="0"/>
    <w:pPr>
      <w:keepNext/>
      <w:keepLines/>
      <w:spacing w:before="40" w:after="0" w:line="240" w:lineRule="auto"/>
      <w:outlineLvl w:val="3"/>
    </w:pPr>
    <w:rPr>
      <w:rFonts w:asciiTheme="majorHAnsi" w:hAnsiTheme="majorHAnsi" w:eastAsiaTheme="majorEastAsia" w:cstheme="majorBidi"/>
      <w:i/>
      <w:iCs/>
      <w:color w:val="2E75B6" w:themeColor="accent1" w:themeShade="BF"/>
      <w:sz w:val="24"/>
      <w:szCs w:val="24"/>
      <w:lang w:eastAsia="pt-BR"/>
    </w:rPr>
  </w:style>
  <w:style w:type="paragraph" w:styleId="6">
    <w:name w:val="heading 6"/>
    <w:basedOn w:val="1"/>
    <w:next w:val="1"/>
    <w:link w:val="57"/>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0"/>
    <w:rPr>
      <w:sz w:val="16"/>
      <w:szCs w:val="16"/>
    </w:rPr>
  </w:style>
  <w:style w:type="character" w:styleId="11">
    <w:name w:val="FollowedHyperlink"/>
    <w:basedOn w:val="7"/>
    <w:semiHidden/>
    <w:unhideWhenUsed/>
    <w:uiPriority w:val="0"/>
    <w:rPr>
      <w:color w:val="954F72" w:themeColor="followedHyperlink"/>
      <w:u w:val="single"/>
      <w14:textFill>
        <w14:solidFill>
          <w14:schemeClr w14:val="folHlink"/>
        </w14:solidFill>
      </w14:textFill>
    </w:rPr>
  </w:style>
  <w:style w:type="character" w:styleId="12">
    <w:name w:val="Emphasis"/>
    <w:basedOn w:val="7"/>
    <w:uiPriority w:val="0"/>
    <w:rPr>
      <w:i/>
      <w:iCs/>
    </w:rPr>
  </w:style>
  <w:style w:type="character" w:styleId="13">
    <w:name w:val="Hyperlink"/>
    <w:uiPriority w:val="0"/>
    <w:rPr>
      <w:color w:val="000080"/>
      <w:u w:val="single"/>
    </w:rPr>
  </w:style>
  <w:style w:type="paragraph" w:styleId="14">
    <w:name w:val="toc 2"/>
    <w:basedOn w:val="1"/>
    <w:next w:val="1"/>
    <w:autoRedefine/>
    <w:unhideWhenUsed/>
    <w:uiPriority w:val="39"/>
    <w:pPr>
      <w:spacing w:after="100" w:line="278" w:lineRule="auto"/>
      <w:ind w:left="240"/>
    </w:pPr>
    <w:rPr>
      <w:rFonts w:eastAsiaTheme="minorEastAsia"/>
      <w:kern w:val="2"/>
      <w:sz w:val="24"/>
      <w:szCs w:val="24"/>
      <w:lang w:eastAsia="pt-BR"/>
      <w14:ligatures w14:val="standardContextual"/>
    </w:rPr>
  </w:style>
  <w:style w:type="paragraph" w:styleId="15">
    <w:name w:val="toc 9"/>
    <w:basedOn w:val="1"/>
    <w:next w:val="1"/>
    <w:autoRedefine/>
    <w:unhideWhenUsed/>
    <w:uiPriority w:val="39"/>
    <w:pPr>
      <w:spacing w:after="100" w:line="278" w:lineRule="auto"/>
      <w:ind w:left="1920"/>
    </w:pPr>
    <w:rPr>
      <w:rFonts w:eastAsiaTheme="minorEastAsia"/>
      <w:kern w:val="2"/>
      <w:sz w:val="24"/>
      <w:szCs w:val="24"/>
      <w:lang w:eastAsia="pt-BR"/>
      <w14:ligatures w14:val="standardContextual"/>
    </w:rPr>
  </w:style>
  <w:style w:type="paragraph" w:styleId="16">
    <w:name w:val="Body Text"/>
    <w:basedOn w:val="1"/>
    <w:link w:val="79"/>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7">
    <w:name w:val="toc 6"/>
    <w:basedOn w:val="1"/>
    <w:next w:val="1"/>
    <w:autoRedefine/>
    <w:unhideWhenUsed/>
    <w:uiPriority w:val="39"/>
    <w:pPr>
      <w:spacing w:after="100" w:line="278" w:lineRule="auto"/>
      <w:ind w:left="1200"/>
    </w:pPr>
    <w:rPr>
      <w:rFonts w:eastAsiaTheme="minorEastAsia"/>
      <w:kern w:val="2"/>
      <w:sz w:val="24"/>
      <w:szCs w:val="24"/>
      <w:lang w:eastAsia="pt-BR"/>
      <w14:ligatures w14:val="standardContextual"/>
    </w:rPr>
  </w:style>
  <w:style w:type="paragraph" w:styleId="18">
    <w:name w:val="annotation text"/>
    <w:basedOn w:val="1"/>
    <w:link w:val="38"/>
    <w:unhideWhenUsed/>
    <w:qFormat/>
    <w:uiPriority w:val="99"/>
    <w:pPr>
      <w:spacing w:after="0" w:line="240" w:lineRule="auto"/>
    </w:pPr>
    <w:rPr>
      <w:rFonts w:ascii="Ecofont_Spranq_eco_Sans" w:hAnsi="Ecofont_Spranq_eco_Sans" w:cs="Tahoma" w:eastAsiaTheme="minorEastAsia"/>
      <w:sz w:val="20"/>
      <w:szCs w:val="20"/>
      <w:lang w:eastAsia="pt-BR"/>
    </w:rPr>
  </w:style>
  <w:style w:type="paragraph" w:styleId="19">
    <w:name w:val="toc 5"/>
    <w:basedOn w:val="1"/>
    <w:next w:val="1"/>
    <w:autoRedefine/>
    <w:unhideWhenUsed/>
    <w:uiPriority w:val="39"/>
    <w:pPr>
      <w:spacing w:after="100" w:line="278" w:lineRule="auto"/>
      <w:ind w:left="960"/>
    </w:pPr>
    <w:rPr>
      <w:rFonts w:eastAsiaTheme="minorEastAsia"/>
      <w:kern w:val="2"/>
      <w:sz w:val="24"/>
      <w:szCs w:val="24"/>
      <w:lang w:eastAsia="pt-BR"/>
      <w14:ligatures w14:val="standardContextual"/>
    </w:rPr>
  </w:style>
  <w:style w:type="paragraph" w:styleId="20">
    <w:name w:val="Title"/>
    <w:basedOn w:val="1"/>
    <w:next w:val="1"/>
    <w:link w:val="69"/>
    <w:uiPriority w:val="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lang w:eastAsia="pt-BR"/>
    </w:rPr>
  </w:style>
  <w:style w:type="paragraph" w:styleId="21">
    <w:name w:val="List Bullet 5"/>
    <w:basedOn w:val="1"/>
    <w:uiPriority w:val="0"/>
    <w:pPr>
      <w:numPr>
        <w:ilvl w:val="0"/>
        <w:numId w:val="1"/>
      </w:numPr>
      <w:tabs>
        <w:tab w:val="clear" w:pos="1492"/>
      </w:tabs>
      <w:spacing w:after="0" w:line="240" w:lineRule="auto"/>
      <w:ind w:left="555" w:hanging="555"/>
      <w:contextualSpacing/>
    </w:pPr>
    <w:rPr>
      <w:rFonts w:ascii="Ecofont_Spranq_eco_Sans" w:hAnsi="Ecofont_Spranq_eco_Sans" w:cs="Tahoma" w:eastAsiaTheme="minorEastAsia"/>
      <w:sz w:val="24"/>
      <w:szCs w:val="24"/>
      <w:lang w:eastAsia="pt-BR"/>
    </w:rPr>
  </w:style>
  <w:style w:type="paragraph" w:styleId="22">
    <w:name w:val="Normal (Web)"/>
    <w:basedOn w:val="1"/>
    <w:qFormat/>
    <w:uiPriority w:val="99"/>
    <w:pPr>
      <w:spacing w:before="100" w:beforeAutospacing="1" w:after="100" w:afterAutospacing="1" w:line="240" w:lineRule="auto"/>
    </w:pPr>
    <w:rPr>
      <w:rFonts w:ascii="Times New Roman" w:hAnsi="Times New Roman" w:cs="Times New Roman" w:eastAsiaTheme="minorEastAsia"/>
      <w:sz w:val="24"/>
      <w:szCs w:val="24"/>
      <w:lang w:eastAsia="pt-BR"/>
    </w:rPr>
  </w:style>
  <w:style w:type="paragraph" w:styleId="23">
    <w:name w:val="toc 4"/>
    <w:basedOn w:val="1"/>
    <w:next w:val="1"/>
    <w:autoRedefine/>
    <w:unhideWhenUsed/>
    <w:uiPriority w:val="39"/>
    <w:pPr>
      <w:spacing w:after="100" w:line="278" w:lineRule="auto"/>
      <w:ind w:left="720"/>
    </w:pPr>
    <w:rPr>
      <w:rFonts w:eastAsiaTheme="minorEastAsia"/>
      <w:kern w:val="2"/>
      <w:sz w:val="24"/>
      <w:szCs w:val="24"/>
      <w:lang w:eastAsia="pt-BR"/>
      <w14:ligatures w14:val="standardContextual"/>
    </w:rPr>
  </w:style>
  <w:style w:type="paragraph" w:styleId="24">
    <w:name w:val="toc 8"/>
    <w:basedOn w:val="1"/>
    <w:next w:val="1"/>
    <w:autoRedefine/>
    <w:unhideWhenUsed/>
    <w:uiPriority w:val="39"/>
    <w:pPr>
      <w:spacing w:after="100" w:line="278" w:lineRule="auto"/>
      <w:ind w:left="1680"/>
    </w:pPr>
    <w:rPr>
      <w:rFonts w:eastAsiaTheme="minorEastAsia"/>
      <w:kern w:val="2"/>
      <w:sz w:val="24"/>
      <w:szCs w:val="24"/>
      <w:lang w:eastAsia="pt-BR"/>
      <w14:ligatures w14:val="standardContextual"/>
    </w:rPr>
  </w:style>
  <w:style w:type="paragraph" w:styleId="25">
    <w:name w:val="header"/>
    <w:basedOn w:val="1"/>
    <w:link w:val="33"/>
    <w:unhideWhenUsed/>
    <w:uiPriority w:val="0"/>
    <w:pPr>
      <w:tabs>
        <w:tab w:val="center" w:pos="4252"/>
        <w:tab w:val="right" w:pos="8504"/>
      </w:tabs>
      <w:spacing w:after="0" w:line="240" w:lineRule="auto"/>
    </w:pPr>
  </w:style>
  <w:style w:type="paragraph" w:styleId="26">
    <w:name w:val="annotation subject"/>
    <w:basedOn w:val="18"/>
    <w:next w:val="18"/>
    <w:link w:val="66"/>
    <w:semiHidden/>
    <w:unhideWhenUsed/>
    <w:uiPriority w:val="99"/>
    <w:rPr>
      <w:b/>
      <w:bCs/>
    </w:rPr>
  </w:style>
  <w:style w:type="paragraph" w:styleId="27">
    <w:name w:val="footer"/>
    <w:basedOn w:val="1"/>
    <w:link w:val="34"/>
    <w:unhideWhenUsed/>
    <w:uiPriority w:val="99"/>
    <w:pPr>
      <w:tabs>
        <w:tab w:val="center" w:pos="4252"/>
        <w:tab w:val="right" w:pos="8504"/>
      </w:tabs>
      <w:spacing w:after="0" w:line="240" w:lineRule="auto"/>
    </w:pPr>
  </w:style>
  <w:style w:type="paragraph" w:styleId="28">
    <w:name w:val="toc 7"/>
    <w:basedOn w:val="1"/>
    <w:next w:val="1"/>
    <w:autoRedefine/>
    <w:unhideWhenUsed/>
    <w:uiPriority w:val="39"/>
    <w:pPr>
      <w:spacing w:after="100" w:line="278" w:lineRule="auto"/>
      <w:ind w:left="1440"/>
    </w:pPr>
    <w:rPr>
      <w:rFonts w:eastAsiaTheme="minorEastAsia"/>
      <w:kern w:val="2"/>
      <w:sz w:val="24"/>
      <w:szCs w:val="24"/>
      <w:lang w:eastAsia="pt-BR"/>
      <w14:ligatures w14:val="standardContextual"/>
    </w:rPr>
  </w:style>
  <w:style w:type="paragraph" w:styleId="29">
    <w:name w:val="toc 3"/>
    <w:basedOn w:val="1"/>
    <w:next w:val="1"/>
    <w:autoRedefine/>
    <w:unhideWhenUsed/>
    <w:uiPriority w:val="39"/>
    <w:pPr>
      <w:spacing w:after="100" w:line="240" w:lineRule="auto"/>
      <w:ind w:left="480"/>
    </w:pPr>
    <w:rPr>
      <w:rFonts w:ascii="Ecofont_Spranq_eco_Sans" w:hAnsi="Ecofont_Spranq_eco_Sans" w:cs="Tahoma" w:eastAsiaTheme="minorEastAsia"/>
      <w:sz w:val="24"/>
      <w:szCs w:val="24"/>
      <w:lang w:eastAsia="pt-BR"/>
    </w:rPr>
  </w:style>
  <w:style w:type="paragraph" w:styleId="30">
    <w:name w:val="Balloon Text"/>
    <w:basedOn w:val="1"/>
    <w:link w:val="39"/>
    <w:unhideWhenUsed/>
    <w:uiPriority w:val="99"/>
    <w:pPr>
      <w:spacing w:after="0" w:line="240" w:lineRule="auto"/>
    </w:pPr>
    <w:rPr>
      <w:rFonts w:ascii="Segoe UI" w:hAnsi="Segoe UI" w:cs="Segoe UI"/>
      <w:sz w:val="18"/>
      <w:szCs w:val="18"/>
    </w:rPr>
  </w:style>
  <w:style w:type="paragraph" w:styleId="31">
    <w:name w:val="toc 1"/>
    <w:basedOn w:val="1"/>
    <w:next w:val="1"/>
    <w:autoRedefine/>
    <w:unhideWhenUsed/>
    <w:uiPriority w:val="39"/>
    <w:pPr>
      <w:numPr>
        <w:ilvl w:val="0"/>
        <w:numId w:val="2"/>
      </w:numPr>
      <w:tabs>
        <w:tab w:val="left" w:pos="-284"/>
        <w:tab w:val="right" w:leader="dot" w:pos="9628"/>
      </w:tabs>
      <w:spacing w:before="120" w:after="120" w:line="360" w:lineRule="auto"/>
    </w:pPr>
    <w:rPr>
      <w:rFonts w:ascii="Times New Roman" w:hAnsi="Times New Roman" w:eastAsia="Times New Roman" w:cs="Times New Roman"/>
      <w:b/>
      <w:sz w:val="20"/>
      <w:szCs w:val="24"/>
      <w:lang w:eastAsia="pt-BR"/>
    </w:rPr>
  </w:style>
  <w:style w:type="table" w:styleId="32">
    <w:name w:val="Table Grid"/>
    <w:basedOn w:val="8"/>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
    <w:name w:val="Cabeçalho Char"/>
    <w:basedOn w:val="7"/>
    <w:link w:val="25"/>
    <w:qFormat/>
    <w:uiPriority w:val="0"/>
  </w:style>
  <w:style w:type="character" w:customStyle="1" w:styleId="34">
    <w:name w:val="Rodapé Char"/>
    <w:basedOn w:val="7"/>
    <w:link w:val="27"/>
    <w:qFormat/>
    <w:uiPriority w:val="99"/>
  </w:style>
  <w:style w:type="character" w:customStyle="1" w:styleId="35">
    <w:name w:val="modalidade"/>
    <w:basedOn w:val="7"/>
    <w:uiPriority w:val="0"/>
  </w:style>
  <w:style w:type="paragraph" w:customStyle="1" w:styleId="36">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7">
    <w:name w:val="sub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8">
    <w:name w:val="Texto de comentário Char"/>
    <w:basedOn w:val="7"/>
    <w:link w:val="18"/>
    <w:qFormat/>
    <w:uiPriority w:val="99"/>
    <w:rPr>
      <w:rFonts w:ascii="Ecofont_Spranq_eco_Sans" w:hAnsi="Ecofont_Spranq_eco_Sans" w:cs="Tahoma" w:eastAsiaTheme="minorEastAsia"/>
      <w:sz w:val="20"/>
      <w:szCs w:val="20"/>
      <w:lang w:eastAsia="pt-BR"/>
    </w:rPr>
  </w:style>
  <w:style w:type="character" w:customStyle="1" w:styleId="39">
    <w:name w:val="Texto de balão Char"/>
    <w:basedOn w:val="7"/>
    <w:link w:val="30"/>
    <w:uiPriority w:val="99"/>
    <w:rPr>
      <w:rFonts w:ascii="Segoe UI" w:hAnsi="Segoe UI" w:cs="Segoe UI"/>
      <w:sz w:val="18"/>
      <w:szCs w:val="18"/>
    </w:rPr>
  </w:style>
  <w:style w:type="character" w:customStyle="1" w:styleId="40">
    <w:name w:val="Link da Internet"/>
    <w:basedOn w:val="7"/>
    <w:uiPriority w:val="99"/>
    <w:rPr>
      <w:rFonts w:cs="Times New Roman"/>
      <w:color w:val="0000FF"/>
      <w:u w:val="single"/>
    </w:rPr>
  </w:style>
  <w:style w:type="character" w:customStyle="1" w:styleId="41">
    <w:name w:val="apple-converted-space"/>
    <w:basedOn w:val="7"/>
    <w:qFormat/>
    <w:uiPriority w:val="0"/>
    <w:rPr>
      <w:rFonts w:cs="Times New Roman"/>
    </w:rPr>
  </w:style>
  <w:style w:type="character" w:customStyle="1" w:styleId="42">
    <w:name w:val="field-content"/>
    <w:basedOn w:val="7"/>
    <w:qFormat/>
    <w:uiPriority w:val="0"/>
    <w:rPr>
      <w:rFonts w:cs="Times New Roman"/>
    </w:rPr>
  </w:style>
  <w:style w:type="character" w:customStyle="1" w:styleId="43">
    <w:name w:val="Nivel 2 Char"/>
    <w:basedOn w:val="7"/>
    <w:link w:val="44"/>
    <w:qFormat/>
    <w:uiPriority w:val="0"/>
    <w:rPr>
      <w:rFonts w:ascii="Ecofont_Spranq_eco_Sans" w:hAnsi="Ecofont_Spranq_eco_Sans" w:eastAsia="Arial Unicode MS"/>
    </w:rPr>
  </w:style>
  <w:style w:type="paragraph" w:customStyle="1" w:styleId="44">
    <w:name w:val="Nivel 2"/>
    <w:link w:val="43"/>
    <w:qFormat/>
    <w:uiPriority w:val="0"/>
    <w:pPr>
      <w:spacing w:before="120" w:after="120" w:line="276" w:lineRule="auto"/>
      <w:jc w:val="both"/>
    </w:pPr>
    <w:rPr>
      <w:rFonts w:ascii="Ecofont_Spranq_eco_Sans" w:hAnsi="Ecofont_Spranq_eco_Sans" w:eastAsia="Arial Unicode MS" w:cstheme="minorBidi"/>
      <w:sz w:val="22"/>
      <w:szCs w:val="22"/>
      <w:lang w:val="pt-BR" w:eastAsia="en-US" w:bidi="ar-SA"/>
    </w:rPr>
  </w:style>
  <w:style w:type="paragraph" w:customStyle="1" w:styleId="45">
    <w:name w:val="Nivel 3"/>
    <w:basedOn w:val="44"/>
    <w:link w:val="47"/>
    <w:qFormat/>
    <w:uiPriority w:val="0"/>
    <w:pPr>
      <w:tabs>
        <w:tab w:val="left" w:pos="360"/>
      </w:tabs>
      <w:ind w:left="1922" w:hanging="720"/>
    </w:pPr>
    <w:rPr>
      <w:rFonts w:cs="Arial"/>
      <w:color w:val="000000"/>
    </w:rPr>
  </w:style>
  <w:style w:type="paragraph" w:customStyle="1" w:styleId="46">
    <w:name w:val="Nivel 4"/>
    <w:basedOn w:val="45"/>
    <w:link w:val="50"/>
    <w:qFormat/>
    <w:uiPriority w:val="0"/>
    <w:pPr>
      <w:ind w:left="2491"/>
    </w:pPr>
    <w:rPr>
      <w:color w:val="00000A"/>
    </w:rPr>
  </w:style>
  <w:style w:type="character" w:customStyle="1" w:styleId="47">
    <w:name w:val="Nivel 3 Char"/>
    <w:basedOn w:val="7"/>
    <w:link w:val="45"/>
    <w:uiPriority w:val="0"/>
    <w:rPr>
      <w:rFonts w:ascii="Ecofont_Spranq_eco_Sans" w:hAnsi="Ecofont_Spranq_eco_Sans" w:eastAsia="Arial Unicode MS" w:cs="Arial"/>
      <w:color w:val="000000"/>
    </w:rPr>
  </w:style>
  <w:style w:type="paragraph" w:customStyle="1" w:styleId="48">
    <w:name w:val="Nível 3-R"/>
    <w:basedOn w:val="45"/>
    <w:link w:val="49"/>
    <w:qFormat/>
    <w:uiPriority w:val="0"/>
    <w:pPr>
      <w:numPr>
        <w:ilvl w:val="2"/>
        <w:numId w:val="3"/>
      </w:numPr>
      <w:tabs>
        <w:tab w:val="clear" w:pos="360"/>
      </w:tabs>
    </w:pPr>
    <w:rPr>
      <w:rFonts w:ascii="Arial" w:hAnsi="Arial" w:eastAsiaTheme="minorEastAsia"/>
      <w:i/>
      <w:iCs/>
      <w:color w:val="FF0000"/>
    </w:rPr>
  </w:style>
  <w:style w:type="character" w:customStyle="1" w:styleId="49">
    <w:name w:val="Nível 3-R Char"/>
    <w:basedOn w:val="47"/>
    <w:link w:val="48"/>
    <w:uiPriority w:val="0"/>
    <w:rPr>
      <w:rFonts w:ascii="Arial" w:hAnsi="Arial" w:cs="Arial" w:eastAsiaTheme="minorEastAsia"/>
      <w:i/>
      <w:iCs/>
      <w:color w:val="FF0000"/>
    </w:rPr>
  </w:style>
  <w:style w:type="character" w:customStyle="1" w:styleId="50">
    <w:name w:val="Nivel 4 Char"/>
    <w:basedOn w:val="7"/>
    <w:link w:val="46"/>
    <w:qFormat/>
    <w:uiPriority w:val="0"/>
    <w:rPr>
      <w:rFonts w:ascii="Ecofont_Spranq_eco_Sans" w:hAnsi="Ecofont_Spranq_eco_Sans" w:eastAsia="Arial Unicode MS" w:cs="Arial"/>
      <w:color w:val="00000A"/>
    </w:rPr>
  </w:style>
  <w:style w:type="paragraph" w:customStyle="1" w:styleId="51">
    <w:name w:val="Nível 2 -Red"/>
    <w:basedOn w:val="44"/>
    <w:link w:val="52"/>
    <w:qFormat/>
    <w:uiPriority w:val="0"/>
    <w:pPr>
      <w:numPr>
        <w:ilvl w:val="1"/>
        <w:numId w:val="3"/>
      </w:numPr>
      <w:autoSpaceDE w:val="0"/>
      <w:autoSpaceDN w:val="0"/>
      <w:adjustRightInd w:val="0"/>
    </w:pPr>
    <w:rPr>
      <w:rFonts w:ascii="Arial" w:hAnsi="Arial" w:eastAsia="Times New Roman" w:cs="Arial"/>
      <w:i/>
      <w:iCs/>
      <w:color w:val="FF0000"/>
      <w:sz w:val="20"/>
    </w:rPr>
  </w:style>
  <w:style w:type="character" w:customStyle="1" w:styleId="52">
    <w:name w:val="Nível 2 -Red Char"/>
    <w:basedOn w:val="43"/>
    <w:link w:val="51"/>
    <w:qFormat/>
    <w:uiPriority w:val="0"/>
    <w:rPr>
      <w:rFonts w:ascii="Arial" w:hAnsi="Arial" w:eastAsia="Times New Roman" w:cs="Arial"/>
      <w:i/>
      <w:iCs/>
      <w:color w:val="FF0000"/>
      <w:sz w:val="20"/>
    </w:rPr>
  </w:style>
  <w:style w:type="character" w:customStyle="1" w:styleId="53">
    <w:name w:val="Título 1 Char"/>
    <w:basedOn w:val="7"/>
    <w:link w:val="2"/>
    <w:uiPriority w:val="9"/>
    <w:rPr>
      <w:rFonts w:asciiTheme="majorHAnsi" w:hAnsiTheme="majorHAnsi" w:eastAsiaTheme="majorEastAsia" w:cstheme="majorBidi"/>
      <w:b/>
      <w:bCs/>
      <w:color w:val="2E75B6" w:themeColor="accent1" w:themeShade="BF"/>
      <w:sz w:val="28"/>
      <w:szCs w:val="28"/>
      <w:lang w:eastAsia="pt-BR"/>
    </w:rPr>
  </w:style>
  <w:style w:type="character" w:customStyle="1" w:styleId="54">
    <w:name w:val="Título 2 Char"/>
    <w:basedOn w:val="7"/>
    <w:link w:val="3"/>
    <w:qFormat/>
    <w:uiPriority w:val="1"/>
    <w:rPr>
      <w:rFonts w:ascii="Times New Roman" w:hAnsi="Times New Roman" w:cs="Times New Roman" w:eastAsiaTheme="minorEastAsia"/>
      <w:b/>
      <w:color w:val="000000"/>
      <w:sz w:val="24"/>
      <w:szCs w:val="20"/>
      <w:lang w:eastAsia="pt-BR"/>
    </w:rPr>
  </w:style>
  <w:style w:type="character" w:customStyle="1" w:styleId="55">
    <w:name w:val="Título 3 Char"/>
    <w:basedOn w:val="7"/>
    <w:link w:val="4"/>
    <w:qFormat/>
    <w:uiPriority w:val="9"/>
    <w:rPr>
      <w:rFonts w:asciiTheme="majorHAnsi" w:hAnsiTheme="majorHAnsi" w:eastAsiaTheme="majorEastAsia" w:cstheme="majorBidi"/>
      <w:color w:val="1F4E79" w:themeColor="accent1" w:themeShade="80"/>
      <w:sz w:val="24"/>
      <w:szCs w:val="24"/>
    </w:rPr>
  </w:style>
  <w:style w:type="character" w:customStyle="1" w:styleId="56">
    <w:name w:val="Título 4 Char"/>
    <w:basedOn w:val="7"/>
    <w:link w:val="5"/>
    <w:semiHidden/>
    <w:uiPriority w:val="0"/>
    <w:rPr>
      <w:rFonts w:asciiTheme="majorHAnsi" w:hAnsiTheme="majorHAnsi" w:eastAsiaTheme="majorEastAsia" w:cstheme="majorBidi"/>
      <w:i/>
      <w:iCs/>
      <w:color w:val="2E75B6" w:themeColor="accent1" w:themeShade="BF"/>
      <w:sz w:val="24"/>
      <w:szCs w:val="24"/>
      <w:lang w:eastAsia="pt-BR"/>
    </w:rPr>
  </w:style>
  <w:style w:type="character" w:customStyle="1" w:styleId="57">
    <w:name w:val="Título 6 Char"/>
    <w:basedOn w:val="7"/>
    <w:link w:val="6"/>
    <w:semiHidden/>
    <w:qFormat/>
    <w:uiPriority w:val="9"/>
    <w:rPr>
      <w:rFonts w:asciiTheme="majorHAnsi" w:hAnsiTheme="majorHAnsi" w:eastAsiaTheme="majorEastAsia" w:cstheme="majorBidi"/>
      <w:color w:val="1F4E79" w:themeColor="accent1" w:themeShade="80"/>
    </w:rPr>
  </w:style>
  <w:style w:type="paragraph" w:styleId="58">
    <w:name w:val="List Paragraph"/>
    <w:basedOn w:val="1"/>
    <w:link w:val="109"/>
    <w:qFormat/>
    <w:uiPriority w:val="1"/>
    <w:pPr>
      <w:spacing w:after="0" w:line="240" w:lineRule="auto"/>
      <w:ind w:left="720"/>
      <w:contextualSpacing/>
    </w:pPr>
    <w:rPr>
      <w:rFonts w:ascii="Ecofont_Spranq_eco_Sans" w:hAnsi="Ecofont_Spranq_eco_Sans" w:cs="Tahoma" w:eastAsiaTheme="minorEastAsia"/>
      <w:sz w:val="24"/>
      <w:szCs w:val="24"/>
      <w:lang w:eastAsia="pt-BR"/>
    </w:rPr>
  </w:style>
  <w:style w:type="paragraph" w:customStyle="1" w:styleId="59">
    <w:name w:val="Nível 2"/>
    <w:basedOn w:val="1"/>
    <w:next w:val="1"/>
    <w:qFormat/>
    <w:uiPriority w:val="0"/>
    <w:pPr>
      <w:spacing w:after="120" w:line="240" w:lineRule="auto"/>
      <w:jc w:val="both"/>
    </w:pPr>
    <w:rPr>
      <w:rFonts w:ascii="Arial" w:hAnsi="Arial" w:cs="Times New Roman" w:eastAsiaTheme="minorEastAsia"/>
      <w:b/>
      <w:sz w:val="24"/>
      <w:szCs w:val="20"/>
      <w:lang w:eastAsia="pt-BR"/>
    </w:rPr>
  </w:style>
  <w:style w:type="character" w:customStyle="1" w:styleId="60">
    <w:name w:val="normal__char1"/>
    <w:qFormat/>
    <w:uiPriority w:val="0"/>
    <w:rPr>
      <w:rFonts w:hint="default" w:ascii="Arial" w:hAnsi="Arial" w:cs="Arial"/>
      <w:sz w:val="24"/>
      <w:szCs w:val="24"/>
      <w:u w:val="none"/>
    </w:rPr>
  </w:style>
  <w:style w:type="character" w:customStyle="1" w:styleId="61">
    <w:name w:val="apple-style-span"/>
    <w:basedOn w:val="7"/>
    <w:qFormat/>
    <w:uiPriority w:val="0"/>
  </w:style>
  <w:style w:type="paragraph" w:styleId="62">
    <w:name w:val="Quote"/>
    <w:basedOn w:val="1"/>
    <w:next w:val="1"/>
    <w:link w:val="6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63">
    <w:name w:val="Citação Char"/>
    <w:basedOn w:val="7"/>
    <w:link w:val="62"/>
    <w:qFormat/>
    <w:uiPriority w:val="0"/>
    <w:rPr>
      <w:rFonts w:ascii="Arial" w:hAnsi="Arial" w:eastAsia="Calibri" w:cs="Tahoma"/>
      <w:i/>
      <w:iCs/>
      <w:color w:val="000000"/>
      <w:sz w:val="20"/>
      <w:szCs w:val="24"/>
      <w:shd w:val="clear" w:color="auto" w:fill="FFFFCC"/>
    </w:rPr>
  </w:style>
  <w:style w:type="paragraph" w:customStyle="1" w:styleId="64">
    <w:name w:val="Nota explicativa"/>
    <w:basedOn w:val="62"/>
    <w:link w:val="65"/>
    <w:qFormat/>
    <w:uiPriority w:val="0"/>
    <w:rPr>
      <w:szCs w:val="20"/>
    </w:rPr>
  </w:style>
  <w:style w:type="character" w:customStyle="1" w:styleId="65">
    <w:name w:val="Nota explicativa Char"/>
    <w:basedOn w:val="63"/>
    <w:link w:val="64"/>
    <w:qFormat/>
    <w:uiPriority w:val="0"/>
    <w:rPr>
      <w:rFonts w:ascii="Arial" w:hAnsi="Arial" w:eastAsia="Calibri" w:cs="Tahoma"/>
      <w:color w:val="000000"/>
      <w:sz w:val="20"/>
      <w:szCs w:val="20"/>
      <w:shd w:val="clear" w:color="auto" w:fill="FFFFCC"/>
    </w:rPr>
  </w:style>
  <w:style w:type="character" w:customStyle="1" w:styleId="66">
    <w:name w:val="Assunto do comentário Char"/>
    <w:basedOn w:val="38"/>
    <w:link w:val="26"/>
    <w:semiHidden/>
    <w:uiPriority w:val="99"/>
    <w:rPr>
      <w:rFonts w:ascii="Ecofont_Spranq_eco_Sans" w:hAnsi="Ecofont_Spranq_eco_Sans" w:cs="Tahoma" w:eastAsiaTheme="minorEastAsia"/>
      <w:b/>
      <w:bCs/>
      <w:sz w:val="20"/>
      <w:szCs w:val="20"/>
      <w:lang w:eastAsia="pt-BR"/>
    </w:rPr>
  </w:style>
  <w:style w:type="paragraph" w:customStyle="1" w:styleId="67">
    <w:name w:val="Nivel 01"/>
    <w:basedOn w:val="2"/>
    <w:next w:val="1"/>
    <w:link w:val="70"/>
    <w:qFormat/>
    <w:uiPriority w:val="0"/>
    <w:pPr>
      <w:tabs>
        <w:tab w:val="left" w:pos="567"/>
      </w:tabs>
      <w:spacing w:before="288" w:beforeLines="120" w:after="288" w:afterLines="120" w:line="312" w:lineRule="auto"/>
      <w:ind w:left="360" w:hanging="360"/>
      <w:jc w:val="both"/>
    </w:pPr>
    <w:rPr>
      <w:rFonts w:ascii="Arial" w:hAnsi="Arial" w:eastAsia="Arial" w:cs="Arial"/>
      <w:iCs/>
      <w:color w:val="333F50" w:themeColor="text2" w:themeShade="BF"/>
      <w:spacing w:val="5"/>
      <w:kern w:val="28"/>
      <w:sz w:val="20"/>
      <w:szCs w:val="20"/>
    </w:rPr>
  </w:style>
  <w:style w:type="paragraph" w:customStyle="1" w:styleId="68">
    <w:name w:val="Nivel_01_Titulo"/>
    <w:basedOn w:val="67"/>
    <w:link w:val="71"/>
    <w:qFormat/>
    <w:uiPriority w:val="0"/>
    <w:pPr>
      <w:jc w:val="left"/>
    </w:pPr>
    <w:rPr>
      <w:rFonts w:cstheme="majorBidi"/>
      <w:color w:val="000000" w:themeColor="text1"/>
      <w:sz w:val="52"/>
      <w:szCs w:val="52"/>
      <w14:textFill>
        <w14:solidFill>
          <w14:schemeClr w14:val="tx1"/>
        </w14:solidFill>
      </w14:textFill>
    </w:rPr>
  </w:style>
  <w:style w:type="character" w:customStyle="1" w:styleId="69">
    <w:name w:val="Título Char"/>
    <w:basedOn w:val="7"/>
    <w:link w:val="20"/>
    <w:qFormat/>
    <w:uiPriority w:val="0"/>
    <w:rPr>
      <w:rFonts w:asciiTheme="majorHAnsi" w:hAnsiTheme="majorHAnsi" w:eastAsiaTheme="majorEastAsia" w:cstheme="majorBidi"/>
      <w:color w:val="333F50" w:themeColor="text2" w:themeShade="BF"/>
      <w:spacing w:val="5"/>
      <w:kern w:val="28"/>
      <w:sz w:val="52"/>
      <w:szCs w:val="52"/>
      <w:lang w:eastAsia="pt-BR"/>
    </w:rPr>
  </w:style>
  <w:style w:type="character" w:customStyle="1" w:styleId="70">
    <w:name w:val="Nivel 01 Char"/>
    <w:basedOn w:val="69"/>
    <w:link w:val="67"/>
    <w:qFormat/>
    <w:uiPriority w:val="0"/>
    <w:rPr>
      <w:rFonts w:ascii="Arial" w:hAnsi="Arial" w:eastAsia="Arial" w:cs="Arial"/>
      <w:b/>
      <w:bCs/>
      <w:iCs/>
      <w:color w:val="333F50" w:themeColor="text2" w:themeShade="BF"/>
      <w:spacing w:val="5"/>
      <w:kern w:val="28"/>
      <w:sz w:val="20"/>
      <w:szCs w:val="20"/>
      <w:lang w:eastAsia="pt-BR"/>
    </w:rPr>
  </w:style>
  <w:style w:type="character" w:customStyle="1" w:styleId="71">
    <w:name w:val="Nivel_01_Titulo Char"/>
    <w:basedOn w:val="70"/>
    <w:link w:val="68"/>
    <w:qFormat/>
    <w:uiPriority w:val="0"/>
    <w:rPr>
      <w:rFonts w:ascii="Arial" w:hAnsi="Arial" w:eastAsia="Arial" w:cstheme="majorBidi"/>
      <w:color w:val="000000" w:themeColor="text1"/>
      <w:spacing w:val="5"/>
      <w:kern w:val="28"/>
      <w:sz w:val="52"/>
      <w:szCs w:val="52"/>
      <w:lang w:eastAsia="pt-BR"/>
      <w14:textFill>
        <w14:solidFill>
          <w14:schemeClr w14:val="tx1"/>
        </w14:solidFill>
      </w14:textFill>
    </w:rPr>
  </w:style>
  <w:style w:type="paragraph" w:customStyle="1" w:styleId="72">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val="pt-BR" w:eastAsia="zh-CN" w:bidi="hi-IN"/>
    </w:rPr>
  </w:style>
  <w:style w:type="character" w:customStyle="1" w:styleId="73">
    <w:name w:val="Quote Char"/>
    <w:basedOn w:val="7"/>
    <w:link w:val="74"/>
    <w:uiPriority w:val="0"/>
    <w:rPr>
      <w:rFonts w:ascii="Ecofont_Spranq_eco_Sans" w:hAnsi="Ecofont_Spranq_eco_Sans" w:eastAsia="Calibri" w:cs="Tahoma"/>
      <w:i/>
      <w:iCs/>
      <w:color w:val="000000"/>
      <w:shd w:val="clear" w:color="auto" w:fill="FFFFCC"/>
    </w:rPr>
  </w:style>
  <w:style w:type="paragraph" w:customStyle="1" w:styleId="74">
    <w:name w:val="Citação1"/>
    <w:basedOn w:val="1"/>
    <w:next w:val="1"/>
    <w:link w:val="73"/>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paragraph" w:customStyle="1" w:styleId="75">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76">
    <w:name w:val="normaltextrun"/>
    <w:basedOn w:val="7"/>
    <w:uiPriority w:val="0"/>
  </w:style>
  <w:style w:type="character" w:customStyle="1" w:styleId="77">
    <w:name w:val="eop"/>
    <w:basedOn w:val="7"/>
    <w:uiPriority w:val="0"/>
  </w:style>
  <w:style w:type="character" w:customStyle="1" w:styleId="78">
    <w:name w:val="spellingerror"/>
    <w:basedOn w:val="7"/>
    <w:qFormat/>
    <w:uiPriority w:val="0"/>
  </w:style>
  <w:style w:type="character" w:customStyle="1" w:styleId="79">
    <w:name w:val="Corpo de texto Char"/>
    <w:basedOn w:val="7"/>
    <w:link w:val="16"/>
    <w:qFormat/>
    <w:uiPriority w:val="99"/>
    <w:rPr>
      <w:rFonts w:ascii="Times New Roman" w:hAnsi="Times New Roman" w:eastAsia="Times New Roman" w:cs="Times New Roman"/>
      <w:sz w:val="24"/>
      <w:szCs w:val="24"/>
      <w:lang w:eastAsia="pt-BR"/>
    </w:rPr>
  </w:style>
  <w:style w:type="paragraph" w:customStyle="1" w:styleId="80">
    <w:name w:val="Nivel1"/>
    <w:basedOn w:val="2"/>
    <w:link w:val="81"/>
    <w:qFormat/>
    <w:uiPriority w:val="0"/>
    <w:pPr>
      <w:spacing w:line="276" w:lineRule="auto"/>
      <w:ind w:left="357" w:hanging="357"/>
      <w:jc w:val="both"/>
    </w:pPr>
    <w:rPr>
      <w:rFonts w:ascii="Arial" w:hAnsi="Arial" w:cs="Arial"/>
      <w:bCs w:val="0"/>
      <w:color w:val="000000"/>
    </w:rPr>
  </w:style>
  <w:style w:type="character" w:customStyle="1" w:styleId="81">
    <w:name w:val="Nivel1 Char"/>
    <w:basedOn w:val="53"/>
    <w:link w:val="80"/>
    <w:qFormat/>
    <w:uiPriority w:val="0"/>
    <w:rPr>
      <w:rFonts w:ascii="Arial" w:hAnsi="Arial" w:cs="Arial" w:eastAsiaTheme="majorEastAsia"/>
      <w:bCs w:val="0"/>
      <w:color w:val="000000"/>
      <w:sz w:val="28"/>
      <w:szCs w:val="28"/>
      <w:lang w:eastAsia="pt-BR"/>
    </w:rPr>
  </w:style>
  <w:style w:type="paragraph" w:customStyle="1" w:styleId="82">
    <w:name w:val="Parágrafo da Lista1"/>
    <w:basedOn w:val="1"/>
    <w:qFormat/>
    <w:uiPriority w:val="0"/>
    <w:pPr>
      <w:spacing w:after="0" w:line="240" w:lineRule="auto"/>
      <w:ind w:left="720"/>
    </w:pPr>
    <w:rPr>
      <w:rFonts w:ascii="Ecofont_Spranq_eco_Sans" w:hAnsi="Ecofont_Spranq_eco_Sans" w:eastAsia="Times New Roman" w:cs="Ecofont_Spranq_eco_Sans"/>
      <w:sz w:val="24"/>
      <w:szCs w:val="24"/>
      <w:lang w:eastAsia="pt-BR"/>
    </w:rPr>
  </w:style>
  <w:style w:type="paragraph" w:customStyle="1" w:styleId="83">
    <w:name w:val="Nivel 1"/>
    <w:basedOn w:val="44"/>
    <w:next w:val="44"/>
    <w:qFormat/>
    <w:uiPriority w:val="0"/>
    <w:pPr>
      <w:ind w:left="360" w:hanging="360"/>
    </w:pPr>
    <w:rPr>
      <w:rFonts w:ascii="Arial" w:hAnsi="Arial" w:cs="Arial" w:eastAsiaTheme="minorEastAsia"/>
      <w:b/>
      <w:color w:val="000000"/>
      <w:sz w:val="20"/>
      <w:szCs w:val="20"/>
      <w:lang w:eastAsia="pt-BR"/>
    </w:rPr>
  </w:style>
  <w:style w:type="paragraph" w:customStyle="1" w:styleId="84">
    <w:name w:val="Nivel 5"/>
    <w:basedOn w:val="46"/>
    <w:qFormat/>
    <w:uiPriority w:val="0"/>
    <w:pPr>
      <w:tabs>
        <w:tab w:val="left" w:pos="1492"/>
        <w:tab w:val="clear" w:pos="360"/>
      </w:tabs>
      <w:ind w:left="851" w:hanging="360"/>
    </w:pPr>
    <w:rPr>
      <w:rFonts w:ascii="Arial" w:hAnsi="Arial" w:eastAsiaTheme="minorEastAsia"/>
      <w:color w:val="auto"/>
      <w:sz w:val="20"/>
      <w:szCs w:val="20"/>
      <w:lang w:eastAsia="pt-BR"/>
    </w:rPr>
  </w:style>
  <w:style w:type="paragraph" w:customStyle="1" w:styleId="85">
    <w:name w:val="textbody"/>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86">
    <w:name w:val="em_0020ementa"/>
    <w:basedOn w:val="1"/>
    <w:qFormat/>
    <w:uiPriority w:val="0"/>
    <w:pPr>
      <w:spacing w:after="0" w:line="240" w:lineRule="auto"/>
      <w:ind w:left="4160"/>
      <w:jc w:val="both"/>
    </w:pPr>
    <w:rPr>
      <w:rFonts w:ascii="Times New Roman" w:hAnsi="Times New Roman" w:eastAsia="Times New Roman" w:cs="Times New Roman"/>
      <w:sz w:val="28"/>
      <w:szCs w:val="28"/>
      <w:lang w:eastAsia="pt-BR"/>
    </w:rPr>
  </w:style>
  <w:style w:type="character" w:customStyle="1" w:styleId="87">
    <w:name w:val="cp_0020corpodespacho__char1"/>
    <w:qFormat/>
    <w:uiPriority w:val="0"/>
    <w:rPr>
      <w:rFonts w:hint="default" w:ascii="Times New Roman" w:hAnsi="Times New Roman" w:cs="Times New Roman"/>
      <w:sz w:val="26"/>
      <w:szCs w:val="26"/>
      <w:u w:val="none"/>
    </w:rPr>
  </w:style>
  <w:style w:type="character" w:customStyle="1" w:styleId="88">
    <w:name w:val="em_0020ementa__char1"/>
    <w:qFormat/>
    <w:uiPriority w:val="0"/>
    <w:rPr>
      <w:rFonts w:hint="default" w:ascii="Times New Roman" w:hAnsi="Times New Roman" w:cs="Times New Roman"/>
      <w:sz w:val="28"/>
      <w:szCs w:val="28"/>
      <w:u w:val="none"/>
    </w:rPr>
  </w:style>
  <w:style w:type="paragraph" w:customStyle="1" w:styleId="89">
    <w:name w:val="Revisão1"/>
    <w:hidden/>
    <w:semiHidden/>
    <w:qFormat/>
    <w:uiPriority w:val="99"/>
    <w:rPr>
      <w:rFonts w:ascii="Ecofont_Spranq_eco_Sans" w:hAnsi="Ecofont_Spranq_eco_Sans" w:eastAsia="Times New Roman" w:cs="Tahoma"/>
      <w:sz w:val="24"/>
      <w:szCs w:val="24"/>
      <w:lang w:val="pt-BR" w:eastAsia="pt-BR" w:bidi="ar-SA"/>
    </w:rPr>
  </w:style>
  <w:style w:type="character" w:customStyle="1" w:styleId="90">
    <w:name w:val="Manoel"/>
    <w:qFormat/>
    <w:uiPriority w:val="0"/>
    <w:rPr>
      <w:rFonts w:ascii="Arial" w:hAnsi="Arial" w:cs="Arial"/>
      <w:color w:val="7030A0"/>
      <w:sz w:val="20"/>
    </w:rPr>
  </w:style>
  <w:style w:type="character" w:customStyle="1" w:styleId="91">
    <w:name w:val="ListLabel 12"/>
    <w:qFormat/>
    <w:uiPriority w:val="0"/>
    <w:rPr>
      <w:b/>
    </w:rPr>
  </w:style>
  <w:style w:type="paragraph" w:customStyle="1" w:styleId="92">
    <w:name w:val="texto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3">
    <w:name w:val="Grade Colorida - Ênfase 11"/>
    <w:basedOn w:val="1"/>
    <w:next w:val="1"/>
    <w:link w:val="94"/>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94">
    <w:name w:val="Grade Colorida - Ênfase 1 Char"/>
    <w:link w:val="93"/>
    <w:qFormat/>
    <w:uiPriority w:val="29"/>
    <w:rPr>
      <w:rFonts w:ascii="Arial" w:hAnsi="Arial" w:eastAsia="Calibri" w:cs="Times New Roman"/>
      <w:i/>
      <w:iCs/>
      <w:color w:val="000000"/>
      <w:sz w:val="20"/>
      <w:szCs w:val="24"/>
      <w:shd w:val="clear" w:color="auto" w:fill="FFFFCC"/>
    </w:rPr>
  </w:style>
  <w:style w:type="paragraph" w:customStyle="1" w:styleId="95">
    <w:name w:val="x_wester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6">
    <w:name w:val="TCU - Ac - item 9 - §§_0"/>
    <w:basedOn w:val="1"/>
    <w:qFormat/>
    <w:uiPriority w:val="0"/>
    <w:pPr>
      <w:spacing w:after="0" w:line="240" w:lineRule="auto"/>
      <w:ind w:firstLine="1134"/>
      <w:jc w:val="both"/>
    </w:pPr>
    <w:rPr>
      <w:rFonts w:ascii="Times New Roman" w:hAnsi="Times New Roman" w:eastAsia="Times New Roman" w:cs="Times New Roman"/>
      <w:sz w:val="24"/>
    </w:rPr>
  </w:style>
  <w:style w:type="paragraph" w:customStyle="1" w:styleId="97">
    <w:name w:val="Normal_1"/>
    <w:qFormat/>
    <w:uiPriority w:val="0"/>
    <w:rPr>
      <w:rFonts w:ascii="Times New Roman" w:hAnsi="Times New Roman" w:eastAsia="Times New Roman" w:cs="Times New Roman"/>
      <w:sz w:val="24"/>
      <w:szCs w:val="22"/>
      <w:lang w:val="pt-BR" w:eastAsia="en-US" w:bidi="ar-SA"/>
    </w:rPr>
  </w:style>
  <w:style w:type="paragraph" w:customStyle="1" w:styleId="98">
    <w:name w:val="tcu_-__ac_-_item_9_-_1ª_linh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9">
    <w:name w:val="texto_justificado_recuo_primeira_linh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0">
    <w:name w:val="highlight"/>
    <w:basedOn w:val="7"/>
    <w:qFormat/>
    <w:uiPriority w:val="0"/>
  </w:style>
  <w:style w:type="paragraph" w:customStyle="1" w:styleId="101">
    <w:name w:val="texto_justificado"/>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2">
    <w:name w:val="Menção Pendente1"/>
    <w:basedOn w:val="7"/>
    <w:semiHidden/>
    <w:unhideWhenUsed/>
    <w:qFormat/>
    <w:uiPriority w:val="99"/>
    <w:rPr>
      <w:color w:val="605E5C"/>
      <w:shd w:val="clear" w:color="auto" w:fill="E1DFDD"/>
    </w:rPr>
  </w:style>
  <w:style w:type="character" w:customStyle="1" w:styleId="103">
    <w:name w:val="Menção Pendente2"/>
    <w:basedOn w:val="7"/>
    <w:semiHidden/>
    <w:unhideWhenUsed/>
    <w:qFormat/>
    <w:uiPriority w:val="99"/>
    <w:rPr>
      <w:color w:val="605E5C"/>
      <w:shd w:val="clear" w:color="auto" w:fill="E1DFDD"/>
    </w:rPr>
  </w:style>
  <w:style w:type="paragraph" w:customStyle="1" w:styleId="104">
    <w:name w:val="Nível 2 Opcional"/>
    <w:basedOn w:val="44"/>
    <w:link w:val="106"/>
    <w:qFormat/>
    <w:uiPriority w:val="0"/>
    <w:pPr>
      <w:ind w:left="432" w:hanging="432"/>
    </w:pPr>
    <w:rPr>
      <w:rFonts w:ascii="Arial" w:hAnsi="Arial" w:eastAsia="Times New Roman" w:cs="Arial"/>
      <w:i/>
      <w:color w:val="FF0000"/>
      <w:sz w:val="20"/>
      <w:szCs w:val="20"/>
      <w:lang w:eastAsia="pt-BR"/>
    </w:rPr>
  </w:style>
  <w:style w:type="paragraph" w:customStyle="1" w:styleId="105">
    <w:name w:val="Nível 3 Opcional"/>
    <w:basedOn w:val="45"/>
    <w:link w:val="107"/>
    <w:qFormat/>
    <w:uiPriority w:val="0"/>
    <w:pPr>
      <w:tabs>
        <w:tab w:val="clear" w:pos="360"/>
      </w:tabs>
      <w:ind w:left="1072" w:hanging="504"/>
    </w:pPr>
    <w:rPr>
      <w:rFonts w:ascii="Arial" w:hAnsi="Arial" w:eastAsia="Times New Roman"/>
      <w:i/>
      <w:iCs/>
      <w:color w:val="FF0000"/>
      <w:sz w:val="20"/>
      <w:szCs w:val="20"/>
      <w:lang w:eastAsia="pt-BR"/>
    </w:rPr>
  </w:style>
  <w:style w:type="character" w:customStyle="1" w:styleId="106">
    <w:name w:val="Nível 2 Opcional Char"/>
    <w:basedOn w:val="7"/>
    <w:link w:val="104"/>
    <w:qFormat/>
    <w:uiPriority w:val="0"/>
    <w:rPr>
      <w:rFonts w:ascii="Arial" w:hAnsi="Arial" w:eastAsia="Times New Roman" w:cs="Arial"/>
      <w:i/>
      <w:color w:val="FF0000"/>
      <w:sz w:val="20"/>
      <w:szCs w:val="20"/>
      <w:lang w:eastAsia="pt-BR"/>
    </w:rPr>
  </w:style>
  <w:style w:type="character" w:customStyle="1" w:styleId="107">
    <w:name w:val="Nível 3 Opcional Char"/>
    <w:basedOn w:val="7"/>
    <w:link w:val="105"/>
    <w:qFormat/>
    <w:uiPriority w:val="0"/>
    <w:rPr>
      <w:rFonts w:ascii="Arial" w:hAnsi="Arial" w:eastAsia="Times New Roman" w:cs="Arial"/>
      <w:i/>
      <w:iCs/>
      <w:color w:val="FF0000"/>
      <w:sz w:val="20"/>
      <w:szCs w:val="20"/>
      <w:lang w:eastAsia="pt-BR"/>
    </w:rPr>
  </w:style>
  <w:style w:type="character" w:styleId="108">
    <w:name w:val="Placeholder Text"/>
    <w:basedOn w:val="7"/>
    <w:semiHidden/>
    <w:qFormat/>
    <w:uiPriority w:val="67"/>
    <w:rPr>
      <w:color w:val="808080"/>
    </w:rPr>
  </w:style>
  <w:style w:type="character" w:customStyle="1" w:styleId="109">
    <w:name w:val="Parágrafo da Lista Char"/>
    <w:basedOn w:val="7"/>
    <w:link w:val="58"/>
    <w:qFormat/>
    <w:uiPriority w:val="34"/>
    <w:rPr>
      <w:rFonts w:ascii="Ecofont_Spranq_eco_Sans" w:hAnsi="Ecofont_Spranq_eco_Sans" w:cs="Tahoma" w:eastAsiaTheme="minorEastAsia"/>
      <w:sz w:val="24"/>
      <w:szCs w:val="24"/>
      <w:lang w:eastAsia="pt-BR"/>
    </w:rPr>
  </w:style>
  <w:style w:type="paragraph" w:customStyle="1" w:styleId="110">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11">
    <w:name w:val="corpo"/>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2">
    <w:name w:val="item_nivel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3">
    <w:name w:val="item_nive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4">
    <w:name w:val="item_alinea_letr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15">
    <w:name w:val="markedcontent"/>
    <w:basedOn w:val="7"/>
    <w:uiPriority w:val="0"/>
  </w:style>
  <w:style w:type="paragraph" w:customStyle="1" w:styleId="116">
    <w:name w:val="Standard"/>
    <w:uiPriority w:val="0"/>
    <w:pPr>
      <w:suppressAutoHyphens/>
      <w:autoSpaceDN w:val="0"/>
    </w:pPr>
    <w:rPr>
      <w:rFonts w:ascii="Liberation Serif" w:hAnsi="Liberation Serif" w:eastAsia="NSimSun" w:cs="Lucida Sans"/>
      <w:kern w:val="3"/>
      <w:sz w:val="24"/>
      <w:szCs w:val="24"/>
      <w:lang w:val="pt-BR" w:eastAsia="zh-CN" w:bidi="hi-IN"/>
    </w:rPr>
  </w:style>
  <w:style w:type="paragraph" w:customStyle="1" w:styleId="117">
    <w:name w:val="Text body"/>
    <w:basedOn w:val="116"/>
    <w:qFormat/>
    <w:uiPriority w:val="0"/>
    <w:pPr>
      <w:spacing w:after="140" w:line="276" w:lineRule="auto"/>
    </w:pPr>
  </w:style>
  <w:style w:type="character" w:customStyle="1" w:styleId="118">
    <w:name w:val="Menção Pendente3"/>
    <w:basedOn w:val="7"/>
    <w:semiHidden/>
    <w:unhideWhenUsed/>
    <w:qFormat/>
    <w:uiPriority w:val="99"/>
    <w:rPr>
      <w:color w:val="605E5C"/>
      <w:shd w:val="clear" w:color="auto" w:fill="E1DFDD"/>
    </w:rPr>
  </w:style>
  <w:style w:type="character" w:customStyle="1" w:styleId="119">
    <w:name w:val="Menção Pendente4"/>
    <w:basedOn w:val="7"/>
    <w:semiHidden/>
    <w:unhideWhenUsed/>
    <w:qFormat/>
    <w:uiPriority w:val="99"/>
    <w:rPr>
      <w:color w:val="605E5C"/>
      <w:shd w:val="clear" w:color="auto" w:fill="E1DFDD"/>
    </w:rPr>
  </w:style>
  <w:style w:type="paragraph" w:customStyle="1" w:styleId="120">
    <w:name w:val="ou"/>
    <w:basedOn w:val="58"/>
    <w:link w:val="121"/>
    <w:qFormat/>
    <w:uiPriority w:val="0"/>
    <w:pPr>
      <w:spacing w:before="60" w:after="60" w:line="259" w:lineRule="auto"/>
      <w:ind w:left="0"/>
      <w:contextualSpacing w:val="0"/>
      <w:jc w:val="center"/>
    </w:pPr>
    <w:rPr>
      <w:rFonts w:ascii="Arial" w:hAnsi="Arial" w:cs="Arial"/>
      <w:b/>
      <w:bCs/>
      <w:i/>
      <w:iCs/>
      <w:color w:val="FF0000"/>
      <w:u w:val="single"/>
    </w:rPr>
  </w:style>
  <w:style w:type="character" w:customStyle="1" w:styleId="121">
    <w:name w:val="ou Char"/>
    <w:basedOn w:val="109"/>
    <w:link w:val="120"/>
    <w:qFormat/>
    <w:uiPriority w:val="0"/>
    <w:rPr>
      <w:rFonts w:ascii="Arial" w:hAnsi="Arial" w:cs="Arial" w:eastAsiaTheme="minorEastAsia"/>
      <w:b/>
      <w:bCs/>
      <w:i/>
      <w:iCs/>
      <w:color w:val="FF0000"/>
      <w:sz w:val="24"/>
      <w:szCs w:val="24"/>
      <w:u w:val="single"/>
      <w:lang w:eastAsia="pt-BR"/>
    </w:rPr>
  </w:style>
  <w:style w:type="paragraph" w:customStyle="1" w:styleId="122">
    <w:name w:val="dou-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3">
    <w:name w:val="Nível 4-R"/>
    <w:basedOn w:val="46"/>
    <w:link w:val="125"/>
    <w:qFormat/>
    <w:uiPriority w:val="0"/>
    <w:pPr>
      <w:tabs>
        <w:tab w:val="clear" w:pos="360"/>
      </w:tabs>
      <w:ind w:left="567"/>
    </w:pPr>
    <w:rPr>
      <w:rFonts w:ascii="Arial" w:hAnsi="Arial" w:eastAsiaTheme="minorEastAsia"/>
      <w:i/>
      <w:iCs/>
      <w:color w:val="FF0000"/>
      <w:sz w:val="20"/>
      <w:szCs w:val="20"/>
      <w:lang w:eastAsia="pt-BR"/>
    </w:rPr>
  </w:style>
  <w:style w:type="paragraph" w:customStyle="1" w:styleId="124">
    <w:name w:val="Nível 1-Sem Num"/>
    <w:basedOn w:val="67"/>
    <w:link w:val="126"/>
    <w:qFormat/>
    <w:uiPriority w:val="0"/>
    <w:pPr>
      <w:ind w:left="0" w:firstLine="0"/>
      <w:outlineLvl w:val="1"/>
    </w:pPr>
    <w:rPr>
      <w:color w:val="FF0000"/>
    </w:rPr>
  </w:style>
  <w:style w:type="character" w:customStyle="1" w:styleId="125">
    <w:name w:val="Nível 4-R Char"/>
    <w:basedOn w:val="50"/>
    <w:link w:val="123"/>
    <w:qFormat/>
    <w:uiPriority w:val="0"/>
    <w:rPr>
      <w:rFonts w:ascii="Arial" w:hAnsi="Arial" w:cs="Arial" w:eastAsiaTheme="minorEastAsia"/>
      <w:i/>
      <w:iCs/>
      <w:color w:val="FF0000"/>
      <w:sz w:val="20"/>
      <w:szCs w:val="20"/>
      <w:lang w:eastAsia="pt-BR"/>
    </w:rPr>
  </w:style>
  <w:style w:type="character" w:customStyle="1" w:styleId="126">
    <w:name w:val="Nível 1-Sem Num Char"/>
    <w:basedOn w:val="70"/>
    <w:link w:val="124"/>
    <w:qFormat/>
    <w:uiPriority w:val="0"/>
    <w:rPr>
      <w:rFonts w:ascii="Arial" w:hAnsi="Arial" w:eastAsia="Arial" w:cs="Arial"/>
      <w:color w:val="FF0000"/>
      <w:spacing w:val="5"/>
      <w:kern w:val="28"/>
      <w:sz w:val="20"/>
      <w:szCs w:val="20"/>
      <w:lang w:eastAsia="pt-BR"/>
    </w:rPr>
  </w:style>
  <w:style w:type="paragraph" w:customStyle="1" w:styleId="127">
    <w:name w:val="citação 2"/>
    <w:basedOn w:val="62"/>
    <w:link w:val="131"/>
    <w:uiPriority w:val="0"/>
    <w:pPr>
      <w:overflowPunct w:val="0"/>
    </w:pPr>
    <w:rPr>
      <w:szCs w:val="20"/>
    </w:rPr>
  </w:style>
  <w:style w:type="paragraph" w:customStyle="1" w:styleId="128">
    <w:name w:val="Preâmbulo"/>
    <w:basedOn w:val="1"/>
    <w:link w:val="129"/>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9">
    <w:name w:val="Preâmbulo Char"/>
    <w:basedOn w:val="7"/>
    <w:link w:val="128"/>
    <w:uiPriority w:val="0"/>
    <w:rPr>
      <w:rFonts w:ascii="Arial" w:hAnsi="Arial" w:eastAsia="Arial" w:cs="Arial"/>
      <w:bCs/>
      <w:sz w:val="20"/>
      <w:szCs w:val="20"/>
      <w:lang w:eastAsia="pt-BR"/>
    </w:rPr>
  </w:style>
  <w:style w:type="character" w:customStyle="1" w:styleId="130">
    <w:name w:val="Menção Pendente5"/>
    <w:basedOn w:val="7"/>
    <w:semiHidden/>
    <w:unhideWhenUsed/>
    <w:uiPriority w:val="99"/>
    <w:rPr>
      <w:color w:val="605E5C"/>
      <w:shd w:val="clear" w:color="auto" w:fill="E1DFDD"/>
    </w:rPr>
  </w:style>
  <w:style w:type="character" w:customStyle="1" w:styleId="131">
    <w:name w:val="citação 2 Char"/>
    <w:basedOn w:val="63"/>
    <w:link w:val="127"/>
    <w:uiPriority w:val="0"/>
    <w:rPr>
      <w:rFonts w:ascii="Arial" w:hAnsi="Arial" w:eastAsia="Calibri" w:cs="Tahoma"/>
      <w:color w:val="000000"/>
      <w:sz w:val="20"/>
      <w:szCs w:val="20"/>
      <w:shd w:val="clear" w:color="auto" w:fill="FFFFCC"/>
    </w:rPr>
  </w:style>
  <w:style w:type="paragraph" w:customStyle="1" w:styleId="132">
    <w:name w:val="Cabeçalho do Sumário1"/>
    <w:basedOn w:val="2"/>
    <w:next w:val="1"/>
    <w:unhideWhenUsed/>
    <w:qFormat/>
    <w:uiPriority w:val="39"/>
    <w:pPr>
      <w:spacing w:before="240" w:line="259" w:lineRule="auto"/>
      <w:outlineLvl w:val="9"/>
    </w:pPr>
    <w:rPr>
      <w:b w:val="0"/>
      <w:bCs w:val="0"/>
      <w:sz w:val="32"/>
      <w:szCs w:val="32"/>
    </w:rPr>
  </w:style>
  <w:style w:type="character" w:customStyle="1" w:styleId="133">
    <w:name w:val="Menção Pendente6"/>
    <w:basedOn w:val="7"/>
    <w:semiHidden/>
    <w:unhideWhenUsed/>
    <w:uiPriority w:val="99"/>
    <w:rPr>
      <w:color w:val="605E5C"/>
      <w:shd w:val="clear" w:color="auto" w:fill="E1DFDD"/>
    </w:rPr>
  </w:style>
  <w:style w:type="character" w:customStyle="1" w:styleId="134">
    <w:name w:val="Mention non résolue1"/>
    <w:basedOn w:val="7"/>
    <w:semiHidden/>
    <w:unhideWhenUsed/>
    <w:uiPriority w:val="99"/>
    <w:rPr>
      <w:color w:val="605E5C"/>
      <w:shd w:val="clear" w:color="auto" w:fill="E1DFDD"/>
    </w:rPr>
  </w:style>
  <w:style w:type="paragraph" w:customStyle="1" w:styleId="135">
    <w:name w:val="x_msonormal"/>
    <w:basedOn w:val="1"/>
    <w:uiPriority w:val="1"/>
    <w:pPr>
      <w:spacing w:beforeAutospacing="1" w:after="0" w:afterAutospacing="1" w:line="240" w:lineRule="auto"/>
    </w:pPr>
    <w:rPr>
      <w:rFonts w:ascii="Times New Roman" w:hAnsi="Times New Roman" w:eastAsia="Times New Roman" w:cs="Times New Roman"/>
      <w:sz w:val="24"/>
      <w:szCs w:val="24"/>
      <w:lang w:eastAsia="pt-BR"/>
    </w:rPr>
  </w:style>
  <w:style w:type="character" w:customStyle="1" w:styleId="136">
    <w:name w:val="Unresolved Mention"/>
    <w:basedOn w:val="7"/>
    <w:semiHidden/>
    <w:unhideWhenUsed/>
    <w:uiPriority w:val="99"/>
    <w:rPr>
      <w:color w:val="605E5C"/>
      <w:shd w:val="clear" w:color="auto" w:fill="E1DFDD"/>
    </w:rPr>
  </w:style>
  <w:style w:type="character" w:customStyle="1" w:styleId="137">
    <w:name w:val="findhit"/>
    <w:basedOn w:val="7"/>
    <w:uiPriority w:val="0"/>
  </w:style>
  <w:style w:type="paragraph" w:customStyle="1" w:styleId="138">
    <w:name w:val="Nível 1-Sem Num Preto"/>
    <w:basedOn w:val="124"/>
    <w:link w:val="139"/>
    <w:qFormat/>
    <w:uiPriority w:val="0"/>
    <w:pPr>
      <w:spacing w:before="0" w:beforeLines="0" w:after="0" w:afterLines="0" w:line="360" w:lineRule="auto"/>
      <w:ind w:right="140"/>
    </w:pPr>
    <w:rPr>
      <w:rFonts w:eastAsiaTheme="majorEastAsia" w:cstheme="minorHAnsi"/>
      <w:iCs w:val="0"/>
      <w:lang w:eastAsia="zh-CN" w:bidi="hi-IN"/>
    </w:rPr>
  </w:style>
  <w:style w:type="character" w:customStyle="1" w:styleId="139">
    <w:name w:val="Nível 1-Sem Num Preto Char"/>
    <w:basedOn w:val="126"/>
    <w:link w:val="138"/>
    <w:uiPriority w:val="0"/>
    <w:rPr>
      <w:rFonts w:ascii="Arial" w:hAnsi="Arial" w:eastAsiaTheme="majorEastAsia" w:cstheme="minorHAnsi"/>
      <w:iCs w:val="0"/>
      <w:color w:val="FF0000"/>
      <w:spacing w:val="5"/>
      <w:kern w:val="28"/>
      <w:sz w:val="20"/>
      <w:szCs w:val="20"/>
      <w:lang w:eastAsia="zh-CN" w:bidi="hi-IN"/>
    </w:rPr>
  </w:style>
  <w:style w:type="paragraph" w:customStyle="1" w:styleId="140">
    <w:name w:val="Default"/>
    <w:qFormat/>
    <w:uiPriority w:val="0"/>
    <w:pPr>
      <w:autoSpaceDE w:val="0"/>
      <w:autoSpaceDN w:val="0"/>
      <w:adjustRightInd w:val="0"/>
    </w:pPr>
    <w:rPr>
      <w:rFonts w:ascii="Times New Roman" w:hAnsi="Times New Roman" w:eastAsia="Calibri" w:cs="Times New Roman"/>
      <w:color w:val="000000"/>
      <w:sz w:val="24"/>
      <w:szCs w:val="24"/>
      <w:lang w:val="pt-BR" w:eastAsia="pt-BR" w:bidi="ar-SA"/>
    </w:rPr>
  </w:style>
  <w:style w:type="paragraph" w:customStyle="1" w:styleId="141">
    <w:name w:val="04partenormativa"/>
    <w:basedOn w:val="1"/>
    <w:qFormat/>
    <w:uiPriority w:val="0"/>
    <w:pPr>
      <w:spacing w:beforeAutospacing="1" w:after="0" w:afterAutospacing="1" w:line="240" w:lineRule="auto"/>
    </w:pPr>
    <w:rPr>
      <w:rFonts w:ascii="Times New Roman" w:hAnsi="Times New Roman" w:eastAsia="Times New Roman" w:cs="Times New Roman"/>
      <w:sz w:val="24"/>
      <w:szCs w:val="24"/>
      <w:lang w:eastAsia="pt-BR"/>
    </w:rPr>
  </w:style>
  <w:style w:type="paragraph" w:customStyle="1" w:styleId="142">
    <w:name w:val="nivel2"/>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43">
    <w:name w:val="object"/>
    <w:basedOn w:val="7"/>
    <w:uiPriority w:val="0"/>
  </w:style>
  <w:style w:type="character" w:customStyle="1" w:styleId="144">
    <w:name w:val="linkdainternet"/>
    <w:basedOn w:val="7"/>
    <w:uiPriority w:val="0"/>
  </w:style>
  <w:style w:type="character" w:customStyle="1" w:styleId="145">
    <w:name w:val="object-hover"/>
    <w:basedOn w:val="7"/>
    <w:uiPriority w:val="0"/>
  </w:style>
  <w:style w:type="table" w:customStyle="1" w:styleId="146">
    <w:name w:val="Table Normal"/>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paragraph" w:customStyle="1" w:styleId="147">
    <w:name w:val="Table Paragraph"/>
    <w:basedOn w:val="1"/>
    <w:qFormat/>
    <w:uiPriority w:val="1"/>
    <w:pPr>
      <w:widowControl w:val="0"/>
      <w:autoSpaceDE w:val="0"/>
      <w:autoSpaceDN w:val="0"/>
      <w:spacing w:after="0" w:line="240" w:lineRule="auto"/>
    </w:pPr>
    <w:rPr>
      <w:rFonts w:ascii="Calibri" w:hAnsi="Calibri" w:eastAsia="Calibri" w:cs="Calibri"/>
      <w:lang w:val="pt-PT"/>
    </w:rPr>
  </w:style>
  <w:style w:type="paragraph" w:customStyle="1" w:styleId="148">
    <w:name w:val="Nivel 2-Opcional"/>
    <w:basedOn w:val="1"/>
    <w:autoRedefine/>
    <w:uiPriority w:val="0"/>
    <w:pPr>
      <w:shd w:val="clear" w:color="auto" w:fill="7B7B7B" w:themeFill="accent3" w:themeFillShade="BF"/>
      <w:spacing w:before="120" w:after="120" w:line="276" w:lineRule="auto"/>
      <w:jc w:val="both"/>
    </w:pPr>
    <w:rPr>
      <w:rFonts w:ascii="Arial" w:hAnsi="Arial" w:eastAsia="Arial" w:cs="Arial"/>
      <w:i/>
      <w:color w:val="FF0000"/>
      <w:sz w:val="20"/>
      <w:szCs w:val="20"/>
      <w:lang w:eastAsia="pt-BR"/>
    </w:rPr>
  </w:style>
  <w:style w:type="paragraph" w:customStyle="1" w:styleId="149">
    <w:name w:val="Nível 02"/>
    <w:basedOn w:val="148"/>
    <w:link w:val="150"/>
    <w:autoRedefine/>
    <w:qFormat/>
    <w:uiPriority w:val="0"/>
    <w:pPr>
      <w:shd w:val="clear" w:color="auto" w:fill="auto"/>
    </w:pPr>
    <w:rPr>
      <w:i w:val="0"/>
      <w:iCs/>
      <w:color w:val="auto"/>
    </w:rPr>
  </w:style>
  <w:style w:type="character" w:customStyle="1" w:styleId="150">
    <w:name w:val="Nível 02 Char"/>
    <w:basedOn w:val="7"/>
    <w:link w:val="149"/>
    <w:uiPriority w:val="0"/>
    <w:rPr>
      <w:rFonts w:ascii="Arial" w:hAnsi="Arial" w:eastAsia="Arial" w:cs="Arial"/>
      <w:iCs/>
      <w:sz w:val="20"/>
      <w:szCs w:val="20"/>
      <w:lang w:eastAsia="pt-BR"/>
    </w:rPr>
  </w:style>
  <w:style w:type="character" w:customStyle="1" w:styleId="151">
    <w:name w:val="WW8Num1z0"/>
    <w:uiPriority w:val="0"/>
    <w:rPr>
      <w:rFonts w:hint="default"/>
    </w:rPr>
  </w:style>
  <w:style w:type="paragraph" w:customStyle="1" w:styleId="152">
    <w:name w:val="Nível 1-Sem Numeração"/>
    <w:basedOn w:val="124"/>
    <w:link w:val="153"/>
    <w:autoRedefine/>
    <w:qFormat/>
    <w:uiPriority w:val="0"/>
    <w:pPr>
      <w:keepNext w:val="0"/>
      <w:keepLines w:val="0"/>
      <w:tabs>
        <w:tab w:val="clear" w:pos="567"/>
      </w:tabs>
      <w:spacing w:before="120" w:beforeLines="0" w:after="120" w:afterLines="0" w:line="276" w:lineRule="auto"/>
    </w:pPr>
    <w:rPr>
      <w:bCs w:val="0"/>
      <w:iCs w:val="0"/>
    </w:rPr>
  </w:style>
  <w:style w:type="character" w:customStyle="1" w:styleId="153">
    <w:name w:val="Nível 1-Sem Numeração Char"/>
    <w:basedOn w:val="126"/>
    <w:link w:val="152"/>
    <w:uiPriority w:val="0"/>
    <w:rPr>
      <w:rFonts w:ascii="Arial" w:hAnsi="Arial" w:eastAsia="Arial" w:cs="Arial"/>
      <w:bCs w:val="0"/>
      <w:iCs w:val="0"/>
      <w:color w:val="FF0000"/>
      <w:spacing w:val="5"/>
      <w:kern w:val="28"/>
      <w:sz w:val="20"/>
      <w:szCs w:val="20"/>
      <w:lang w:eastAsia="pt-BR"/>
    </w:rPr>
  </w:style>
  <w:style w:type="paragraph" w:customStyle="1" w:styleId="154">
    <w:name w:val="Nível 2-Opcional"/>
    <w:basedOn w:val="149"/>
    <w:link w:val="155"/>
    <w:qFormat/>
    <w:uiPriority w:val="0"/>
    <w:pPr>
      <w:numPr>
        <w:ilvl w:val="0"/>
        <w:numId w:val="4"/>
      </w:numPr>
      <w:ind w:left="0" w:firstLine="0"/>
    </w:pPr>
    <w:rPr>
      <w:i/>
      <w:color w:val="FF0000"/>
    </w:rPr>
  </w:style>
  <w:style w:type="character" w:customStyle="1" w:styleId="155">
    <w:name w:val="Nível 2-Opcional Char"/>
    <w:basedOn w:val="150"/>
    <w:link w:val="154"/>
    <w:uiPriority w:val="0"/>
    <w:rPr>
      <w:rFonts w:ascii="Arial" w:hAnsi="Arial" w:eastAsia="Arial" w:cs="Arial"/>
      <w:i/>
      <w:color w:val="FF0000"/>
      <w:sz w:val="20"/>
      <w:szCs w:val="20"/>
      <w:lang w:eastAsia="pt-BR"/>
    </w:rPr>
  </w:style>
  <w:style w:type="paragraph" w:customStyle="1" w:styleId="156">
    <w:name w:val="Nível 3-Opcional"/>
    <w:basedOn w:val="45"/>
    <w:link w:val="157"/>
    <w:qFormat/>
    <w:uiPriority w:val="0"/>
    <w:pPr>
      <w:numPr>
        <w:ilvl w:val="2"/>
        <w:numId w:val="5"/>
      </w:numPr>
      <w:tabs>
        <w:tab w:val="clear" w:pos="360"/>
      </w:tabs>
      <w:ind w:left="284" w:firstLine="0"/>
    </w:pPr>
    <w:rPr>
      <w:rFonts w:ascii="Arial" w:hAnsi="Arial" w:cs="Tahoma" w:eastAsiaTheme="minorEastAsia"/>
      <w:i/>
      <w:color w:val="FF0000"/>
      <w:sz w:val="20"/>
      <w:szCs w:val="24"/>
      <w:lang w:eastAsia="pt-BR"/>
    </w:rPr>
  </w:style>
  <w:style w:type="character" w:customStyle="1" w:styleId="157">
    <w:name w:val="Nível 3-Opcional Char"/>
    <w:basedOn w:val="47"/>
    <w:link w:val="156"/>
    <w:uiPriority w:val="0"/>
    <w:rPr>
      <w:rFonts w:ascii="Arial" w:hAnsi="Arial" w:cs="Tahoma" w:eastAsiaTheme="minorEastAsia"/>
      <w:i/>
      <w:color w:val="FF0000"/>
      <w:sz w:val="20"/>
      <w:szCs w:val="24"/>
      <w:lang w:eastAsia="pt-BR"/>
    </w:rPr>
  </w:style>
  <w:style w:type="paragraph" w:customStyle="1" w:styleId="158">
    <w:name w:val="Nível 4"/>
    <w:basedOn w:val="1"/>
    <w:link w:val="161"/>
    <w:qFormat/>
    <w:uiPriority w:val="0"/>
    <w:pPr>
      <w:spacing w:before="120" w:after="120" w:line="276" w:lineRule="auto"/>
      <w:ind w:left="567"/>
      <w:jc w:val="both"/>
    </w:pPr>
    <w:rPr>
      <w:rFonts w:ascii="Arial" w:hAnsi="Arial" w:eastAsia="Times New Roman" w:cs="Arial"/>
      <w:color w:val="FF0000"/>
      <w:sz w:val="20"/>
      <w:szCs w:val="20"/>
      <w:lang w:eastAsia="pt-BR"/>
    </w:rPr>
  </w:style>
  <w:style w:type="paragraph" w:customStyle="1" w:styleId="159">
    <w:name w:val="Nível 3"/>
    <w:basedOn w:val="48"/>
    <w:link w:val="160"/>
    <w:qFormat/>
    <w:uiPriority w:val="0"/>
    <w:pPr>
      <w:numPr>
        <w:numId w:val="6"/>
      </w:numPr>
    </w:pPr>
    <w:rPr>
      <w:rFonts w:eastAsia="Times New Roman"/>
      <w:i w:val="0"/>
      <w:iCs w:val="0"/>
      <w:sz w:val="24"/>
      <w:szCs w:val="20"/>
      <w:lang w:eastAsia="pt-BR"/>
    </w:rPr>
  </w:style>
  <w:style w:type="character" w:customStyle="1" w:styleId="160">
    <w:name w:val="Nível 3 Char"/>
    <w:basedOn w:val="49"/>
    <w:link w:val="159"/>
    <w:uiPriority w:val="0"/>
    <w:rPr>
      <w:rFonts w:ascii="Arial" w:hAnsi="Arial" w:eastAsia="Times New Roman" w:cs="Arial"/>
      <w:i w:val="0"/>
      <w:iCs w:val="0"/>
      <w:color w:val="FF0000"/>
      <w:sz w:val="24"/>
      <w:szCs w:val="20"/>
      <w:lang w:eastAsia="pt-BR"/>
    </w:rPr>
  </w:style>
  <w:style w:type="character" w:customStyle="1" w:styleId="161">
    <w:name w:val="Nível 4 Char"/>
    <w:basedOn w:val="160"/>
    <w:link w:val="158"/>
    <w:uiPriority w:val="0"/>
    <w:rPr>
      <w:rFonts w:ascii="Arial" w:hAnsi="Arial" w:eastAsia="Times New Roman" w:cs="Arial"/>
      <w:color w:val="FF0000"/>
      <w:sz w:val="20"/>
      <w:szCs w:val="20"/>
      <w:lang w:eastAsia="pt-BR"/>
    </w:rPr>
  </w:style>
  <w:style w:type="paragraph" w:customStyle="1" w:styleId="162">
    <w:name w:val="Normal2"/>
    <w:uiPriority w:val="0"/>
    <w:pPr>
      <w:spacing w:after="160" w:line="259" w:lineRule="auto"/>
    </w:pPr>
    <w:rPr>
      <w:rFonts w:ascii="Calibri" w:hAnsi="Calibri" w:eastAsia="Calibri" w:cs="Calibri"/>
      <w:sz w:val="22"/>
      <w:szCs w:val="22"/>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23863</Words>
  <Characters>128865</Characters>
  <Lines>1073</Lines>
  <Paragraphs>304</Paragraphs>
  <TotalTime>1</TotalTime>
  <ScaleCrop>false</ScaleCrop>
  <LinksUpToDate>false</LinksUpToDate>
  <CharactersWithSpaces>152424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2025-08-26T16:15:00Z</dcterms:created>
  <dc:creator>Danilo Borges Ribeiro</dc:creator>
  <cp:lastModifiedBy>barbara.lopo</cp:lastModifiedBy>
  <cp:lastPrinted>2025-08-04T13:57:00Z</cp:lastPrinted>
  <dcterms:modified xsi:type="dcterms:W3CDTF">2025-08-26T16:24:13Z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A420455B433D40BC8A6B162041D438EC_13</vt:lpwstr>
  </property>
</Properties>
</file>