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suppressAutoHyphens w:val="true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uppressAutoHyphens w:val="true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SRP nº </w:t>
      </w:r>
      <w:r>
        <w:rPr>
          <w:rFonts w:eastAsia="Cambria" w:cs="Cambria" w:ascii="Cambria" w:hAnsi="Cambria"/>
          <w:b/>
        </w:rPr>
        <w:t>90021</w:t>
      </w:r>
      <w:r>
        <w:rPr>
          <w:rFonts w:eastAsia="Cambria" w:cs="Cambria" w:ascii="Cambria" w:hAnsi="Cambria"/>
          <w:b/>
        </w:rPr>
        <w:t>/2024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uppressAutoHyphens w:val="true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uppressAutoHyphens w:val="true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46"/>
              <wp:lineTo x="21345" y="20846"/>
              <wp:lineTo x="2134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890</Characters>
  <CharactersWithSpaces>1002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2024-04-17T19:23:00Z</cp:lastPrinted>
  <dcterms:modified xsi:type="dcterms:W3CDTF">2024-07-11T09:02:56Z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