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116942C">
      <w:pPr>
        <w:spacing w:before="288" w:after="288" w:line="312" w:lineRule="auto"/>
        <w:jc w:val="center"/>
        <w:rPr>
          <w:rFonts w:ascii="Arial" w:hAnsi="Arial" w:eastAsia="Arial" w:cs="Arial"/>
          <w:b/>
          <w:color w:val="000000"/>
          <w:sz w:val="24"/>
          <w:szCs w:val="24"/>
        </w:rPr>
      </w:pPr>
      <w:bookmarkStart w:id="70" w:name="_GoBack"/>
      <w:bookmarkEnd w:id="70"/>
      <w:r>
        <w:rPr>
          <w:rFonts w:ascii="Arial" w:hAnsi="Arial" w:eastAsia="Arial" w:cs="Arial"/>
          <w:b/>
          <w:color w:val="000000"/>
          <w:sz w:val="24"/>
          <w:szCs w:val="24"/>
        </w:rPr>
        <w:t>EDITAL</w:t>
      </w:r>
    </w:p>
    <w:p w14:paraId="0A3F51B3">
      <w:pPr>
        <w:spacing w:before="288" w:after="288" w:line="240" w:lineRule="auto"/>
        <w:ind w:firstLine="567"/>
        <w:jc w:val="center"/>
        <w:rPr>
          <w:rFonts w:ascii="Arial" w:hAnsi="Arial" w:eastAsia="Arial" w:cs="Arial"/>
          <w:b/>
          <w:color w:val="000000"/>
          <w:sz w:val="24"/>
          <w:szCs w:val="24"/>
        </w:rPr>
      </w:pPr>
      <w:r>
        <w:rPr>
          <w:rFonts w:ascii="Arial" w:hAnsi="Arial" w:eastAsia="Arial" w:cs="Arial"/>
          <w:b/>
          <w:color w:val="000000"/>
          <w:sz w:val="24"/>
          <w:szCs w:val="24"/>
        </w:rPr>
        <w:t xml:space="preserve">PROCESSO LICITATÓRIO </w:t>
      </w:r>
      <w:r>
        <w:rPr>
          <w:rFonts w:ascii="Arial" w:hAnsi="Arial" w:eastAsia="Arial" w:cs="Arial"/>
          <w:b/>
          <w:sz w:val="24"/>
          <w:szCs w:val="24"/>
        </w:rPr>
        <w:t>020/</w:t>
      </w:r>
      <w:r>
        <w:rPr>
          <w:rFonts w:ascii="Arial" w:hAnsi="Arial" w:eastAsia="Arial" w:cs="Arial"/>
          <w:b/>
          <w:color w:val="000000"/>
          <w:sz w:val="24"/>
          <w:szCs w:val="24"/>
        </w:rPr>
        <w:t>2024</w:t>
      </w:r>
    </w:p>
    <w:p w14:paraId="3A2E014A">
      <w:pPr>
        <w:spacing w:before="288" w:after="288" w:line="240" w:lineRule="auto"/>
        <w:ind w:firstLine="567"/>
        <w:jc w:val="center"/>
        <w:rPr>
          <w:rFonts w:ascii="Arial" w:hAnsi="Arial" w:eastAsia="Arial" w:cs="Arial"/>
          <w:b/>
          <w:color w:val="000000"/>
          <w:sz w:val="24"/>
          <w:szCs w:val="24"/>
        </w:rPr>
      </w:pPr>
      <w:r>
        <w:rPr>
          <w:rFonts w:ascii="Arial" w:hAnsi="Arial" w:eastAsia="Arial" w:cs="Arial"/>
          <w:b/>
          <w:color w:val="000000"/>
          <w:sz w:val="24"/>
          <w:szCs w:val="24"/>
        </w:rPr>
        <w:t>PREGÃO ELETRÔNICO Nº</w:t>
      </w:r>
      <w:r>
        <w:rPr>
          <w:rFonts w:ascii="Arial" w:hAnsi="Arial" w:eastAsia="Arial" w:cs="Arial"/>
          <w:b/>
          <w:sz w:val="24"/>
          <w:szCs w:val="24"/>
        </w:rPr>
        <w:t xml:space="preserve"> 014/2024 – SRP Nº 014/2024</w:t>
      </w:r>
    </w:p>
    <w:p w14:paraId="11F455BE">
      <w:pPr>
        <w:spacing w:before="120" w:after="120"/>
        <w:jc w:val="both"/>
        <w:rPr>
          <w:rFonts w:ascii="Arial" w:hAnsi="Arial" w:eastAsia="Arial" w:cs="Arial"/>
          <w:color w:val="000000"/>
          <w:sz w:val="24"/>
          <w:szCs w:val="24"/>
        </w:rPr>
      </w:pPr>
      <w:r>
        <w:rPr>
          <w:rFonts w:ascii="Arial" w:hAnsi="Arial" w:eastAsia="Arial" w:cs="Arial"/>
          <w:color w:val="000000"/>
          <w:sz w:val="24"/>
          <w:szCs w:val="24"/>
        </w:rPr>
        <w:t xml:space="preserve">A </w:t>
      </w:r>
      <w:r>
        <w:rPr>
          <w:rFonts w:ascii="Arial" w:hAnsi="Arial" w:eastAsia="Arial" w:cs="Arial"/>
          <w:b/>
          <w:color w:val="000000"/>
          <w:sz w:val="24"/>
          <w:szCs w:val="24"/>
        </w:rPr>
        <w:t>PREFEITURA MUNICIPAL DE JATOBÁ</w:t>
      </w:r>
      <w:r>
        <w:rPr>
          <w:rFonts w:ascii="Arial" w:hAnsi="Arial" w:eastAsia="Arial" w:cs="Arial"/>
          <w:color w:val="000000"/>
          <w:sz w:val="24"/>
          <w:szCs w:val="24"/>
        </w:rPr>
        <w:t xml:space="preserve">, JUNTAMENTE COM O </w:t>
      </w:r>
      <w:r>
        <w:rPr>
          <w:rFonts w:ascii="Arial" w:hAnsi="Arial" w:eastAsia="Arial" w:cs="Arial"/>
          <w:b/>
          <w:color w:val="000000"/>
          <w:sz w:val="24"/>
          <w:szCs w:val="24"/>
        </w:rPr>
        <w:t>FUNDO MUNICIPAL DE SAÚDE DO MUNICÍPIO</w:t>
      </w:r>
      <w:r>
        <w:rPr>
          <w:rFonts w:ascii="Arial" w:hAnsi="Arial" w:eastAsia="Arial" w:cs="Arial"/>
          <w:color w:val="000000"/>
          <w:sz w:val="24"/>
          <w:szCs w:val="24"/>
        </w:rPr>
        <w:t xml:space="preserve">, TORNA PÚBLICO, PARA CONHECIMENTO DOS INTERESSADOS, QUE REALIZARÁ LICITAÇÃO, </w:t>
      </w:r>
      <w:r>
        <w:rPr>
          <w:rFonts w:ascii="Arial" w:hAnsi="Arial" w:eastAsia="Arial" w:cs="Arial"/>
          <w:b/>
          <w:color w:val="000000"/>
          <w:sz w:val="24"/>
          <w:szCs w:val="24"/>
        </w:rPr>
        <w:t>PARA REGISTRO DE PREÇOS</w:t>
      </w:r>
      <w:r>
        <w:rPr>
          <w:rFonts w:ascii="Arial" w:hAnsi="Arial" w:eastAsia="Arial" w:cs="Arial"/>
          <w:color w:val="000000"/>
          <w:sz w:val="24"/>
          <w:szCs w:val="24"/>
        </w:rPr>
        <w:t xml:space="preserve"> NA MODALIDADE </w:t>
      </w:r>
      <w:r>
        <w:rPr>
          <w:rFonts w:ascii="Arial" w:hAnsi="Arial" w:eastAsia="Arial" w:cs="Arial"/>
          <w:b/>
          <w:color w:val="000000"/>
          <w:sz w:val="24"/>
          <w:szCs w:val="24"/>
        </w:rPr>
        <w:t>PREGÃO</w:t>
      </w:r>
      <w:r>
        <w:rPr>
          <w:rFonts w:ascii="Arial" w:hAnsi="Arial" w:eastAsia="Arial" w:cs="Arial"/>
          <w:color w:val="000000"/>
          <w:sz w:val="24"/>
          <w:szCs w:val="24"/>
        </w:rPr>
        <w:t xml:space="preserve">, NA FORMA </w:t>
      </w:r>
      <w:r>
        <w:rPr>
          <w:rFonts w:ascii="Arial" w:hAnsi="Arial" w:eastAsia="Arial" w:cs="Arial"/>
          <w:b/>
          <w:color w:val="000000"/>
          <w:sz w:val="24"/>
          <w:szCs w:val="24"/>
        </w:rPr>
        <w:t>ELETRÔNICA</w:t>
      </w:r>
      <w:r>
        <w:rPr>
          <w:rFonts w:ascii="Arial" w:hAnsi="Arial" w:eastAsia="Arial" w:cs="Arial"/>
          <w:color w:val="000000"/>
          <w:sz w:val="24"/>
          <w:szCs w:val="24"/>
        </w:rPr>
        <w:t xml:space="preserve">, COM CRITÉRIO DE JULGAMENTO </w:t>
      </w:r>
      <w:r>
        <w:rPr>
          <w:rFonts w:ascii="Arial" w:hAnsi="Arial" w:eastAsia="Arial" w:cs="Arial"/>
          <w:b/>
          <w:color w:val="000000"/>
          <w:sz w:val="24"/>
          <w:szCs w:val="24"/>
        </w:rPr>
        <w:t>MENOR PREÇO POR ITEM</w:t>
      </w:r>
      <w:r>
        <w:rPr>
          <w:rFonts w:ascii="Arial" w:hAnsi="Arial" w:eastAsia="Arial" w:cs="Arial"/>
          <w:color w:val="000000"/>
          <w:sz w:val="24"/>
          <w:szCs w:val="24"/>
        </w:rPr>
        <w:t>, NOS TERMOS DA LEI Nº 14.133, de 1º de ABRIL DE 2021, DO DECRETO Nº 11.462 DE 31 DE MARÇO DE 2023, E DEMAIS LEGISLAÇÃO APLICÁVEL E, AINDA, DE ACORDO COM AS CONDIÇÕES ESTABELECIDAS NESTE EDITAL. APLICANDO-SE SUBSIDIARIAMENTE O ART. 55, IV, § 2º, CONFORME DECRETO MUNICIPAL DE N° 013/2024.</w:t>
      </w:r>
    </w:p>
    <w:p w14:paraId="658A160A">
      <w:pPr>
        <w:ind w:right="-2"/>
        <w:jc w:val="both"/>
        <w:rPr>
          <w:rFonts w:ascii="Arial" w:hAnsi="Arial" w:eastAsia="Arial" w:cs="Arial"/>
          <w:color w:val="000000"/>
          <w:sz w:val="24"/>
          <w:szCs w:val="24"/>
        </w:rPr>
      </w:pPr>
      <w:r>
        <w:rPr>
          <w:rFonts w:ascii="Arial" w:hAnsi="Arial" w:eastAsia="Arial" w:cs="Arial"/>
          <w:color w:val="000000"/>
          <w:sz w:val="24"/>
          <w:szCs w:val="24"/>
        </w:rPr>
        <w:t xml:space="preserve">Os trabalhos serão conduzidos pela Pregoeira, mediante a inserção e monitoramento de dados gerados ou transferidos diretamente para a página eletrônica </w:t>
      </w:r>
      <w:r>
        <w:fldChar w:fldCharType="begin"/>
      </w:r>
      <w:r>
        <w:instrText xml:space="preserve"> HYPERLINK "http://www.portaldecompraspublicas.com.br" \h </w:instrText>
      </w:r>
      <w:r>
        <w:fldChar w:fldCharType="separate"/>
      </w:r>
      <w:r>
        <w:rPr>
          <w:rFonts w:ascii="Arial" w:hAnsi="Arial" w:eastAsia="Arial" w:cs="Arial"/>
          <w:b/>
          <w:color w:val="0066FF"/>
          <w:sz w:val="24"/>
          <w:szCs w:val="24"/>
          <w:u w:val="single"/>
        </w:rPr>
        <w:t>www.portaldecompraspublicas.com.br</w:t>
      </w:r>
      <w:r>
        <w:rPr>
          <w:rFonts w:ascii="Arial" w:hAnsi="Arial" w:eastAsia="Arial" w:cs="Arial"/>
          <w:b/>
          <w:color w:val="0066FF"/>
          <w:sz w:val="24"/>
          <w:szCs w:val="24"/>
          <w:u w:val="single"/>
        </w:rPr>
        <w:fldChar w:fldCharType="end"/>
      </w:r>
      <w:r>
        <w:rPr>
          <w:rFonts w:ascii="Arial" w:hAnsi="Arial" w:eastAsia="Arial" w:cs="Arial"/>
          <w:b/>
          <w:color w:val="0066FF"/>
          <w:sz w:val="24"/>
          <w:szCs w:val="24"/>
          <w:u w:val="single"/>
        </w:rPr>
        <w:t>.</w:t>
      </w:r>
      <w:r>
        <w:rPr>
          <w:rFonts w:ascii="Arial" w:hAnsi="Arial" w:eastAsia="Arial" w:cs="Arial"/>
          <w:color w:val="000000"/>
          <w:sz w:val="24"/>
          <w:szCs w:val="24"/>
        </w:rPr>
        <w:t xml:space="preserve"> A Pregoeira terá, dentre outras, as seguintes atribuições: coordenar o processo licitatório; receber, examinar e decidir as impugnações e consultas ao edital, apoiado pela sua equipe responsável pela sua elaboração; conduzir a sessão pública na internet; verificar a conformidade da proposta com os requisitos estabelecidos neste edital; dirigir a etapa de lances; verificar e julgar as condições de habilitação; receber, examinar e decidir os recursos, encaminhando à autoridade competente quando mantiver sua decisão; indicar o vencedor do certame; conduzir os trabalhos da equipe de apoio; e encaminhar o processo devidamente instruído à autoridade responsável pela adjudicação e propor a homologação.</w:t>
      </w:r>
    </w:p>
    <w:p w14:paraId="7D7C6A6D">
      <w:pPr>
        <w:spacing w:before="120" w:after="120"/>
        <w:jc w:val="both"/>
        <w:rPr>
          <w:rFonts w:ascii="Arial" w:hAnsi="Arial" w:eastAsia="Arial" w:cs="Arial"/>
          <w:color w:val="000000"/>
          <w:sz w:val="24"/>
          <w:szCs w:val="24"/>
        </w:rPr>
      </w:pPr>
    </w:p>
    <w:tbl>
      <w:tblPr>
        <w:tblStyle w:val="149"/>
        <w:tblW w:w="10135" w:type="dxa"/>
        <w:tblInd w:w="7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15" w:type="dxa"/>
          <w:bottom w:w="0" w:type="dxa"/>
          <w:right w:w="115" w:type="dxa"/>
        </w:tblCellMar>
      </w:tblPr>
      <w:tblGrid>
        <w:gridCol w:w="2835"/>
        <w:gridCol w:w="7300"/>
      </w:tblGrid>
      <w:tr w14:paraId="18E4A9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20" w:hRule="atLeast"/>
        </w:trPr>
        <w:tc>
          <w:tcPr>
            <w:tcW w:w="2835" w:type="dxa"/>
            <w:tcBorders>
              <w:top w:val="single" w:color="000000" w:sz="4" w:space="0"/>
              <w:left w:val="single" w:color="000000" w:sz="4" w:space="0"/>
              <w:bottom w:val="single" w:color="000000" w:sz="4" w:space="0"/>
              <w:right w:val="single" w:color="000000" w:sz="4" w:space="0"/>
            </w:tcBorders>
            <w:shd w:val="clear" w:color="auto" w:fill="F2F2F2"/>
            <w:vAlign w:val="center"/>
          </w:tcPr>
          <w:p w14:paraId="290BCDE9">
            <w:pPr>
              <w:spacing w:after="0" w:line="240" w:lineRule="auto"/>
              <w:jc w:val="center"/>
              <w:rPr>
                <w:rFonts w:ascii="Arial" w:hAnsi="Arial" w:eastAsia="Arial" w:cs="Arial"/>
                <w:b/>
                <w:sz w:val="24"/>
                <w:szCs w:val="24"/>
              </w:rPr>
            </w:pPr>
            <w:r>
              <w:rPr>
                <w:rFonts w:ascii="Arial" w:hAnsi="Arial" w:eastAsia="Arial" w:cs="Arial"/>
                <w:b/>
                <w:sz w:val="24"/>
                <w:szCs w:val="24"/>
              </w:rPr>
              <w:t>ÓRGÃOS INTERESSADOS:</w:t>
            </w:r>
          </w:p>
        </w:tc>
        <w:tc>
          <w:tcPr>
            <w:tcW w:w="7300" w:type="dxa"/>
            <w:tcBorders>
              <w:top w:val="single" w:color="000000" w:sz="4" w:space="0"/>
              <w:left w:val="single" w:color="000000" w:sz="4" w:space="0"/>
              <w:bottom w:val="single" w:color="000000" w:sz="4" w:space="0"/>
              <w:right w:val="single" w:color="000000" w:sz="4" w:space="0"/>
            </w:tcBorders>
            <w:vAlign w:val="center"/>
          </w:tcPr>
          <w:p w14:paraId="44E7364A">
            <w:pPr>
              <w:spacing w:after="0" w:line="240" w:lineRule="auto"/>
              <w:jc w:val="center"/>
              <w:rPr>
                <w:rFonts w:ascii="Arial" w:hAnsi="Arial" w:eastAsia="Arial" w:cs="Arial"/>
                <w:b/>
                <w:sz w:val="24"/>
                <w:szCs w:val="24"/>
              </w:rPr>
            </w:pPr>
            <w:r>
              <w:rPr>
                <w:rFonts w:ascii="Arial" w:hAnsi="Arial" w:eastAsia="Arial" w:cs="Arial"/>
                <w:b/>
                <w:sz w:val="24"/>
                <w:szCs w:val="24"/>
              </w:rPr>
              <w:t xml:space="preserve">FUNDO MUNICIPAL DE SAÚDE </w:t>
            </w:r>
          </w:p>
          <w:p w14:paraId="751A9C22">
            <w:pPr>
              <w:spacing w:after="0" w:line="240" w:lineRule="auto"/>
              <w:jc w:val="center"/>
              <w:rPr>
                <w:rFonts w:ascii="Arial" w:hAnsi="Arial" w:eastAsia="Arial" w:cs="Arial"/>
                <w:b/>
                <w:sz w:val="24"/>
                <w:szCs w:val="24"/>
              </w:rPr>
            </w:pPr>
          </w:p>
        </w:tc>
      </w:tr>
      <w:tr w14:paraId="06CC43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20" w:hRule="atLeast"/>
        </w:trPr>
        <w:tc>
          <w:tcPr>
            <w:tcW w:w="2835" w:type="dxa"/>
            <w:tcBorders>
              <w:top w:val="single" w:color="000000" w:sz="4" w:space="0"/>
              <w:left w:val="single" w:color="000000" w:sz="4" w:space="0"/>
              <w:bottom w:val="single" w:color="000000" w:sz="4" w:space="0"/>
              <w:right w:val="single" w:color="000000" w:sz="4" w:space="0"/>
            </w:tcBorders>
            <w:shd w:val="clear" w:color="auto" w:fill="F2F2F2"/>
            <w:vAlign w:val="center"/>
          </w:tcPr>
          <w:p w14:paraId="17503BA2">
            <w:pPr>
              <w:spacing w:after="0" w:line="240" w:lineRule="auto"/>
              <w:jc w:val="center"/>
              <w:rPr>
                <w:rFonts w:ascii="Arial" w:hAnsi="Arial" w:eastAsia="Arial" w:cs="Arial"/>
                <w:b/>
                <w:sz w:val="24"/>
                <w:szCs w:val="24"/>
              </w:rPr>
            </w:pPr>
            <w:r>
              <w:rPr>
                <w:rFonts w:ascii="Arial" w:hAnsi="Arial" w:eastAsia="Arial" w:cs="Arial"/>
                <w:b/>
                <w:sz w:val="24"/>
                <w:szCs w:val="24"/>
              </w:rPr>
              <w:t>DATA E HORA DE INÍCIO DAS PROPOSTAS:</w:t>
            </w:r>
          </w:p>
        </w:tc>
        <w:tc>
          <w:tcPr>
            <w:tcW w:w="7300" w:type="dxa"/>
            <w:tcBorders>
              <w:top w:val="single" w:color="000000" w:sz="4" w:space="0"/>
              <w:left w:val="single" w:color="000000" w:sz="4" w:space="0"/>
              <w:bottom w:val="single" w:color="000000" w:sz="4" w:space="0"/>
              <w:right w:val="single" w:color="000000" w:sz="4" w:space="0"/>
            </w:tcBorders>
            <w:shd w:val="clear" w:color="auto" w:fill="FFFFFF"/>
          </w:tcPr>
          <w:p w14:paraId="7C0C8160">
            <w:pPr>
              <w:spacing w:after="0" w:line="240" w:lineRule="auto"/>
              <w:jc w:val="center"/>
              <w:rPr>
                <w:rFonts w:ascii="Arial" w:hAnsi="Arial" w:eastAsia="Arial" w:cs="Arial"/>
                <w:b/>
                <w:color w:val="000000"/>
                <w:sz w:val="24"/>
                <w:szCs w:val="24"/>
                <w:highlight w:val="yellow"/>
              </w:rPr>
            </w:pPr>
            <w:r>
              <w:rPr>
                <w:rFonts w:ascii="Arial" w:hAnsi="Arial" w:eastAsia="Arial" w:cs="Arial"/>
                <w:b/>
                <w:sz w:val="24"/>
                <w:szCs w:val="24"/>
                <w:highlight w:val="yellow"/>
              </w:rPr>
              <w:t>09</w:t>
            </w:r>
            <w:r>
              <w:rPr>
                <w:rFonts w:ascii="Arial" w:hAnsi="Arial" w:eastAsia="Arial" w:cs="Arial"/>
                <w:b/>
                <w:color w:val="000000"/>
                <w:sz w:val="24"/>
                <w:szCs w:val="24"/>
                <w:highlight w:val="yellow"/>
              </w:rPr>
              <w:t>H:</w:t>
            </w:r>
            <w:r>
              <w:rPr>
                <w:rFonts w:ascii="Arial" w:hAnsi="Arial" w:eastAsia="Arial" w:cs="Arial"/>
                <w:b/>
                <w:sz w:val="24"/>
                <w:szCs w:val="24"/>
                <w:highlight w:val="yellow"/>
              </w:rPr>
              <w:t>00</w:t>
            </w:r>
            <w:r>
              <w:rPr>
                <w:rFonts w:ascii="Arial" w:hAnsi="Arial" w:eastAsia="Arial" w:cs="Arial"/>
                <w:b/>
                <w:color w:val="000000"/>
                <w:sz w:val="24"/>
                <w:szCs w:val="24"/>
                <w:highlight w:val="yellow"/>
              </w:rPr>
              <w:t>M DO DIA 17/0</w:t>
            </w:r>
            <w:r>
              <w:rPr>
                <w:rFonts w:ascii="Arial" w:hAnsi="Arial" w:eastAsia="Arial" w:cs="Arial"/>
                <w:b/>
                <w:sz w:val="24"/>
                <w:szCs w:val="24"/>
                <w:highlight w:val="yellow"/>
              </w:rPr>
              <w:t>7</w:t>
            </w:r>
            <w:r>
              <w:rPr>
                <w:rFonts w:ascii="Arial" w:hAnsi="Arial" w:eastAsia="Arial" w:cs="Arial"/>
                <w:b/>
                <w:color w:val="000000"/>
                <w:sz w:val="24"/>
                <w:szCs w:val="24"/>
                <w:highlight w:val="yellow"/>
              </w:rPr>
              <w:t>/2024 (HORÁRIO DE BRASÍLIA)</w:t>
            </w:r>
          </w:p>
        </w:tc>
      </w:tr>
      <w:tr w14:paraId="574B8F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20" w:hRule="atLeast"/>
        </w:trPr>
        <w:tc>
          <w:tcPr>
            <w:tcW w:w="2835" w:type="dxa"/>
            <w:tcBorders>
              <w:top w:val="single" w:color="000000" w:sz="4" w:space="0"/>
              <w:left w:val="single" w:color="000000" w:sz="4" w:space="0"/>
              <w:bottom w:val="single" w:color="000000" w:sz="4" w:space="0"/>
              <w:right w:val="single" w:color="000000" w:sz="4" w:space="0"/>
            </w:tcBorders>
            <w:shd w:val="clear" w:color="auto" w:fill="F2F2F2"/>
            <w:vAlign w:val="center"/>
          </w:tcPr>
          <w:p w14:paraId="654D0ACE">
            <w:pPr>
              <w:spacing w:after="0" w:line="240" w:lineRule="auto"/>
              <w:jc w:val="center"/>
              <w:rPr>
                <w:rFonts w:ascii="Arial" w:hAnsi="Arial" w:eastAsia="Arial" w:cs="Arial"/>
                <w:b/>
                <w:sz w:val="24"/>
                <w:szCs w:val="24"/>
              </w:rPr>
            </w:pPr>
            <w:r>
              <w:rPr>
                <w:rFonts w:ascii="Arial" w:hAnsi="Arial" w:eastAsia="Arial" w:cs="Arial"/>
                <w:b/>
                <w:sz w:val="24"/>
                <w:szCs w:val="24"/>
              </w:rPr>
              <w:t>DATA E HORA LIMITE PARA IMPUGNAÇÃO:</w:t>
            </w:r>
          </w:p>
        </w:tc>
        <w:tc>
          <w:tcPr>
            <w:tcW w:w="7300" w:type="dxa"/>
            <w:tcBorders>
              <w:top w:val="single" w:color="000000" w:sz="4" w:space="0"/>
              <w:left w:val="single" w:color="000000" w:sz="4" w:space="0"/>
              <w:bottom w:val="single" w:color="000000" w:sz="4" w:space="0"/>
              <w:right w:val="single" w:color="000000" w:sz="4" w:space="0"/>
            </w:tcBorders>
            <w:shd w:val="clear" w:color="auto" w:fill="FFFFFF"/>
          </w:tcPr>
          <w:p w14:paraId="57A45B33">
            <w:pPr>
              <w:spacing w:after="0" w:line="240" w:lineRule="auto"/>
              <w:jc w:val="center"/>
              <w:rPr>
                <w:rFonts w:ascii="Arial" w:hAnsi="Arial" w:eastAsia="Arial" w:cs="Arial"/>
                <w:b/>
                <w:color w:val="000000"/>
                <w:sz w:val="24"/>
                <w:szCs w:val="24"/>
                <w:highlight w:val="yellow"/>
              </w:rPr>
            </w:pPr>
            <w:r>
              <w:rPr>
                <w:rFonts w:ascii="Arial" w:hAnsi="Arial" w:eastAsia="Arial" w:cs="Arial"/>
                <w:b/>
                <w:color w:val="000000"/>
                <w:sz w:val="24"/>
                <w:szCs w:val="24"/>
                <w:highlight w:val="green"/>
              </w:rPr>
              <w:t>0</w:t>
            </w:r>
            <w:r>
              <w:rPr>
                <w:rFonts w:ascii="Arial" w:hAnsi="Arial" w:eastAsia="Arial" w:cs="Arial"/>
                <w:b/>
                <w:sz w:val="24"/>
                <w:szCs w:val="24"/>
                <w:highlight w:val="green"/>
              </w:rPr>
              <w:t>9</w:t>
            </w:r>
            <w:r>
              <w:rPr>
                <w:rFonts w:ascii="Arial" w:hAnsi="Arial" w:eastAsia="Arial" w:cs="Arial"/>
                <w:b/>
                <w:color w:val="000000"/>
                <w:sz w:val="24"/>
                <w:szCs w:val="24"/>
                <w:highlight w:val="green"/>
              </w:rPr>
              <w:t>H:</w:t>
            </w:r>
            <w:r>
              <w:rPr>
                <w:rFonts w:ascii="Arial" w:hAnsi="Arial" w:eastAsia="Arial" w:cs="Arial"/>
                <w:b/>
                <w:sz w:val="24"/>
                <w:szCs w:val="24"/>
                <w:highlight w:val="green"/>
              </w:rPr>
              <w:t>00</w:t>
            </w:r>
            <w:r>
              <w:rPr>
                <w:rFonts w:ascii="Arial" w:hAnsi="Arial" w:eastAsia="Arial" w:cs="Arial"/>
                <w:b/>
                <w:color w:val="000000"/>
                <w:sz w:val="24"/>
                <w:szCs w:val="24"/>
                <w:highlight w:val="green"/>
              </w:rPr>
              <w:t>M DO DIA 24/0</w:t>
            </w:r>
            <w:r>
              <w:rPr>
                <w:rFonts w:ascii="Arial" w:hAnsi="Arial" w:eastAsia="Arial" w:cs="Arial"/>
                <w:b/>
                <w:sz w:val="24"/>
                <w:szCs w:val="24"/>
                <w:highlight w:val="green"/>
              </w:rPr>
              <w:t>7</w:t>
            </w:r>
            <w:r>
              <w:rPr>
                <w:rFonts w:ascii="Arial" w:hAnsi="Arial" w:eastAsia="Arial" w:cs="Arial"/>
                <w:b/>
                <w:color w:val="000000"/>
                <w:sz w:val="24"/>
                <w:szCs w:val="24"/>
                <w:highlight w:val="green"/>
              </w:rPr>
              <w:t>/2024 (HORÁRIO DE BRASÍLIA)</w:t>
            </w:r>
          </w:p>
        </w:tc>
      </w:tr>
      <w:tr w14:paraId="6083D4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20" w:hRule="atLeast"/>
        </w:trPr>
        <w:tc>
          <w:tcPr>
            <w:tcW w:w="2835" w:type="dxa"/>
            <w:tcBorders>
              <w:top w:val="single" w:color="000000" w:sz="4" w:space="0"/>
              <w:left w:val="single" w:color="000000" w:sz="4" w:space="0"/>
              <w:bottom w:val="single" w:color="000000" w:sz="4" w:space="0"/>
              <w:right w:val="single" w:color="000000" w:sz="4" w:space="0"/>
            </w:tcBorders>
            <w:shd w:val="clear" w:color="auto" w:fill="F2F2F2"/>
            <w:vAlign w:val="center"/>
          </w:tcPr>
          <w:p w14:paraId="08D15CF2">
            <w:pPr>
              <w:spacing w:after="0" w:line="240" w:lineRule="auto"/>
              <w:jc w:val="center"/>
              <w:rPr>
                <w:rFonts w:ascii="Arial" w:hAnsi="Arial" w:eastAsia="Arial" w:cs="Arial"/>
                <w:b/>
                <w:sz w:val="24"/>
                <w:szCs w:val="24"/>
              </w:rPr>
            </w:pPr>
            <w:r>
              <w:rPr>
                <w:rFonts w:ascii="Arial" w:hAnsi="Arial" w:eastAsia="Arial" w:cs="Arial"/>
                <w:b/>
                <w:sz w:val="24"/>
                <w:szCs w:val="24"/>
              </w:rPr>
              <w:t>DATA E HORA FINAL DAS PROPOSTAS:</w:t>
            </w:r>
          </w:p>
        </w:tc>
        <w:tc>
          <w:tcPr>
            <w:tcW w:w="7300" w:type="dxa"/>
            <w:tcBorders>
              <w:top w:val="single" w:color="000000" w:sz="4" w:space="0"/>
              <w:left w:val="single" w:color="000000" w:sz="4" w:space="0"/>
              <w:bottom w:val="single" w:color="000000" w:sz="4" w:space="0"/>
              <w:right w:val="single" w:color="000000" w:sz="4" w:space="0"/>
            </w:tcBorders>
            <w:shd w:val="clear" w:color="auto" w:fill="FFFFFF"/>
          </w:tcPr>
          <w:p w14:paraId="62E75A66">
            <w:pPr>
              <w:spacing w:after="0" w:line="240" w:lineRule="auto"/>
              <w:jc w:val="center"/>
              <w:rPr>
                <w:rFonts w:ascii="Arial" w:hAnsi="Arial" w:eastAsia="Arial" w:cs="Arial"/>
                <w:b/>
                <w:color w:val="000000"/>
                <w:sz w:val="24"/>
                <w:szCs w:val="24"/>
                <w:highlight w:val="cyan"/>
              </w:rPr>
            </w:pPr>
            <w:r>
              <w:rPr>
                <w:rFonts w:ascii="Arial" w:hAnsi="Arial" w:eastAsia="Arial" w:cs="Arial"/>
                <w:b/>
                <w:color w:val="000000"/>
                <w:sz w:val="24"/>
                <w:szCs w:val="24"/>
                <w:highlight w:val="cyan"/>
              </w:rPr>
              <w:t>0</w:t>
            </w:r>
            <w:r>
              <w:rPr>
                <w:rFonts w:ascii="Arial" w:hAnsi="Arial" w:eastAsia="Arial" w:cs="Arial"/>
                <w:b/>
                <w:sz w:val="24"/>
                <w:szCs w:val="24"/>
                <w:highlight w:val="cyan"/>
              </w:rPr>
              <w:t>9</w:t>
            </w:r>
            <w:r>
              <w:rPr>
                <w:rFonts w:ascii="Arial" w:hAnsi="Arial" w:eastAsia="Arial" w:cs="Arial"/>
                <w:b/>
                <w:color w:val="000000"/>
                <w:sz w:val="24"/>
                <w:szCs w:val="24"/>
                <w:highlight w:val="cyan"/>
              </w:rPr>
              <w:t>H:</w:t>
            </w:r>
            <w:r>
              <w:rPr>
                <w:rFonts w:ascii="Arial" w:hAnsi="Arial" w:eastAsia="Arial" w:cs="Arial"/>
                <w:b/>
                <w:sz w:val="24"/>
                <w:szCs w:val="24"/>
                <w:highlight w:val="cyan"/>
              </w:rPr>
              <w:t>00</w:t>
            </w:r>
            <w:r>
              <w:rPr>
                <w:rFonts w:ascii="Arial" w:hAnsi="Arial" w:eastAsia="Arial" w:cs="Arial"/>
                <w:b/>
                <w:color w:val="000000"/>
                <w:sz w:val="24"/>
                <w:szCs w:val="24"/>
                <w:highlight w:val="cyan"/>
              </w:rPr>
              <w:t>M DO DIA 29/0</w:t>
            </w:r>
            <w:r>
              <w:rPr>
                <w:rFonts w:ascii="Arial" w:hAnsi="Arial" w:eastAsia="Arial" w:cs="Arial"/>
                <w:b/>
                <w:sz w:val="24"/>
                <w:szCs w:val="24"/>
                <w:highlight w:val="cyan"/>
              </w:rPr>
              <w:t>7</w:t>
            </w:r>
            <w:r>
              <w:rPr>
                <w:rFonts w:ascii="Arial" w:hAnsi="Arial" w:eastAsia="Arial" w:cs="Arial"/>
                <w:b/>
                <w:color w:val="000000"/>
                <w:sz w:val="24"/>
                <w:szCs w:val="24"/>
                <w:highlight w:val="cyan"/>
              </w:rPr>
              <w:t>/2024 (HORÁRIO DE BRASÍLIA)</w:t>
            </w:r>
          </w:p>
        </w:tc>
      </w:tr>
      <w:tr w14:paraId="5B54BB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20" w:hRule="atLeast"/>
        </w:trPr>
        <w:tc>
          <w:tcPr>
            <w:tcW w:w="2835" w:type="dxa"/>
            <w:tcBorders>
              <w:top w:val="single" w:color="000000" w:sz="4" w:space="0"/>
              <w:left w:val="single" w:color="000000" w:sz="4" w:space="0"/>
              <w:bottom w:val="single" w:color="000000" w:sz="4" w:space="0"/>
              <w:right w:val="single" w:color="000000" w:sz="4" w:space="0"/>
            </w:tcBorders>
            <w:shd w:val="clear" w:color="auto" w:fill="F2F2F2"/>
            <w:vAlign w:val="center"/>
          </w:tcPr>
          <w:p w14:paraId="3C7CC783">
            <w:pPr>
              <w:spacing w:after="0" w:line="240" w:lineRule="auto"/>
              <w:jc w:val="center"/>
              <w:rPr>
                <w:rFonts w:ascii="Arial" w:hAnsi="Arial" w:eastAsia="Arial" w:cs="Arial"/>
                <w:b/>
                <w:sz w:val="24"/>
                <w:szCs w:val="24"/>
              </w:rPr>
            </w:pPr>
            <w:r>
              <w:rPr>
                <w:rFonts w:ascii="Arial" w:hAnsi="Arial" w:eastAsia="Arial" w:cs="Arial"/>
                <w:b/>
                <w:sz w:val="24"/>
                <w:szCs w:val="24"/>
              </w:rPr>
              <w:t>DATA DE ABERTURA DAS PROPOSTAS:</w:t>
            </w:r>
          </w:p>
        </w:tc>
        <w:tc>
          <w:tcPr>
            <w:tcW w:w="7300" w:type="dxa"/>
            <w:tcBorders>
              <w:top w:val="single" w:color="000000" w:sz="4" w:space="0"/>
              <w:left w:val="single" w:color="000000" w:sz="4" w:space="0"/>
              <w:bottom w:val="single" w:color="000000" w:sz="4" w:space="0"/>
              <w:right w:val="single" w:color="000000" w:sz="4" w:space="0"/>
            </w:tcBorders>
            <w:shd w:val="clear" w:color="auto" w:fill="auto"/>
          </w:tcPr>
          <w:p w14:paraId="19FEB439">
            <w:pPr>
              <w:spacing w:after="0" w:line="240" w:lineRule="auto"/>
              <w:jc w:val="center"/>
              <w:rPr>
                <w:rFonts w:ascii="Arial" w:hAnsi="Arial" w:eastAsia="Arial" w:cs="Arial"/>
                <w:b/>
                <w:color w:val="000000"/>
                <w:sz w:val="24"/>
                <w:szCs w:val="24"/>
                <w:highlight w:val="cyan"/>
              </w:rPr>
            </w:pPr>
            <w:r>
              <w:rPr>
                <w:rFonts w:ascii="Arial" w:hAnsi="Arial" w:eastAsia="Arial" w:cs="Arial"/>
                <w:b/>
                <w:color w:val="000000"/>
                <w:sz w:val="24"/>
                <w:szCs w:val="24"/>
                <w:highlight w:val="cyan"/>
              </w:rPr>
              <w:t>09H:01M DO DIA 29/0</w:t>
            </w:r>
            <w:r>
              <w:rPr>
                <w:rFonts w:ascii="Arial" w:hAnsi="Arial" w:eastAsia="Arial" w:cs="Arial"/>
                <w:b/>
                <w:sz w:val="24"/>
                <w:szCs w:val="24"/>
                <w:highlight w:val="cyan"/>
              </w:rPr>
              <w:t>7</w:t>
            </w:r>
            <w:r>
              <w:rPr>
                <w:rFonts w:ascii="Arial" w:hAnsi="Arial" w:eastAsia="Arial" w:cs="Arial"/>
                <w:b/>
                <w:color w:val="000000"/>
                <w:sz w:val="24"/>
                <w:szCs w:val="24"/>
                <w:highlight w:val="cyan"/>
              </w:rPr>
              <w:t>/2024 (HORÁRIO DE BRASÍLIA)</w:t>
            </w:r>
          </w:p>
        </w:tc>
      </w:tr>
      <w:tr w14:paraId="5915BD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20" w:hRule="atLeast"/>
        </w:trPr>
        <w:tc>
          <w:tcPr>
            <w:tcW w:w="2835" w:type="dxa"/>
            <w:tcBorders>
              <w:top w:val="single" w:color="000000" w:sz="4" w:space="0"/>
              <w:left w:val="single" w:color="000000" w:sz="4" w:space="0"/>
              <w:bottom w:val="single" w:color="000000" w:sz="4" w:space="0"/>
              <w:right w:val="single" w:color="000000" w:sz="4" w:space="0"/>
            </w:tcBorders>
            <w:shd w:val="clear" w:color="auto" w:fill="F2F2F2"/>
            <w:vAlign w:val="center"/>
          </w:tcPr>
          <w:p w14:paraId="02657BB0">
            <w:pPr>
              <w:spacing w:after="0" w:line="240" w:lineRule="auto"/>
              <w:jc w:val="center"/>
              <w:rPr>
                <w:rFonts w:ascii="Arial" w:hAnsi="Arial" w:eastAsia="Arial" w:cs="Arial"/>
                <w:b/>
                <w:sz w:val="24"/>
                <w:szCs w:val="24"/>
              </w:rPr>
            </w:pPr>
            <w:r>
              <w:rPr>
                <w:rFonts w:ascii="Arial" w:hAnsi="Arial" w:eastAsia="Arial" w:cs="Arial"/>
                <w:b/>
                <w:sz w:val="24"/>
                <w:szCs w:val="24"/>
              </w:rPr>
              <w:t>DATA E HORA DA ABERTURA DA SESSÃO PÚBLICA:</w:t>
            </w:r>
          </w:p>
        </w:tc>
        <w:tc>
          <w:tcPr>
            <w:tcW w:w="7300" w:type="dxa"/>
            <w:tcBorders>
              <w:top w:val="single" w:color="000000" w:sz="4" w:space="0"/>
              <w:left w:val="single" w:color="000000" w:sz="4" w:space="0"/>
              <w:bottom w:val="single" w:color="000000" w:sz="4" w:space="0"/>
              <w:right w:val="single" w:color="000000" w:sz="4" w:space="0"/>
            </w:tcBorders>
            <w:shd w:val="clear" w:color="auto" w:fill="auto"/>
          </w:tcPr>
          <w:p w14:paraId="0A46CC3C">
            <w:pPr>
              <w:spacing w:after="0" w:line="240" w:lineRule="auto"/>
              <w:jc w:val="center"/>
              <w:rPr>
                <w:rFonts w:ascii="Arial" w:hAnsi="Arial" w:eastAsia="Arial" w:cs="Arial"/>
                <w:b/>
                <w:color w:val="000000"/>
                <w:sz w:val="24"/>
                <w:szCs w:val="24"/>
                <w:highlight w:val="yellow"/>
              </w:rPr>
            </w:pPr>
            <w:r>
              <w:rPr>
                <w:rFonts w:ascii="Arial" w:hAnsi="Arial" w:eastAsia="Arial" w:cs="Arial"/>
                <w:b/>
                <w:color w:val="000000" w:themeColor="text1"/>
                <w:sz w:val="24"/>
                <w:szCs w:val="24"/>
                <w:highlight w:val="magenta"/>
                <w14:textFill>
                  <w14:solidFill>
                    <w14:schemeClr w14:val="tx1"/>
                  </w14:solidFill>
                </w14:textFill>
              </w:rPr>
              <w:t>14H:00M DO DIA 29/07/2024 (HORÁRIO DE BRASÍLIA)</w:t>
            </w:r>
          </w:p>
        </w:tc>
      </w:tr>
      <w:tr w14:paraId="216163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20" w:hRule="atLeast"/>
        </w:trPr>
        <w:tc>
          <w:tcPr>
            <w:tcW w:w="2835" w:type="dxa"/>
            <w:tcBorders>
              <w:top w:val="single" w:color="000000" w:sz="4" w:space="0"/>
              <w:left w:val="single" w:color="000000" w:sz="4" w:space="0"/>
              <w:bottom w:val="single" w:color="000000" w:sz="4" w:space="0"/>
              <w:right w:val="single" w:color="000000" w:sz="4" w:space="0"/>
            </w:tcBorders>
            <w:shd w:val="clear" w:color="auto" w:fill="F2F2F2"/>
            <w:vAlign w:val="center"/>
          </w:tcPr>
          <w:p w14:paraId="5C990BCF">
            <w:pPr>
              <w:spacing w:after="0" w:line="240" w:lineRule="auto"/>
              <w:jc w:val="center"/>
              <w:rPr>
                <w:rFonts w:ascii="Arial" w:hAnsi="Arial" w:eastAsia="Arial" w:cs="Arial"/>
                <w:b/>
                <w:sz w:val="24"/>
                <w:szCs w:val="24"/>
              </w:rPr>
            </w:pPr>
            <w:r>
              <w:rPr>
                <w:rFonts w:ascii="Arial" w:hAnsi="Arial" w:eastAsia="Arial" w:cs="Arial"/>
                <w:b/>
                <w:sz w:val="24"/>
                <w:szCs w:val="24"/>
              </w:rPr>
              <w:t>LOCAL:</w:t>
            </w:r>
          </w:p>
        </w:tc>
        <w:tc>
          <w:tcPr>
            <w:tcW w:w="73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66EA79">
            <w:pPr>
              <w:spacing w:after="0" w:line="240" w:lineRule="auto"/>
              <w:jc w:val="center"/>
              <w:rPr>
                <w:rFonts w:ascii="Arial" w:hAnsi="Arial" w:eastAsia="Arial" w:cs="Arial"/>
                <w:b/>
                <w:sz w:val="24"/>
                <w:szCs w:val="24"/>
              </w:rPr>
            </w:pPr>
          </w:p>
          <w:p w14:paraId="653E21D6">
            <w:pPr>
              <w:spacing w:after="0" w:line="240" w:lineRule="auto"/>
              <w:jc w:val="center"/>
              <w:rPr>
                <w:rFonts w:ascii="Arial" w:hAnsi="Arial" w:eastAsia="Arial" w:cs="Arial"/>
                <w:b/>
                <w:sz w:val="24"/>
                <w:szCs w:val="24"/>
              </w:rPr>
            </w:pPr>
            <w:r>
              <w:fldChar w:fldCharType="begin"/>
            </w:r>
            <w:r>
              <w:instrText xml:space="preserve"> HYPERLINK "http://www.portaldecompraspublicas.com.br" \h </w:instrText>
            </w:r>
            <w:r>
              <w:fldChar w:fldCharType="separate"/>
            </w:r>
            <w:r>
              <w:rPr>
                <w:rFonts w:ascii="Arial" w:hAnsi="Arial" w:eastAsia="Arial" w:cs="Arial"/>
                <w:b/>
                <w:color w:val="000080"/>
                <w:sz w:val="24"/>
                <w:szCs w:val="24"/>
                <w:u w:val="single"/>
              </w:rPr>
              <w:t>www.portaldecompraspublicas.com.br</w:t>
            </w:r>
            <w:r>
              <w:rPr>
                <w:rFonts w:ascii="Arial" w:hAnsi="Arial" w:eastAsia="Arial" w:cs="Arial"/>
                <w:b/>
                <w:color w:val="000080"/>
                <w:sz w:val="24"/>
                <w:szCs w:val="24"/>
                <w:u w:val="single"/>
              </w:rPr>
              <w:fldChar w:fldCharType="end"/>
            </w:r>
          </w:p>
          <w:p w14:paraId="1BA4EE94">
            <w:pPr>
              <w:spacing w:after="0" w:line="240" w:lineRule="auto"/>
              <w:jc w:val="center"/>
              <w:rPr>
                <w:rFonts w:ascii="Arial" w:hAnsi="Arial" w:eastAsia="Arial" w:cs="Arial"/>
                <w:b/>
                <w:sz w:val="24"/>
                <w:szCs w:val="24"/>
              </w:rPr>
            </w:pPr>
          </w:p>
        </w:tc>
      </w:tr>
      <w:tr w14:paraId="72ED70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20" w:hRule="atLeast"/>
        </w:trPr>
        <w:tc>
          <w:tcPr>
            <w:tcW w:w="2835" w:type="dxa"/>
            <w:tcBorders>
              <w:top w:val="single" w:color="000000" w:sz="4" w:space="0"/>
              <w:left w:val="single" w:color="000000" w:sz="4" w:space="0"/>
              <w:bottom w:val="single" w:color="000000" w:sz="4" w:space="0"/>
              <w:right w:val="single" w:color="000000" w:sz="4" w:space="0"/>
            </w:tcBorders>
            <w:shd w:val="clear" w:color="auto" w:fill="F2F2F2"/>
            <w:vAlign w:val="center"/>
          </w:tcPr>
          <w:p w14:paraId="3031421E">
            <w:pPr>
              <w:spacing w:after="0" w:line="240" w:lineRule="auto"/>
              <w:jc w:val="center"/>
              <w:rPr>
                <w:rFonts w:ascii="Arial" w:hAnsi="Arial" w:eastAsia="Arial" w:cs="Arial"/>
                <w:b/>
                <w:sz w:val="24"/>
                <w:szCs w:val="24"/>
              </w:rPr>
            </w:pPr>
            <w:r>
              <w:rPr>
                <w:rFonts w:ascii="Arial" w:hAnsi="Arial" w:eastAsia="Arial" w:cs="Arial"/>
                <w:b/>
                <w:sz w:val="24"/>
                <w:szCs w:val="24"/>
              </w:rPr>
              <w:t>MODO DE DISPUTA:</w:t>
            </w:r>
          </w:p>
        </w:tc>
        <w:tc>
          <w:tcPr>
            <w:tcW w:w="73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C23EBB">
            <w:pPr>
              <w:spacing w:after="0" w:line="240" w:lineRule="auto"/>
              <w:jc w:val="center"/>
              <w:rPr>
                <w:rFonts w:ascii="Arial" w:hAnsi="Arial" w:eastAsia="Arial" w:cs="Arial"/>
                <w:b/>
                <w:sz w:val="24"/>
                <w:szCs w:val="24"/>
              </w:rPr>
            </w:pPr>
            <w:r>
              <w:rPr>
                <w:rFonts w:ascii="Arial" w:hAnsi="Arial" w:eastAsia="Arial" w:cs="Arial"/>
                <w:b/>
                <w:sz w:val="24"/>
                <w:szCs w:val="24"/>
              </w:rPr>
              <w:t>ABERTO</w:t>
            </w:r>
          </w:p>
        </w:tc>
      </w:tr>
    </w:tbl>
    <w:p w14:paraId="1A0F9B8A">
      <w:pPr>
        <w:keepNext/>
        <w:keepLines/>
        <w:numPr>
          <w:ilvl w:val="0"/>
          <w:numId w:val="3"/>
        </w:numPr>
        <w:pBdr>
          <w:top w:val="none" w:color="auto" w:sz="0" w:space="0"/>
          <w:left w:val="none" w:color="auto" w:sz="0" w:space="0"/>
          <w:bottom w:val="none" w:color="auto" w:sz="0" w:space="0"/>
          <w:right w:val="none" w:color="auto" w:sz="0" w:space="0"/>
          <w:between w:val="none" w:color="auto" w:sz="0" w:space="0"/>
        </w:pBdr>
        <w:tabs>
          <w:tab w:val="left" w:pos="567"/>
        </w:tabs>
        <w:spacing w:before="288" w:after="0" w:line="312" w:lineRule="auto"/>
        <w:jc w:val="both"/>
        <w:rPr>
          <w:rFonts w:ascii="Arial" w:hAnsi="Arial" w:eastAsia="Arial" w:cs="Arial"/>
          <w:b/>
          <w:color w:val="000000"/>
          <w:sz w:val="24"/>
          <w:szCs w:val="24"/>
        </w:rPr>
      </w:pPr>
      <w:bookmarkStart w:id="0" w:name="_heading=h.gjdgxs" w:colFirst="0" w:colLast="0"/>
      <w:bookmarkEnd w:id="0"/>
      <w:r>
        <w:rPr>
          <w:rFonts w:ascii="Arial" w:hAnsi="Arial" w:eastAsia="Arial" w:cs="Arial"/>
          <w:b/>
          <w:color w:val="000000"/>
          <w:sz w:val="24"/>
          <w:szCs w:val="24"/>
        </w:rPr>
        <w:t>DO OBJETO</w:t>
      </w:r>
    </w:p>
    <w:p w14:paraId="63CEBB19">
      <w:pPr>
        <w:keepNext/>
        <w:keepLines/>
        <w:numPr>
          <w:ilvl w:val="1"/>
          <w:numId w:val="3"/>
        </w:numPr>
        <w:pBdr>
          <w:top w:val="none" w:color="auto" w:sz="0" w:space="0"/>
          <w:left w:val="none" w:color="auto" w:sz="0" w:space="0"/>
          <w:bottom w:val="none" w:color="auto" w:sz="0" w:space="0"/>
          <w:right w:val="none" w:color="auto" w:sz="0" w:space="0"/>
          <w:between w:val="none" w:color="auto" w:sz="0" w:space="0"/>
        </w:pBdr>
        <w:tabs>
          <w:tab w:val="left" w:pos="567"/>
        </w:tabs>
        <w:spacing w:after="0" w:line="312" w:lineRule="auto"/>
        <w:jc w:val="both"/>
        <w:rPr>
          <w:rFonts w:ascii="Arial" w:hAnsi="Arial" w:eastAsia="Arial" w:cs="Arial"/>
          <w:b/>
          <w:color w:val="000000"/>
          <w:sz w:val="24"/>
          <w:szCs w:val="24"/>
        </w:rPr>
      </w:pPr>
      <w:r>
        <w:rPr>
          <w:rFonts w:ascii="Arial" w:hAnsi="Arial" w:eastAsia="Arial" w:cs="Arial"/>
          <w:color w:val="000000"/>
          <w:sz w:val="24"/>
          <w:szCs w:val="24"/>
        </w:rPr>
        <w:t xml:space="preserve">O objeto da presente licitação é </w:t>
      </w:r>
      <w:r>
        <w:rPr>
          <w:rFonts w:ascii="Arial" w:hAnsi="Arial" w:eastAsia="Arial" w:cs="Arial"/>
          <w:b/>
          <w:color w:val="000000"/>
          <w:sz w:val="24"/>
          <w:szCs w:val="24"/>
        </w:rPr>
        <w:t>AQUISIÇÃO PARCELADA DE MEDICAMENTOS PARA ATENDER AS NECESSIDADES DA ATENÇÃO BÁSICA ATRAVÉS DO FUNDO MUNICIPAL DE SAÚDE DE JATOBÁ-PE</w:t>
      </w:r>
      <w:r>
        <w:rPr>
          <w:rFonts w:ascii="Arial" w:hAnsi="Arial" w:eastAsia="Arial" w:cs="Arial"/>
          <w:color w:val="000000"/>
          <w:sz w:val="24"/>
          <w:szCs w:val="24"/>
        </w:rPr>
        <w:t>.</w:t>
      </w:r>
    </w:p>
    <w:p w14:paraId="0CEC903E">
      <w:pPr>
        <w:keepNext/>
        <w:keepLines/>
        <w:numPr>
          <w:ilvl w:val="1"/>
          <w:numId w:val="1"/>
        </w:numPr>
        <w:pBdr>
          <w:top w:val="none" w:color="auto" w:sz="0" w:space="0"/>
          <w:left w:val="none" w:color="auto" w:sz="0" w:space="0"/>
          <w:bottom w:val="none" w:color="auto" w:sz="0" w:space="0"/>
          <w:right w:val="none" w:color="auto" w:sz="0" w:space="0"/>
          <w:between w:val="none" w:color="auto" w:sz="0" w:space="0"/>
        </w:pBdr>
        <w:tabs>
          <w:tab w:val="left" w:pos="567"/>
        </w:tabs>
        <w:spacing w:after="0" w:line="312" w:lineRule="auto"/>
        <w:jc w:val="both"/>
        <w:rPr>
          <w:rFonts w:ascii="Arial" w:hAnsi="Arial" w:eastAsia="Arial" w:cs="Arial"/>
          <w:sz w:val="24"/>
          <w:szCs w:val="24"/>
        </w:rPr>
      </w:pPr>
      <w:r>
        <w:rPr>
          <w:rFonts w:ascii="Arial" w:hAnsi="Arial" w:eastAsia="Arial" w:cs="Arial"/>
          <w:color w:val="000000"/>
          <w:sz w:val="24"/>
          <w:szCs w:val="24"/>
        </w:rPr>
        <w:t xml:space="preserve">A licitação será dividida em </w:t>
      </w:r>
      <w:r>
        <w:rPr>
          <w:rFonts w:ascii="Arial" w:hAnsi="Arial" w:eastAsia="Arial" w:cs="Arial"/>
          <w:b/>
          <w:color w:val="000000"/>
          <w:sz w:val="24"/>
          <w:szCs w:val="24"/>
        </w:rPr>
        <w:t>ITENS</w:t>
      </w:r>
      <w:r>
        <w:rPr>
          <w:rFonts w:ascii="Arial" w:hAnsi="Arial" w:eastAsia="Arial" w:cs="Arial"/>
          <w:color w:val="000000"/>
          <w:sz w:val="24"/>
          <w:szCs w:val="24"/>
        </w:rPr>
        <w:t xml:space="preserve">, conforme tabela constante do Termo de Referência. </w:t>
      </w:r>
    </w:p>
    <w:p w14:paraId="6A664C0C">
      <w:pPr>
        <w:keepNext/>
        <w:keepLines/>
        <w:numPr>
          <w:ilvl w:val="1"/>
          <w:numId w:val="1"/>
        </w:numPr>
        <w:pBdr>
          <w:top w:val="none" w:color="auto" w:sz="0" w:space="0"/>
          <w:left w:val="none" w:color="auto" w:sz="0" w:space="0"/>
          <w:bottom w:val="none" w:color="auto" w:sz="0" w:space="0"/>
          <w:right w:val="none" w:color="auto" w:sz="0" w:space="0"/>
          <w:between w:val="none" w:color="auto" w:sz="0" w:space="0"/>
        </w:pBdr>
        <w:tabs>
          <w:tab w:val="left" w:pos="567"/>
        </w:tabs>
        <w:spacing w:after="0" w:line="312" w:lineRule="auto"/>
        <w:jc w:val="both"/>
        <w:rPr>
          <w:rFonts w:ascii="Arial" w:hAnsi="Arial" w:eastAsia="Arial" w:cs="Arial"/>
          <w:sz w:val="24"/>
          <w:szCs w:val="24"/>
        </w:rPr>
      </w:pPr>
      <w:r>
        <w:rPr>
          <w:rFonts w:ascii="Arial" w:hAnsi="Arial" w:eastAsia="Arial" w:cs="Arial"/>
          <w:color w:val="000000"/>
          <w:sz w:val="24"/>
          <w:szCs w:val="24"/>
        </w:rPr>
        <w:t>O critério de julgamento adotado será o</w:t>
      </w:r>
      <w:r>
        <w:rPr>
          <w:rFonts w:ascii="Arial" w:hAnsi="Arial" w:eastAsia="Arial" w:cs="Arial"/>
          <w:b/>
          <w:color w:val="000000"/>
          <w:sz w:val="24"/>
          <w:szCs w:val="24"/>
        </w:rPr>
        <w:t xml:space="preserve"> MENOR PREÇO POR ITEM</w:t>
      </w:r>
      <w:r>
        <w:rPr>
          <w:rFonts w:ascii="Arial" w:hAnsi="Arial" w:eastAsia="Arial" w:cs="Arial"/>
          <w:color w:val="000000"/>
          <w:sz w:val="24"/>
          <w:szCs w:val="24"/>
        </w:rPr>
        <w:t xml:space="preserve">, observadas as exigências contidas neste Edital e seus Anexos quanto às especificações do objeto. Se aplicável, será </w:t>
      </w:r>
      <w:r>
        <w:rPr>
          <w:rFonts w:ascii="Arial" w:hAnsi="Arial" w:eastAsia="Arial" w:cs="Arial"/>
          <w:color w:val="222222"/>
          <w:sz w:val="24"/>
          <w:szCs w:val="24"/>
        </w:rPr>
        <w:t>critério de julgamento (de preferência), a aquisição de medicamentos genéricos, em condições de igualdade sobre as demais propostas.</w:t>
      </w:r>
    </w:p>
    <w:p w14:paraId="71806B08">
      <w:pPr>
        <w:keepNext/>
        <w:keepLines/>
        <w:pBdr>
          <w:top w:val="none" w:color="auto" w:sz="0" w:space="0"/>
          <w:left w:val="none" w:color="auto" w:sz="0" w:space="0"/>
          <w:bottom w:val="none" w:color="auto" w:sz="0" w:space="0"/>
          <w:right w:val="none" w:color="auto" w:sz="0" w:space="0"/>
          <w:between w:val="none" w:color="auto" w:sz="0" w:space="0"/>
        </w:pBdr>
        <w:tabs>
          <w:tab w:val="left" w:pos="567"/>
        </w:tabs>
        <w:spacing w:after="0" w:line="312" w:lineRule="auto"/>
        <w:ind w:left="1080"/>
        <w:jc w:val="both"/>
        <w:rPr>
          <w:rFonts w:ascii="Arial" w:hAnsi="Arial" w:eastAsia="Arial" w:cs="Arial"/>
          <w:color w:val="000000"/>
          <w:sz w:val="24"/>
          <w:szCs w:val="24"/>
        </w:rPr>
      </w:pPr>
    </w:p>
    <w:p w14:paraId="669709B7">
      <w:pPr>
        <w:numPr>
          <w:ilvl w:val="0"/>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b/>
          <w:color w:val="000000"/>
          <w:sz w:val="24"/>
          <w:szCs w:val="24"/>
        </w:rPr>
      </w:pPr>
      <w:r>
        <w:rPr>
          <w:rFonts w:ascii="Arial" w:hAnsi="Arial" w:eastAsia="Arial" w:cs="Arial"/>
          <w:b/>
          <w:color w:val="000000"/>
          <w:sz w:val="24"/>
          <w:szCs w:val="24"/>
        </w:rPr>
        <w:t>DO REGISTRO DE PREÇOS</w:t>
      </w:r>
    </w:p>
    <w:p w14:paraId="4B5C9C67">
      <w:pPr>
        <w:pBdr>
          <w:top w:val="none" w:color="auto" w:sz="0" w:space="0"/>
          <w:left w:val="none" w:color="auto" w:sz="0" w:space="0"/>
          <w:bottom w:val="none" w:color="auto" w:sz="0" w:space="0"/>
          <w:right w:val="none" w:color="auto" w:sz="0" w:space="0"/>
          <w:between w:val="none" w:color="auto" w:sz="0" w:space="0"/>
        </w:pBdr>
        <w:spacing w:after="0"/>
        <w:ind w:left="720"/>
        <w:jc w:val="both"/>
        <w:rPr>
          <w:rFonts w:ascii="Arial" w:hAnsi="Arial" w:eastAsia="Arial" w:cs="Arial"/>
          <w:color w:val="000000"/>
          <w:sz w:val="24"/>
          <w:szCs w:val="24"/>
        </w:rPr>
      </w:pPr>
    </w:p>
    <w:p w14:paraId="3AE8FCFA">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As regras referentes aos órgãos gerenciador e participantes, bem como a eventuais adesões são as que constam da minuta de Ata de Registro de Preços.</w:t>
      </w:r>
    </w:p>
    <w:p w14:paraId="173DC955">
      <w:pPr>
        <w:pBdr>
          <w:top w:val="none" w:color="auto" w:sz="0" w:space="0"/>
          <w:left w:val="none" w:color="auto" w:sz="0" w:space="0"/>
          <w:bottom w:val="none" w:color="auto" w:sz="0" w:space="0"/>
          <w:right w:val="none" w:color="auto" w:sz="0" w:space="0"/>
          <w:between w:val="none" w:color="auto" w:sz="0" w:space="0"/>
        </w:pBdr>
        <w:spacing w:after="0"/>
        <w:ind w:left="1080"/>
        <w:jc w:val="both"/>
        <w:rPr>
          <w:rFonts w:ascii="Arial" w:hAnsi="Arial" w:eastAsia="Arial" w:cs="Arial"/>
          <w:color w:val="000000"/>
          <w:sz w:val="24"/>
          <w:szCs w:val="24"/>
        </w:rPr>
      </w:pPr>
    </w:p>
    <w:p w14:paraId="3861726F">
      <w:pPr>
        <w:keepNext/>
        <w:keepLines/>
        <w:numPr>
          <w:ilvl w:val="0"/>
          <w:numId w:val="1"/>
        </w:numPr>
        <w:pBdr>
          <w:top w:val="none" w:color="auto" w:sz="0" w:space="0"/>
          <w:left w:val="none" w:color="auto" w:sz="0" w:space="0"/>
          <w:bottom w:val="none" w:color="auto" w:sz="0" w:space="0"/>
          <w:right w:val="none" w:color="auto" w:sz="0" w:space="0"/>
          <w:between w:val="none" w:color="auto" w:sz="0" w:space="0"/>
        </w:pBdr>
        <w:tabs>
          <w:tab w:val="left" w:pos="567"/>
        </w:tabs>
        <w:spacing w:after="0" w:line="312" w:lineRule="auto"/>
        <w:jc w:val="both"/>
        <w:rPr>
          <w:rFonts w:ascii="Arial" w:hAnsi="Arial" w:eastAsia="Arial" w:cs="Arial"/>
          <w:b/>
          <w:color w:val="000000"/>
          <w:sz w:val="24"/>
          <w:szCs w:val="24"/>
        </w:rPr>
      </w:pPr>
      <w:bookmarkStart w:id="1" w:name="_heading=h.30j0zll" w:colFirst="0" w:colLast="0"/>
      <w:bookmarkEnd w:id="1"/>
      <w:r>
        <w:rPr>
          <w:rFonts w:ascii="Arial" w:hAnsi="Arial" w:eastAsia="Arial" w:cs="Arial"/>
          <w:b/>
          <w:color w:val="000000"/>
          <w:sz w:val="24"/>
          <w:szCs w:val="24"/>
        </w:rPr>
        <w:t>DA PARTICIPAÇÃO NA LICITAÇÃO</w:t>
      </w:r>
    </w:p>
    <w:p w14:paraId="0D6FDAC7">
      <w:pPr>
        <w:keepNext/>
        <w:keepLines/>
        <w:pBdr>
          <w:top w:val="none" w:color="auto" w:sz="0" w:space="0"/>
          <w:left w:val="none" w:color="auto" w:sz="0" w:space="0"/>
          <w:bottom w:val="none" w:color="auto" w:sz="0" w:space="0"/>
          <w:right w:val="none" w:color="auto" w:sz="0" w:space="0"/>
          <w:between w:val="none" w:color="auto" w:sz="0" w:space="0"/>
        </w:pBdr>
        <w:tabs>
          <w:tab w:val="left" w:pos="567"/>
        </w:tabs>
        <w:spacing w:after="0" w:line="312" w:lineRule="auto"/>
        <w:ind w:left="720"/>
        <w:jc w:val="both"/>
        <w:rPr>
          <w:rFonts w:ascii="Arial" w:hAnsi="Arial" w:eastAsia="Arial" w:cs="Arial"/>
          <w:b/>
          <w:color w:val="17365D"/>
          <w:sz w:val="24"/>
          <w:szCs w:val="24"/>
        </w:rPr>
      </w:pPr>
    </w:p>
    <w:p w14:paraId="1728BE97">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bookmarkStart w:id="2" w:name="_heading=h.1fob9te" w:colFirst="0" w:colLast="0"/>
      <w:bookmarkEnd w:id="2"/>
      <w:r>
        <w:rPr>
          <w:rFonts w:ascii="Arial" w:hAnsi="Arial" w:eastAsia="Arial" w:cs="Arial"/>
          <w:color w:val="000000"/>
          <w:sz w:val="24"/>
          <w:szCs w:val="24"/>
        </w:rPr>
        <w:t xml:space="preserve">Poderão participar deste Pregão os interessados que estiverem previamente credenciados no sistema do Portal de Compras Públicas no sítio </w:t>
      </w:r>
      <w:r>
        <w:fldChar w:fldCharType="begin"/>
      </w:r>
      <w:r>
        <w:instrText xml:space="preserve"> HYPERLINK "http://www.portaldecompraspublicas.com.br" \h </w:instrText>
      </w:r>
      <w:r>
        <w:fldChar w:fldCharType="separate"/>
      </w:r>
      <w:r>
        <w:rPr>
          <w:rFonts w:ascii="Arial" w:hAnsi="Arial" w:eastAsia="Arial" w:cs="Arial"/>
          <w:b/>
          <w:color w:val="0066FF"/>
          <w:sz w:val="24"/>
          <w:szCs w:val="24"/>
          <w:u w:val="single"/>
        </w:rPr>
        <w:t>www.portaldecompraspublicas.com.br</w:t>
      </w:r>
      <w:r>
        <w:rPr>
          <w:rFonts w:ascii="Arial" w:hAnsi="Arial" w:eastAsia="Arial" w:cs="Arial"/>
          <w:b/>
          <w:color w:val="0066FF"/>
          <w:sz w:val="24"/>
          <w:szCs w:val="24"/>
          <w:u w:val="single"/>
        </w:rPr>
        <w:fldChar w:fldCharType="end"/>
      </w:r>
      <w:r>
        <w:rPr>
          <w:rFonts w:ascii="Arial" w:hAnsi="Arial" w:eastAsia="Arial" w:cs="Arial"/>
          <w:color w:val="000000"/>
          <w:sz w:val="24"/>
          <w:szCs w:val="24"/>
        </w:rPr>
        <w:t>.</w:t>
      </w:r>
    </w:p>
    <w:p w14:paraId="11246679">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843"/>
        <w:jc w:val="both"/>
        <w:rPr>
          <w:rFonts w:ascii="Arial" w:hAnsi="Arial" w:eastAsia="Arial" w:cs="Arial"/>
          <w:color w:val="000000"/>
          <w:sz w:val="24"/>
          <w:szCs w:val="24"/>
        </w:rPr>
      </w:pPr>
      <w:bookmarkStart w:id="3" w:name="_heading=h.3znysh7" w:colFirst="0" w:colLast="0"/>
      <w:bookmarkEnd w:id="3"/>
      <w:r>
        <w:rPr>
          <w:rFonts w:ascii="Arial" w:hAnsi="Arial" w:eastAsia="Arial" w:cs="Arial"/>
          <w:color w:val="000000"/>
          <w:sz w:val="24"/>
          <w:szCs w:val="24"/>
        </w:rPr>
        <w:t xml:space="preserve">Os interessados deverão atender às condições exigidas no cadastramento na plataforma do </w:t>
      </w:r>
      <w:r>
        <w:fldChar w:fldCharType="begin"/>
      </w:r>
      <w:r>
        <w:instrText xml:space="preserve"> HYPERLINK "http://www.portaldecompraspublicas.com.br" \h </w:instrText>
      </w:r>
      <w:r>
        <w:fldChar w:fldCharType="separate"/>
      </w:r>
      <w:r>
        <w:rPr>
          <w:rFonts w:ascii="Arial" w:hAnsi="Arial" w:eastAsia="Arial" w:cs="Arial"/>
          <w:b/>
          <w:color w:val="0066FF"/>
          <w:sz w:val="24"/>
          <w:szCs w:val="24"/>
          <w:u w:val="single"/>
        </w:rPr>
        <w:t>www.portaldecompraspublicas.com.br</w:t>
      </w:r>
      <w:r>
        <w:rPr>
          <w:rFonts w:ascii="Arial" w:hAnsi="Arial" w:eastAsia="Arial" w:cs="Arial"/>
          <w:b/>
          <w:color w:val="0066FF"/>
          <w:sz w:val="24"/>
          <w:szCs w:val="24"/>
          <w:u w:val="single"/>
        </w:rPr>
        <w:fldChar w:fldCharType="end"/>
      </w:r>
      <w:r>
        <w:rPr>
          <w:rFonts w:ascii="Arial" w:hAnsi="Arial" w:eastAsia="Arial" w:cs="Arial"/>
          <w:color w:val="000000"/>
          <w:sz w:val="24"/>
          <w:szCs w:val="24"/>
        </w:rPr>
        <w:t xml:space="preserve"> até o terceiro dia útil anterior à data prevista para recebimento das propostas.</w:t>
      </w:r>
    </w:p>
    <w:p w14:paraId="3C7BEB9A">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O licitante responsabiliza-se exclusiva e formalmente pelas transações efetuadas em seu nome, assume como firmes e verdadeiras suas propostas e seus lances, inclusive os atos praticados diretamente ou por seu representante, excluída a responsabilidade do provedor do sistema ou do órgão ou entidade promotora da licitação por eventuais danos decorrentes de uso indevido das credenciais de acesso, ainda que por terceiros.</w:t>
      </w:r>
    </w:p>
    <w:p w14:paraId="790A3CE5">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É de responsabilidade do cadastrado conferir a exatidão dos seus dados cadastrais nos Sistemas relacionados no item anterior e mantê-los atualizados junto aos órgãos responsáveis pela informação, devendo proceder, imediatamente, à correção ou à alteração dos registros tão logo identifique incorreção ou aqueles se tornem desatualizados.</w:t>
      </w:r>
    </w:p>
    <w:p w14:paraId="18CF281C">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bookmarkStart w:id="4" w:name="_heading=h.2et92p0" w:colFirst="0" w:colLast="0"/>
      <w:bookmarkEnd w:id="4"/>
      <w:r>
        <w:rPr>
          <w:rFonts w:ascii="Arial" w:hAnsi="Arial" w:eastAsia="Arial" w:cs="Arial"/>
          <w:color w:val="000000"/>
          <w:sz w:val="24"/>
          <w:szCs w:val="24"/>
        </w:rPr>
        <w:t>A não observância do disposto no item anterior poderá ensejar desclassificação no momento da habilitação.</w:t>
      </w:r>
    </w:p>
    <w:p w14:paraId="5E428B05">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Será concedido tratamento favorecido para as microempresas e empresas de pequeno porte, nos limites previstos da Lei Complementar nº 123, de 2006 e do Decreto n.º 8.538, de 2015.</w:t>
      </w:r>
    </w:p>
    <w:p w14:paraId="39DC1848">
      <w:pPr>
        <w:pBdr>
          <w:top w:val="none" w:color="auto" w:sz="0" w:space="0"/>
          <w:left w:val="none" w:color="auto" w:sz="0" w:space="0"/>
          <w:bottom w:val="none" w:color="auto" w:sz="0" w:space="0"/>
          <w:right w:val="none" w:color="auto" w:sz="0" w:space="0"/>
          <w:between w:val="none" w:color="auto" w:sz="0" w:space="0"/>
        </w:pBdr>
        <w:spacing w:after="0"/>
        <w:ind w:left="1080"/>
        <w:jc w:val="both"/>
        <w:rPr>
          <w:rFonts w:ascii="Arial" w:hAnsi="Arial" w:eastAsia="Arial" w:cs="Arial"/>
          <w:color w:val="000000"/>
          <w:sz w:val="24"/>
          <w:szCs w:val="24"/>
        </w:rPr>
      </w:pPr>
    </w:p>
    <w:p w14:paraId="4B9C5759">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b/>
          <w:sz w:val="24"/>
          <w:szCs w:val="24"/>
        </w:rPr>
      </w:pPr>
      <w:r>
        <w:rPr>
          <w:rFonts w:ascii="Arial" w:hAnsi="Arial" w:eastAsia="Arial" w:cs="Arial"/>
          <w:b/>
          <w:color w:val="000000"/>
          <w:sz w:val="24"/>
          <w:szCs w:val="24"/>
        </w:rPr>
        <w:t>Não poderão disputar esta licitação:</w:t>
      </w:r>
    </w:p>
    <w:p w14:paraId="47CFDF54">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bookmarkStart w:id="5" w:name="_heading=h.tyjcwt" w:colFirst="0" w:colLast="0"/>
      <w:bookmarkEnd w:id="5"/>
      <w:r>
        <w:rPr>
          <w:rFonts w:ascii="Arial" w:hAnsi="Arial" w:eastAsia="Arial" w:cs="Arial"/>
          <w:color w:val="000000"/>
          <w:sz w:val="24"/>
          <w:szCs w:val="24"/>
        </w:rPr>
        <w:t>Aquele que não atenda às condições deste Edital e seu(s) anexo(s);</w:t>
      </w:r>
    </w:p>
    <w:p w14:paraId="0CB765DF">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bookmarkStart w:id="6" w:name="_heading=h.3dy6vkm" w:colFirst="0" w:colLast="0"/>
      <w:bookmarkEnd w:id="6"/>
      <w:r>
        <w:rPr>
          <w:rFonts w:ascii="Arial" w:hAnsi="Arial" w:eastAsia="Arial" w:cs="Arial"/>
          <w:color w:val="000000"/>
          <w:sz w:val="24"/>
          <w:szCs w:val="24"/>
        </w:rPr>
        <w:t>Autor do anteprojeto, do projeto básico ou do projeto executivo, pessoa física ou jurídica, quando a licitação versar sobre serviços ou fornecimento de bens a ele relacionados;</w:t>
      </w:r>
    </w:p>
    <w:p w14:paraId="72CBD302">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bookmarkStart w:id="7" w:name="_heading=h.1t3h5sf" w:colFirst="0" w:colLast="0"/>
      <w:bookmarkEnd w:id="7"/>
      <w:r>
        <w:rPr>
          <w:rFonts w:ascii="Arial" w:hAnsi="Arial" w:eastAsia="Arial" w:cs="Arial"/>
          <w:color w:val="000000"/>
          <w:sz w:val="24"/>
          <w:szCs w:val="24"/>
        </w:rPr>
        <w:t>Empresa, isoladamente ou em consórcio, responsável pela elaboração do projeto básico ou do projeto executivo, ou empresa da qual o autor do projeto seja dirigente, gerente, controlador, acionista ou detentor de mais de 5% (cinco por cento) do capital com direito a voto, responsável técnico ou subcontratado, quando a licitação versar sobre serviços ou fornecimento de bens a ela necessários;</w:t>
      </w:r>
    </w:p>
    <w:p w14:paraId="106ADA02">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Pessoa física ou jurídica que se encontre, ao tempo da licitação, impossibilitada de participar da licitação em decorrência de sanção que lhe foi imposta;</w:t>
      </w:r>
    </w:p>
    <w:p w14:paraId="6E3A2FF4">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bookmarkStart w:id="8" w:name="_heading=h.4d34og8" w:colFirst="0" w:colLast="0"/>
      <w:bookmarkEnd w:id="8"/>
      <w:r>
        <w:rPr>
          <w:rFonts w:ascii="Arial" w:hAnsi="Arial" w:eastAsia="Arial" w:cs="Arial"/>
          <w:color w:val="000000"/>
          <w:sz w:val="24"/>
          <w:szCs w:val="24"/>
        </w:rPr>
        <w:t>Aquele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14:paraId="494E8A71">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Empresas controladoras, controladas ou coligadas, nos termos da Lei nº 6.404, de 15 de dezembro de 1976, concorrendo entre si;</w:t>
      </w:r>
    </w:p>
    <w:p w14:paraId="6521F2FB">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bookmarkStart w:id="9" w:name="_heading=h.2s8eyo1" w:colFirst="0" w:colLast="0"/>
      <w:bookmarkEnd w:id="9"/>
      <w:r>
        <w:rPr>
          <w:rFonts w:ascii="Arial" w:hAnsi="Arial" w:eastAsia="Arial" w:cs="Arial"/>
          <w:color w:val="000000"/>
          <w:sz w:val="24"/>
          <w:szCs w:val="24"/>
        </w:rPr>
        <w:t>Pessoa física ou jurídica que, nos 5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14:paraId="62737088">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Agente público do órgão ou entidade licitante;</w:t>
      </w:r>
    </w:p>
    <w:p w14:paraId="01B0FA16">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Pessoas jurídicas reunidas em consórcio;</w:t>
      </w:r>
    </w:p>
    <w:p w14:paraId="7D76C7F3">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Organizações da Sociedade Civil de Interesse Público - OSCIP, atuando nessa condição;</w:t>
      </w:r>
    </w:p>
    <w:p w14:paraId="50E1AAB1">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 xml:space="preserve">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w:t>
      </w:r>
      <w:r>
        <w:fldChar w:fldCharType="begin"/>
      </w:r>
      <w:r>
        <w:instrText xml:space="preserve"> HYPERLINK "http://www.planalto.gov.br/ccivil_03/_ato2019-2022/2021/lei/L14133.htm" \l "art9%C2%A71" \h </w:instrText>
      </w:r>
      <w:r>
        <w:fldChar w:fldCharType="separate"/>
      </w:r>
      <w:r>
        <w:rPr>
          <w:rFonts w:ascii="Arial" w:hAnsi="Arial" w:eastAsia="Arial" w:cs="Arial"/>
          <w:color w:val="000080"/>
          <w:sz w:val="24"/>
          <w:szCs w:val="24"/>
          <w:u w:val="single"/>
        </w:rPr>
        <w:t>§ 1º do art. 9º da Lei nº 14.133, de 2021</w:t>
      </w:r>
      <w:r>
        <w:rPr>
          <w:rFonts w:ascii="Arial" w:hAnsi="Arial" w:eastAsia="Arial" w:cs="Arial"/>
          <w:color w:val="000080"/>
          <w:sz w:val="24"/>
          <w:szCs w:val="24"/>
          <w:u w:val="single"/>
        </w:rPr>
        <w:fldChar w:fldCharType="end"/>
      </w:r>
      <w:r>
        <w:rPr>
          <w:rFonts w:ascii="Arial" w:hAnsi="Arial" w:eastAsia="Arial" w:cs="Arial"/>
          <w:color w:val="000000"/>
          <w:sz w:val="24"/>
          <w:szCs w:val="24"/>
        </w:rPr>
        <w:t>.</w:t>
      </w:r>
    </w:p>
    <w:p w14:paraId="7C5E2AFA">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O impedimento de que trata o item 3.7.3 será também aplicado ao licitante que atue em substituição a outra pessoa, física ou jurídica, com o intuito de burlar a efetividade da sanção a ela aplicada, inclusive a sua controladora, controlada ou coligada, desde que devidamente comprovado o ilícito ou a utilização fraudulenta da personalidade jurídica do licitante.</w:t>
      </w:r>
      <w:bookmarkStart w:id="10" w:name="bookmark=id.17dp8vu" w:colFirst="0" w:colLast="0"/>
      <w:bookmarkEnd w:id="10"/>
    </w:p>
    <w:p w14:paraId="43A3C17D">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A critério da Administração e exclusivamente a seu serviço, o autor dos projetos e a empresa a que se referem os itens 3.7.1 e 3.7.2 poderão participar no apoio das atividades de planejamento da contratação, de execução da licitação ou de gestão do contrato, desde que sob supervisão exclusiva de agentes públicos do órgão ou entidade.</w:t>
      </w:r>
      <w:bookmarkStart w:id="11" w:name="bookmark=id.3rdcrjn" w:colFirst="0" w:colLast="0"/>
      <w:bookmarkEnd w:id="11"/>
    </w:p>
    <w:p w14:paraId="7C42BE3C">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Equiparam-se aos autores do projeto as empresas integrantes do mesmo grupo econômico.</w:t>
      </w:r>
      <w:bookmarkStart w:id="12" w:name="bookmark=id.26in1rg" w:colFirst="0" w:colLast="0"/>
      <w:bookmarkEnd w:id="12"/>
    </w:p>
    <w:p w14:paraId="2788FE3B">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O disposto nos itens 3.7.1 e 3.7.2 não impede a licitação ou a contratação de serviço que inclua como encargo do contratado a elaboração do projeto básico e do projeto executivo, nas contratações integradas, e do projeto executivo, nos demais regimes de execução.</w:t>
      </w:r>
      <w:bookmarkStart w:id="13" w:name="bookmark=id.lnxbz9" w:colFirst="0" w:colLast="0"/>
      <w:bookmarkEnd w:id="13"/>
    </w:p>
    <w:p w14:paraId="4D8DEFC7">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 xml:space="preserve">Em licitações e contratações realizadas no âmbito de projetos e programas parcialmente financiados por agência oficial de cooperação estrangeira ou por organismo financeiro internacional com recursos do financiamento ou da contrapartida nacional, não poderá participar pessoa física ou jurídica que integre o rol de pessoas sancionadas por essas entidades ou que seja declarada inidônea nos termos da </w:t>
      </w:r>
      <w:r>
        <w:fldChar w:fldCharType="begin"/>
      </w:r>
      <w:r>
        <w:instrText xml:space="preserve"> HYPERLINK "http://www.planalto.gov.br/ccivil_03/_ato2019-2022/2021/lei/L14133.htm" \h </w:instrText>
      </w:r>
      <w:r>
        <w:fldChar w:fldCharType="separate"/>
      </w:r>
      <w:r>
        <w:rPr>
          <w:rFonts w:ascii="Arial" w:hAnsi="Arial" w:eastAsia="Arial" w:cs="Arial"/>
          <w:color w:val="000080"/>
          <w:sz w:val="24"/>
          <w:szCs w:val="24"/>
          <w:u w:val="single"/>
        </w:rPr>
        <w:t>Lei nº 14.133/2021</w:t>
      </w:r>
      <w:r>
        <w:rPr>
          <w:rFonts w:ascii="Arial" w:hAnsi="Arial" w:eastAsia="Arial" w:cs="Arial"/>
          <w:color w:val="000080"/>
          <w:sz w:val="24"/>
          <w:szCs w:val="24"/>
          <w:u w:val="single"/>
        </w:rPr>
        <w:fldChar w:fldCharType="end"/>
      </w:r>
      <w:r>
        <w:rPr>
          <w:rFonts w:ascii="Arial" w:hAnsi="Arial" w:eastAsia="Arial" w:cs="Arial"/>
          <w:color w:val="000000"/>
          <w:sz w:val="24"/>
          <w:szCs w:val="24"/>
        </w:rPr>
        <w:t>.</w:t>
      </w:r>
    </w:p>
    <w:p w14:paraId="59349708">
      <w:pPr>
        <w:numPr>
          <w:ilvl w:val="1"/>
          <w:numId w:val="1"/>
        </w:numPr>
        <w:pBdr>
          <w:top w:val="none" w:color="auto" w:sz="0" w:space="0"/>
          <w:left w:val="none" w:color="auto" w:sz="0" w:space="0"/>
          <w:bottom w:val="none" w:color="auto" w:sz="0" w:space="0"/>
          <w:right w:val="none" w:color="auto" w:sz="0" w:space="0"/>
          <w:between w:val="none" w:color="auto" w:sz="0" w:space="0"/>
        </w:pBdr>
        <w:spacing w:after="120"/>
        <w:jc w:val="both"/>
        <w:rPr>
          <w:rFonts w:ascii="Arial" w:hAnsi="Arial" w:eastAsia="Arial" w:cs="Arial"/>
          <w:sz w:val="24"/>
          <w:szCs w:val="24"/>
        </w:rPr>
      </w:pPr>
      <w:r>
        <w:rPr>
          <w:rFonts w:ascii="Arial" w:hAnsi="Arial" w:eastAsia="Arial" w:cs="Arial"/>
          <w:color w:val="000000"/>
          <w:sz w:val="24"/>
          <w:szCs w:val="24"/>
        </w:rPr>
        <w:t>A vedação de que trata o item 3.7.7 estende-se a terceiro que auxilie a condução da contratação na qualidade de integrante de equipe de apoio, profissional especializado ou funcionário ou representante de empresa que preste assessoria técnica.</w:t>
      </w:r>
    </w:p>
    <w:p w14:paraId="519303C5">
      <w:pPr>
        <w:spacing w:before="120" w:after="120"/>
        <w:ind w:left="360"/>
        <w:jc w:val="both"/>
        <w:rPr>
          <w:rFonts w:ascii="Arial" w:hAnsi="Arial" w:eastAsia="Arial" w:cs="Arial"/>
          <w:color w:val="000000"/>
          <w:sz w:val="24"/>
          <w:szCs w:val="24"/>
        </w:rPr>
      </w:pPr>
    </w:p>
    <w:p w14:paraId="10046BB2">
      <w:pPr>
        <w:keepNext/>
        <w:keepLines/>
        <w:numPr>
          <w:ilvl w:val="0"/>
          <w:numId w:val="1"/>
        </w:numPr>
        <w:pBdr>
          <w:top w:val="none" w:color="auto" w:sz="0" w:space="0"/>
          <w:left w:val="none" w:color="auto" w:sz="0" w:space="0"/>
          <w:bottom w:val="none" w:color="auto" w:sz="0" w:space="0"/>
          <w:right w:val="none" w:color="auto" w:sz="0" w:space="0"/>
          <w:between w:val="none" w:color="auto" w:sz="0" w:space="0"/>
        </w:pBdr>
        <w:tabs>
          <w:tab w:val="left" w:pos="567"/>
        </w:tabs>
        <w:spacing w:before="288" w:after="0" w:line="312" w:lineRule="auto"/>
        <w:jc w:val="both"/>
        <w:rPr>
          <w:rFonts w:ascii="Arial" w:hAnsi="Arial" w:eastAsia="Arial" w:cs="Arial"/>
          <w:b/>
          <w:color w:val="000000"/>
          <w:sz w:val="24"/>
          <w:szCs w:val="24"/>
        </w:rPr>
      </w:pPr>
      <w:bookmarkStart w:id="14" w:name="_heading=h.35nkun2" w:colFirst="0" w:colLast="0"/>
      <w:bookmarkEnd w:id="14"/>
      <w:r>
        <w:rPr>
          <w:rFonts w:ascii="Arial" w:hAnsi="Arial" w:eastAsia="Arial" w:cs="Arial"/>
          <w:b/>
          <w:color w:val="000000"/>
          <w:sz w:val="24"/>
          <w:szCs w:val="24"/>
        </w:rPr>
        <w:t>DA APRESENTAÇÃO DA PROPOSTA E DOS DOCUMENTOS DE HABILITAÇÃO</w:t>
      </w:r>
    </w:p>
    <w:p w14:paraId="14A437F3">
      <w:pPr>
        <w:keepNext/>
        <w:keepLines/>
        <w:pBdr>
          <w:top w:val="none" w:color="auto" w:sz="0" w:space="0"/>
          <w:left w:val="none" w:color="auto" w:sz="0" w:space="0"/>
          <w:bottom w:val="none" w:color="auto" w:sz="0" w:space="0"/>
          <w:right w:val="none" w:color="auto" w:sz="0" w:space="0"/>
          <w:between w:val="none" w:color="auto" w:sz="0" w:space="0"/>
        </w:pBdr>
        <w:tabs>
          <w:tab w:val="left" w:pos="567"/>
        </w:tabs>
        <w:spacing w:after="0" w:line="312" w:lineRule="auto"/>
        <w:ind w:left="720"/>
        <w:jc w:val="both"/>
        <w:rPr>
          <w:rFonts w:ascii="Arial" w:hAnsi="Arial" w:eastAsia="Arial" w:cs="Arial"/>
          <w:b/>
          <w:color w:val="000000"/>
          <w:sz w:val="24"/>
          <w:szCs w:val="24"/>
        </w:rPr>
      </w:pPr>
    </w:p>
    <w:p w14:paraId="7B032629">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bookmarkStart w:id="15" w:name="_heading=h.1ksv4uv" w:colFirst="0" w:colLast="0"/>
      <w:bookmarkEnd w:id="15"/>
      <w:r>
        <w:rPr>
          <w:rFonts w:ascii="Arial" w:hAnsi="Arial" w:eastAsia="Arial" w:cs="Arial"/>
          <w:color w:val="000000"/>
          <w:sz w:val="24"/>
          <w:szCs w:val="24"/>
        </w:rPr>
        <w:t>Na presente licitação, a fase de habilitação sucederá as fases de apresentação de propostas e lances e de julgamento.</w:t>
      </w:r>
    </w:p>
    <w:p w14:paraId="42DBFEA3">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bookmarkStart w:id="16" w:name="_heading=h.44sinio" w:colFirst="0" w:colLast="0"/>
      <w:bookmarkEnd w:id="16"/>
      <w:r>
        <w:rPr>
          <w:rFonts w:ascii="Arial" w:hAnsi="Arial" w:eastAsia="Arial" w:cs="Arial"/>
          <w:color w:val="000000"/>
          <w:sz w:val="24"/>
          <w:szCs w:val="24"/>
        </w:rPr>
        <w:t>Os licitantes encaminharão, exclusivamente por meio do sistema eletrônico do Portal de Compras Públicas, a proposta com o preço ou o percentual de desconto, conforme o critério de julgamento adotado neste Edital, até a data e o horário estabelecidos para abertura da sessão pública.</w:t>
      </w:r>
    </w:p>
    <w:p w14:paraId="0CC483EB">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bookmarkStart w:id="17" w:name="_heading=h.2jxsxqh" w:colFirst="0" w:colLast="0"/>
      <w:bookmarkEnd w:id="17"/>
      <w:r>
        <w:rPr>
          <w:rFonts w:ascii="Arial" w:hAnsi="Arial" w:eastAsia="Arial" w:cs="Arial"/>
          <w:color w:val="000000"/>
          <w:sz w:val="24"/>
          <w:szCs w:val="24"/>
        </w:rPr>
        <w:t>Caso a fase de habilitação anteceda as fases de apresentação de propostas e lances, os licitantes encaminharão, na forma e no prazo estabelecidos no item anterior, simultaneamente os documentos de habilitação e a proposta com o preço ou o percentual de desconto, observado o disposto nos itens 8 a 8.13.4 deste Edital.</w:t>
      </w:r>
    </w:p>
    <w:p w14:paraId="6A057389">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No cadastramento da proposta inicial, o licitante declarará, em campo próprio do sistema, que:</w:t>
      </w:r>
    </w:p>
    <w:p w14:paraId="6E2E2C34">
      <w:pPr>
        <w:numPr>
          <w:ilvl w:val="2"/>
          <w:numId w:val="1"/>
        </w:numPr>
        <w:pBdr>
          <w:top w:val="none" w:color="auto" w:sz="0" w:space="0"/>
          <w:left w:val="none" w:color="auto" w:sz="0" w:space="0"/>
          <w:bottom w:val="none" w:color="auto" w:sz="0" w:space="0"/>
          <w:right w:val="none" w:color="auto" w:sz="0" w:space="0"/>
          <w:between w:val="none" w:color="auto" w:sz="0" w:space="0"/>
        </w:pBdr>
        <w:spacing w:after="0" w:line="312" w:lineRule="auto"/>
        <w:ind w:left="1701"/>
        <w:jc w:val="both"/>
        <w:rPr>
          <w:rFonts w:ascii="Arial" w:hAnsi="Arial" w:eastAsia="Arial" w:cs="Arial"/>
          <w:color w:val="000000"/>
          <w:sz w:val="24"/>
          <w:szCs w:val="24"/>
        </w:rPr>
      </w:pPr>
      <w:r>
        <w:rPr>
          <w:rFonts w:ascii="Arial" w:hAnsi="Arial" w:eastAsia="Arial" w:cs="Arial"/>
          <w:color w:val="000000"/>
          <w:sz w:val="24"/>
          <w:szCs w:val="24"/>
        </w:rPr>
        <w:t>Está ciente e concorda com as condições contidas no edital e seus anexos, bem como de que a proposta apresentada compreende a integralidade dos custos para atendimento dos direitos trabalhistas assegurados na Constituição Federal, nas leis trabalhistas, nas normas infralegais, nas convenções coletivas de trabalho e nos termos de ajustamento de conduta vigentes na data de sua entrega em definitivo e que cumpre plenamente os requisitos de habilitação definidos no instrumento convocatório;</w:t>
      </w:r>
    </w:p>
    <w:p w14:paraId="7C62B422">
      <w:pPr>
        <w:numPr>
          <w:ilvl w:val="2"/>
          <w:numId w:val="1"/>
        </w:numPr>
        <w:pBdr>
          <w:top w:val="none" w:color="auto" w:sz="0" w:space="0"/>
          <w:left w:val="none" w:color="auto" w:sz="0" w:space="0"/>
          <w:bottom w:val="none" w:color="auto" w:sz="0" w:space="0"/>
          <w:right w:val="none" w:color="auto" w:sz="0" w:space="0"/>
          <w:between w:val="none" w:color="auto" w:sz="0" w:space="0"/>
        </w:pBdr>
        <w:spacing w:after="0" w:line="312" w:lineRule="auto"/>
        <w:ind w:left="1701"/>
        <w:jc w:val="both"/>
        <w:rPr>
          <w:rFonts w:ascii="Arial" w:hAnsi="Arial" w:eastAsia="Arial" w:cs="Arial"/>
          <w:color w:val="000000"/>
          <w:sz w:val="24"/>
          <w:szCs w:val="24"/>
        </w:rPr>
      </w:pPr>
      <w:r>
        <w:rPr>
          <w:rFonts w:ascii="Arial" w:hAnsi="Arial" w:eastAsia="Arial" w:cs="Arial"/>
          <w:color w:val="000000"/>
          <w:sz w:val="24"/>
          <w:szCs w:val="24"/>
        </w:rPr>
        <w:t xml:space="preserve">Não emprega menor de 18 anos em trabalho noturno, perigoso ou insalubre e não emprega menor de 16 anos, salvo menor, a partir de 14 anos, na condição de aprendiz, nos termos do </w:t>
      </w:r>
      <w:r>
        <w:fldChar w:fldCharType="begin"/>
      </w:r>
      <w:r>
        <w:instrText xml:space="preserve"> HYPERLINK "https://www.planalto.gov.br/ccivil_03/constituicao/constituicaocompilado.htm" \l "art7" \h </w:instrText>
      </w:r>
      <w:r>
        <w:fldChar w:fldCharType="separate"/>
      </w:r>
      <w:r>
        <w:rPr>
          <w:rFonts w:ascii="Arial" w:hAnsi="Arial" w:eastAsia="Arial" w:cs="Arial"/>
          <w:color w:val="000080"/>
          <w:sz w:val="24"/>
          <w:szCs w:val="24"/>
          <w:u w:val="single"/>
        </w:rPr>
        <w:t>artigo 7°, XXXIII, da Constituição</w:t>
      </w:r>
      <w:r>
        <w:rPr>
          <w:rFonts w:ascii="Arial" w:hAnsi="Arial" w:eastAsia="Arial" w:cs="Arial"/>
          <w:color w:val="000080"/>
          <w:sz w:val="24"/>
          <w:szCs w:val="24"/>
          <w:u w:val="single"/>
        </w:rPr>
        <w:fldChar w:fldCharType="end"/>
      </w:r>
      <w:r>
        <w:rPr>
          <w:rFonts w:ascii="Arial" w:hAnsi="Arial" w:eastAsia="Arial" w:cs="Arial"/>
          <w:color w:val="000000"/>
          <w:sz w:val="24"/>
          <w:szCs w:val="24"/>
        </w:rPr>
        <w:t>;</w:t>
      </w:r>
    </w:p>
    <w:p w14:paraId="71A57642">
      <w:pPr>
        <w:numPr>
          <w:ilvl w:val="2"/>
          <w:numId w:val="1"/>
        </w:numPr>
        <w:pBdr>
          <w:top w:val="none" w:color="auto" w:sz="0" w:space="0"/>
          <w:left w:val="none" w:color="auto" w:sz="0" w:space="0"/>
          <w:bottom w:val="none" w:color="auto" w:sz="0" w:space="0"/>
          <w:right w:val="none" w:color="auto" w:sz="0" w:space="0"/>
          <w:between w:val="none" w:color="auto" w:sz="0" w:space="0"/>
        </w:pBdr>
        <w:spacing w:after="0" w:line="312" w:lineRule="auto"/>
        <w:ind w:left="1701"/>
        <w:jc w:val="both"/>
        <w:rPr>
          <w:rFonts w:ascii="Arial" w:hAnsi="Arial" w:eastAsia="Arial" w:cs="Arial"/>
          <w:color w:val="000000"/>
          <w:sz w:val="24"/>
          <w:szCs w:val="24"/>
        </w:rPr>
      </w:pPr>
      <w:r>
        <w:rPr>
          <w:rFonts w:ascii="Arial" w:hAnsi="Arial" w:eastAsia="Arial" w:cs="Arial"/>
          <w:color w:val="000000"/>
          <w:sz w:val="24"/>
          <w:szCs w:val="24"/>
        </w:rPr>
        <w:t xml:space="preserve">Não possui empregados executando trabalho degradante ou forçado, observando o disposto nos </w:t>
      </w:r>
      <w:r>
        <w:fldChar w:fldCharType="begin"/>
      </w:r>
      <w:r>
        <w:instrText xml:space="preserve"> HYPERLINK "https://www.planalto.gov.br/ccivil_03/constituicao/constituicaocompilado.htm" \h </w:instrText>
      </w:r>
      <w:r>
        <w:fldChar w:fldCharType="separate"/>
      </w:r>
      <w:r>
        <w:rPr>
          <w:rFonts w:ascii="Arial" w:hAnsi="Arial" w:eastAsia="Arial" w:cs="Arial"/>
          <w:color w:val="000080"/>
          <w:sz w:val="24"/>
          <w:szCs w:val="24"/>
          <w:u w:val="single"/>
        </w:rPr>
        <w:t>incisos III e IV do art. 1º e no inciso III do art. 5º da Constituição Federal</w:t>
      </w:r>
      <w:r>
        <w:rPr>
          <w:rFonts w:ascii="Arial" w:hAnsi="Arial" w:eastAsia="Arial" w:cs="Arial"/>
          <w:color w:val="000080"/>
          <w:sz w:val="24"/>
          <w:szCs w:val="24"/>
          <w:u w:val="single"/>
        </w:rPr>
        <w:fldChar w:fldCharType="end"/>
      </w:r>
      <w:r>
        <w:rPr>
          <w:rFonts w:ascii="Arial" w:hAnsi="Arial" w:eastAsia="Arial" w:cs="Arial"/>
          <w:color w:val="000000"/>
          <w:sz w:val="24"/>
          <w:szCs w:val="24"/>
        </w:rPr>
        <w:t>;</w:t>
      </w:r>
    </w:p>
    <w:p w14:paraId="73B6B031">
      <w:pPr>
        <w:numPr>
          <w:ilvl w:val="2"/>
          <w:numId w:val="1"/>
        </w:numPr>
        <w:pBdr>
          <w:top w:val="none" w:color="auto" w:sz="0" w:space="0"/>
          <w:left w:val="none" w:color="auto" w:sz="0" w:space="0"/>
          <w:bottom w:val="none" w:color="auto" w:sz="0" w:space="0"/>
          <w:right w:val="none" w:color="auto" w:sz="0" w:space="0"/>
          <w:between w:val="none" w:color="auto" w:sz="0" w:space="0"/>
        </w:pBdr>
        <w:spacing w:after="0" w:line="312" w:lineRule="auto"/>
        <w:ind w:left="1701"/>
        <w:jc w:val="both"/>
        <w:rPr>
          <w:rFonts w:ascii="Arial" w:hAnsi="Arial" w:eastAsia="Arial" w:cs="Arial"/>
          <w:color w:val="000000"/>
          <w:sz w:val="24"/>
          <w:szCs w:val="24"/>
        </w:rPr>
      </w:pPr>
      <w:r>
        <w:rPr>
          <w:rFonts w:ascii="Arial" w:hAnsi="Arial" w:eastAsia="Arial" w:cs="Arial"/>
          <w:color w:val="000000"/>
          <w:sz w:val="24"/>
          <w:szCs w:val="24"/>
        </w:rPr>
        <w:t>Cumpre as exigências de reserva de cargos para pessoa com deficiência e para reabilitado da Previdência Social, previstas em lei e em outras normas específicas.</w:t>
      </w:r>
    </w:p>
    <w:p w14:paraId="42924F7F">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bookmarkStart w:id="18" w:name="_heading=h.z337ya" w:colFirst="0" w:colLast="0"/>
      <w:bookmarkEnd w:id="18"/>
      <w:r>
        <w:rPr>
          <w:rFonts w:ascii="Arial" w:hAnsi="Arial" w:eastAsia="Arial" w:cs="Arial"/>
          <w:color w:val="000000"/>
          <w:sz w:val="24"/>
          <w:szCs w:val="24"/>
        </w:rPr>
        <w:t xml:space="preserve">O licitante organizado em cooperativa deverá declarar, ainda, em campo próprio do sistema eletrônico, que cumpre os requisitos estabelecidos no </w:t>
      </w:r>
      <w:r>
        <w:fldChar w:fldCharType="begin"/>
      </w:r>
      <w:r>
        <w:instrText xml:space="preserve"> HYPERLINK "http://www.planalto.gov.br/ccivil_03/_ato2019-2022/2021/lei/L14133.htm" \l "art16" \h </w:instrText>
      </w:r>
      <w:r>
        <w:fldChar w:fldCharType="separate"/>
      </w:r>
      <w:r>
        <w:rPr>
          <w:rFonts w:ascii="Arial" w:hAnsi="Arial" w:eastAsia="Arial" w:cs="Arial"/>
          <w:color w:val="000080"/>
          <w:sz w:val="24"/>
          <w:szCs w:val="24"/>
          <w:u w:val="single"/>
        </w:rPr>
        <w:t>artigo 16 da Lei nº 14.133, de 2021</w:t>
      </w:r>
      <w:r>
        <w:rPr>
          <w:rFonts w:ascii="Arial" w:hAnsi="Arial" w:eastAsia="Arial" w:cs="Arial"/>
          <w:color w:val="000080"/>
          <w:sz w:val="24"/>
          <w:szCs w:val="24"/>
          <w:u w:val="single"/>
        </w:rPr>
        <w:fldChar w:fldCharType="end"/>
      </w:r>
      <w:r>
        <w:rPr>
          <w:rFonts w:ascii="Arial" w:hAnsi="Arial" w:eastAsia="Arial" w:cs="Arial"/>
          <w:color w:val="000000"/>
          <w:sz w:val="24"/>
          <w:szCs w:val="24"/>
        </w:rPr>
        <w:t>.</w:t>
      </w:r>
    </w:p>
    <w:p w14:paraId="0200932E">
      <w:pPr>
        <w:numPr>
          <w:ilvl w:val="1"/>
          <w:numId w:val="1"/>
        </w:numPr>
        <w:pBdr>
          <w:top w:val="none" w:color="auto" w:sz="0" w:space="0"/>
          <w:left w:val="none" w:color="auto" w:sz="0" w:space="0"/>
          <w:bottom w:val="none" w:color="auto" w:sz="0" w:space="0"/>
          <w:right w:val="none" w:color="auto" w:sz="0" w:space="0"/>
          <w:between w:val="none" w:color="auto" w:sz="0" w:space="0"/>
        </w:pBdr>
        <w:spacing w:after="120"/>
        <w:jc w:val="both"/>
        <w:rPr>
          <w:rFonts w:ascii="Arial" w:hAnsi="Arial" w:eastAsia="Arial" w:cs="Arial"/>
          <w:sz w:val="24"/>
          <w:szCs w:val="24"/>
        </w:rPr>
      </w:pPr>
      <w:r>
        <w:rPr>
          <w:rFonts w:ascii="Arial" w:hAnsi="Arial" w:eastAsia="Arial" w:cs="Arial"/>
          <w:color w:val="000000"/>
          <w:sz w:val="24"/>
          <w:szCs w:val="24"/>
        </w:rPr>
        <w:t xml:space="preserve">O fornecedor enquadrado como microempresa, empresa de pequeno porte ou sociedade cooperativa deverá declarar, ainda, em campo próprio do sistema eletrônico, que cumpre os requisitos estabelecidos no </w:t>
      </w:r>
      <w:r>
        <w:fldChar w:fldCharType="begin"/>
      </w:r>
      <w:r>
        <w:instrText xml:space="preserve"> HYPERLINK "https://www.planalto.gov.br/ccivil_03/leis/lcp/lcp123.htm" \l "art3" \h </w:instrText>
      </w:r>
      <w:r>
        <w:fldChar w:fldCharType="separate"/>
      </w:r>
      <w:r>
        <w:rPr>
          <w:rFonts w:ascii="Arial" w:hAnsi="Arial" w:eastAsia="Arial" w:cs="Arial"/>
          <w:color w:val="000080"/>
          <w:sz w:val="24"/>
          <w:szCs w:val="24"/>
          <w:u w:val="single"/>
        </w:rPr>
        <w:t>artigo 3° da Lei Complementar nº 123, de 2006</w:t>
      </w:r>
      <w:r>
        <w:rPr>
          <w:rFonts w:ascii="Arial" w:hAnsi="Arial" w:eastAsia="Arial" w:cs="Arial"/>
          <w:color w:val="000080"/>
          <w:sz w:val="24"/>
          <w:szCs w:val="24"/>
          <w:u w:val="single"/>
        </w:rPr>
        <w:fldChar w:fldCharType="end"/>
      </w:r>
      <w:r>
        <w:rPr>
          <w:rFonts w:ascii="Arial" w:hAnsi="Arial" w:eastAsia="Arial" w:cs="Arial"/>
          <w:color w:val="000000"/>
          <w:sz w:val="24"/>
          <w:szCs w:val="24"/>
        </w:rPr>
        <w:t xml:space="preserve">, estando apto a usufruir do tratamento favorecido estabelecido em seus </w:t>
      </w:r>
      <w:r>
        <w:fldChar w:fldCharType="begin"/>
      </w:r>
      <w:r>
        <w:instrText xml:space="preserve"> HYPERLINK "https://www.planalto.gov.br/ccivil_03/leis/lcp/lcp123.htm" \l "art42" \h </w:instrText>
      </w:r>
      <w:r>
        <w:fldChar w:fldCharType="separate"/>
      </w:r>
      <w:r>
        <w:rPr>
          <w:rFonts w:ascii="Arial" w:hAnsi="Arial" w:eastAsia="Arial" w:cs="Arial"/>
          <w:color w:val="000080"/>
          <w:sz w:val="24"/>
          <w:szCs w:val="24"/>
          <w:u w:val="single"/>
        </w:rPr>
        <w:t>arts. 42 a 49</w:t>
      </w:r>
      <w:r>
        <w:rPr>
          <w:rFonts w:ascii="Arial" w:hAnsi="Arial" w:eastAsia="Arial" w:cs="Arial"/>
          <w:color w:val="000080"/>
          <w:sz w:val="24"/>
          <w:szCs w:val="24"/>
          <w:u w:val="single"/>
        </w:rPr>
        <w:fldChar w:fldCharType="end"/>
      </w:r>
      <w:r>
        <w:rPr>
          <w:rFonts w:ascii="Arial" w:hAnsi="Arial" w:eastAsia="Arial" w:cs="Arial"/>
          <w:color w:val="000000"/>
          <w:sz w:val="24"/>
          <w:szCs w:val="24"/>
        </w:rPr>
        <w:t xml:space="preserve">, observado o disposto nos </w:t>
      </w:r>
      <w:r>
        <w:fldChar w:fldCharType="begin"/>
      </w:r>
      <w:r>
        <w:instrText xml:space="preserve"> HYPERLINK "http://www.planalto.gov.br/ccivil_03/_ato2019-2022/2021/lei/L14133.htm" \l "art4%C2%A71" \h </w:instrText>
      </w:r>
      <w:r>
        <w:fldChar w:fldCharType="separate"/>
      </w:r>
      <w:r>
        <w:rPr>
          <w:rFonts w:ascii="Arial" w:hAnsi="Arial" w:eastAsia="Arial" w:cs="Arial"/>
          <w:color w:val="000080"/>
          <w:sz w:val="24"/>
          <w:szCs w:val="24"/>
          <w:u w:val="single"/>
        </w:rPr>
        <w:t>§§ 1º ao 3º do art. 4º, da Lei n.º 14.133, de 2021.</w:t>
      </w:r>
      <w:r>
        <w:rPr>
          <w:rFonts w:ascii="Arial" w:hAnsi="Arial" w:eastAsia="Arial" w:cs="Arial"/>
          <w:color w:val="000080"/>
          <w:sz w:val="24"/>
          <w:szCs w:val="24"/>
          <w:u w:val="single"/>
        </w:rPr>
        <w:fldChar w:fldCharType="end"/>
      </w:r>
    </w:p>
    <w:p w14:paraId="6B1B0F98">
      <w:pPr>
        <w:numPr>
          <w:ilvl w:val="2"/>
          <w:numId w:val="1"/>
        </w:numPr>
        <w:pBdr>
          <w:top w:val="none" w:color="auto" w:sz="0" w:space="0"/>
          <w:left w:val="none" w:color="auto" w:sz="0" w:space="0"/>
          <w:bottom w:val="none" w:color="auto" w:sz="0" w:space="0"/>
          <w:right w:val="none" w:color="auto" w:sz="0" w:space="0"/>
          <w:between w:val="none" w:color="auto" w:sz="0" w:space="0"/>
        </w:pBdr>
        <w:spacing w:before="120" w:after="120"/>
        <w:ind w:left="1701"/>
        <w:jc w:val="both"/>
        <w:rPr>
          <w:rFonts w:ascii="Arial" w:hAnsi="Arial" w:eastAsia="Arial" w:cs="Arial"/>
          <w:color w:val="000000"/>
          <w:sz w:val="24"/>
          <w:szCs w:val="24"/>
        </w:rPr>
      </w:pPr>
      <w:r>
        <w:rPr>
          <w:rFonts w:ascii="Arial" w:hAnsi="Arial" w:eastAsia="Arial" w:cs="Arial"/>
          <w:color w:val="000000"/>
          <w:sz w:val="24"/>
          <w:szCs w:val="24"/>
        </w:rPr>
        <w:t>No item exclusivo para participação de microempresas e empresas de pequeno porte, a assinalação do campo “não” impedirá o prosseguimento no certame, para aquele item;</w:t>
      </w:r>
    </w:p>
    <w:p w14:paraId="083229CB">
      <w:pPr>
        <w:numPr>
          <w:ilvl w:val="2"/>
          <w:numId w:val="1"/>
        </w:numPr>
        <w:pBdr>
          <w:top w:val="none" w:color="auto" w:sz="0" w:space="0"/>
          <w:left w:val="none" w:color="auto" w:sz="0" w:space="0"/>
          <w:bottom w:val="none" w:color="auto" w:sz="0" w:space="0"/>
          <w:right w:val="none" w:color="auto" w:sz="0" w:space="0"/>
          <w:between w:val="none" w:color="auto" w:sz="0" w:space="0"/>
        </w:pBdr>
        <w:spacing w:before="120" w:after="120"/>
        <w:ind w:left="1701"/>
        <w:jc w:val="both"/>
        <w:rPr>
          <w:rFonts w:ascii="Arial" w:hAnsi="Arial" w:eastAsia="Arial" w:cs="Arial"/>
          <w:color w:val="000000"/>
          <w:sz w:val="24"/>
          <w:szCs w:val="24"/>
        </w:rPr>
      </w:pPr>
      <w:r>
        <w:rPr>
          <w:rFonts w:ascii="Arial" w:hAnsi="Arial" w:eastAsia="Arial" w:cs="Arial"/>
          <w:color w:val="000000"/>
          <w:sz w:val="24"/>
          <w:szCs w:val="24"/>
        </w:rPr>
        <w:t xml:space="preserve">Nos itens em que a participação não for exclusiva para microempresas e empresas de pequeno porte, a assinalação do campo “não” apenas produzirá o efeito de o licitante não ter direito ao tratamento favorecido previsto na </w:t>
      </w:r>
      <w:r>
        <w:fldChar w:fldCharType="begin"/>
      </w:r>
      <w:r>
        <w:instrText xml:space="preserve"> HYPERLINK "https://www.planalto.gov.br/ccivil_03/leis/lcp/lcp123.htm" \h </w:instrText>
      </w:r>
      <w:r>
        <w:fldChar w:fldCharType="separate"/>
      </w:r>
      <w:r>
        <w:rPr>
          <w:rFonts w:ascii="Arial" w:hAnsi="Arial" w:eastAsia="Arial" w:cs="Arial"/>
          <w:color w:val="000000"/>
          <w:sz w:val="24"/>
          <w:szCs w:val="24"/>
          <w:u w:val="single"/>
        </w:rPr>
        <w:t>Lei Complementar nº 123, de 2006</w:t>
      </w:r>
      <w:r>
        <w:rPr>
          <w:rFonts w:ascii="Arial" w:hAnsi="Arial" w:eastAsia="Arial" w:cs="Arial"/>
          <w:color w:val="000000"/>
          <w:sz w:val="24"/>
          <w:szCs w:val="24"/>
          <w:u w:val="single"/>
        </w:rPr>
        <w:fldChar w:fldCharType="end"/>
      </w:r>
      <w:r>
        <w:rPr>
          <w:rFonts w:ascii="Arial" w:hAnsi="Arial" w:eastAsia="Arial" w:cs="Arial"/>
          <w:color w:val="000000"/>
          <w:sz w:val="24"/>
          <w:szCs w:val="24"/>
        </w:rPr>
        <w:t>, mesmo que microempresa, empresa de pequeno porte ou sociedade cooperativa.</w:t>
      </w:r>
    </w:p>
    <w:p w14:paraId="077A06A0">
      <w:pPr>
        <w:spacing w:before="120" w:after="120"/>
        <w:jc w:val="both"/>
        <w:rPr>
          <w:rFonts w:ascii="Arial" w:hAnsi="Arial" w:eastAsia="Arial" w:cs="Arial"/>
          <w:color w:val="000000"/>
          <w:sz w:val="24"/>
          <w:szCs w:val="24"/>
        </w:rPr>
      </w:pPr>
    </w:p>
    <w:p w14:paraId="6F5CCC3D">
      <w:pPr>
        <w:numPr>
          <w:ilvl w:val="1"/>
          <w:numId w:val="1"/>
        </w:numPr>
        <w:pBdr>
          <w:top w:val="none" w:color="auto" w:sz="0" w:space="0"/>
          <w:left w:val="none" w:color="auto" w:sz="0" w:space="0"/>
          <w:bottom w:val="none" w:color="auto" w:sz="0" w:space="0"/>
          <w:right w:val="none" w:color="auto" w:sz="0" w:space="0"/>
          <w:between w:val="none" w:color="auto" w:sz="0" w:space="0"/>
        </w:pBdr>
        <w:spacing w:before="120" w:after="0"/>
        <w:jc w:val="both"/>
        <w:rPr>
          <w:rFonts w:ascii="Arial" w:hAnsi="Arial" w:eastAsia="Arial" w:cs="Arial"/>
          <w:sz w:val="24"/>
          <w:szCs w:val="24"/>
        </w:rPr>
      </w:pPr>
      <w:r>
        <w:rPr>
          <w:rFonts w:ascii="Arial" w:hAnsi="Arial" w:eastAsia="Arial" w:cs="Arial"/>
          <w:color w:val="000000"/>
          <w:sz w:val="24"/>
          <w:szCs w:val="24"/>
        </w:rPr>
        <w:t xml:space="preserve">A falsidade da declaração de que trata os itens 4.4 ou 4.6 sujeitará o licitante às sanções previstas na </w:t>
      </w:r>
      <w:r>
        <w:fldChar w:fldCharType="begin"/>
      </w:r>
      <w:r>
        <w:instrText xml:space="preserve"> HYPERLINK "http://www.planalto.gov.br/ccivil_03/_ato2019-2022/2021/lei/L14133.htm" \h </w:instrText>
      </w:r>
      <w:r>
        <w:fldChar w:fldCharType="separate"/>
      </w:r>
      <w:r>
        <w:rPr>
          <w:rFonts w:ascii="Arial" w:hAnsi="Arial" w:eastAsia="Arial" w:cs="Arial"/>
          <w:color w:val="000080"/>
          <w:sz w:val="24"/>
          <w:szCs w:val="24"/>
          <w:u w:val="single"/>
        </w:rPr>
        <w:t>Lei nº 14.133, de 2021</w:t>
      </w:r>
      <w:r>
        <w:rPr>
          <w:rFonts w:ascii="Arial" w:hAnsi="Arial" w:eastAsia="Arial" w:cs="Arial"/>
          <w:color w:val="000080"/>
          <w:sz w:val="24"/>
          <w:szCs w:val="24"/>
          <w:u w:val="single"/>
        </w:rPr>
        <w:fldChar w:fldCharType="end"/>
      </w:r>
      <w:r>
        <w:rPr>
          <w:rFonts w:ascii="Arial" w:hAnsi="Arial" w:eastAsia="Arial" w:cs="Arial"/>
          <w:color w:val="000000"/>
          <w:sz w:val="24"/>
          <w:szCs w:val="24"/>
        </w:rPr>
        <w:t>, e neste Edital.</w:t>
      </w:r>
    </w:p>
    <w:p w14:paraId="56142F21">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Os licitantes poderão retirar ou substituir a proposta ou, na hipótese de a fase de habilitação anteceder as fases de apresentação de propostas e lances e de julgamento, os documentos de habilitação anteriormente inseridos no sistema, até a abertura da sessão pública.</w:t>
      </w:r>
    </w:p>
    <w:p w14:paraId="5F60DF46">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Não haverá ordem de classificação na etapa de apresentação da proposta e dos documentos de habilitação pelo licitante, o que ocorrerá somente após os procedimentos de abertura da sessão pública e da fase de envio de lances.</w:t>
      </w:r>
    </w:p>
    <w:p w14:paraId="22627BEA">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bookmarkStart w:id="19" w:name="_heading=h.3j2qqm3" w:colFirst="0" w:colLast="0"/>
      <w:bookmarkEnd w:id="19"/>
      <w:r>
        <w:rPr>
          <w:rFonts w:ascii="Arial" w:hAnsi="Arial" w:eastAsia="Arial" w:cs="Arial"/>
          <w:color w:val="000000"/>
          <w:sz w:val="24"/>
          <w:szCs w:val="24"/>
        </w:rPr>
        <w:t>Serão disponibilizados para acesso público os documentos que compõem a proposta dos licitantes convocados para apresentação de propostas, após a fase de envio de lances.</w:t>
      </w:r>
    </w:p>
    <w:p w14:paraId="373880AC">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Desde que disponibilizada a funcionalidade no sistema, o licitante poderá parametrizar o seu valor final mínimo ou o seu percentual de desconto máximo quando do cadastramento da proposta e obedecerá às seguintes regras:</w:t>
      </w:r>
    </w:p>
    <w:p w14:paraId="0DAD16F6">
      <w:pPr>
        <w:numPr>
          <w:ilvl w:val="2"/>
          <w:numId w:val="1"/>
        </w:numPr>
        <w:pBdr>
          <w:top w:val="none" w:color="auto" w:sz="0" w:space="0"/>
          <w:left w:val="none" w:color="auto" w:sz="0" w:space="0"/>
          <w:bottom w:val="none" w:color="auto" w:sz="0" w:space="0"/>
          <w:right w:val="none" w:color="auto" w:sz="0" w:space="0"/>
          <w:between w:val="none" w:color="auto" w:sz="0" w:space="0"/>
        </w:pBdr>
        <w:spacing w:after="120"/>
        <w:ind w:left="1701"/>
        <w:jc w:val="both"/>
        <w:rPr>
          <w:rFonts w:ascii="Arial" w:hAnsi="Arial" w:eastAsia="Arial" w:cs="Arial"/>
          <w:color w:val="000000"/>
          <w:sz w:val="24"/>
          <w:szCs w:val="24"/>
        </w:rPr>
      </w:pPr>
      <w:r>
        <w:rPr>
          <w:rFonts w:ascii="Arial" w:hAnsi="Arial" w:eastAsia="Arial" w:cs="Arial"/>
          <w:color w:val="000000"/>
          <w:sz w:val="24"/>
          <w:szCs w:val="24"/>
        </w:rPr>
        <w:t>A aplicação do intervalo mínimo de diferença de valores ou de percentuais entre os lances, que incidirá tanto em relação aos lances intermediários quanto em relação ao lance que cobrir a melhor oferta; e</w:t>
      </w:r>
    </w:p>
    <w:p w14:paraId="445691FD">
      <w:pPr>
        <w:numPr>
          <w:ilvl w:val="2"/>
          <w:numId w:val="1"/>
        </w:numPr>
        <w:pBdr>
          <w:top w:val="none" w:color="auto" w:sz="0" w:space="0"/>
          <w:left w:val="none" w:color="auto" w:sz="0" w:space="0"/>
          <w:bottom w:val="none" w:color="auto" w:sz="0" w:space="0"/>
          <w:right w:val="none" w:color="auto" w:sz="0" w:space="0"/>
          <w:between w:val="none" w:color="auto" w:sz="0" w:space="0"/>
        </w:pBdr>
        <w:spacing w:before="120" w:after="120"/>
        <w:ind w:left="1701"/>
        <w:jc w:val="both"/>
        <w:rPr>
          <w:rFonts w:ascii="Arial" w:hAnsi="Arial" w:eastAsia="Arial" w:cs="Arial"/>
          <w:color w:val="000000"/>
          <w:sz w:val="24"/>
          <w:szCs w:val="24"/>
        </w:rPr>
      </w:pPr>
      <w:r>
        <w:rPr>
          <w:rFonts w:ascii="Arial" w:hAnsi="Arial" w:eastAsia="Arial" w:cs="Arial"/>
          <w:color w:val="000000"/>
          <w:sz w:val="24"/>
          <w:szCs w:val="24"/>
        </w:rPr>
        <w:t>Os lances serão de envio automático pelo sistema, respeitado o valor final mínimo, caso estabelecido, e o intervalo de que trata o subitem acima.</w:t>
      </w:r>
    </w:p>
    <w:p w14:paraId="482B80B5">
      <w:pPr>
        <w:numPr>
          <w:ilvl w:val="1"/>
          <w:numId w:val="1"/>
        </w:numPr>
        <w:pBdr>
          <w:top w:val="none" w:color="auto" w:sz="0" w:space="0"/>
          <w:left w:val="none" w:color="auto" w:sz="0" w:space="0"/>
          <w:bottom w:val="none" w:color="auto" w:sz="0" w:space="0"/>
          <w:right w:val="none" w:color="auto" w:sz="0" w:space="0"/>
          <w:between w:val="none" w:color="auto" w:sz="0" w:space="0"/>
        </w:pBdr>
        <w:spacing w:before="120" w:after="0"/>
        <w:jc w:val="both"/>
        <w:rPr>
          <w:rFonts w:ascii="Arial" w:hAnsi="Arial" w:eastAsia="Arial" w:cs="Arial"/>
          <w:sz w:val="24"/>
          <w:szCs w:val="24"/>
        </w:rPr>
      </w:pPr>
      <w:r>
        <w:rPr>
          <w:rFonts w:ascii="Arial" w:hAnsi="Arial" w:eastAsia="Arial" w:cs="Arial"/>
          <w:color w:val="000000"/>
          <w:sz w:val="24"/>
          <w:szCs w:val="24"/>
        </w:rPr>
        <w:t>O valor final mínimo ou o percentual de desconto final máximo parametrizado no sistema poderá ser alterado pelo fornecedor durante a fase de disputa, sendo vedado:</w:t>
      </w:r>
    </w:p>
    <w:p w14:paraId="47F58BE0">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Valor superior a lance já registrado pelo fornecedor no sistema, quando adotado o critério de julgamento por menor preço; e</w:t>
      </w:r>
    </w:p>
    <w:p w14:paraId="3203EE56">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 xml:space="preserve">Percentual de desconto inferior </w:t>
      </w:r>
      <w:r>
        <w:rPr>
          <w:rFonts w:ascii="Arial" w:hAnsi="Arial" w:eastAsia="Arial" w:cs="Arial"/>
          <w:sz w:val="24"/>
          <w:szCs w:val="24"/>
        </w:rPr>
        <w:t>ao lance</w:t>
      </w:r>
      <w:r>
        <w:rPr>
          <w:rFonts w:ascii="Arial" w:hAnsi="Arial" w:eastAsia="Arial" w:cs="Arial"/>
          <w:color w:val="000000"/>
          <w:sz w:val="24"/>
          <w:szCs w:val="24"/>
        </w:rPr>
        <w:t xml:space="preserve"> já registrado pelo fornecedor no sistema, quando adotado o critério de julgamento por maior desconto.</w:t>
      </w:r>
    </w:p>
    <w:p w14:paraId="5BDB2A8A">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O valor final mínimo ou o percentual de desconto final máximo parametrizado na forma do item 4.11 possuirá caráter sigiloso para os demais fornecedores e para o órgão ou entidade promotora da licitação, podendo ser disponibilizado estrita e permanentemente aos órgãos de controle externo e interno.</w:t>
      </w:r>
    </w:p>
    <w:p w14:paraId="01FBCD0C">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Caberá ao licitante interessado em participar da licitação acompanhar as operações no sistema eletrônico durante o processo licitatório e se responsabilizar pelo ônus decorrente da perda de negócios diante da inobservância de mensagens emitidas pela Administração ou de sua desconexão.</w:t>
      </w:r>
    </w:p>
    <w:p w14:paraId="33F601D4">
      <w:pPr>
        <w:numPr>
          <w:ilvl w:val="1"/>
          <w:numId w:val="1"/>
        </w:numPr>
        <w:pBdr>
          <w:top w:val="none" w:color="auto" w:sz="0" w:space="0"/>
          <w:left w:val="none" w:color="auto" w:sz="0" w:space="0"/>
          <w:bottom w:val="none" w:color="auto" w:sz="0" w:space="0"/>
          <w:right w:val="none" w:color="auto" w:sz="0" w:space="0"/>
          <w:between w:val="none" w:color="auto" w:sz="0" w:space="0"/>
        </w:pBdr>
        <w:spacing w:after="120"/>
        <w:jc w:val="both"/>
        <w:rPr>
          <w:rFonts w:ascii="Arial" w:hAnsi="Arial" w:eastAsia="Arial" w:cs="Arial"/>
          <w:sz w:val="24"/>
          <w:szCs w:val="24"/>
        </w:rPr>
      </w:pPr>
      <w:r>
        <w:rPr>
          <w:rFonts w:ascii="Arial" w:hAnsi="Arial" w:eastAsia="Arial" w:cs="Arial"/>
          <w:color w:val="000000"/>
          <w:sz w:val="24"/>
          <w:szCs w:val="24"/>
        </w:rPr>
        <w:t>O licitante deverá comunicar imediatamente ao provedor do sistema qualquer acontecimento que possa comprometer o sigilo ou a segurança, para imediato bloqueio de acesso.</w:t>
      </w:r>
    </w:p>
    <w:p w14:paraId="7FB0EBE5">
      <w:pPr>
        <w:spacing w:before="120" w:after="120"/>
        <w:ind w:left="360"/>
        <w:jc w:val="both"/>
        <w:rPr>
          <w:rFonts w:ascii="Arial" w:hAnsi="Arial" w:eastAsia="Arial" w:cs="Arial"/>
          <w:color w:val="000000"/>
          <w:sz w:val="24"/>
          <w:szCs w:val="24"/>
        </w:rPr>
      </w:pPr>
    </w:p>
    <w:p w14:paraId="4156A4C8">
      <w:pPr>
        <w:keepNext/>
        <w:keepLines/>
        <w:numPr>
          <w:ilvl w:val="0"/>
          <w:numId w:val="1"/>
        </w:numPr>
        <w:pBdr>
          <w:top w:val="none" w:color="auto" w:sz="0" w:space="0"/>
          <w:left w:val="none" w:color="auto" w:sz="0" w:space="0"/>
          <w:bottom w:val="none" w:color="auto" w:sz="0" w:space="0"/>
          <w:right w:val="none" w:color="auto" w:sz="0" w:space="0"/>
          <w:between w:val="none" w:color="auto" w:sz="0" w:space="0"/>
        </w:pBdr>
        <w:tabs>
          <w:tab w:val="left" w:pos="567"/>
        </w:tabs>
        <w:spacing w:before="288" w:after="0" w:line="312" w:lineRule="auto"/>
        <w:jc w:val="both"/>
        <w:rPr>
          <w:rFonts w:ascii="Arial" w:hAnsi="Arial" w:eastAsia="Arial" w:cs="Arial"/>
          <w:b/>
          <w:color w:val="000000"/>
          <w:sz w:val="24"/>
          <w:szCs w:val="24"/>
        </w:rPr>
      </w:pPr>
      <w:bookmarkStart w:id="20" w:name="_heading=h.1y810tw" w:colFirst="0" w:colLast="0"/>
      <w:bookmarkEnd w:id="20"/>
      <w:r>
        <w:rPr>
          <w:rFonts w:ascii="Arial" w:hAnsi="Arial" w:eastAsia="Arial" w:cs="Arial"/>
          <w:b/>
          <w:color w:val="000000"/>
          <w:sz w:val="24"/>
          <w:szCs w:val="24"/>
        </w:rPr>
        <w:t>DO PREENCHIMENTO DA PROPOSTA</w:t>
      </w:r>
    </w:p>
    <w:p w14:paraId="33FC5869">
      <w:pPr>
        <w:keepNext/>
        <w:keepLines/>
        <w:pBdr>
          <w:top w:val="none" w:color="auto" w:sz="0" w:space="0"/>
          <w:left w:val="none" w:color="auto" w:sz="0" w:space="0"/>
          <w:bottom w:val="none" w:color="auto" w:sz="0" w:space="0"/>
          <w:right w:val="none" w:color="auto" w:sz="0" w:space="0"/>
          <w:between w:val="none" w:color="auto" w:sz="0" w:space="0"/>
        </w:pBdr>
        <w:tabs>
          <w:tab w:val="left" w:pos="567"/>
        </w:tabs>
        <w:spacing w:after="0" w:line="312" w:lineRule="auto"/>
        <w:ind w:left="720"/>
        <w:jc w:val="both"/>
        <w:rPr>
          <w:rFonts w:ascii="Arial" w:hAnsi="Arial" w:eastAsia="Arial" w:cs="Arial"/>
          <w:b/>
          <w:color w:val="17365D"/>
          <w:sz w:val="24"/>
          <w:szCs w:val="24"/>
        </w:rPr>
      </w:pPr>
    </w:p>
    <w:p w14:paraId="72D8801E">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O licitante deverá enviar sua proposta mediante o preenchimento, no sistema eletrônico, dos seguintes campos:</w:t>
      </w:r>
    </w:p>
    <w:p w14:paraId="76B80624">
      <w:pPr>
        <w:numPr>
          <w:ilvl w:val="0"/>
          <w:numId w:val="2"/>
        </w:numPr>
        <w:pBdr>
          <w:top w:val="none" w:color="auto" w:sz="0" w:space="0"/>
          <w:left w:val="none" w:color="auto" w:sz="0" w:space="0"/>
          <w:bottom w:val="none" w:color="auto" w:sz="0" w:space="0"/>
          <w:right w:val="none" w:color="auto" w:sz="0" w:space="0"/>
          <w:between w:val="none" w:color="auto" w:sz="0" w:space="0"/>
        </w:pBdr>
        <w:spacing w:after="0"/>
        <w:ind w:hanging="360"/>
        <w:jc w:val="both"/>
        <w:rPr>
          <w:rFonts w:ascii="Arial" w:hAnsi="Arial" w:eastAsia="Arial" w:cs="Arial"/>
          <w:i/>
          <w:color w:val="000000"/>
          <w:sz w:val="24"/>
          <w:szCs w:val="24"/>
        </w:rPr>
      </w:pPr>
      <w:r>
        <w:rPr>
          <w:rFonts w:ascii="Arial" w:hAnsi="Arial" w:eastAsia="Arial" w:cs="Arial"/>
          <w:i/>
          <w:color w:val="000000"/>
          <w:sz w:val="24"/>
          <w:szCs w:val="24"/>
        </w:rPr>
        <w:t>Valor unitário e total do item para cada item ou lote de itens (conforme o caso), em moeda corrente nacional;</w:t>
      </w:r>
    </w:p>
    <w:p w14:paraId="0CD08E0A">
      <w:pPr>
        <w:numPr>
          <w:ilvl w:val="0"/>
          <w:numId w:val="2"/>
        </w:numPr>
        <w:pBdr>
          <w:top w:val="none" w:color="auto" w:sz="0" w:space="0"/>
          <w:left w:val="none" w:color="auto" w:sz="0" w:space="0"/>
          <w:bottom w:val="none" w:color="auto" w:sz="0" w:space="0"/>
          <w:right w:val="none" w:color="auto" w:sz="0" w:space="0"/>
          <w:between w:val="none" w:color="auto" w:sz="0" w:space="0"/>
        </w:pBdr>
        <w:spacing w:after="0"/>
        <w:ind w:hanging="360"/>
        <w:jc w:val="both"/>
        <w:rPr>
          <w:rFonts w:ascii="Arial" w:hAnsi="Arial" w:eastAsia="Arial" w:cs="Arial"/>
          <w:i/>
          <w:color w:val="000000"/>
          <w:sz w:val="24"/>
          <w:szCs w:val="24"/>
        </w:rPr>
      </w:pPr>
      <w:r>
        <w:rPr>
          <w:rFonts w:ascii="Arial" w:hAnsi="Arial" w:eastAsia="Arial" w:cs="Arial"/>
          <w:i/>
          <w:color w:val="000000"/>
          <w:sz w:val="24"/>
          <w:szCs w:val="24"/>
        </w:rPr>
        <w:t>Marca de cada item ofertado;</w:t>
      </w:r>
    </w:p>
    <w:p w14:paraId="37E5CBF5">
      <w:pPr>
        <w:numPr>
          <w:ilvl w:val="0"/>
          <w:numId w:val="2"/>
        </w:numPr>
        <w:pBdr>
          <w:top w:val="none" w:color="auto" w:sz="0" w:space="0"/>
          <w:left w:val="none" w:color="auto" w:sz="0" w:space="0"/>
          <w:bottom w:val="none" w:color="auto" w:sz="0" w:space="0"/>
          <w:right w:val="none" w:color="auto" w:sz="0" w:space="0"/>
          <w:between w:val="none" w:color="auto" w:sz="0" w:space="0"/>
        </w:pBdr>
        <w:spacing w:after="0"/>
        <w:ind w:hanging="360"/>
        <w:jc w:val="both"/>
        <w:rPr>
          <w:rFonts w:ascii="Arial" w:hAnsi="Arial" w:eastAsia="Arial" w:cs="Arial"/>
          <w:i/>
          <w:color w:val="000000"/>
          <w:sz w:val="24"/>
          <w:szCs w:val="24"/>
        </w:rPr>
      </w:pPr>
      <w:r>
        <w:rPr>
          <w:rFonts w:ascii="Arial" w:hAnsi="Arial" w:eastAsia="Arial" w:cs="Arial"/>
          <w:i/>
          <w:color w:val="000000"/>
          <w:sz w:val="24"/>
          <w:szCs w:val="24"/>
        </w:rPr>
        <w:t>Fabricante de cada item ofertado;</w:t>
      </w:r>
    </w:p>
    <w:p w14:paraId="05CE43EF">
      <w:pPr>
        <w:numPr>
          <w:ilvl w:val="0"/>
          <w:numId w:val="2"/>
        </w:numPr>
        <w:pBdr>
          <w:top w:val="none" w:color="auto" w:sz="0" w:space="0"/>
          <w:left w:val="none" w:color="auto" w:sz="0" w:space="0"/>
          <w:bottom w:val="none" w:color="auto" w:sz="0" w:space="0"/>
          <w:right w:val="none" w:color="auto" w:sz="0" w:space="0"/>
          <w:between w:val="none" w:color="auto" w:sz="0" w:space="0"/>
        </w:pBdr>
        <w:ind w:hanging="360"/>
        <w:rPr>
          <w:rFonts w:ascii="Arial" w:hAnsi="Arial" w:eastAsia="Arial" w:cs="Arial"/>
          <w:i/>
          <w:color w:val="000000"/>
          <w:sz w:val="24"/>
          <w:szCs w:val="24"/>
        </w:rPr>
      </w:pPr>
      <w:r>
        <w:rPr>
          <w:rFonts w:ascii="Arial" w:hAnsi="Arial" w:eastAsia="Arial" w:cs="Arial"/>
          <w:i/>
          <w:color w:val="000000"/>
          <w:sz w:val="24"/>
          <w:szCs w:val="24"/>
        </w:rPr>
        <w:t>Descrição detalhada do objeto, contendo as informações similares à especificação do Termo de Referência: indicando, no que for aplicável, o modelo, prazo de validade ou de garantia, número do registro ou inscrição do bem no órgão competente, quando for o caso</w:t>
      </w:r>
      <w:r>
        <w:rPr>
          <w:rFonts w:ascii="Arial" w:hAnsi="Arial" w:eastAsia="Arial" w:cs="Arial"/>
          <w:i/>
          <w:sz w:val="24"/>
          <w:szCs w:val="24"/>
        </w:rPr>
        <w:t>.</w:t>
      </w:r>
    </w:p>
    <w:p w14:paraId="5510D7B4">
      <w:pPr>
        <w:spacing w:before="120" w:after="120"/>
        <w:ind w:left="284"/>
        <w:jc w:val="both"/>
        <w:rPr>
          <w:rFonts w:ascii="Arial" w:hAnsi="Arial" w:eastAsia="Arial" w:cs="Arial"/>
          <w:color w:val="000000"/>
          <w:sz w:val="24"/>
          <w:szCs w:val="24"/>
        </w:rPr>
      </w:pPr>
    </w:p>
    <w:p w14:paraId="022FF0DB">
      <w:pPr>
        <w:numPr>
          <w:ilvl w:val="1"/>
          <w:numId w:val="1"/>
        </w:numPr>
        <w:pBdr>
          <w:top w:val="none" w:color="auto" w:sz="0" w:space="0"/>
          <w:left w:val="none" w:color="auto" w:sz="0" w:space="0"/>
          <w:bottom w:val="none" w:color="auto" w:sz="0" w:space="0"/>
          <w:right w:val="none" w:color="auto" w:sz="0" w:space="0"/>
          <w:between w:val="none" w:color="auto" w:sz="0" w:space="0"/>
        </w:pBdr>
        <w:spacing w:before="120" w:after="0"/>
        <w:jc w:val="both"/>
        <w:rPr>
          <w:rFonts w:ascii="Arial" w:hAnsi="Arial" w:eastAsia="Arial" w:cs="Arial"/>
          <w:sz w:val="24"/>
          <w:szCs w:val="24"/>
        </w:rPr>
      </w:pPr>
      <w:r>
        <w:rPr>
          <w:rFonts w:ascii="Arial" w:hAnsi="Arial" w:eastAsia="Arial" w:cs="Arial"/>
          <w:color w:val="000000"/>
          <w:sz w:val="24"/>
          <w:szCs w:val="24"/>
        </w:rPr>
        <w:t>Todas as especificações do objeto contidas na proposta vinculam o licitante.</w:t>
      </w:r>
    </w:p>
    <w:p w14:paraId="0437BA95">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 xml:space="preserve">O licitante </w:t>
      </w:r>
      <w:r>
        <w:rPr>
          <w:rFonts w:ascii="Arial" w:hAnsi="Arial" w:eastAsia="Arial" w:cs="Arial"/>
          <w:b/>
          <w:color w:val="000000"/>
          <w:sz w:val="24"/>
          <w:szCs w:val="24"/>
        </w:rPr>
        <w:t>NÃO poderá</w:t>
      </w:r>
      <w:r>
        <w:rPr>
          <w:rFonts w:ascii="Arial" w:hAnsi="Arial" w:eastAsia="Arial" w:cs="Arial"/>
          <w:color w:val="000000"/>
          <w:sz w:val="24"/>
          <w:szCs w:val="24"/>
        </w:rPr>
        <w:t xml:space="preserve"> oferecer proposta em quantitativo inferior ao máximo previsto para contratação.</w:t>
      </w:r>
    </w:p>
    <w:p w14:paraId="68FDA25F">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Nos valores propostos estarão inclusos todos os custos operacionais, encargos previdenciários, trabalhistas, tributários, comerciais e quaisquer outros que incidam direta ou indiretamente na execução do objeto.</w:t>
      </w:r>
    </w:p>
    <w:p w14:paraId="654B08D7">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Os preços ofertados, tanto na proposta inicial, quanto na etapa de lances, serão de exclusiva responsabilidade do licitante, não lhe assistindo o direito de pleitear qualquer alteração, sob alegação de erro, omissão ou qualquer outro pretexto.</w:t>
      </w:r>
    </w:p>
    <w:p w14:paraId="0A9F1812">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 xml:space="preserve">Se o regime tributário da empresa implicar o recolhimento de tributos em percentuais variáveis, a cotação adequada será a que corresponde à média dos efetivos recolhimentos da empresa nos últimos doze meses. </w:t>
      </w:r>
    </w:p>
    <w:p w14:paraId="146B169A">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Independentemente do percentual de tributo inserido na planilha, no pagamento serão retidos na fonte os percentuais estabelecidos na legislação vigente.</w:t>
      </w:r>
    </w:p>
    <w:p w14:paraId="6B4EBDED">
      <w:pPr>
        <w:numPr>
          <w:ilvl w:val="1"/>
          <w:numId w:val="1"/>
        </w:numPr>
        <w:pBdr>
          <w:top w:val="none" w:color="auto" w:sz="0" w:space="0"/>
          <w:left w:val="none" w:color="auto" w:sz="0" w:space="0"/>
          <w:bottom w:val="none" w:color="auto" w:sz="0" w:space="0"/>
          <w:right w:val="none" w:color="auto" w:sz="0" w:space="0"/>
          <w:between w:val="none" w:color="auto" w:sz="0" w:space="0"/>
        </w:pBdr>
        <w:spacing w:after="0"/>
        <w:rPr>
          <w:rFonts w:ascii="Arial" w:hAnsi="Arial" w:eastAsia="Arial" w:cs="Arial"/>
          <w:sz w:val="24"/>
          <w:szCs w:val="24"/>
        </w:rPr>
      </w:pPr>
      <w:r>
        <w:rPr>
          <w:rFonts w:ascii="Arial" w:hAnsi="Arial" w:eastAsia="Arial" w:cs="Arial"/>
          <w:color w:val="000000"/>
          <w:sz w:val="24"/>
          <w:szCs w:val="24"/>
        </w:rPr>
        <w:t>Na presente licitação, a Microempresa e a Empresa de Pequeno Porte poderão se beneficiar do regime de tributação pelo Simples Nacional.</w:t>
      </w:r>
    </w:p>
    <w:p w14:paraId="46D91ED7">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A apresentação das propostas implica obrigatoriedade do cumprimento das disposições nelas contidas, em conformidade com o que dispõe o Termo de Referência, assumindo o proponente o compromisso de executar o objeto licitado nos seus termos, bem como de fornecer os materiais, equipamentos, ferramentas e utensílios necessários, em quantidades e qualidades adequadas à perfeita execução contratual, promovendo, quando requerido, sua substituição.</w:t>
      </w:r>
    </w:p>
    <w:p w14:paraId="1280EDC2">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 xml:space="preserve">O prazo de validade da proposta </w:t>
      </w:r>
      <w:r>
        <w:rPr>
          <w:rFonts w:ascii="Arial" w:hAnsi="Arial" w:eastAsia="Arial" w:cs="Arial"/>
          <w:b/>
          <w:color w:val="000000"/>
          <w:sz w:val="24"/>
          <w:szCs w:val="24"/>
        </w:rPr>
        <w:t>não será inferior a 60 (sessenta) dias</w:t>
      </w:r>
      <w:r>
        <w:rPr>
          <w:rFonts w:ascii="Arial" w:hAnsi="Arial" w:eastAsia="Arial" w:cs="Arial"/>
          <w:color w:val="000000"/>
          <w:sz w:val="24"/>
          <w:szCs w:val="24"/>
        </w:rPr>
        <w:t>, a contar da data de sua apresentação.</w:t>
      </w:r>
    </w:p>
    <w:p w14:paraId="772DE22C">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Os licitantes devem respeitar os preços máximos estabelecidos nas normas de regência de contratações públicas federais, quando participarem de licitações públicas;</w:t>
      </w:r>
    </w:p>
    <w:p w14:paraId="364AA2C1">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Caso o critério de julgamento seja o de maior desconto, o preço já decorrente da aplicação do desconto ofertado deverá respeitar os preços máximos previstos no item 4.9.</w:t>
      </w:r>
    </w:p>
    <w:p w14:paraId="685287D3">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 xml:space="preserve">O descumprimento das regras supramencionadas pela Administração por parte dos contratados pode ensejar a responsabilização pelo Tribunal de Contas da União e, após o devido processo legal, gerar as seguintes consequências: assinatura de prazo para a adoção das medidas necessárias ao exato cumprimento da lei, nos termos do </w:t>
      </w:r>
      <w:r>
        <w:fldChar w:fldCharType="begin"/>
      </w:r>
      <w:r>
        <w:instrText xml:space="preserve"> HYPERLINK "https://www.planalto.gov.br/ccivil_03/constituicao/constituicaocompilado.htm" \h </w:instrText>
      </w:r>
      <w:r>
        <w:fldChar w:fldCharType="separate"/>
      </w:r>
      <w:r>
        <w:rPr>
          <w:rFonts w:ascii="Arial" w:hAnsi="Arial" w:eastAsia="Arial" w:cs="Arial"/>
          <w:color w:val="000080"/>
          <w:sz w:val="24"/>
          <w:szCs w:val="24"/>
          <w:u w:val="single"/>
        </w:rPr>
        <w:t>art. 71, inciso IX, da Constituição</w:t>
      </w:r>
      <w:r>
        <w:rPr>
          <w:rFonts w:ascii="Arial" w:hAnsi="Arial" w:eastAsia="Arial" w:cs="Arial"/>
          <w:color w:val="000080"/>
          <w:sz w:val="24"/>
          <w:szCs w:val="24"/>
          <w:u w:val="single"/>
        </w:rPr>
        <w:fldChar w:fldCharType="end"/>
      </w:r>
      <w:r>
        <w:rPr>
          <w:rFonts w:ascii="Arial" w:hAnsi="Arial" w:eastAsia="Arial" w:cs="Arial"/>
          <w:color w:val="000000"/>
          <w:sz w:val="24"/>
          <w:szCs w:val="24"/>
        </w:rPr>
        <w:t>; ou condenação dos agentes públicos responsáveis e da empresa contratada ao pagamento dos prejuízos ao erário, caso verificada a ocorrência de superfaturamento por sobrepreço na execução do contrato.</w:t>
      </w:r>
    </w:p>
    <w:p w14:paraId="41318EF5">
      <w:pPr>
        <w:pBdr>
          <w:top w:val="none" w:color="auto" w:sz="0" w:space="0"/>
          <w:left w:val="none" w:color="auto" w:sz="0" w:space="0"/>
          <w:bottom w:val="none" w:color="auto" w:sz="0" w:space="0"/>
          <w:right w:val="none" w:color="auto" w:sz="0" w:space="0"/>
          <w:between w:val="none" w:color="auto" w:sz="0" w:space="0"/>
        </w:pBdr>
        <w:spacing w:after="0"/>
        <w:ind w:left="1080"/>
        <w:jc w:val="both"/>
        <w:rPr>
          <w:rFonts w:ascii="Arial" w:hAnsi="Arial" w:eastAsia="Arial" w:cs="Arial"/>
          <w:color w:val="000000"/>
          <w:sz w:val="24"/>
          <w:szCs w:val="24"/>
        </w:rPr>
      </w:pPr>
    </w:p>
    <w:p w14:paraId="254616A9">
      <w:pPr>
        <w:keepNext/>
        <w:keepLines/>
        <w:numPr>
          <w:ilvl w:val="0"/>
          <w:numId w:val="1"/>
        </w:numPr>
        <w:pBdr>
          <w:top w:val="none" w:color="auto" w:sz="0" w:space="0"/>
          <w:left w:val="none" w:color="auto" w:sz="0" w:space="0"/>
          <w:bottom w:val="none" w:color="auto" w:sz="0" w:space="0"/>
          <w:right w:val="none" w:color="auto" w:sz="0" w:space="0"/>
          <w:between w:val="none" w:color="auto" w:sz="0" w:space="0"/>
        </w:pBdr>
        <w:tabs>
          <w:tab w:val="left" w:pos="567"/>
        </w:tabs>
        <w:spacing w:after="0" w:line="312" w:lineRule="auto"/>
        <w:jc w:val="both"/>
        <w:rPr>
          <w:rFonts w:ascii="Arial" w:hAnsi="Arial" w:eastAsia="Arial" w:cs="Arial"/>
          <w:b/>
          <w:color w:val="000000"/>
          <w:sz w:val="24"/>
          <w:szCs w:val="24"/>
        </w:rPr>
      </w:pPr>
      <w:bookmarkStart w:id="21" w:name="_heading=h.4i7ojhp" w:colFirst="0" w:colLast="0"/>
      <w:bookmarkEnd w:id="21"/>
      <w:r>
        <w:rPr>
          <w:rFonts w:ascii="Arial" w:hAnsi="Arial" w:eastAsia="Arial" w:cs="Arial"/>
          <w:b/>
          <w:color w:val="000000"/>
          <w:sz w:val="24"/>
          <w:szCs w:val="24"/>
        </w:rPr>
        <w:t>DA ABERTURA DA SESSÃO, CLASSIFICAÇÃO DAS PROPOSTAS E FORMULAÇÃO DE LANCES</w:t>
      </w:r>
    </w:p>
    <w:p w14:paraId="0CE01A14">
      <w:pPr>
        <w:keepNext/>
        <w:keepLines/>
        <w:pBdr>
          <w:top w:val="none" w:color="auto" w:sz="0" w:space="0"/>
          <w:left w:val="none" w:color="auto" w:sz="0" w:space="0"/>
          <w:bottom w:val="none" w:color="auto" w:sz="0" w:space="0"/>
          <w:right w:val="none" w:color="auto" w:sz="0" w:space="0"/>
          <w:between w:val="none" w:color="auto" w:sz="0" w:space="0"/>
        </w:pBdr>
        <w:tabs>
          <w:tab w:val="left" w:pos="567"/>
        </w:tabs>
        <w:spacing w:after="0" w:line="312" w:lineRule="auto"/>
        <w:ind w:left="720"/>
        <w:jc w:val="both"/>
        <w:rPr>
          <w:rFonts w:ascii="Arial" w:hAnsi="Arial" w:eastAsia="Arial" w:cs="Arial"/>
          <w:b/>
          <w:color w:val="17365D"/>
          <w:sz w:val="24"/>
          <w:szCs w:val="24"/>
        </w:rPr>
      </w:pPr>
    </w:p>
    <w:p w14:paraId="0C552C16">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bookmarkStart w:id="22" w:name="_heading=h.2xcytpi" w:colFirst="0" w:colLast="0"/>
      <w:bookmarkEnd w:id="22"/>
      <w:r>
        <w:rPr>
          <w:rFonts w:ascii="Arial" w:hAnsi="Arial" w:eastAsia="Arial" w:cs="Arial"/>
          <w:color w:val="000000"/>
          <w:sz w:val="24"/>
          <w:szCs w:val="24"/>
        </w:rPr>
        <w:t>A abertura da presente licitação dar-se-á automaticamente em sessão pública, por meio de sistema eletrônico, na data, horário e local indicados neste Edital.</w:t>
      </w:r>
    </w:p>
    <w:p w14:paraId="3A891206">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Os licitantes poderão retirar ou substituir a proposta ou os documentos de habilitação, quando for o caso, anteriormente inseridos no sistema, até a abertura da sessão pública.</w:t>
      </w:r>
    </w:p>
    <w:p w14:paraId="37853557">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O sistema disponibilizará campo próprio para troca de mensagens entre a Pregoeira e os licitantes.</w:t>
      </w:r>
    </w:p>
    <w:p w14:paraId="0C5C1730">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 xml:space="preserve">Iniciada a etapa competitiva, os licitantes deverão encaminhar lances exclusivamente por meio de sistema eletrônico, sendo imediatamente informados do seu recebimento e do valor consignado no registro. </w:t>
      </w:r>
    </w:p>
    <w:p w14:paraId="43F231FA">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O lance deverá ser ofertado pelo valor unitário do item.</w:t>
      </w:r>
    </w:p>
    <w:p w14:paraId="3D741DBC">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Os licitantes poderão oferecer lances sucessivos, observando o horário fixado para abertura da sessão e as regras estabelecidas no Edital.</w:t>
      </w:r>
    </w:p>
    <w:p w14:paraId="2AA58DF0">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O licitante somente poderá oferecer lance de valor inferior</w:t>
      </w:r>
      <w:r>
        <w:rPr>
          <w:rFonts w:ascii="Arial" w:hAnsi="Arial" w:eastAsia="Arial" w:cs="Arial"/>
          <w:color w:val="FF0000"/>
          <w:sz w:val="24"/>
          <w:szCs w:val="24"/>
        </w:rPr>
        <w:t xml:space="preserve"> </w:t>
      </w:r>
      <w:r>
        <w:rPr>
          <w:rFonts w:ascii="Arial" w:hAnsi="Arial" w:eastAsia="Arial" w:cs="Arial"/>
          <w:color w:val="000000"/>
          <w:sz w:val="24"/>
          <w:szCs w:val="24"/>
        </w:rPr>
        <w:t xml:space="preserve">ao último por ele ofertado e registrado pelo sistema. </w:t>
      </w:r>
    </w:p>
    <w:p w14:paraId="2C430575">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 xml:space="preserve">O intervalo mínimo de diferença de valores entre os lances, que incidirá tanto em relação aos lances intermediários quanto em relação à proposta que cobrir a melhor </w:t>
      </w:r>
      <w:r>
        <w:rPr>
          <w:rFonts w:ascii="Arial" w:hAnsi="Arial" w:eastAsia="Arial" w:cs="Arial"/>
          <w:sz w:val="24"/>
          <w:szCs w:val="24"/>
        </w:rPr>
        <w:t>oferta, deverá</w:t>
      </w:r>
      <w:r>
        <w:rPr>
          <w:rFonts w:ascii="Arial" w:hAnsi="Arial" w:eastAsia="Arial" w:cs="Arial"/>
          <w:color w:val="000000"/>
          <w:sz w:val="24"/>
          <w:szCs w:val="24"/>
        </w:rPr>
        <w:t xml:space="preserve"> ser de </w:t>
      </w:r>
      <w:r>
        <w:rPr>
          <w:rFonts w:ascii="Arial" w:hAnsi="Arial" w:eastAsia="Arial" w:cs="Arial"/>
          <w:b/>
          <w:color w:val="000000"/>
          <w:sz w:val="24"/>
          <w:szCs w:val="24"/>
        </w:rPr>
        <w:t>0,01 (um centavo)</w:t>
      </w:r>
      <w:r>
        <w:rPr>
          <w:rFonts w:ascii="Arial" w:hAnsi="Arial" w:eastAsia="Arial" w:cs="Arial"/>
          <w:color w:val="000000"/>
          <w:sz w:val="24"/>
          <w:szCs w:val="24"/>
        </w:rPr>
        <w:t>.</w:t>
      </w:r>
    </w:p>
    <w:p w14:paraId="2235281B">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 xml:space="preserve">O licitante poderá, uma única vez, excluir seu último lance ofertado, no intervalo de </w:t>
      </w:r>
      <w:r>
        <w:rPr>
          <w:rFonts w:ascii="Arial" w:hAnsi="Arial" w:eastAsia="Arial" w:cs="Arial"/>
          <w:b/>
          <w:color w:val="000000"/>
          <w:sz w:val="24"/>
          <w:szCs w:val="24"/>
        </w:rPr>
        <w:t>15 (quinze) segundos</w:t>
      </w:r>
      <w:r>
        <w:rPr>
          <w:rFonts w:ascii="Arial" w:hAnsi="Arial" w:eastAsia="Arial" w:cs="Arial"/>
          <w:color w:val="000000"/>
          <w:sz w:val="24"/>
          <w:szCs w:val="24"/>
        </w:rPr>
        <w:t xml:space="preserve"> após o registro no sistema, na hipótese de lance inconsistente ou inexequível.</w:t>
      </w:r>
    </w:p>
    <w:p w14:paraId="6C505C09">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bookmarkStart w:id="23" w:name="_heading=h.1ci93xb" w:colFirst="0" w:colLast="0"/>
      <w:bookmarkEnd w:id="23"/>
      <w:r>
        <w:rPr>
          <w:rFonts w:ascii="Arial" w:hAnsi="Arial" w:eastAsia="Arial" w:cs="Arial"/>
          <w:color w:val="000000"/>
          <w:sz w:val="24"/>
          <w:szCs w:val="24"/>
        </w:rPr>
        <w:t>O procedimento seguirá de acordo com o modo de disputa adotado.</w:t>
      </w:r>
    </w:p>
    <w:p w14:paraId="61E7C95E">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bookmarkStart w:id="24" w:name="_heading=h.3whwml4" w:colFirst="0" w:colLast="0"/>
      <w:bookmarkEnd w:id="24"/>
      <w:r>
        <w:rPr>
          <w:rFonts w:ascii="Arial" w:hAnsi="Arial" w:eastAsia="Arial" w:cs="Arial"/>
          <w:color w:val="000000"/>
          <w:sz w:val="24"/>
          <w:szCs w:val="24"/>
        </w:rPr>
        <w:t xml:space="preserve">O envio de lances no pregão eletrônico será através do modo de disputa </w:t>
      </w:r>
      <w:r>
        <w:rPr>
          <w:rFonts w:ascii="Arial" w:hAnsi="Arial" w:eastAsia="Arial" w:cs="Arial"/>
          <w:color w:val="000000"/>
          <w:sz w:val="24"/>
          <w:szCs w:val="24"/>
          <w:highlight w:val="green"/>
        </w:rPr>
        <w:t>“</w:t>
      </w:r>
      <w:r>
        <w:rPr>
          <w:rFonts w:ascii="Arial" w:hAnsi="Arial" w:eastAsia="Arial" w:cs="Arial"/>
          <w:b/>
          <w:color w:val="000000"/>
          <w:sz w:val="24"/>
          <w:szCs w:val="24"/>
          <w:highlight w:val="green"/>
        </w:rPr>
        <w:t>ABERTO</w:t>
      </w:r>
      <w:r>
        <w:rPr>
          <w:rFonts w:ascii="Arial" w:hAnsi="Arial" w:eastAsia="Arial" w:cs="Arial"/>
          <w:color w:val="000000"/>
          <w:sz w:val="24"/>
          <w:szCs w:val="24"/>
          <w:highlight w:val="green"/>
        </w:rPr>
        <w:t>”</w:t>
      </w:r>
      <w:r>
        <w:rPr>
          <w:rFonts w:ascii="Arial" w:hAnsi="Arial" w:eastAsia="Arial" w:cs="Arial"/>
          <w:color w:val="000000"/>
          <w:sz w:val="24"/>
          <w:szCs w:val="24"/>
        </w:rPr>
        <w:t>, os licitantes apresentarão lances públicos e sucessivos, com prorrogações.</w:t>
      </w:r>
    </w:p>
    <w:p w14:paraId="1424FDFB">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 xml:space="preserve">A etapa de lances da sessão pública terá duração de </w:t>
      </w:r>
      <w:r>
        <w:rPr>
          <w:rFonts w:ascii="Arial" w:hAnsi="Arial" w:eastAsia="Arial" w:cs="Arial"/>
          <w:b/>
          <w:color w:val="000000"/>
          <w:sz w:val="24"/>
          <w:szCs w:val="24"/>
        </w:rPr>
        <w:t>10 (dez) minutos</w:t>
      </w:r>
      <w:r>
        <w:rPr>
          <w:rFonts w:ascii="Arial" w:hAnsi="Arial" w:eastAsia="Arial" w:cs="Arial"/>
          <w:color w:val="000000"/>
          <w:sz w:val="24"/>
          <w:szCs w:val="24"/>
        </w:rPr>
        <w:t xml:space="preserve"> e, após isso, será prorrogada automaticamente pelo sistema quando houver lance ofertado nos últimos </w:t>
      </w:r>
      <w:r>
        <w:rPr>
          <w:rFonts w:ascii="Arial" w:hAnsi="Arial" w:eastAsia="Arial" w:cs="Arial"/>
          <w:b/>
          <w:color w:val="000000"/>
          <w:sz w:val="24"/>
          <w:szCs w:val="24"/>
        </w:rPr>
        <w:t>02 (dois) minutos</w:t>
      </w:r>
      <w:r>
        <w:rPr>
          <w:rFonts w:ascii="Arial" w:hAnsi="Arial" w:eastAsia="Arial" w:cs="Arial"/>
          <w:color w:val="000000"/>
          <w:sz w:val="24"/>
          <w:szCs w:val="24"/>
        </w:rPr>
        <w:t xml:space="preserve"> do período de duração da sessão pública.</w:t>
      </w:r>
    </w:p>
    <w:p w14:paraId="6A305010">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 xml:space="preserve">A prorrogação automática da etapa de lances, de que trata o subitem anterior, será de </w:t>
      </w:r>
      <w:r>
        <w:rPr>
          <w:rFonts w:ascii="Arial" w:hAnsi="Arial" w:eastAsia="Arial" w:cs="Arial"/>
          <w:b/>
          <w:color w:val="000000"/>
          <w:sz w:val="24"/>
          <w:szCs w:val="24"/>
        </w:rPr>
        <w:t>02 (dois) minutos</w:t>
      </w:r>
      <w:r>
        <w:rPr>
          <w:rFonts w:ascii="Arial" w:hAnsi="Arial" w:eastAsia="Arial" w:cs="Arial"/>
          <w:color w:val="000000"/>
          <w:sz w:val="24"/>
          <w:szCs w:val="24"/>
        </w:rPr>
        <w:t xml:space="preserve"> e ocorrerá sucessivamente sempre que houver lances enviados </w:t>
      </w:r>
      <w:r>
        <w:rPr>
          <w:rFonts w:ascii="Arial" w:hAnsi="Arial" w:eastAsia="Arial" w:cs="Arial"/>
          <w:sz w:val="24"/>
          <w:szCs w:val="24"/>
        </w:rPr>
        <w:t>neste</w:t>
      </w:r>
      <w:r>
        <w:rPr>
          <w:rFonts w:ascii="Arial" w:hAnsi="Arial" w:eastAsia="Arial" w:cs="Arial"/>
          <w:color w:val="000000"/>
          <w:sz w:val="24"/>
          <w:szCs w:val="24"/>
        </w:rPr>
        <w:t xml:space="preserve"> período de prorrogação, inclusive no caso de lances intermediários.</w:t>
      </w:r>
    </w:p>
    <w:p w14:paraId="5A7C5366">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Não havendo novos lances na forma estabelecida nos itens anteriores, a sessão pública encerrar-se-á automaticamente, e o sistema ordenará e divulgará os lances conforme a ordem final de classificação.</w:t>
      </w:r>
    </w:p>
    <w:p w14:paraId="6E9844DF">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Definida a melhor proposta, se a diferença em relação à proposta classificada em segundo lugar for de pelo menos 5% (cinco por cento), a pregoeira, auxiliada pela equipe de apoio, poderá admitir o reinício da disputa aberta, para a definição das demais colocações.</w:t>
      </w:r>
    </w:p>
    <w:p w14:paraId="62971087">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bookmarkStart w:id="25" w:name="_heading=h.2bn6wsx" w:colFirst="0" w:colLast="0"/>
      <w:bookmarkEnd w:id="25"/>
      <w:r>
        <w:rPr>
          <w:rFonts w:ascii="Arial" w:hAnsi="Arial" w:eastAsia="Arial" w:cs="Arial"/>
          <w:color w:val="000000"/>
          <w:sz w:val="24"/>
          <w:szCs w:val="24"/>
        </w:rPr>
        <w:t>Após o reinício previsto no item supra, os licitantes serão convocados para apresentar lances intermediários.</w:t>
      </w:r>
    </w:p>
    <w:p w14:paraId="5861EC13">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Após o término dos prazos estabelecidos nos itens anteriores, o sistema ordenará e divulgará os lances segundo a ordem crescente de valores.</w:t>
      </w:r>
    </w:p>
    <w:p w14:paraId="3FAA775C">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 xml:space="preserve">Não serão aceitos dois ou mais lances de mesmo valor, prevalecendo aquele que for recebido e registrado em primeiro lugar. </w:t>
      </w:r>
    </w:p>
    <w:p w14:paraId="09B1D1D4">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Durante o transcurso da sessão pública, os licitantes serão informados, em tempo real, do valor do menor lance registrado, vedada a identificação do licitante.</w:t>
      </w:r>
    </w:p>
    <w:p w14:paraId="05CB577C">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No caso de desconexão com a Pregoeira, no decorrer da etapa competitiva do Pregão, o sistema eletrônico poderá permanecer acessível aos licitantes para a recepção dos lances.</w:t>
      </w:r>
    </w:p>
    <w:p w14:paraId="64E7DCA1">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 xml:space="preserve">Quando a desconexão do sistema eletrônico para a Pregoeira persistir por tempo superior a </w:t>
      </w:r>
      <w:r>
        <w:rPr>
          <w:rFonts w:ascii="Arial" w:hAnsi="Arial" w:eastAsia="Arial" w:cs="Arial"/>
          <w:b/>
          <w:color w:val="000000"/>
          <w:sz w:val="24"/>
          <w:szCs w:val="24"/>
        </w:rPr>
        <w:t>10 (dez) minutos</w:t>
      </w:r>
      <w:r>
        <w:rPr>
          <w:rFonts w:ascii="Arial" w:hAnsi="Arial" w:eastAsia="Arial" w:cs="Arial"/>
          <w:color w:val="000000"/>
          <w:sz w:val="24"/>
          <w:szCs w:val="24"/>
        </w:rPr>
        <w:t xml:space="preserve">, a sessão pública será suspensa e reiniciada somente após decorridas </w:t>
      </w:r>
      <w:r>
        <w:rPr>
          <w:rFonts w:ascii="Arial" w:hAnsi="Arial" w:eastAsia="Arial" w:cs="Arial"/>
          <w:b/>
          <w:color w:val="000000"/>
          <w:sz w:val="24"/>
          <w:szCs w:val="24"/>
        </w:rPr>
        <w:t>24 (vinte e quatro horas)</w:t>
      </w:r>
      <w:r>
        <w:rPr>
          <w:rFonts w:ascii="Arial" w:hAnsi="Arial" w:eastAsia="Arial" w:cs="Arial"/>
          <w:color w:val="000000"/>
          <w:sz w:val="24"/>
          <w:szCs w:val="24"/>
        </w:rPr>
        <w:t xml:space="preserve"> da comunicação do fato pela Pregoeira aos participantes, no sítio eletrônico utilizado para divulgação.</w:t>
      </w:r>
    </w:p>
    <w:p w14:paraId="2E07E940">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Caso o licitante não apresente lances, concorrerá com o valor de sua proposta.</w:t>
      </w:r>
    </w:p>
    <w:p w14:paraId="008C1126">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 xml:space="preserve">Em relação a itens não exclusivos para participação de microempresas e empresas de pequeno porte, uma vez encerrada a etapa de lances, será efetivada a verificação automática, junto à Receita Federal, do porte da entidade empresarial. O sistema identificará em coluna própria as microempresas e empresas de pequeno porte participantes, procedendo à comparação com os valores da primeira colocada, se esta for empresa de maior porte, assim como das demais classificadas, para o fim de aplicar-se o disposto nos </w:t>
      </w:r>
      <w:r>
        <w:fldChar w:fldCharType="begin"/>
      </w:r>
      <w:r>
        <w:instrText xml:space="preserve"> HYPERLINK "https://www.planalto.gov.br/ccivil_03/leis/lcp/lcp123.htm" \l "art44" \h </w:instrText>
      </w:r>
      <w:r>
        <w:fldChar w:fldCharType="separate"/>
      </w:r>
      <w:r>
        <w:rPr>
          <w:rFonts w:ascii="Arial" w:hAnsi="Arial" w:eastAsia="Arial" w:cs="Arial"/>
          <w:color w:val="000080"/>
          <w:sz w:val="24"/>
          <w:szCs w:val="24"/>
          <w:u w:val="single"/>
        </w:rPr>
        <w:t>arts. 44 e 45 da Lei Complementar nº 123, de 2006</w:t>
      </w:r>
      <w:r>
        <w:rPr>
          <w:rFonts w:ascii="Arial" w:hAnsi="Arial" w:eastAsia="Arial" w:cs="Arial"/>
          <w:color w:val="000080"/>
          <w:sz w:val="24"/>
          <w:szCs w:val="24"/>
          <w:u w:val="single"/>
        </w:rPr>
        <w:fldChar w:fldCharType="end"/>
      </w:r>
      <w:r>
        <w:rPr>
          <w:rFonts w:ascii="Arial" w:hAnsi="Arial" w:eastAsia="Arial" w:cs="Arial"/>
          <w:color w:val="000000"/>
          <w:sz w:val="24"/>
          <w:szCs w:val="24"/>
        </w:rPr>
        <w:t xml:space="preserve">, regulamentada pelo </w:t>
      </w:r>
      <w:r>
        <w:fldChar w:fldCharType="begin"/>
      </w:r>
      <w:r>
        <w:instrText xml:space="preserve"> HYPERLINK "https://www.planalto.gov.br/ccivil_03/_ato2015-2018/2015/decreto/d8539.htm" \h </w:instrText>
      </w:r>
      <w:r>
        <w:fldChar w:fldCharType="separate"/>
      </w:r>
      <w:r>
        <w:rPr>
          <w:rFonts w:ascii="Arial" w:hAnsi="Arial" w:eastAsia="Arial" w:cs="Arial"/>
          <w:color w:val="000080"/>
          <w:sz w:val="24"/>
          <w:szCs w:val="24"/>
          <w:u w:val="single"/>
        </w:rPr>
        <w:t>Decreto nº 8.538, de 2015</w:t>
      </w:r>
      <w:r>
        <w:rPr>
          <w:rFonts w:ascii="Arial" w:hAnsi="Arial" w:eastAsia="Arial" w:cs="Arial"/>
          <w:color w:val="000080"/>
          <w:sz w:val="24"/>
          <w:szCs w:val="24"/>
          <w:u w:val="single"/>
        </w:rPr>
        <w:fldChar w:fldCharType="end"/>
      </w:r>
      <w:r>
        <w:rPr>
          <w:rFonts w:ascii="Arial" w:hAnsi="Arial" w:eastAsia="Arial" w:cs="Arial"/>
          <w:color w:val="000000"/>
          <w:sz w:val="24"/>
          <w:szCs w:val="24"/>
        </w:rPr>
        <w:t>.</w:t>
      </w:r>
    </w:p>
    <w:p w14:paraId="187A8A91">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Nessas condições, as propostas de microempresas e empresas de pequeno porte que se encontrarem na faixa de até 5% (cinco por cento) acima da melhor proposta ou melhor lance serão consideradas empatadas com a primeira colocada.</w:t>
      </w:r>
    </w:p>
    <w:p w14:paraId="30229327">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A melhor classificada nos termos do subitem anterior terá o direito de encaminhar uma última oferta para desempate, obrigatoriamente em valor inferior ao da primeira colocada, no prazo de 5 (cinco) minutos controlados pelo sistema, contados após a comunicação automática para tanto.</w:t>
      </w:r>
    </w:p>
    <w:p w14:paraId="3974002B">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Caso a microempresa ou a empresa de pequeno porte melhor classificada desista ou não se manifeste no prazo estabelecido, serão convocadas as demais licitantes microempresa e empresa de pequeno porte que se encontrem naquele intervalo de 5% (cinco por cento), na ordem de classificação, para o exercício do mesmo direito, no prazo estabelecido no subitem anterior.</w:t>
      </w:r>
    </w:p>
    <w:p w14:paraId="32374E45">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No caso de equivalência dos valores apresentados pelas microempresas e empresas de pequeno porte que se encontrem nos intervalos estabelecidos nos subitens anteriores, será realizado sorteio entre elas para que se identifique aquela que primeiro poderá apresentar melhor oferta.</w:t>
      </w:r>
    </w:p>
    <w:p w14:paraId="0EC28ABB">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 xml:space="preserve">Havendo eventual empate entre propostas ou lances, o critério de desempate será aquele previsto no </w:t>
      </w:r>
      <w:r>
        <w:fldChar w:fldCharType="begin"/>
      </w:r>
      <w:r>
        <w:instrText xml:space="preserve"> HYPERLINK "http://www.planalto.gov.br/ccivil_03/_ato2019-2022/2021/lei/L14133.htm" \l "art60" \h </w:instrText>
      </w:r>
      <w:r>
        <w:fldChar w:fldCharType="separate"/>
      </w:r>
      <w:r>
        <w:rPr>
          <w:rFonts w:ascii="Arial" w:hAnsi="Arial" w:eastAsia="Arial" w:cs="Arial"/>
          <w:color w:val="000080"/>
          <w:sz w:val="24"/>
          <w:szCs w:val="24"/>
          <w:u w:val="single"/>
        </w:rPr>
        <w:t>art. 60 da Lei nº 14.133, de 2021</w:t>
      </w:r>
      <w:r>
        <w:rPr>
          <w:rFonts w:ascii="Arial" w:hAnsi="Arial" w:eastAsia="Arial" w:cs="Arial"/>
          <w:color w:val="000080"/>
          <w:sz w:val="24"/>
          <w:szCs w:val="24"/>
          <w:u w:val="single"/>
        </w:rPr>
        <w:fldChar w:fldCharType="end"/>
      </w:r>
      <w:r>
        <w:rPr>
          <w:rFonts w:ascii="Arial" w:hAnsi="Arial" w:eastAsia="Arial" w:cs="Arial"/>
          <w:color w:val="000000"/>
          <w:sz w:val="24"/>
          <w:szCs w:val="24"/>
        </w:rPr>
        <w:t>, nesta ordem:</w:t>
      </w:r>
    </w:p>
    <w:p w14:paraId="5850DD5B">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disputa final, hipótese em que os licitantes empatados poderão apresentar nova proposta em ato contínuo à classificação;</w:t>
      </w:r>
    </w:p>
    <w:p w14:paraId="3148D975">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avaliação do desempenho contratual prévio dos licitantes, para a qual deverão preferencialmente ser utilizados registros cadastrais para efeito de atesto de cumprimento de obrigações previstos nesta Lei;</w:t>
      </w:r>
    </w:p>
    <w:p w14:paraId="52CB1879">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desenvolvimento pelo licitante de ações de equidade entre homens e mulheres no ambiente de trabalho, conforme regulamento;</w:t>
      </w:r>
    </w:p>
    <w:p w14:paraId="5476B1EC">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desenvolvimento pelo licitante de programa de integridade, conforme orientações dos órgãos de controle.</w:t>
      </w:r>
    </w:p>
    <w:p w14:paraId="68948E03">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Persistindo o empate, será assegurada preferência, sucessivamente, aos bens e serviços produzidos ou prestados por:</w:t>
      </w:r>
    </w:p>
    <w:p w14:paraId="2618FCC8">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bookmarkStart w:id="26" w:name="bookmark=id.qsh70q" w:colFirst="0" w:colLast="0"/>
      <w:bookmarkEnd w:id="26"/>
      <w:r>
        <w:rPr>
          <w:rFonts w:ascii="Arial" w:hAnsi="Arial" w:eastAsia="Arial" w:cs="Arial"/>
          <w:color w:val="000000"/>
          <w:sz w:val="24"/>
          <w:szCs w:val="24"/>
        </w:rPr>
        <w:t>empresas estabelecidas no território do Estado ou do Distrito Federal do órgão ou entidade da Administração Pública estadual ou distrital licitante ou, no caso de licitação realizada por órgão ou entidade de Município, no território do Estado em que este se localize;</w:t>
      </w:r>
      <w:bookmarkStart w:id="27" w:name="bookmark=id.3as4poj" w:colFirst="0" w:colLast="0"/>
      <w:bookmarkEnd w:id="27"/>
    </w:p>
    <w:p w14:paraId="27A64984">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empresas brasileiras;</w:t>
      </w:r>
      <w:bookmarkStart w:id="28" w:name="bookmark=id.1pxezwc" w:colFirst="0" w:colLast="0"/>
      <w:bookmarkEnd w:id="28"/>
    </w:p>
    <w:p w14:paraId="315F2405">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empresas que invistam em pesquisa e no desenvolvimento de tecnologia no País;</w:t>
      </w:r>
      <w:bookmarkStart w:id="29" w:name="bookmark=id.49x2ik5" w:colFirst="0" w:colLast="0"/>
      <w:bookmarkEnd w:id="29"/>
    </w:p>
    <w:p w14:paraId="29F5B034">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empresas que comprovem a prática de mitigação, nos termos da </w:t>
      </w:r>
      <w:r>
        <w:fldChar w:fldCharType="begin"/>
      </w:r>
      <w:r>
        <w:instrText xml:space="preserve"> HYPERLINK "https://www.planalto.gov.br/ccivil_03/_ato2007-2010/2009/lei/l12187.htm" \l ":~:text=LEI%20N%C2%BA%2012.187%2C%20DE%2029%20DE%20DEZEMBRO%20DE%202009.&amp;text=Institui%20a%20Pol%C3%ADtica%20Nacional%20sobre,PNMC%20e%20d%C3%A1%20outras%20provid%C3%AAncias." \h </w:instrText>
      </w:r>
      <w:r>
        <w:fldChar w:fldCharType="separate"/>
      </w:r>
      <w:r>
        <w:rPr>
          <w:rFonts w:ascii="Arial" w:hAnsi="Arial" w:eastAsia="Arial" w:cs="Arial"/>
          <w:color w:val="000080"/>
          <w:sz w:val="24"/>
          <w:szCs w:val="24"/>
          <w:u w:val="single"/>
        </w:rPr>
        <w:t>Lei nº 12.187, de 29 de dezembro de 2009</w:t>
      </w:r>
      <w:r>
        <w:rPr>
          <w:rFonts w:ascii="Arial" w:hAnsi="Arial" w:eastAsia="Arial" w:cs="Arial"/>
          <w:color w:val="000080"/>
          <w:sz w:val="24"/>
          <w:szCs w:val="24"/>
          <w:u w:val="single"/>
        </w:rPr>
        <w:fldChar w:fldCharType="end"/>
      </w:r>
      <w:r>
        <w:rPr>
          <w:rFonts w:ascii="Arial" w:hAnsi="Arial" w:eastAsia="Arial" w:cs="Arial"/>
          <w:color w:val="000000"/>
          <w:sz w:val="24"/>
          <w:szCs w:val="24"/>
        </w:rPr>
        <w:t>.</w:t>
      </w:r>
    </w:p>
    <w:p w14:paraId="5175934E">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Encerrada a etapa de envio de lances da sessão pública, na hipótese da proposta do primeiro colocado permanecer acima do preço máximo ou inferior ao desconto definido para a contratação, a Pregoeira poderá negociar condições mais vantajosas, após definido o resultado do julgamento.</w:t>
      </w:r>
    </w:p>
    <w:p w14:paraId="26A0FE11">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Não será admitida a previsão de preços diferentes em razão de local de entrega ou de acondicionamento, tamanho de lote ou qualquer outro motivo.</w:t>
      </w:r>
    </w:p>
    <w:p w14:paraId="093F86C7">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A negociação poderá ser feita com os demais licitantes, segundo a ordem de classificação inicialmente estabelecida, quando o primeiro colocado, mesmo após a negociação, for desclassificado em razão de sua proposta permanecer acima do preço máximo definido pela Administração.</w:t>
      </w:r>
    </w:p>
    <w:p w14:paraId="65224766">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A negociação será realizada por meio do sistema, podendo ser acompanhada pelos demais licitantes.</w:t>
      </w:r>
    </w:p>
    <w:p w14:paraId="6F19FC5A">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O resultado da negociação será divulgado a todos os licitantes e anexado aos autos do processo licitatório.</w:t>
      </w:r>
    </w:p>
    <w:p w14:paraId="52F302E7">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 xml:space="preserve">A Pregoeira solicitará ao licitante mais bem classificado que, no prazo de </w:t>
      </w:r>
      <w:r>
        <w:rPr>
          <w:rFonts w:ascii="Arial" w:hAnsi="Arial" w:eastAsia="Arial" w:cs="Arial"/>
          <w:b/>
          <w:color w:val="000000"/>
          <w:sz w:val="24"/>
          <w:szCs w:val="24"/>
          <w:highlight w:val="green"/>
        </w:rPr>
        <w:t>2 (duas) horas</w:t>
      </w:r>
      <w:r>
        <w:rPr>
          <w:rFonts w:ascii="Arial" w:hAnsi="Arial" w:eastAsia="Arial" w:cs="Arial"/>
          <w:color w:val="000000"/>
          <w:sz w:val="24"/>
          <w:szCs w:val="24"/>
        </w:rPr>
        <w:t>, envie a proposta adequada ao último lance ofertado após a negociação realizada, acompanhada, se for o caso, dos documentos complementares, quando necessários à confirmação daqueles exigidos neste Edital e já apresentados.</w:t>
      </w:r>
    </w:p>
    <w:p w14:paraId="4FC33BA6">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 xml:space="preserve">É facultada </w:t>
      </w:r>
      <w:r>
        <w:rPr>
          <w:rFonts w:ascii="Arial" w:hAnsi="Arial" w:eastAsia="Arial" w:cs="Arial"/>
          <w:sz w:val="24"/>
          <w:szCs w:val="24"/>
        </w:rPr>
        <w:t>à Pregoeira</w:t>
      </w:r>
      <w:r>
        <w:rPr>
          <w:rFonts w:ascii="Arial" w:hAnsi="Arial" w:eastAsia="Arial" w:cs="Arial"/>
          <w:color w:val="000000"/>
          <w:sz w:val="24"/>
          <w:szCs w:val="24"/>
        </w:rPr>
        <w:t xml:space="preserve"> prorrogar o prazo estabelecido, a partir de solicitação fundamentada feita no chat pelo licitante, antes de findo o prazo.</w:t>
      </w:r>
    </w:p>
    <w:p w14:paraId="0FD42015">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Após a negociação do preço, a Pregoeira iniciará a fase de aceitação e julgamento da proposta.</w:t>
      </w:r>
    </w:p>
    <w:p w14:paraId="57DF71C3">
      <w:pPr>
        <w:pBdr>
          <w:top w:val="none" w:color="auto" w:sz="0" w:space="0"/>
          <w:left w:val="none" w:color="auto" w:sz="0" w:space="0"/>
          <w:bottom w:val="none" w:color="auto" w:sz="0" w:space="0"/>
          <w:right w:val="none" w:color="auto" w:sz="0" w:space="0"/>
          <w:between w:val="none" w:color="auto" w:sz="0" w:space="0"/>
        </w:pBdr>
        <w:spacing w:after="0"/>
        <w:ind w:left="1080"/>
        <w:jc w:val="both"/>
        <w:rPr>
          <w:rFonts w:ascii="Arial" w:hAnsi="Arial" w:eastAsia="Arial" w:cs="Arial"/>
          <w:color w:val="000000"/>
          <w:sz w:val="24"/>
          <w:szCs w:val="24"/>
        </w:rPr>
      </w:pPr>
    </w:p>
    <w:p w14:paraId="321C1F28">
      <w:pPr>
        <w:keepNext/>
        <w:keepLines/>
        <w:numPr>
          <w:ilvl w:val="0"/>
          <w:numId w:val="1"/>
        </w:numPr>
        <w:pBdr>
          <w:top w:val="none" w:color="auto" w:sz="0" w:space="0"/>
          <w:left w:val="none" w:color="auto" w:sz="0" w:space="0"/>
          <w:bottom w:val="none" w:color="auto" w:sz="0" w:space="0"/>
          <w:right w:val="none" w:color="auto" w:sz="0" w:space="0"/>
          <w:between w:val="none" w:color="auto" w:sz="0" w:space="0"/>
        </w:pBdr>
        <w:tabs>
          <w:tab w:val="left" w:pos="567"/>
        </w:tabs>
        <w:spacing w:after="0" w:line="312" w:lineRule="auto"/>
        <w:jc w:val="both"/>
        <w:rPr>
          <w:rFonts w:ascii="Arial" w:hAnsi="Arial" w:eastAsia="Arial" w:cs="Arial"/>
          <w:b/>
          <w:color w:val="000000"/>
          <w:sz w:val="24"/>
          <w:szCs w:val="24"/>
        </w:rPr>
      </w:pPr>
      <w:bookmarkStart w:id="30" w:name="_heading=h.2p2csry" w:colFirst="0" w:colLast="0"/>
      <w:bookmarkEnd w:id="30"/>
      <w:r>
        <w:rPr>
          <w:rFonts w:ascii="Arial" w:hAnsi="Arial" w:eastAsia="Arial" w:cs="Arial"/>
          <w:b/>
          <w:color w:val="000000"/>
          <w:sz w:val="24"/>
          <w:szCs w:val="24"/>
        </w:rPr>
        <w:t>DA FASE DE JULGAMENTO</w:t>
      </w:r>
    </w:p>
    <w:p w14:paraId="7BE408C9">
      <w:pPr>
        <w:keepNext/>
        <w:keepLines/>
        <w:pBdr>
          <w:top w:val="none" w:color="auto" w:sz="0" w:space="0"/>
          <w:left w:val="none" w:color="auto" w:sz="0" w:space="0"/>
          <w:bottom w:val="none" w:color="auto" w:sz="0" w:space="0"/>
          <w:right w:val="none" w:color="auto" w:sz="0" w:space="0"/>
          <w:between w:val="none" w:color="auto" w:sz="0" w:space="0"/>
        </w:pBdr>
        <w:tabs>
          <w:tab w:val="left" w:pos="567"/>
        </w:tabs>
        <w:spacing w:after="0" w:line="312" w:lineRule="auto"/>
        <w:ind w:left="720"/>
        <w:jc w:val="both"/>
        <w:rPr>
          <w:rFonts w:ascii="Arial" w:hAnsi="Arial" w:eastAsia="Arial" w:cs="Arial"/>
          <w:b/>
          <w:color w:val="17365D"/>
          <w:sz w:val="24"/>
          <w:szCs w:val="24"/>
        </w:rPr>
      </w:pPr>
    </w:p>
    <w:p w14:paraId="7631FD41">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b/>
          <w:sz w:val="24"/>
          <w:szCs w:val="24"/>
        </w:rPr>
      </w:pPr>
      <w:bookmarkStart w:id="31" w:name="_heading=h.147n2zr" w:colFirst="0" w:colLast="0"/>
      <w:bookmarkEnd w:id="31"/>
      <w:r>
        <w:rPr>
          <w:rFonts w:ascii="Arial" w:hAnsi="Arial" w:eastAsia="Arial" w:cs="Arial"/>
          <w:color w:val="000000"/>
          <w:sz w:val="24"/>
          <w:szCs w:val="24"/>
        </w:rPr>
        <w:t xml:space="preserve">Encerrada a etapa de negociação, a Pregoeira verificará se o licitante provisoriamente classificado em primeiro lugar atende às condições de participação no certame, conforme previsto no </w:t>
      </w:r>
      <w:r>
        <w:fldChar w:fldCharType="begin"/>
      </w:r>
      <w:r>
        <w:instrText xml:space="preserve"> HYPERLINK "http://www.planalto.gov.br/ccivil_03/_ato2019-2022/2021/lei/L14133.htm" \l "art14" \h </w:instrText>
      </w:r>
      <w:r>
        <w:fldChar w:fldCharType="separate"/>
      </w:r>
      <w:r>
        <w:rPr>
          <w:rFonts w:ascii="Arial" w:hAnsi="Arial" w:eastAsia="Arial" w:cs="Arial"/>
          <w:color w:val="000080"/>
          <w:sz w:val="24"/>
          <w:szCs w:val="24"/>
          <w:u w:val="single"/>
        </w:rPr>
        <w:t>art. 14 da Lei nº 14.133/2021</w:t>
      </w:r>
      <w:r>
        <w:rPr>
          <w:rFonts w:ascii="Arial" w:hAnsi="Arial" w:eastAsia="Arial" w:cs="Arial"/>
          <w:color w:val="000080"/>
          <w:sz w:val="24"/>
          <w:szCs w:val="24"/>
          <w:u w:val="single"/>
        </w:rPr>
        <w:fldChar w:fldCharType="end"/>
      </w:r>
      <w:r>
        <w:rPr>
          <w:rFonts w:ascii="Arial" w:hAnsi="Arial" w:eastAsia="Arial" w:cs="Arial"/>
          <w:color w:val="000000"/>
          <w:sz w:val="24"/>
          <w:szCs w:val="24"/>
        </w:rPr>
        <w:t>, legislação correlata e no item 3.5 do edital, especialmente quanto à existência de sanção que impeça a participação no certame ou a futura contratação, mediante a consulta aos seguintes cadastros:</w:t>
      </w:r>
    </w:p>
    <w:p w14:paraId="76CD98BA">
      <w:pPr>
        <w:numPr>
          <w:ilvl w:val="0"/>
          <w:numId w:val="4"/>
        </w:numPr>
        <w:pBdr>
          <w:top w:val="none" w:color="auto" w:sz="0" w:space="0"/>
          <w:left w:val="none" w:color="auto" w:sz="0" w:space="0"/>
          <w:bottom w:val="none" w:color="auto" w:sz="0" w:space="0"/>
          <w:right w:val="none" w:color="auto" w:sz="0" w:space="0"/>
          <w:between w:val="none" w:color="auto" w:sz="0" w:space="0"/>
        </w:pBdr>
        <w:spacing w:after="0"/>
        <w:ind w:left="1701" w:hanging="360"/>
        <w:jc w:val="both"/>
        <w:rPr>
          <w:rFonts w:ascii="Arial" w:hAnsi="Arial" w:eastAsia="Arial" w:cs="Arial"/>
          <w:color w:val="000000"/>
          <w:sz w:val="24"/>
          <w:szCs w:val="24"/>
        </w:rPr>
      </w:pPr>
      <w:r>
        <w:rPr>
          <w:rFonts w:ascii="Arial" w:hAnsi="Arial" w:eastAsia="Arial" w:cs="Arial"/>
          <w:color w:val="000000"/>
          <w:sz w:val="24"/>
          <w:szCs w:val="24"/>
        </w:rPr>
        <w:t>Cadastro Nacional de Empresas Inidôneas e Suspensas - CEIS, mantido pela Controladoria-Geral da União (</w:t>
      </w:r>
      <w:r>
        <w:fldChar w:fldCharType="begin"/>
      </w:r>
      <w:r>
        <w:instrText xml:space="preserve"> HYPERLINK "https://www.portaltransparencia.gov.br/sancoes/ceis" \h </w:instrText>
      </w:r>
      <w:r>
        <w:fldChar w:fldCharType="separate"/>
      </w:r>
      <w:r>
        <w:rPr>
          <w:rFonts w:ascii="Arial" w:hAnsi="Arial" w:eastAsia="Arial" w:cs="Arial"/>
          <w:color w:val="000080"/>
          <w:sz w:val="24"/>
          <w:szCs w:val="24"/>
          <w:u w:val="single"/>
        </w:rPr>
        <w:t>https://www.portaltransparencia.gov.br/sancoes/ceis</w:t>
      </w:r>
      <w:r>
        <w:rPr>
          <w:rFonts w:ascii="Arial" w:hAnsi="Arial" w:eastAsia="Arial" w:cs="Arial"/>
          <w:color w:val="000080"/>
          <w:sz w:val="24"/>
          <w:szCs w:val="24"/>
          <w:u w:val="single"/>
        </w:rPr>
        <w:fldChar w:fldCharType="end"/>
      </w:r>
      <w:r>
        <w:rPr>
          <w:rFonts w:ascii="Arial" w:hAnsi="Arial" w:eastAsia="Arial" w:cs="Arial"/>
          <w:color w:val="000000"/>
          <w:sz w:val="24"/>
          <w:szCs w:val="24"/>
        </w:rPr>
        <w:t xml:space="preserve">); e </w:t>
      </w:r>
    </w:p>
    <w:p w14:paraId="486909FC">
      <w:pPr>
        <w:numPr>
          <w:ilvl w:val="0"/>
          <w:numId w:val="4"/>
        </w:numPr>
        <w:pBdr>
          <w:top w:val="none" w:color="auto" w:sz="0" w:space="0"/>
          <w:left w:val="none" w:color="auto" w:sz="0" w:space="0"/>
          <w:bottom w:val="none" w:color="auto" w:sz="0" w:space="0"/>
          <w:right w:val="none" w:color="auto" w:sz="0" w:space="0"/>
          <w:between w:val="none" w:color="auto" w:sz="0" w:space="0"/>
        </w:pBdr>
        <w:spacing w:after="0"/>
        <w:ind w:left="1701" w:hanging="360"/>
        <w:jc w:val="both"/>
        <w:rPr>
          <w:rFonts w:ascii="Arial" w:hAnsi="Arial" w:eastAsia="Arial" w:cs="Arial"/>
          <w:color w:val="000000"/>
          <w:sz w:val="24"/>
          <w:szCs w:val="24"/>
        </w:rPr>
      </w:pPr>
      <w:r>
        <w:rPr>
          <w:rFonts w:ascii="Arial" w:hAnsi="Arial" w:eastAsia="Arial" w:cs="Arial"/>
          <w:color w:val="000000"/>
          <w:sz w:val="24"/>
          <w:szCs w:val="24"/>
        </w:rPr>
        <w:t>Cadastro Nacional de Empresas Punidas – CNEP, mantido pela Controladoria-Geral da União (</w:t>
      </w:r>
      <w:r>
        <w:fldChar w:fldCharType="begin"/>
      </w:r>
      <w:r>
        <w:instrText xml:space="preserve"> HYPERLINK "https://www.portaltransparencia.gov.br/sancoes/cnep" \h </w:instrText>
      </w:r>
      <w:r>
        <w:fldChar w:fldCharType="separate"/>
      </w:r>
      <w:r>
        <w:rPr>
          <w:rFonts w:ascii="Arial" w:hAnsi="Arial" w:eastAsia="Arial" w:cs="Arial"/>
          <w:color w:val="000080"/>
          <w:sz w:val="24"/>
          <w:szCs w:val="24"/>
          <w:u w:val="single"/>
        </w:rPr>
        <w:t>https://www.portaltransparencia.gov.br/sancoes/cnep</w:t>
      </w:r>
      <w:r>
        <w:rPr>
          <w:rFonts w:ascii="Arial" w:hAnsi="Arial" w:eastAsia="Arial" w:cs="Arial"/>
          <w:color w:val="000080"/>
          <w:sz w:val="24"/>
          <w:szCs w:val="24"/>
          <w:u w:val="single"/>
        </w:rPr>
        <w:fldChar w:fldCharType="end"/>
      </w:r>
      <w:r>
        <w:rPr>
          <w:rFonts w:ascii="Arial" w:hAnsi="Arial" w:eastAsia="Arial" w:cs="Arial"/>
          <w:color w:val="000000"/>
          <w:sz w:val="24"/>
          <w:szCs w:val="24"/>
        </w:rPr>
        <w:t>).</w:t>
      </w:r>
    </w:p>
    <w:p w14:paraId="00B0F07A">
      <w:p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p>
    <w:p w14:paraId="1F062953">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 xml:space="preserve">A consulta aos cadastros será realizada em nome da empresa licitante e também de seu sócio majoritário, por força da vedação de que trata o </w:t>
      </w:r>
      <w:r>
        <w:fldChar w:fldCharType="begin"/>
      </w:r>
      <w:r>
        <w:instrText xml:space="preserve"> HYPERLINK "https://www.planalto.gov.br/ccivil_03/leis/l8429.htm" \l ":~:text=%C3%A0s%20seguintes%20comina%C3%A7%C3%B5es%3A-,Art.,n%C2%BA%2012.120%2C%20de%202009)." \h </w:instrText>
      </w:r>
      <w:r>
        <w:fldChar w:fldCharType="separate"/>
      </w:r>
      <w:r>
        <w:rPr>
          <w:rFonts w:ascii="Arial" w:hAnsi="Arial" w:eastAsia="Arial" w:cs="Arial"/>
          <w:color w:val="000080"/>
          <w:sz w:val="24"/>
          <w:szCs w:val="24"/>
          <w:u w:val="single"/>
        </w:rPr>
        <w:t>artigo 12 da Lei n° 8.429, de 1992</w:t>
      </w:r>
      <w:r>
        <w:rPr>
          <w:rFonts w:ascii="Arial" w:hAnsi="Arial" w:eastAsia="Arial" w:cs="Arial"/>
          <w:color w:val="000080"/>
          <w:sz w:val="24"/>
          <w:szCs w:val="24"/>
          <w:u w:val="single"/>
        </w:rPr>
        <w:fldChar w:fldCharType="end"/>
      </w:r>
      <w:r>
        <w:rPr>
          <w:rFonts w:ascii="Arial" w:hAnsi="Arial" w:eastAsia="Arial" w:cs="Arial"/>
          <w:color w:val="000000"/>
          <w:sz w:val="24"/>
          <w:szCs w:val="24"/>
        </w:rPr>
        <w:t>.</w:t>
      </w:r>
    </w:p>
    <w:p w14:paraId="4A6C270D">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Caso conste na Consulta de Situação do licitante a existência de Ocorrências Impeditivas Indiretas, a Pregoeira diligenciará para verificar se houve fraude por parte das empresas apontadas no Relatório de Ocorrências Impeditivas Indiretas. (</w:t>
      </w:r>
      <w:r>
        <w:fldChar w:fldCharType="begin"/>
      </w:r>
      <w:r>
        <w:instrText xml:space="preserve"> HYPERLINK "https://www.gov.br/compras/pt-br/acesso-a-informacao/legislacao/instrucoes-normativas/instrucao-normativa-no-3-de-26-de-abril-de-2018" \l "art29" \h </w:instrText>
      </w:r>
      <w:r>
        <w:fldChar w:fldCharType="separate"/>
      </w:r>
      <w:r>
        <w:rPr>
          <w:rFonts w:ascii="Arial" w:hAnsi="Arial" w:eastAsia="Arial" w:cs="Arial"/>
          <w:color w:val="000080"/>
          <w:sz w:val="24"/>
          <w:szCs w:val="24"/>
          <w:u w:val="single"/>
        </w:rPr>
        <w:t xml:space="preserve">IN nº 3/2018, art. 29, </w:t>
      </w:r>
      <w:r>
        <w:rPr>
          <w:rFonts w:ascii="Arial" w:hAnsi="Arial" w:eastAsia="Arial" w:cs="Arial"/>
          <w:color w:val="000080"/>
          <w:sz w:val="24"/>
          <w:szCs w:val="24"/>
          <w:u w:val="single"/>
        </w:rPr>
        <w:fldChar w:fldCharType="end"/>
      </w:r>
      <w:r>
        <w:fldChar w:fldCharType="begin"/>
      </w:r>
      <w:r>
        <w:instrText xml:space="preserve"> HYPERLINK "https://www.gov.br/compras/pt-br/acesso-a-informacao/legislacao/instrucoes-normativas/instrucao-normativa-no-3-de-26-de-abril-de-2018" \l "art29" \h </w:instrText>
      </w:r>
      <w:r>
        <w:fldChar w:fldCharType="separate"/>
      </w:r>
      <w:r>
        <w:rPr>
          <w:rFonts w:ascii="Arial" w:hAnsi="Arial" w:eastAsia="Arial" w:cs="Arial"/>
          <w:i/>
          <w:color w:val="000080"/>
          <w:sz w:val="24"/>
          <w:szCs w:val="24"/>
          <w:u w:val="single"/>
        </w:rPr>
        <w:t>caput</w:t>
      </w:r>
      <w:r>
        <w:rPr>
          <w:rFonts w:ascii="Arial" w:hAnsi="Arial" w:eastAsia="Arial" w:cs="Arial"/>
          <w:i/>
          <w:color w:val="000080"/>
          <w:sz w:val="24"/>
          <w:szCs w:val="24"/>
          <w:u w:val="single"/>
        </w:rPr>
        <w:fldChar w:fldCharType="end"/>
      </w:r>
      <w:r>
        <w:rPr>
          <w:rFonts w:ascii="Arial" w:hAnsi="Arial" w:eastAsia="Arial" w:cs="Arial"/>
          <w:color w:val="000000"/>
          <w:sz w:val="24"/>
          <w:szCs w:val="24"/>
        </w:rPr>
        <w:t>).</w:t>
      </w:r>
    </w:p>
    <w:p w14:paraId="3222F128">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A tentativa de burla será verificada por meio dos vínculos societários, linhas de fornecimento similares, dentre outros. (</w:t>
      </w:r>
      <w:r>
        <w:fldChar w:fldCharType="begin"/>
      </w:r>
      <w:r>
        <w:instrText xml:space="preserve"> HYPERLINK "https://www.gov.br/compras/pt-br/acesso-a-informacao/legislacao/instrucoes-normativas/instrucao-normativa-no-3-de-26-de-abril-de-2018" \h </w:instrText>
      </w:r>
      <w:r>
        <w:fldChar w:fldCharType="separate"/>
      </w:r>
      <w:r>
        <w:rPr>
          <w:rFonts w:ascii="Arial" w:hAnsi="Arial" w:eastAsia="Arial" w:cs="Arial"/>
          <w:color w:val="000080"/>
          <w:sz w:val="24"/>
          <w:szCs w:val="24"/>
          <w:u w:val="single"/>
        </w:rPr>
        <w:t>IN nº 3/2018, art. 29, §1º</w:t>
      </w:r>
      <w:r>
        <w:rPr>
          <w:rFonts w:ascii="Arial" w:hAnsi="Arial" w:eastAsia="Arial" w:cs="Arial"/>
          <w:color w:val="000080"/>
          <w:sz w:val="24"/>
          <w:szCs w:val="24"/>
          <w:u w:val="single"/>
        </w:rPr>
        <w:fldChar w:fldCharType="end"/>
      </w:r>
      <w:r>
        <w:rPr>
          <w:rFonts w:ascii="Arial" w:hAnsi="Arial" w:eastAsia="Arial" w:cs="Arial"/>
          <w:color w:val="000000"/>
          <w:sz w:val="24"/>
          <w:szCs w:val="24"/>
        </w:rPr>
        <w:t>).</w:t>
      </w:r>
    </w:p>
    <w:p w14:paraId="018A5C02">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O licitante será convocado para manifestação previamente a uma eventual desclassificação. (</w:t>
      </w:r>
      <w:r>
        <w:fldChar w:fldCharType="begin"/>
      </w:r>
      <w:r>
        <w:instrText xml:space="preserve"> HYPERLINK "https://www.gov.br/compras/pt-br/acesso-a-informacao/legislacao/instrucoes-normativas/instrucao-normativa-no-3-de-26-de-abril-de-2018" \h </w:instrText>
      </w:r>
      <w:r>
        <w:fldChar w:fldCharType="separate"/>
      </w:r>
      <w:r>
        <w:rPr>
          <w:rFonts w:ascii="Arial" w:hAnsi="Arial" w:eastAsia="Arial" w:cs="Arial"/>
          <w:color w:val="000080"/>
          <w:sz w:val="24"/>
          <w:szCs w:val="24"/>
          <w:u w:val="single"/>
        </w:rPr>
        <w:t>IN nº 3/2018, art. 29, §2º</w:t>
      </w:r>
      <w:r>
        <w:rPr>
          <w:rFonts w:ascii="Arial" w:hAnsi="Arial" w:eastAsia="Arial" w:cs="Arial"/>
          <w:color w:val="000080"/>
          <w:sz w:val="24"/>
          <w:szCs w:val="24"/>
          <w:u w:val="single"/>
        </w:rPr>
        <w:fldChar w:fldCharType="end"/>
      </w:r>
      <w:r>
        <w:rPr>
          <w:rFonts w:ascii="Arial" w:hAnsi="Arial" w:eastAsia="Arial" w:cs="Arial"/>
          <w:color w:val="000000"/>
          <w:sz w:val="24"/>
          <w:szCs w:val="24"/>
        </w:rPr>
        <w:t>).</w:t>
      </w:r>
    </w:p>
    <w:p w14:paraId="33F86F5A">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bookmarkStart w:id="32" w:name="_heading=h.3o7alnk" w:colFirst="0" w:colLast="0"/>
      <w:bookmarkEnd w:id="32"/>
      <w:r>
        <w:rPr>
          <w:rFonts w:ascii="Arial" w:hAnsi="Arial" w:eastAsia="Arial" w:cs="Arial"/>
          <w:color w:val="000000"/>
          <w:sz w:val="24"/>
          <w:szCs w:val="24"/>
        </w:rPr>
        <w:t>Constatada a existência de sanção, o licitante será reputado inabilitado, por falta de condição de participação.</w:t>
      </w:r>
    </w:p>
    <w:p w14:paraId="5CD49321">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Na hipótese de inversão das fases de habilitação e julgamento, caso atendidas as condições de participação, será iniciado o procedimento de habilitação.</w:t>
      </w:r>
    </w:p>
    <w:p w14:paraId="621D509C">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Caso o licitante provisoriamente classificado em primeiro lugar tenha se utilizado de algum tratamento favorecido às ME/EPPs, a Pregoeira verificará se faz jus ao benefício, em conformidade com o item 4.6 deste edital.</w:t>
      </w:r>
    </w:p>
    <w:p w14:paraId="19AA5D52">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 xml:space="preserve">Verificadas as condições de participação e de utilização do tratamento favorecido, a Pregoeira examinará a proposta classificada em primeiro lugar quanto à adequação ao objeto e à compatibilidade do preço em relação ao máximo estipulado para contratação neste Edital e em seus anexos, observado o disposto no </w:t>
      </w:r>
      <w:r>
        <w:fldChar w:fldCharType="begin"/>
      </w:r>
      <w:r>
        <w:instrText xml:space="preserve"> HYPERLINK "https://www.gov.br/compras/pt-br/acesso-a-informacao/legislacao/instrucoes-normativas/instrucao-normativa-seges-me-no-73-de-30-de-setembro-de-2022" \l "art29" \h </w:instrText>
      </w:r>
      <w:r>
        <w:fldChar w:fldCharType="separate"/>
      </w:r>
      <w:r>
        <w:rPr>
          <w:rFonts w:ascii="Arial" w:hAnsi="Arial" w:eastAsia="Arial" w:cs="Arial"/>
          <w:color w:val="000080"/>
          <w:sz w:val="24"/>
          <w:szCs w:val="24"/>
          <w:u w:val="single"/>
        </w:rPr>
        <w:t>artigo 29 a 35 da IN SEGES nº 73, de 30 de setembro de 2022</w:t>
      </w:r>
      <w:r>
        <w:rPr>
          <w:rFonts w:ascii="Arial" w:hAnsi="Arial" w:eastAsia="Arial" w:cs="Arial"/>
          <w:color w:val="000080"/>
          <w:sz w:val="24"/>
          <w:szCs w:val="24"/>
          <w:u w:val="single"/>
        </w:rPr>
        <w:fldChar w:fldCharType="end"/>
      </w:r>
      <w:r>
        <w:rPr>
          <w:rFonts w:ascii="Arial" w:hAnsi="Arial" w:eastAsia="Arial" w:cs="Arial"/>
          <w:color w:val="000000"/>
          <w:sz w:val="24"/>
          <w:szCs w:val="24"/>
        </w:rPr>
        <w:t>.</w:t>
      </w:r>
    </w:p>
    <w:p w14:paraId="37CAD4CD">
      <w:pPr>
        <w:pBdr>
          <w:top w:val="none" w:color="auto" w:sz="0" w:space="0"/>
          <w:left w:val="none" w:color="auto" w:sz="0" w:space="0"/>
          <w:bottom w:val="none" w:color="auto" w:sz="0" w:space="0"/>
          <w:right w:val="none" w:color="auto" w:sz="0" w:space="0"/>
          <w:between w:val="none" w:color="auto" w:sz="0" w:space="0"/>
        </w:pBdr>
        <w:spacing w:after="0"/>
        <w:ind w:left="1080"/>
        <w:jc w:val="both"/>
        <w:rPr>
          <w:rFonts w:ascii="Arial" w:hAnsi="Arial" w:eastAsia="Arial" w:cs="Arial"/>
          <w:color w:val="000000"/>
          <w:sz w:val="24"/>
          <w:szCs w:val="24"/>
        </w:rPr>
      </w:pPr>
    </w:p>
    <w:p w14:paraId="7B529748">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 xml:space="preserve">Será desclassificada a proposta vencedora que: </w:t>
      </w:r>
    </w:p>
    <w:p w14:paraId="2A82AB0E">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Contiver vícios insanáveis;</w:t>
      </w:r>
    </w:p>
    <w:p w14:paraId="71E90256">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Não obedecer às especificações técnicas contidas no Termo de Referência;</w:t>
      </w:r>
    </w:p>
    <w:p w14:paraId="130B9DAC">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Apresentar preços inexequíveis ou permanecerem acima do preço máximo definido para a contratação;</w:t>
      </w:r>
    </w:p>
    <w:p w14:paraId="3FAC8FD9">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Não tiverem sua exequibilidade demonstrada, quando exigido pela Administração;</w:t>
      </w:r>
    </w:p>
    <w:p w14:paraId="5A1752CB">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r>
        <w:rPr>
          <w:rFonts w:ascii="Arial" w:hAnsi="Arial" w:eastAsia="Arial" w:cs="Arial"/>
          <w:color w:val="000000"/>
          <w:sz w:val="24"/>
          <w:szCs w:val="24"/>
        </w:rPr>
        <w:t>Apresentar desconformidade com quaisquer outras exigências deste Edital ou seus anexos, desde que insanável.</w:t>
      </w:r>
    </w:p>
    <w:p w14:paraId="4BD02337">
      <w:p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color w:val="000000"/>
          <w:sz w:val="24"/>
          <w:szCs w:val="24"/>
        </w:rPr>
      </w:pPr>
    </w:p>
    <w:p w14:paraId="0AE3DD49">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b/>
          <w:sz w:val="24"/>
          <w:szCs w:val="24"/>
        </w:rPr>
      </w:pPr>
      <w:r>
        <w:rPr>
          <w:rFonts w:ascii="Arial" w:hAnsi="Arial" w:eastAsia="Arial" w:cs="Arial"/>
          <w:color w:val="000000"/>
          <w:sz w:val="24"/>
          <w:szCs w:val="24"/>
        </w:rPr>
        <w:t>No caso de bens e serviços em geral, é indício de inexequibilidade das propostas valores inferiores a 50% (cinquenta por cento) do valor orçado pela Administração.</w:t>
      </w:r>
    </w:p>
    <w:p w14:paraId="62ACE700">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b/>
          <w:color w:val="000000"/>
          <w:sz w:val="24"/>
          <w:szCs w:val="24"/>
        </w:rPr>
      </w:pPr>
      <w:r>
        <w:rPr>
          <w:rFonts w:ascii="Arial" w:hAnsi="Arial" w:eastAsia="Arial" w:cs="Arial"/>
          <w:color w:val="000000"/>
          <w:sz w:val="24"/>
          <w:szCs w:val="24"/>
        </w:rPr>
        <w:t xml:space="preserve">A inexequibilidade, na hipótese de que trata o </w:t>
      </w:r>
      <w:r>
        <w:rPr>
          <w:rFonts w:ascii="Arial" w:hAnsi="Arial" w:eastAsia="Arial" w:cs="Arial"/>
          <w:b/>
          <w:color w:val="000000"/>
          <w:sz w:val="24"/>
          <w:szCs w:val="24"/>
        </w:rPr>
        <w:t>caput</w:t>
      </w:r>
      <w:r>
        <w:rPr>
          <w:rFonts w:ascii="Arial" w:hAnsi="Arial" w:eastAsia="Arial" w:cs="Arial"/>
          <w:color w:val="000000"/>
          <w:sz w:val="24"/>
          <w:szCs w:val="24"/>
        </w:rPr>
        <w:t>, só será considerada após diligência da Pregoeira, que comprove:</w:t>
      </w:r>
    </w:p>
    <w:p w14:paraId="1E26CEA8">
      <w:pPr>
        <w:numPr>
          <w:ilvl w:val="3"/>
          <w:numId w:val="1"/>
        </w:numPr>
        <w:pBdr>
          <w:top w:val="none" w:color="auto" w:sz="0" w:space="0"/>
          <w:left w:val="none" w:color="auto" w:sz="0" w:space="0"/>
          <w:bottom w:val="none" w:color="auto" w:sz="0" w:space="0"/>
          <w:right w:val="none" w:color="auto" w:sz="0" w:space="0"/>
          <w:between w:val="none" w:color="auto" w:sz="0" w:space="0"/>
        </w:pBdr>
        <w:spacing w:after="0"/>
        <w:ind w:left="2268" w:hanging="850"/>
        <w:jc w:val="both"/>
        <w:rPr>
          <w:rFonts w:ascii="Arial" w:hAnsi="Arial" w:eastAsia="Arial" w:cs="Arial"/>
          <w:color w:val="000000"/>
          <w:sz w:val="24"/>
          <w:szCs w:val="24"/>
        </w:rPr>
      </w:pPr>
      <w:r>
        <w:rPr>
          <w:rFonts w:ascii="Arial" w:hAnsi="Arial" w:eastAsia="Arial" w:cs="Arial"/>
          <w:color w:val="000000"/>
          <w:sz w:val="24"/>
          <w:szCs w:val="24"/>
        </w:rPr>
        <w:t>Que o custo do licitante ultrapassa o valor da proposta; e</w:t>
      </w:r>
    </w:p>
    <w:p w14:paraId="51D2CCD6">
      <w:pPr>
        <w:numPr>
          <w:ilvl w:val="3"/>
          <w:numId w:val="1"/>
        </w:numPr>
        <w:pBdr>
          <w:top w:val="none" w:color="auto" w:sz="0" w:space="0"/>
          <w:left w:val="none" w:color="auto" w:sz="0" w:space="0"/>
          <w:bottom w:val="none" w:color="auto" w:sz="0" w:space="0"/>
          <w:right w:val="none" w:color="auto" w:sz="0" w:space="0"/>
          <w:between w:val="none" w:color="auto" w:sz="0" w:space="0"/>
        </w:pBdr>
        <w:spacing w:after="0"/>
        <w:ind w:left="2268" w:hanging="850"/>
        <w:jc w:val="both"/>
        <w:rPr>
          <w:rFonts w:ascii="Arial" w:hAnsi="Arial" w:eastAsia="Arial" w:cs="Arial"/>
          <w:color w:val="000000"/>
          <w:sz w:val="24"/>
          <w:szCs w:val="24"/>
        </w:rPr>
      </w:pPr>
      <w:r>
        <w:rPr>
          <w:rFonts w:ascii="Arial" w:hAnsi="Arial" w:eastAsia="Arial" w:cs="Arial"/>
          <w:color w:val="000000"/>
          <w:sz w:val="24"/>
          <w:szCs w:val="24"/>
        </w:rPr>
        <w:t>Inexistirem custos de oportunidade capazes de justificar o vulto da oferta.</w:t>
      </w:r>
    </w:p>
    <w:p w14:paraId="1F09045D">
      <w:pPr>
        <w:pBdr>
          <w:top w:val="none" w:color="auto" w:sz="0" w:space="0"/>
          <w:left w:val="none" w:color="auto" w:sz="0" w:space="0"/>
          <w:bottom w:val="none" w:color="auto" w:sz="0" w:space="0"/>
          <w:right w:val="none" w:color="auto" w:sz="0" w:space="0"/>
          <w:between w:val="none" w:color="auto" w:sz="0" w:space="0"/>
        </w:pBdr>
        <w:spacing w:after="0"/>
        <w:ind w:left="2268"/>
        <w:jc w:val="both"/>
        <w:rPr>
          <w:rFonts w:ascii="Arial" w:hAnsi="Arial" w:eastAsia="Arial" w:cs="Arial"/>
          <w:color w:val="000000"/>
          <w:sz w:val="24"/>
          <w:szCs w:val="24"/>
        </w:rPr>
      </w:pPr>
    </w:p>
    <w:p w14:paraId="37F9165D">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b/>
          <w:sz w:val="24"/>
          <w:szCs w:val="24"/>
        </w:rPr>
      </w:pPr>
      <w:r>
        <w:rPr>
          <w:rFonts w:ascii="Arial" w:hAnsi="Arial" w:eastAsia="Arial" w:cs="Arial"/>
          <w:color w:val="000000"/>
          <w:sz w:val="24"/>
          <w:szCs w:val="24"/>
        </w:rPr>
        <w:t>Em contratação de serviços de engenharia, além das disposições acima, a análise de exequibilidade e sobrepreço considerará o seguinte:</w:t>
      </w:r>
    </w:p>
    <w:p w14:paraId="69DBB890">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b/>
          <w:color w:val="000000"/>
          <w:sz w:val="24"/>
          <w:szCs w:val="24"/>
        </w:rPr>
      </w:pPr>
      <w:r>
        <w:rPr>
          <w:rFonts w:ascii="Arial" w:hAnsi="Arial" w:eastAsia="Arial" w:cs="Arial"/>
          <w:color w:val="000000"/>
          <w:sz w:val="24"/>
          <w:szCs w:val="24"/>
        </w:rPr>
        <w:t>Nos regimes de execução por tarefa, empreitada por preço global ou empreitada integral, semi-integrada ou integrada, a caracterização do sobrepreço se dará pela superação do valor global estimado;</w:t>
      </w:r>
    </w:p>
    <w:p w14:paraId="2D4450CB">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bookmarkStart w:id="33" w:name="_heading=h.23ckvvd" w:colFirst="0" w:colLast="0"/>
      <w:bookmarkEnd w:id="33"/>
      <w:r>
        <w:rPr>
          <w:rFonts w:ascii="Arial" w:hAnsi="Arial" w:eastAsia="Arial" w:cs="Arial"/>
          <w:color w:val="000000"/>
          <w:sz w:val="24"/>
          <w:szCs w:val="24"/>
        </w:rPr>
        <w:t>Será exigida garantia adicional do licitante vencedor cuja proposta for inferior a 85% (oitenta e cinco por cento) do valor orçado pela Administração, equivalente à diferença entre este último e o valor da proposta, sem prejuízo das demais garantias exigíveis de acordo com a Lei.</w:t>
      </w:r>
    </w:p>
    <w:p w14:paraId="30DC457A">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Se houver indícios de inexequibilidade da proposta de preço, ou em caso da necessidade de esclarecimentos complementares, poderão ser efetuadas diligências, para que a empresa comprove a exequibilidade da proposta.</w:t>
      </w:r>
    </w:p>
    <w:p w14:paraId="0D6228F9">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Caso o custo global estimado do objeto licitado tenha sido decomposto em seus respectivos custos unitários por meio de Planilha de Custos e Formação de Preços elaborada pela Administração, o licitante classificado em primeiro lugar será convocado para apresentar Planilha por ele elaborada, com os respectivos valores adequados ao valor final da sua proposta, sob pena de não aceitação da proposta.</w:t>
      </w:r>
    </w:p>
    <w:p w14:paraId="09CA8F29">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b/>
          <w:sz w:val="24"/>
          <w:szCs w:val="24"/>
        </w:rPr>
      </w:pPr>
      <w:r>
        <w:rPr>
          <w:rFonts w:ascii="Arial" w:hAnsi="Arial" w:eastAsia="Arial" w:cs="Arial"/>
          <w:color w:val="000000"/>
          <w:sz w:val="24"/>
          <w:szCs w:val="24"/>
        </w:rPr>
        <w:t>Erros no preenchimento da planilha não constituem motivo para a desclassificação da proposta. A planilha poderá́ ser ajustada pelo fornecedor, no prazo indicado pelo sistema, desde que não haja majoração do preço e que se comprove que este é o bastante para arcar com todos os custos da contratação;</w:t>
      </w:r>
    </w:p>
    <w:p w14:paraId="3AE2BBF0">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b/>
          <w:color w:val="000000"/>
          <w:sz w:val="24"/>
          <w:szCs w:val="24"/>
        </w:rPr>
      </w:pPr>
      <w:r>
        <w:rPr>
          <w:rFonts w:ascii="Arial" w:hAnsi="Arial" w:eastAsia="Arial" w:cs="Arial"/>
          <w:color w:val="000000"/>
          <w:sz w:val="24"/>
          <w:szCs w:val="24"/>
        </w:rPr>
        <w:t>O ajuste de que trata este dispositivo se limita a sanar erros ou falhas que não alterem a substância das propostas;</w:t>
      </w:r>
    </w:p>
    <w:p w14:paraId="2750A7D4">
      <w:pPr>
        <w:numPr>
          <w:ilvl w:val="2"/>
          <w:numId w:val="1"/>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b/>
          <w:color w:val="000000"/>
          <w:sz w:val="24"/>
          <w:szCs w:val="24"/>
        </w:rPr>
      </w:pPr>
      <w:r>
        <w:rPr>
          <w:rFonts w:ascii="Arial" w:hAnsi="Arial" w:eastAsia="Arial" w:cs="Arial"/>
          <w:color w:val="000000"/>
          <w:sz w:val="24"/>
          <w:szCs w:val="24"/>
        </w:rPr>
        <w:t>Considera-se erro no preenchimento da planilha passível de correção a indicação de recolhimento de impostos e contribuições na forma do Simples Nacional, quando não cabível esse regime.</w:t>
      </w:r>
    </w:p>
    <w:p w14:paraId="5C4327FC">
      <w:pPr>
        <w:pBdr>
          <w:top w:val="none" w:color="auto" w:sz="0" w:space="0"/>
          <w:left w:val="none" w:color="auto" w:sz="0" w:space="0"/>
          <w:bottom w:val="none" w:color="auto" w:sz="0" w:space="0"/>
          <w:right w:val="none" w:color="auto" w:sz="0" w:space="0"/>
          <w:between w:val="none" w:color="auto" w:sz="0" w:space="0"/>
        </w:pBdr>
        <w:spacing w:after="0"/>
        <w:ind w:left="1701"/>
        <w:jc w:val="both"/>
        <w:rPr>
          <w:rFonts w:ascii="Arial" w:hAnsi="Arial" w:eastAsia="Arial" w:cs="Arial"/>
          <w:b/>
          <w:color w:val="000000"/>
          <w:sz w:val="24"/>
          <w:szCs w:val="24"/>
        </w:rPr>
      </w:pPr>
    </w:p>
    <w:p w14:paraId="1761E2B0">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b/>
          <w:sz w:val="24"/>
          <w:szCs w:val="24"/>
        </w:rPr>
      </w:pPr>
      <w:r>
        <w:rPr>
          <w:rFonts w:ascii="Arial" w:hAnsi="Arial" w:eastAsia="Arial" w:cs="Arial"/>
          <w:color w:val="000000"/>
          <w:sz w:val="24"/>
          <w:szCs w:val="24"/>
        </w:rPr>
        <w:t>Para fins de análise da proposta quanto ao cumprimento das especificações do objeto, poderá ser colhida a manifestação escrita do setor requisitante do serviço ou da área especializada no objeto.</w:t>
      </w:r>
    </w:p>
    <w:p w14:paraId="2142423F">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b/>
          <w:sz w:val="24"/>
          <w:szCs w:val="24"/>
        </w:rPr>
      </w:pPr>
      <w:r>
        <w:rPr>
          <w:rFonts w:ascii="Arial" w:hAnsi="Arial" w:eastAsia="Arial" w:cs="Arial"/>
          <w:color w:val="000000"/>
          <w:sz w:val="24"/>
          <w:szCs w:val="24"/>
        </w:rPr>
        <w:t>Caso o Termo de Referência exija a apresentação de amostra, o licitante classificado em primeiro lugar deverá apresentá-la, conforme disciplinado no Termo de Referência, sob pena de não aceitação da proposta.</w:t>
      </w:r>
    </w:p>
    <w:p w14:paraId="05F4293B">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b/>
          <w:sz w:val="24"/>
          <w:szCs w:val="24"/>
        </w:rPr>
      </w:pPr>
      <w:r>
        <w:rPr>
          <w:rFonts w:ascii="Arial" w:hAnsi="Arial" w:eastAsia="Arial" w:cs="Arial"/>
          <w:color w:val="000000"/>
          <w:sz w:val="24"/>
          <w:szCs w:val="24"/>
        </w:rPr>
        <w:t>Por meio de mensagem no sistema, será divulgado o local e horário de realização do procedimento para a avaliação das amostras, cuja presença será facultada a todos os interessados, incluindo os demais licitantes.</w:t>
      </w:r>
    </w:p>
    <w:p w14:paraId="02DE74B5">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b/>
          <w:sz w:val="24"/>
          <w:szCs w:val="24"/>
        </w:rPr>
      </w:pPr>
      <w:r>
        <w:rPr>
          <w:rFonts w:ascii="Arial" w:hAnsi="Arial" w:eastAsia="Arial" w:cs="Arial"/>
          <w:color w:val="000000"/>
          <w:sz w:val="24"/>
          <w:szCs w:val="24"/>
        </w:rPr>
        <w:t>Os resultados das avaliações serão divulgados por meio de mensagem no sistema.</w:t>
      </w:r>
    </w:p>
    <w:p w14:paraId="2B30070B">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b/>
          <w:sz w:val="24"/>
          <w:szCs w:val="24"/>
        </w:rPr>
      </w:pPr>
      <w:r>
        <w:rPr>
          <w:rFonts w:ascii="Arial" w:hAnsi="Arial" w:eastAsia="Arial" w:cs="Arial"/>
          <w:color w:val="000000"/>
          <w:sz w:val="24"/>
          <w:szCs w:val="24"/>
        </w:rPr>
        <w:t>No caso de não haver entrega da amostra ou ocorrer atraso na entrega, sem justificativa aceita pela Pregoeira, ou havendo entrega de amostra fora das especificações previstas neste Edital, a proposta do licitante será recusada.</w:t>
      </w:r>
    </w:p>
    <w:p w14:paraId="6C8AE8D1">
      <w:pPr>
        <w:numPr>
          <w:ilvl w:val="1"/>
          <w:numId w:val="1"/>
        </w:numPr>
        <w:pBdr>
          <w:top w:val="none" w:color="auto" w:sz="0" w:space="0"/>
          <w:left w:val="none" w:color="auto" w:sz="0" w:space="0"/>
          <w:bottom w:val="none" w:color="auto" w:sz="0" w:space="0"/>
          <w:right w:val="none" w:color="auto" w:sz="0" w:space="0"/>
          <w:between w:val="none" w:color="auto" w:sz="0" w:space="0"/>
        </w:pBdr>
        <w:spacing w:after="120"/>
        <w:jc w:val="both"/>
        <w:rPr>
          <w:rFonts w:ascii="Arial" w:hAnsi="Arial" w:eastAsia="Arial" w:cs="Arial"/>
          <w:b/>
          <w:sz w:val="24"/>
          <w:szCs w:val="24"/>
        </w:rPr>
      </w:pPr>
      <w:r>
        <w:rPr>
          <w:rFonts w:ascii="Arial" w:hAnsi="Arial" w:eastAsia="Arial" w:cs="Arial"/>
          <w:color w:val="000000"/>
          <w:sz w:val="24"/>
          <w:szCs w:val="24"/>
        </w:rPr>
        <w:t>Se a(s) amostra(s) apresentada(s) pelo primeiro classificado não for(em) aceita(s), a Pregoeira analisará a aceitabilidade da proposta ou lance ofertado pelo segundo classificado. Seguir-se-á com a verificação da(s) amostra(s) e, assim, sucessivamente, até a verificação de uma que atenda às especificações constantes no Termo de Referência.</w:t>
      </w:r>
    </w:p>
    <w:p w14:paraId="28129722">
      <w:pPr>
        <w:spacing w:before="120" w:after="120"/>
        <w:ind w:left="360"/>
        <w:jc w:val="both"/>
        <w:rPr>
          <w:rFonts w:ascii="Arial" w:hAnsi="Arial" w:eastAsia="Arial" w:cs="Arial"/>
          <w:b/>
          <w:color w:val="000000"/>
          <w:sz w:val="24"/>
          <w:szCs w:val="24"/>
        </w:rPr>
      </w:pPr>
      <w:r>
        <w:rPr>
          <w:rFonts w:ascii="Arial" w:hAnsi="Arial" w:eastAsia="Arial" w:cs="Arial"/>
          <w:color w:val="000000"/>
          <w:sz w:val="24"/>
          <w:szCs w:val="24"/>
        </w:rPr>
        <w:t xml:space="preserve"> </w:t>
      </w:r>
    </w:p>
    <w:p w14:paraId="6C3CBAE8">
      <w:pPr>
        <w:keepNext/>
        <w:keepLines/>
        <w:numPr>
          <w:ilvl w:val="0"/>
          <w:numId w:val="1"/>
        </w:numPr>
        <w:pBdr>
          <w:top w:val="none" w:color="auto" w:sz="0" w:space="0"/>
          <w:left w:val="none" w:color="auto" w:sz="0" w:space="0"/>
          <w:bottom w:val="none" w:color="auto" w:sz="0" w:space="0"/>
          <w:right w:val="none" w:color="auto" w:sz="0" w:space="0"/>
          <w:between w:val="none" w:color="auto" w:sz="0" w:space="0"/>
        </w:pBdr>
        <w:tabs>
          <w:tab w:val="left" w:pos="567"/>
        </w:tabs>
        <w:spacing w:before="288" w:after="0" w:line="312" w:lineRule="auto"/>
        <w:jc w:val="both"/>
        <w:rPr>
          <w:rFonts w:ascii="Arial" w:hAnsi="Arial" w:eastAsia="Arial" w:cs="Arial"/>
          <w:b/>
          <w:color w:val="000000"/>
          <w:sz w:val="24"/>
          <w:szCs w:val="24"/>
        </w:rPr>
      </w:pPr>
      <w:bookmarkStart w:id="34" w:name="_heading=h.ihv636" w:colFirst="0" w:colLast="0"/>
      <w:bookmarkEnd w:id="34"/>
      <w:r>
        <w:rPr>
          <w:rFonts w:ascii="Arial" w:hAnsi="Arial" w:eastAsia="Arial" w:cs="Arial"/>
          <w:b/>
          <w:color w:val="000000"/>
          <w:sz w:val="24"/>
          <w:szCs w:val="24"/>
        </w:rPr>
        <w:t>DA FASE DE HABILITAÇÃO</w:t>
      </w:r>
    </w:p>
    <w:p w14:paraId="70DB4207">
      <w:pPr>
        <w:keepNext/>
        <w:keepLines/>
        <w:pBdr>
          <w:top w:val="none" w:color="auto" w:sz="0" w:space="0"/>
          <w:left w:val="none" w:color="auto" w:sz="0" w:space="0"/>
          <w:bottom w:val="none" w:color="auto" w:sz="0" w:space="0"/>
          <w:right w:val="none" w:color="auto" w:sz="0" w:space="0"/>
          <w:between w:val="none" w:color="auto" w:sz="0" w:space="0"/>
        </w:pBdr>
        <w:tabs>
          <w:tab w:val="left" w:pos="567"/>
        </w:tabs>
        <w:spacing w:after="0" w:line="312" w:lineRule="auto"/>
        <w:ind w:left="720"/>
        <w:jc w:val="both"/>
        <w:rPr>
          <w:rFonts w:ascii="Arial" w:hAnsi="Arial" w:eastAsia="Arial" w:cs="Arial"/>
          <w:b/>
          <w:color w:val="17365D"/>
          <w:sz w:val="24"/>
          <w:szCs w:val="24"/>
        </w:rPr>
      </w:pPr>
    </w:p>
    <w:p w14:paraId="2680E82D">
      <w:pPr>
        <w:numPr>
          <w:ilvl w:val="1"/>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sz w:val="24"/>
          <w:szCs w:val="24"/>
        </w:rPr>
      </w:pPr>
      <w:r>
        <w:rPr>
          <w:rFonts w:ascii="Arial" w:hAnsi="Arial" w:eastAsia="Arial" w:cs="Arial"/>
          <w:color w:val="000000"/>
          <w:sz w:val="24"/>
          <w:szCs w:val="24"/>
        </w:rPr>
        <w:t xml:space="preserve">Os documentos previstos no Termo de Referência, necessários e suficientes para demonstrar a capacidade do licitante de realizar o objeto da licitação, serão exigidos para fins de habilitação, nos termos dos </w:t>
      </w:r>
      <w:r>
        <w:fldChar w:fldCharType="begin"/>
      </w:r>
      <w:r>
        <w:instrText xml:space="preserve"> HYPERLINK "http://www.planalto.gov.br/ccivil_03/_ato2019-2022/2021/lei/L14133.htm" \l "art62" \h </w:instrText>
      </w:r>
      <w:r>
        <w:fldChar w:fldCharType="separate"/>
      </w:r>
      <w:r>
        <w:rPr>
          <w:rFonts w:ascii="Arial" w:hAnsi="Arial" w:eastAsia="Arial" w:cs="Arial"/>
          <w:color w:val="000080"/>
          <w:sz w:val="24"/>
          <w:szCs w:val="24"/>
          <w:u w:val="single"/>
        </w:rPr>
        <w:t>arts. 62 a 70 da Lei nº 14.133, de 2021</w:t>
      </w:r>
      <w:r>
        <w:rPr>
          <w:rFonts w:ascii="Arial" w:hAnsi="Arial" w:eastAsia="Arial" w:cs="Arial"/>
          <w:color w:val="000080"/>
          <w:sz w:val="24"/>
          <w:szCs w:val="24"/>
          <w:u w:val="single"/>
        </w:rPr>
        <w:fldChar w:fldCharType="end"/>
      </w:r>
      <w:r>
        <w:rPr>
          <w:rFonts w:ascii="Arial" w:hAnsi="Arial" w:eastAsia="Arial" w:cs="Arial"/>
          <w:color w:val="000000"/>
          <w:sz w:val="24"/>
          <w:szCs w:val="24"/>
        </w:rPr>
        <w:t>.</w:t>
      </w:r>
    </w:p>
    <w:p w14:paraId="3A57D3E6">
      <w:pPr>
        <w:pBdr>
          <w:top w:val="none" w:color="auto" w:sz="0" w:space="0"/>
          <w:left w:val="none" w:color="auto" w:sz="0" w:space="0"/>
          <w:bottom w:val="none" w:color="auto" w:sz="0" w:space="0"/>
          <w:right w:val="none" w:color="auto" w:sz="0" w:space="0"/>
          <w:between w:val="none" w:color="auto" w:sz="0" w:space="0"/>
        </w:pBdr>
        <w:spacing w:after="0"/>
        <w:ind w:left="1080"/>
        <w:jc w:val="both"/>
        <w:rPr>
          <w:rFonts w:ascii="Arial" w:hAnsi="Arial" w:eastAsia="Arial" w:cs="Arial"/>
          <w:sz w:val="24"/>
          <w:szCs w:val="24"/>
        </w:rPr>
      </w:pPr>
    </w:p>
    <w:p w14:paraId="5668F851">
      <w:pPr>
        <w:numPr>
          <w:ilvl w:val="2"/>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b/>
          <w:color w:val="000000"/>
          <w:sz w:val="24"/>
          <w:szCs w:val="24"/>
        </w:rPr>
        <w:t xml:space="preserve"> HABILITAÇÃO JURÍDICA:</w:t>
      </w:r>
    </w:p>
    <w:p w14:paraId="140B2C7F">
      <w:pPr>
        <w:pBdr>
          <w:top w:val="none" w:color="auto" w:sz="0" w:space="0"/>
          <w:left w:val="none" w:color="auto" w:sz="0" w:space="0"/>
          <w:bottom w:val="none" w:color="auto" w:sz="0" w:space="0"/>
          <w:right w:val="none" w:color="auto" w:sz="0" w:space="0"/>
          <w:between w:val="none" w:color="auto" w:sz="0" w:space="0"/>
        </w:pBdr>
        <w:spacing w:after="0"/>
        <w:ind w:left="1440"/>
        <w:jc w:val="both"/>
        <w:rPr>
          <w:rFonts w:ascii="Arial" w:hAnsi="Arial" w:eastAsia="Arial" w:cs="Arial"/>
          <w:b/>
          <w:sz w:val="24"/>
          <w:szCs w:val="24"/>
        </w:rPr>
      </w:pPr>
    </w:p>
    <w:p w14:paraId="0BB6BB4A">
      <w:pPr>
        <w:numPr>
          <w:ilvl w:val="2"/>
          <w:numId w:val="5"/>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No caso de sociedade empresária ou empresa individual de responsabilidade limitada - EIRELI: ato constitutivo, estatuto ou contrato social em vigor, devidamente registrado na Junta Comercial da respectiva sede, acompanhado de documento comprobatório de seus administradores;</w:t>
      </w:r>
    </w:p>
    <w:p w14:paraId="7C3BAD5E">
      <w:pPr>
        <w:numPr>
          <w:ilvl w:val="2"/>
          <w:numId w:val="5"/>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Inscrição no Registro Público de Empresas Mercantis onde opera, com averbação no Registro onde tem sede a matriz, no caso de ser o participante sucursal, filial ou agência;</w:t>
      </w:r>
    </w:p>
    <w:p w14:paraId="1876E4CA">
      <w:pPr>
        <w:numPr>
          <w:ilvl w:val="2"/>
          <w:numId w:val="5"/>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No caso de sociedade simples: inscrição do ato constitutivo no Registro Civil das Pessoas Jurídicas do local de sua sede, acompanhada de prova da indicação dos seus administradores;</w:t>
      </w:r>
    </w:p>
    <w:p w14:paraId="2433D3C1">
      <w:pPr>
        <w:numPr>
          <w:ilvl w:val="2"/>
          <w:numId w:val="5"/>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No caso de cooperativa: ata de fundação e estatuto social em vigor, com a ata da assembleia que o aprovou, devidamente arquivado na Junta Comercial ou inscrito no Registro Civil das Pessoas Jurídicas da respectiva sede, bem como o registro de que trata o art. 107 da Lei nº 5.764, de 1971;</w:t>
      </w:r>
    </w:p>
    <w:p w14:paraId="734F59B1">
      <w:pPr>
        <w:numPr>
          <w:ilvl w:val="2"/>
          <w:numId w:val="5"/>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No caso de empresa ou sociedade estrangeira em funcionamento no País: decreto de autorização;</w:t>
      </w:r>
    </w:p>
    <w:p w14:paraId="4630DF8D">
      <w:pPr>
        <w:numPr>
          <w:ilvl w:val="2"/>
          <w:numId w:val="5"/>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Os documentos acima deverão estar acompanhados de todas as alterações ou da consolidação respectiva;</w:t>
      </w:r>
    </w:p>
    <w:p w14:paraId="5BFCEEA0">
      <w:pPr>
        <w:pBdr>
          <w:top w:val="none" w:color="auto" w:sz="0" w:space="0"/>
          <w:left w:val="none" w:color="auto" w:sz="0" w:space="0"/>
          <w:bottom w:val="none" w:color="auto" w:sz="0" w:space="0"/>
          <w:right w:val="none" w:color="auto" w:sz="0" w:space="0"/>
          <w:between w:val="none" w:color="auto" w:sz="0" w:space="0"/>
        </w:pBdr>
        <w:spacing w:after="0"/>
        <w:ind w:left="1080"/>
        <w:jc w:val="both"/>
        <w:rPr>
          <w:rFonts w:ascii="Arial" w:hAnsi="Arial" w:eastAsia="Arial" w:cs="Arial"/>
          <w:sz w:val="24"/>
          <w:szCs w:val="24"/>
        </w:rPr>
      </w:pPr>
    </w:p>
    <w:p w14:paraId="115B5821">
      <w:pPr>
        <w:numPr>
          <w:ilvl w:val="2"/>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b/>
          <w:color w:val="000000"/>
          <w:sz w:val="24"/>
          <w:szCs w:val="24"/>
        </w:rPr>
        <w:t xml:space="preserve"> REGULARIDADE FISCAL E TRABALHISTA:</w:t>
      </w:r>
    </w:p>
    <w:p w14:paraId="7850A1F5">
      <w:pPr>
        <w:pBdr>
          <w:top w:val="none" w:color="auto" w:sz="0" w:space="0"/>
          <w:left w:val="none" w:color="auto" w:sz="0" w:space="0"/>
          <w:bottom w:val="none" w:color="auto" w:sz="0" w:space="0"/>
          <w:right w:val="none" w:color="auto" w:sz="0" w:space="0"/>
          <w:between w:val="none" w:color="auto" w:sz="0" w:space="0"/>
        </w:pBdr>
        <w:spacing w:after="0"/>
        <w:ind w:left="1440"/>
        <w:jc w:val="both"/>
        <w:rPr>
          <w:rFonts w:ascii="Arial" w:hAnsi="Arial" w:eastAsia="Arial" w:cs="Arial"/>
          <w:b/>
          <w:sz w:val="24"/>
          <w:szCs w:val="24"/>
        </w:rPr>
      </w:pPr>
    </w:p>
    <w:p w14:paraId="48622825">
      <w:pPr>
        <w:numPr>
          <w:ilvl w:val="2"/>
          <w:numId w:val="6"/>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CNPJ - Prova de inscrição no Cadastro Nacional de Pessoas Jurídicas ou no Cadastro de Pessoas Físicas, conforme o caso;</w:t>
      </w:r>
    </w:p>
    <w:p w14:paraId="78AADBE5">
      <w:pPr>
        <w:numPr>
          <w:ilvl w:val="2"/>
          <w:numId w:val="6"/>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Prova de regularidade fiscal perante a Fazenda Nacional, mediante apresentação de certidão expedida conjuntamente pela Secretaria da Receita Federal do Brasil (RFB) e pela Procuradoria-Geral da Fazenda Nacional (PGFN), referente a todos os créditos tributários federais e à Dívida Ativa da União (DAU) por elas administrados, inclusive aqueles relativos à Seguridade Social, nos termos da Portaria Conjunta nº 1.751, de 02/10/2014, do Secretário da Receita Federal do Brasil e da Procuradora-Geral da Fazenda Nacional.</w:t>
      </w:r>
    </w:p>
    <w:p w14:paraId="4DC2D2D5">
      <w:pPr>
        <w:numPr>
          <w:ilvl w:val="2"/>
          <w:numId w:val="6"/>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Prova de regularidade com o Fundo de Garantia do Tempo de Serviço (FGTS);</w:t>
      </w:r>
    </w:p>
    <w:p w14:paraId="461F0BEC">
      <w:pPr>
        <w:numPr>
          <w:ilvl w:val="2"/>
          <w:numId w:val="6"/>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Prova de inexistência de débitos inadimplidos perante a justiça do trabalho, mediante a apresentação de certidão negativa ou positiva com efeito de negativa, nos termos do Título VII-A da Consolidação das Leis do Trabalho, aprovada pelo Decreto-Lei nº 5.452, de 1º de maio de 1943;</w:t>
      </w:r>
    </w:p>
    <w:p w14:paraId="30192EB5">
      <w:pPr>
        <w:numPr>
          <w:ilvl w:val="2"/>
          <w:numId w:val="6"/>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Prova de regularidade junto à Fazenda Estadual, através da Certidão Negativa conjunta junto aos Tributos Estaduais, emitida pela Secretaria da Fazenda Estadual onde a empresa for sediada;</w:t>
      </w:r>
    </w:p>
    <w:p w14:paraId="5121A4A7">
      <w:pPr>
        <w:numPr>
          <w:ilvl w:val="2"/>
          <w:numId w:val="6"/>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Prova de regularidade junto à Fazenda Municipal, através da Certidão Negativa junto aos Tributos Municipais, emitida pela Secretaria da Fazenda Municipal onde a empresa for sediada;</w:t>
      </w:r>
    </w:p>
    <w:p w14:paraId="12B67EC6">
      <w:pPr>
        <w:numPr>
          <w:ilvl w:val="2"/>
          <w:numId w:val="6"/>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Caso o licitante detentor do menor preço seja qualificado como microempresa ou empresa de pequeno porte deverá apresentar toda a documentação exigida para efeito de comprovação de regularidade fiscal, mesmo que esta apresente alguma restrição, sob pena de inabilitação.</w:t>
      </w:r>
    </w:p>
    <w:p w14:paraId="7E2A3F2D">
      <w:pPr>
        <w:pBdr>
          <w:top w:val="none" w:color="auto" w:sz="0" w:space="0"/>
          <w:left w:val="none" w:color="auto" w:sz="0" w:space="0"/>
          <w:bottom w:val="none" w:color="auto" w:sz="0" w:space="0"/>
          <w:right w:val="none" w:color="auto" w:sz="0" w:space="0"/>
          <w:between w:val="none" w:color="auto" w:sz="0" w:space="0"/>
        </w:pBdr>
        <w:spacing w:after="0"/>
        <w:ind w:left="1080"/>
        <w:jc w:val="both"/>
        <w:rPr>
          <w:rFonts w:ascii="Arial" w:hAnsi="Arial" w:eastAsia="Arial" w:cs="Arial"/>
          <w:sz w:val="24"/>
          <w:szCs w:val="24"/>
        </w:rPr>
      </w:pPr>
    </w:p>
    <w:p w14:paraId="35C6ABF7">
      <w:pPr>
        <w:numPr>
          <w:ilvl w:val="2"/>
          <w:numId w:val="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b/>
          <w:color w:val="000000"/>
          <w:sz w:val="24"/>
          <w:szCs w:val="24"/>
        </w:rPr>
        <w:t>QUALIFICAÇÃO ECONÔMICO-FINANCEIRA</w:t>
      </w:r>
      <w:r>
        <w:rPr>
          <w:rFonts w:ascii="Arial" w:hAnsi="Arial" w:eastAsia="Arial" w:cs="Arial"/>
          <w:color w:val="000000"/>
          <w:sz w:val="24"/>
          <w:szCs w:val="24"/>
        </w:rPr>
        <w:t>.</w:t>
      </w:r>
    </w:p>
    <w:p w14:paraId="21BFFE12">
      <w:pPr>
        <w:pBdr>
          <w:top w:val="none" w:color="auto" w:sz="0" w:space="0"/>
          <w:left w:val="none" w:color="auto" w:sz="0" w:space="0"/>
          <w:bottom w:val="none" w:color="auto" w:sz="0" w:space="0"/>
          <w:right w:val="none" w:color="auto" w:sz="0" w:space="0"/>
          <w:between w:val="none" w:color="auto" w:sz="0" w:space="0"/>
        </w:pBdr>
        <w:spacing w:after="0"/>
        <w:ind w:left="1440"/>
        <w:jc w:val="both"/>
        <w:rPr>
          <w:rFonts w:ascii="Arial" w:hAnsi="Arial" w:eastAsia="Arial" w:cs="Arial"/>
          <w:sz w:val="24"/>
          <w:szCs w:val="24"/>
        </w:rPr>
      </w:pPr>
    </w:p>
    <w:p w14:paraId="5D82BC1F">
      <w:pPr>
        <w:numPr>
          <w:ilvl w:val="2"/>
          <w:numId w:val="7"/>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Certidão Negativa de falência, de concordata, de recuperação judicial ou extrajudicial (Lei nº 11.101, de 9.2.2005), expedida pelo distribuidor da sede da empresa, datado dos últimos 30 (trinta) dias, ou que esteja dentro do prazo de validade expresso na própria Certidão;</w:t>
      </w:r>
    </w:p>
    <w:p w14:paraId="7B77EB51">
      <w:pPr>
        <w:numPr>
          <w:ilvl w:val="2"/>
          <w:numId w:val="7"/>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Balanço patrimonial e demonstrações contábeis do último exercício social, já exigíveis e apresentados na forma da lei, que comprovem a boa situação financeira da empresa, vedada a sua substituição por balancetes ou balanços provisórios, podendo ser atualizados por índices oficiais quando encerrado há mais de 3 (três) meses da data de apresentação da proposta;</w:t>
      </w:r>
    </w:p>
    <w:p w14:paraId="428B7E82">
      <w:pPr>
        <w:numPr>
          <w:ilvl w:val="2"/>
          <w:numId w:val="7"/>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No caso de fornecimento de bens para pronta entrega, não será exigido da licitante qualificada como microempresa ou empresa de pequeno porte, a apresentação de balanço patrimonial do último exercício financeiro. (Art. 3º do Decreto nº 8.538, de 2015);</w:t>
      </w:r>
    </w:p>
    <w:p w14:paraId="7C811345">
      <w:pPr>
        <w:numPr>
          <w:ilvl w:val="2"/>
          <w:numId w:val="7"/>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No caso de empresa constituída no exercício social vigente, admite-se a apresentação de balanço patrimonial e demonstrações contábeis referentes ao período de existência da sociedade;</w:t>
      </w:r>
    </w:p>
    <w:p w14:paraId="7ECD3A4B">
      <w:pPr>
        <w:numPr>
          <w:ilvl w:val="2"/>
          <w:numId w:val="7"/>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É admissível o balanço intermediário, se decorrer de lei ou contrato social/estatuto social.</w:t>
      </w:r>
    </w:p>
    <w:p w14:paraId="224255BF">
      <w:pPr>
        <w:numPr>
          <w:ilvl w:val="2"/>
          <w:numId w:val="7"/>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Caso o licitante seja cooperativo, tais documentos deverão ser acompanhados da última auditoria contábil-financeira, conforme dispõe o artigo 112 da Lei nº 5.764, de 1971, ou de uma declaração, sob as penas da lei, de que tal auditoria não foi exigida pelo órgão fiscalizador;</w:t>
      </w:r>
    </w:p>
    <w:p w14:paraId="65E035A9">
      <w:pPr>
        <w:numPr>
          <w:ilvl w:val="2"/>
          <w:numId w:val="7"/>
        </w:numPr>
        <w:pBdr>
          <w:top w:val="none" w:color="auto" w:sz="0" w:space="0"/>
          <w:left w:val="none" w:color="auto" w:sz="0" w:space="0"/>
          <w:bottom w:val="none" w:color="auto" w:sz="0" w:space="0"/>
          <w:right w:val="none" w:color="auto" w:sz="0" w:space="0"/>
          <w:between w:val="none" w:color="auto" w:sz="0" w:space="0"/>
        </w:pBdr>
        <w:spacing w:after="120"/>
        <w:jc w:val="both"/>
        <w:rPr>
          <w:rFonts w:ascii="Arial" w:hAnsi="Arial" w:eastAsia="Arial" w:cs="Arial"/>
          <w:color w:val="000000"/>
          <w:sz w:val="24"/>
          <w:szCs w:val="24"/>
        </w:rPr>
      </w:pPr>
      <w:r>
        <w:rPr>
          <w:rFonts w:ascii="Arial" w:hAnsi="Arial" w:eastAsia="Arial" w:cs="Arial"/>
          <w:color w:val="000000"/>
          <w:sz w:val="24"/>
          <w:szCs w:val="24"/>
        </w:rPr>
        <w:t>A comprovação da situação financeira da empresa será constatada mediante obtenção de índices de Liquidez Geral (LG), Solvência Geral (SG) e Liquidez Corrente (LC), superiores a 1 (um) resultantes da aplicação das fórmulas:</w:t>
      </w:r>
    </w:p>
    <w:p w14:paraId="657773DA">
      <w:pPr>
        <w:tabs>
          <w:tab w:val="left" w:pos="1440"/>
          <w:tab w:val="left" w:pos="1843"/>
        </w:tabs>
        <w:spacing w:after="0"/>
        <w:ind w:left="284"/>
        <w:jc w:val="both"/>
        <w:rPr>
          <w:rFonts w:ascii="Arial" w:hAnsi="Arial" w:eastAsia="Arial" w:cs="Arial"/>
          <w:color w:val="000000"/>
          <w:sz w:val="24"/>
          <w:szCs w:val="24"/>
        </w:rPr>
      </w:pPr>
    </w:p>
    <w:tbl>
      <w:tblPr>
        <w:tblStyle w:val="150"/>
        <w:tblW w:w="7338" w:type="dxa"/>
        <w:tblInd w:w="1134" w:type="dxa"/>
        <w:tblLayout w:type="fixed"/>
        <w:tblCellMar>
          <w:top w:w="0" w:type="dxa"/>
          <w:left w:w="115" w:type="dxa"/>
          <w:bottom w:w="0" w:type="dxa"/>
          <w:right w:w="115" w:type="dxa"/>
        </w:tblCellMar>
      </w:tblPr>
      <w:tblGrid>
        <w:gridCol w:w="2235"/>
        <w:gridCol w:w="5103"/>
      </w:tblGrid>
      <w:tr w14:paraId="4270C1FB">
        <w:tblPrEx>
          <w:tblCellMar>
            <w:top w:w="0" w:type="dxa"/>
            <w:left w:w="115" w:type="dxa"/>
            <w:bottom w:w="0" w:type="dxa"/>
            <w:right w:w="115" w:type="dxa"/>
          </w:tblCellMar>
        </w:tblPrEx>
        <w:tc>
          <w:tcPr>
            <w:tcW w:w="2235" w:type="dxa"/>
            <w:vMerge w:val="restart"/>
            <w:shd w:val="clear" w:color="auto" w:fill="auto"/>
            <w:vAlign w:val="center"/>
          </w:tcPr>
          <w:p w14:paraId="32A45BC5">
            <w:pPr>
              <w:tabs>
                <w:tab w:val="left" w:pos="1440"/>
              </w:tabs>
              <w:spacing w:after="0"/>
              <w:ind w:left="284"/>
              <w:jc w:val="both"/>
              <w:rPr>
                <w:rFonts w:ascii="Arial" w:hAnsi="Arial" w:eastAsia="Arial" w:cs="Arial"/>
                <w:color w:val="000000"/>
                <w:sz w:val="24"/>
                <w:szCs w:val="24"/>
              </w:rPr>
            </w:pPr>
            <w:r>
              <w:rPr>
                <w:rFonts w:ascii="Arial" w:hAnsi="Arial" w:eastAsia="Arial" w:cs="Arial"/>
                <w:color w:val="000000"/>
                <w:sz w:val="24"/>
                <w:szCs w:val="24"/>
              </w:rPr>
              <w:t>LG =</w:t>
            </w:r>
          </w:p>
        </w:tc>
        <w:tc>
          <w:tcPr>
            <w:tcW w:w="5103" w:type="dxa"/>
            <w:tcBorders>
              <w:bottom w:val="single" w:color="000000" w:sz="4" w:space="0"/>
            </w:tcBorders>
            <w:shd w:val="clear" w:color="auto" w:fill="auto"/>
            <w:vAlign w:val="bottom"/>
          </w:tcPr>
          <w:p w14:paraId="66616BC8">
            <w:pPr>
              <w:tabs>
                <w:tab w:val="left" w:pos="1440"/>
              </w:tabs>
              <w:spacing w:after="0"/>
              <w:ind w:left="284"/>
              <w:jc w:val="both"/>
              <w:rPr>
                <w:rFonts w:ascii="Arial" w:hAnsi="Arial" w:eastAsia="Arial" w:cs="Arial"/>
                <w:color w:val="000000"/>
                <w:sz w:val="24"/>
                <w:szCs w:val="24"/>
              </w:rPr>
            </w:pPr>
            <w:r>
              <w:rPr>
                <w:rFonts w:ascii="Arial" w:hAnsi="Arial" w:eastAsia="Arial" w:cs="Arial"/>
                <w:color w:val="000000"/>
                <w:sz w:val="24"/>
                <w:szCs w:val="24"/>
              </w:rPr>
              <w:t>Ativo Circulante + Realizável a Longo Prazo</w:t>
            </w:r>
          </w:p>
        </w:tc>
      </w:tr>
      <w:tr w14:paraId="424DD7C4">
        <w:tblPrEx>
          <w:tblCellMar>
            <w:top w:w="0" w:type="dxa"/>
            <w:left w:w="115" w:type="dxa"/>
            <w:bottom w:w="0" w:type="dxa"/>
            <w:right w:w="115" w:type="dxa"/>
          </w:tblCellMar>
        </w:tblPrEx>
        <w:tc>
          <w:tcPr>
            <w:tcW w:w="2235" w:type="dxa"/>
            <w:vMerge w:val="continue"/>
            <w:shd w:val="clear" w:color="auto" w:fill="auto"/>
            <w:vAlign w:val="center"/>
          </w:tcPr>
          <w:p w14:paraId="7ACE8A5B">
            <w:pPr>
              <w:widowControl w:val="0"/>
              <w:pBdr>
                <w:top w:val="none" w:color="auto" w:sz="0" w:space="0"/>
                <w:left w:val="none" w:color="auto" w:sz="0" w:space="0"/>
                <w:bottom w:val="none" w:color="auto" w:sz="0" w:space="0"/>
                <w:right w:val="none" w:color="auto" w:sz="0" w:space="0"/>
                <w:between w:val="none" w:color="auto" w:sz="0" w:space="0"/>
              </w:pBdr>
              <w:spacing w:after="0"/>
              <w:rPr>
                <w:rFonts w:ascii="Arial" w:hAnsi="Arial" w:eastAsia="Arial" w:cs="Arial"/>
                <w:color w:val="000000"/>
                <w:sz w:val="24"/>
                <w:szCs w:val="24"/>
              </w:rPr>
            </w:pPr>
          </w:p>
        </w:tc>
        <w:tc>
          <w:tcPr>
            <w:tcW w:w="5103" w:type="dxa"/>
            <w:tcBorders>
              <w:top w:val="single" w:color="000000" w:sz="4" w:space="0"/>
            </w:tcBorders>
            <w:shd w:val="clear" w:color="auto" w:fill="auto"/>
          </w:tcPr>
          <w:p w14:paraId="609EAC88">
            <w:pPr>
              <w:tabs>
                <w:tab w:val="left" w:pos="1440"/>
              </w:tabs>
              <w:spacing w:after="0"/>
              <w:ind w:left="284"/>
              <w:jc w:val="both"/>
              <w:rPr>
                <w:rFonts w:ascii="Arial" w:hAnsi="Arial" w:eastAsia="Arial" w:cs="Arial"/>
                <w:color w:val="000000"/>
                <w:sz w:val="24"/>
                <w:szCs w:val="24"/>
              </w:rPr>
            </w:pPr>
            <w:r>
              <w:rPr>
                <w:rFonts w:ascii="Arial" w:hAnsi="Arial" w:eastAsia="Arial" w:cs="Arial"/>
                <w:color w:val="000000"/>
                <w:sz w:val="24"/>
                <w:szCs w:val="24"/>
              </w:rPr>
              <w:t>Passivo Circulante + Passivo Não Circulante</w:t>
            </w:r>
          </w:p>
        </w:tc>
      </w:tr>
    </w:tbl>
    <w:p w14:paraId="3F5B456E">
      <w:pPr>
        <w:tabs>
          <w:tab w:val="left" w:pos="1440"/>
        </w:tabs>
        <w:spacing w:after="0"/>
        <w:ind w:left="284"/>
        <w:jc w:val="both"/>
        <w:rPr>
          <w:rFonts w:ascii="Arial" w:hAnsi="Arial" w:eastAsia="Arial" w:cs="Arial"/>
          <w:color w:val="000000"/>
          <w:sz w:val="24"/>
          <w:szCs w:val="24"/>
        </w:rPr>
      </w:pPr>
    </w:p>
    <w:tbl>
      <w:tblPr>
        <w:tblStyle w:val="151"/>
        <w:tblW w:w="7338" w:type="dxa"/>
        <w:tblInd w:w="1134" w:type="dxa"/>
        <w:tblLayout w:type="fixed"/>
        <w:tblCellMar>
          <w:top w:w="0" w:type="dxa"/>
          <w:left w:w="115" w:type="dxa"/>
          <w:bottom w:w="0" w:type="dxa"/>
          <w:right w:w="115" w:type="dxa"/>
        </w:tblCellMar>
      </w:tblPr>
      <w:tblGrid>
        <w:gridCol w:w="2235"/>
        <w:gridCol w:w="5103"/>
      </w:tblGrid>
      <w:tr w14:paraId="328E6047">
        <w:tblPrEx>
          <w:tblCellMar>
            <w:top w:w="0" w:type="dxa"/>
            <w:left w:w="115" w:type="dxa"/>
            <w:bottom w:w="0" w:type="dxa"/>
            <w:right w:w="115" w:type="dxa"/>
          </w:tblCellMar>
        </w:tblPrEx>
        <w:tc>
          <w:tcPr>
            <w:tcW w:w="2235" w:type="dxa"/>
            <w:vMerge w:val="restart"/>
            <w:shd w:val="clear" w:color="auto" w:fill="auto"/>
            <w:vAlign w:val="center"/>
          </w:tcPr>
          <w:p w14:paraId="2B8374E3">
            <w:pPr>
              <w:tabs>
                <w:tab w:val="left" w:pos="1440"/>
              </w:tabs>
              <w:spacing w:after="0"/>
              <w:ind w:left="284"/>
              <w:jc w:val="both"/>
              <w:rPr>
                <w:rFonts w:ascii="Arial" w:hAnsi="Arial" w:eastAsia="Arial" w:cs="Arial"/>
                <w:color w:val="000000"/>
                <w:sz w:val="24"/>
                <w:szCs w:val="24"/>
              </w:rPr>
            </w:pPr>
            <w:r>
              <w:rPr>
                <w:rFonts w:ascii="Arial" w:hAnsi="Arial" w:eastAsia="Arial" w:cs="Arial"/>
                <w:color w:val="000000"/>
                <w:sz w:val="24"/>
                <w:szCs w:val="24"/>
              </w:rPr>
              <w:t>SG =</w:t>
            </w:r>
          </w:p>
        </w:tc>
        <w:tc>
          <w:tcPr>
            <w:tcW w:w="5103" w:type="dxa"/>
            <w:tcBorders>
              <w:bottom w:val="single" w:color="000000" w:sz="4" w:space="0"/>
            </w:tcBorders>
            <w:shd w:val="clear" w:color="auto" w:fill="auto"/>
            <w:vAlign w:val="bottom"/>
          </w:tcPr>
          <w:p w14:paraId="6D27FFD4">
            <w:pPr>
              <w:tabs>
                <w:tab w:val="left" w:pos="1440"/>
              </w:tabs>
              <w:spacing w:after="0"/>
              <w:ind w:left="284"/>
              <w:jc w:val="both"/>
              <w:rPr>
                <w:rFonts w:ascii="Arial" w:hAnsi="Arial" w:eastAsia="Arial" w:cs="Arial"/>
                <w:color w:val="000000"/>
                <w:sz w:val="24"/>
                <w:szCs w:val="24"/>
              </w:rPr>
            </w:pPr>
            <w:r>
              <w:rPr>
                <w:rFonts w:ascii="Arial" w:hAnsi="Arial" w:eastAsia="Arial" w:cs="Arial"/>
                <w:color w:val="000000"/>
                <w:sz w:val="24"/>
                <w:szCs w:val="24"/>
              </w:rPr>
              <w:t>Ativo Total</w:t>
            </w:r>
          </w:p>
        </w:tc>
      </w:tr>
      <w:tr w14:paraId="2B363918">
        <w:tblPrEx>
          <w:tblCellMar>
            <w:top w:w="0" w:type="dxa"/>
            <w:left w:w="115" w:type="dxa"/>
            <w:bottom w:w="0" w:type="dxa"/>
            <w:right w:w="115" w:type="dxa"/>
          </w:tblCellMar>
        </w:tblPrEx>
        <w:tc>
          <w:tcPr>
            <w:tcW w:w="2235" w:type="dxa"/>
            <w:vMerge w:val="continue"/>
            <w:shd w:val="clear" w:color="auto" w:fill="auto"/>
            <w:vAlign w:val="center"/>
          </w:tcPr>
          <w:p w14:paraId="1B104BCD">
            <w:pPr>
              <w:widowControl w:val="0"/>
              <w:pBdr>
                <w:top w:val="none" w:color="auto" w:sz="0" w:space="0"/>
                <w:left w:val="none" w:color="auto" w:sz="0" w:space="0"/>
                <w:bottom w:val="none" w:color="auto" w:sz="0" w:space="0"/>
                <w:right w:val="none" w:color="auto" w:sz="0" w:space="0"/>
                <w:between w:val="none" w:color="auto" w:sz="0" w:space="0"/>
              </w:pBdr>
              <w:spacing w:after="0"/>
              <w:rPr>
                <w:rFonts w:ascii="Arial" w:hAnsi="Arial" w:eastAsia="Arial" w:cs="Arial"/>
                <w:color w:val="000000"/>
                <w:sz w:val="24"/>
                <w:szCs w:val="24"/>
              </w:rPr>
            </w:pPr>
          </w:p>
        </w:tc>
        <w:tc>
          <w:tcPr>
            <w:tcW w:w="5103" w:type="dxa"/>
            <w:tcBorders>
              <w:top w:val="single" w:color="000000" w:sz="4" w:space="0"/>
            </w:tcBorders>
            <w:shd w:val="clear" w:color="auto" w:fill="auto"/>
          </w:tcPr>
          <w:p w14:paraId="5B38C04D">
            <w:pPr>
              <w:tabs>
                <w:tab w:val="left" w:pos="1440"/>
              </w:tabs>
              <w:spacing w:after="0"/>
              <w:ind w:left="284"/>
              <w:jc w:val="both"/>
              <w:rPr>
                <w:rFonts w:ascii="Arial" w:hAnsi="Arial" w:eastAsia="Arial" w:cs="Arial"/>
                <w:color w:val="000000"/>
                <w:sz w:val="24"/>
                <w:szCs w:val="24"/>
              </w:rPr>
            </w:pPr>
            <w:r>
              <w:rPr>
                <w:rFonts w:ascii="Arial" w:hAnsi="Arial" w:eastAsia="Arial" w:cs="Arial"/>
                <w:color w:val="000000"/>
                <w:sz w:val="24"/>
                <w:szCs w:val="24"/>
              </w:rPr>
              <w:t>Passivo Circulante + Passivo Não Circulante</w:t>
            </w:r>
          </w:p>
        </w:tc>
      </w:tr>
    </w:tbl>
    <w:p w14:paraId="5A390F81">
      <w:pPr>
        <w:tabs>
          <w:tab w:val="left" w:pos="1440"/>
        </w:tabs>
        <w:spacing w:after="0"/>
        <w:ind w:left="284"/>
        <w:jc w:val="both"/>
        <w:rPr>
          <w:rFonts w:ascii="Arial" w:hAnsi="Arial" w:eastAsia="Arial" w:cs="Arial"/>
          <w:color w:val="000000"/>
          <w:sz w:val="24"/>
          <w:szCs w:val="24"/>
        </w:rPr>
      </w:pPr>
    </w:p>
    <w:tbl>
      <w:tblPr>
        <w:tblStyle w:val="152"/>
        <w:tblW w:w="4786" w:type="dxa"/>
        <w:tblInd w:w="1134" w:type="dxa"/>
        <w:tblLayout w:type="fixed"/>
        <w:tblCellMar>
          <w:top w:w="0" w:type="dxa"/>
          <w:left w:w="115" w:type="dxa"/>
          <w:bottom w:w="0" w:type="dxa"/>
          <w:right w:w="115" w:type="dxa"/>
        </w:tblCellMar>
      </w:tblPr>
      <w:tblGrid>
        <w:gridCol w:w="2235"/>
        <w:gridCol w:w="2551"/>
      </w:tblGrid>
      <w:tr w14:paraId="6C5F284D">
        <w:tblPrEx>
          <w:tblCellMar>
            <w:top w:w="0" w:type="dxa"/>
            <w:left w:w="115" w:type="dxa"/>
            <w:bottom w:w="0" w:type="dxa"/>
            <w:right w:w="115" w:type="dxa"/>
          </w:tblCellMar>
        </w:tblPrEx>
        <w:tc>
          <w:tcPr>
            <w:tcW w:w="2235" w:type="dxa"/>
            <w:vMerge w:val="restart"/>
            <w:shd w:val="clear" w:color="auto" w:fill="auto"/>
            <w:vAlign w:val="center"/>
          </w:tcPr>
          <w:p w14:paraId="5A14B422">
            <w:pPr>
              <w:tabs>
                <w:tab w:val="left" w:pos="1440"/>
              </w:tabs>
              <w:spacing w:after="0"/>
              <w:ind w:left="284"/>
              <w:jc w:val="both"/>
              <w:rPr>
                <w:rFonts w:ascii="Arial" w:hAnsi="Arial" w:eastAsia="Arial" w:cs="Arial"/>
                <w:color w:val="000000"/>
                <w:sz w:val="24"/>
                <w:szCs w:val="24"/>
              </w:rPr>
            </w:pPr>
            <w:r>
              <w:rPr>
                <w:rFonts w:ascii="Arial" w:hAnsi="Arial" w:eastAsia="Arial" w:cs="Arial"/>
                <w:color w:val="000000"/>
                <w:sz w:val="24"/>
                <w:szCs w:val="24"/>
              </w:rPr>
              <w:t>LC =</w:t>
            </w:r>
          </w:p>
        </w:tc>
        <w:tc>
          <w:tcPr>
            <w:tcW w:w="2551" w:type="dxa"/>
            <w:tcBorders>
              <w:bottom w:val="single" w:color="000000" w:sz="4" w:space="0"/>
            </w:tcBorders>
            <w:shd w:val="clear" w:color="auto" w:fill="auto"/>
            <w:vAlign w:val="bottom"/>
          </w:tcPr>
          <w:p w14:paraId="674F683F">
            <w:pPr>
              <w:tabs>
                <w:tab w:val="left" w:pos="1440"/>
              </w:tabs>
              <w:spacing w:after="0"/>
              <w:ind w:left="284"/>
              <w:jc w:val="both"/>
              <w:rPr>
                <w:rFonts w:ascii="Arial" w:hAnsi="Arial" w:eastAsia="Arial" w:cs="Arial"/>
                <w:color w:val="000000"/>
                <w:sz w:val="24"/>
                <w:szCs w:val="24"/>
              </w:rPr>
            </w:pPr>
            <w:r>
              <w:rPr>
                <w:rFonts w:ascii="Arial" w:hAnsi="Arial" w:eastAsia="Arial" w:cs="Arial"/>
                <w:color w:val="000000"/>
                <w:sz w:val="24"/>
                <w:szCs w:val="24"/>
              </w:rPr>
              <w:t>Ativo Circulante</w:t>
            </w:r>
          </w:p>
        </w:tc>
      </w:tr>
      <w:tr w14:paraId="503A8C9A">
        <w:tblPrEx>
          <w:tblCellMar>
            <w:top w:w="0" w:type="dxa"/>
            <w:left w:w="115" w:type="dxa"/>
            <w:bottom w:w="0" w:type="dxa"/>
            <w:right w:w="115" w:type="dxa"/>
          </w:tblCellMar>
        </w:tblPrEx>
        <w:tc>
          <w:tcPr>
            <w:tcW w:w="2235" w:type="dxa"/>
            <w:vMerge w:val="continue"/>
            <w:shd w:val="clear" w:color="auto" w:fill="auto"/>
            <w:vAlign w:val="center"/>
          </w:tcPr>
          <w:p w14:paraId="199A1600">
            <w:pPr>
              <w:widowControl w:val="0"/>
              <w:pBdr>
                <w:top w:val="none" w:color="auto" w:sz="0" w:space="0"/>
                <w:left w:val="none" w:color="auto" w:sz="0" w:space="0"/>
                <w:bottom w:val="none" w:color="auto" w:sz="0" w:space="0"/>
                <w:right w:val="none" w:color="auto" w:sz="0" w:space="0"/>
                <w:between w:val="none" w:color="auto" w:sz="0" w:space="0"/>
              </w:pBdr>
              <w:spacing w:after="0"/>
              <w:rPr>
                <w:rFonts w:ascii="Arial" w:hAnsi="Arial" w:eastAsia="Arial" w:cs="Arial"/>
                <w:color w:val="000000"/>
                <w:sz w:val="24"/>
                <w:szCs w:val="24"/>
              </w:rPr>
            </w:pPr>
          </w:p>
        </w:tc>
        <w:tc>
          <w:tcPr>
            <w:tcW w:w="2551" w:type="dxa"/>
            <w:tcBorders>
              <w:top w:val="single" w:color="000000" w:sz="4" w:space="0"/>
            </w:tcBorders>
            <w:shd w:val="clear" w:color="auto" w:fill="auto"/>
          </w:tcPr>
          <w:p w14:paraId="474AB393">
            <w:pPr>
              <w:tabs>
                <w:tab w:val="left" w:pos="1440"/>
              </w:tabs>
              <w:spacing w:after="0"/>
              <w:ind w:left="284"/>
              <w:jc w:val="both"/>
              <w:rPr>
                <w:rFonts w:ascii="Arial" w:hAnsi="Arial" w:eastAsia="Arial" w:cs="Arial"/>
                <w:color w:val="000000"/>
                <w:sz w:val="24"/>
                <w:szCs w:val="24"/>
              </w:rPr>
            </w:pPr>
            <w:r>
              <w:rPr>
                <w:rFonts w:ascii="Arial" w:hAnsi="Arial" w:eastAsia="Arial" w:cs="Arial"/>
                <w:color w:val="000000"/>
                <w:sz w:val="24"/>
                <w:szCs w:val="24"/>
              </w:rPr>
              <w:t>Passivo Circulante</w:t>
            </w:r>
          </w:p>
          <w:p w14:paraId="17D7E360">
            <w:pPr>
              <w:tabs>
                <w:tab w:val="left" w:pos="1440"/>
              </w:tabs>
              <w:spacing w:after="0"/>
              <w:ind w:left="284"/>
              <w:jc w:val="both"/>
              <w:rPr>
                <w:rFonts w:ascii="Arial" w:hAnsi="Arial" w:eastAsia="Arial" w:cs="Arial"/>
                <w:color w:val="000000"/>
                <w:sz w:val="24"/>
                <w:szCs w:val="24"/>
              </w:rPr>
            </w:pPr>
          </w:p>
        </w:tc>
      </w:tr>
    </w:tbl>
    <w:p w14:paraId="7130C8A8">
      <w:pPr>
        <w:numPr>
          <w:ilvl w:val="2"/>
          <w:numId w:val="7"/>
        </w:numPr>
        <w:pBdr>
          <w:top w:val="none" w:color="auto" w:sz="0" w:space="0"/>
          <w:left w:val="none" w:color="auto" w:sz="0" w:space="0"/>
          <w:bottom w:val="none" w:color="auto" w:sz="0" w:space="0"/>
          <w:right w:val="none" w:color="auto" w:sz="0" w:space="0"/>
          <w:between w:val="none" w:color="auto" w:sz="0" w:space="0"/>
        </w:pBdr>
        <w:tabs>
          <w:tab w:val="left" w:pos="993"/>
          <w:tab w:val="left" w:pos="1843"/>
        </w:tabs>
        <w:spacing w:after="0"/>
        <w:jc w:val="both"/>
        <w:rPr>
          <w:rFonts w:ascii="Arial" w:hAnsi="Arial" w:eastAsia="Arial" w:cs="Arial"/>
          <w:color w:val="000000"/>
          <w:sz w:val="24"/>
          <w:szCs w:val="24"/>
        </w:rPr>
      </w:pPr>
      <w:r>
        <w:rPr>
          <w:rFonts w:ascii="Arial" w:hAnsi="Arial" w:eastAsia="Arial" w:cs="Arial"/>
          <w:color w:val="000000"/>
          <w:sz w:val="24"/>
          <w:szCs w:val="24"/>
        </w:rPr>
        <w:t>As empresas que apresentarem resultado inferior ou igual a 1 (um) em qualquer dos índices de Liquidez Geral (LG), Solvência Geral (SG) e Liquidez Corrente (LC), deverão comprovar, considerados os riscos para a Administração, e, a critério da autoridade competente, o capital mínimo ou o patrimônio líquido mínimo de 10% (dez por cento)</w:t>
      </w:r>
      <w:r>
        <w:rPr>
          <w:rFonts w:ascii="Arial" w:hAnsi="Arial" w:eastAsia="Arial" w:cs="Arial"/>
          <w:b/>
          <w:color w:val="000000"/>
          <w:sz w:val="24"/>
          <w:szCs w:val="24"/>
        </w:rPr>
        <w:t xml:space="preserve"> </w:t>
      </w:r>
      <w:r>
        <w:rPr>
          <w:rFonts w:ascii="Arial" w:hAnsi="Arial" w:eastAsia="Arial" w:cs="Arial"/>
          <w:color w:val="000000"/>
          <w:sz w:val="24"/>
          <w:szCs w:val="24"/>
        </w:rPr>
        <w:t>do valor estimado da contratação ou do item pertinente.</w:t>
      </w:r>
    </w:p>
    <w:p w14:paraId="778ED7A1">
      <w:pPr>
        <w:pBdr>
          <w:top w:val="none" w:color="auto" w:sz="0" w:space="0"/>
          <w:left w:val="none" w:color="auto" w:sz="0" w:space="0"/>
          <w:bottom w:val="none" w:color="auto" w:sz="0" w:space="0"/>
          <w:right w:val="none" w:color="auto" w:sz="0" w:space="0"/>
          <w:between w:val="none" w:color="auto" w:sz="0" w:space="0"/>
        </w:pBdr>
        <w:tabs>
          <w:tab w:val="left" w:pos="993"/>
          <w:tab w:val="left" w:pos="1843"/>
        </w:tabs>
        <w:spacing w:after="0"/>
        <w:ind w:left="1080"/>
        <w:jc w:val="both"/>
        <w:rPr>
          <w:rFonts w:ascii="Arial" w:hAnsi="Arial" w:eastAsia="Arial" w:cs="Arial"/>
          <w:sz w:val="24"/>
          <w:szCs w:val="24"/>
        </w:rPr>
      </w:pPr>
    </w:p>
    <w:p w14:paraId="3DF32C68">
      <w:pPr>
        <w:numPr>
          <w:ilvl w:val="2"/>
          <w:numId w:val="8"/>
        </w:numPr>
        <w:pBdr>
          <w:top w:val="none" w:color="auto" w:sz="0" w:space="0"/>
          <w:left w:val="none" w:color="auto" w:sz="0" w:space="0"/>
          <w:bottom w:val="none" w:color="auto" w:sz="0" w:space="0"/>
          <w:right w:val="none" w:color="auto" w:sz="0" w:space="0"/>
          <w:between w:val="none" w:color="auto" w:sz="0" w:space="0"/>
        </w:pBdr>
        <w:tabs>
          <w:tab w:val="left" w:pos="993"/>
          <w:tab w:val="left" w:pos="1843"/>
        </w:tabs>
        <w:spacing w:after="0"/>
        <w:ind w:left="1276"/>
        <w:jc w:val="both"/>
        <w:rPr>
          <w:rFonts w:ascii="Arial" w:hAnsi="Arial" w:eastAsia="Arial" w:cs="Arial"/>
          <w:color w:val="000000"/>
          <w:sz w:val="24"/>
          <w:szCs w:val="24"/>
        </w:rPr>
      </w:pPr>
      <w:bookmarkStart w:id="35" w:name="_heading=h.32hioqz" w:colFirst="0" w:colLast="0"/>
      <w:bookmarkEnd w:id="35"/>
      <w:r>
        <w:rPr>
          <w:rFonts w:ascii="Arial" w:hAnsi="Arial" w:eastAsia="Arial" w:cs="Arial"/>
          <w:b/>
          <w:color w:val="000000"/>
          <w:sz w:val="24"/>
          <w:szCs w:val="24"/>
        </w:rPr>
        <w:t>QUALIFICAÇÃO TÉCNICA.</w:t>
      </w:r>
    </w:p>
    <w:p w14:paraId="34FB616E">
      <w:pPr>
        <w:pBdr>
          <w:top w:val="none" w:color="auto" w:sz="0" w:space="0"/>
          <w:left w:val="none" w:color="auto" w:sz="0" w:space="0"/>
          <w:bottom w:val="none" w:color="auto" w:sz="0" w:space="0"/>
          <w:right w:val="none" w:color="auto" w:sz="0" w:space="0"/>
          <w:between w:val="none" w:color="auto" w:sz="0" w:space="0"/>
        </w:pBdr>
        <w:tabs>
          <w:tab w:val="left" w:pos="993"/>
          <w:tab w:val="left" w:pos="1843"/>
        </w:tabs>
        <w:spacing w:after="0"/>
        <w:ind w:left="2160"/>
        <w:jc w:val="both"/>
        <w:rPr>
          <w:rFonts w:ascii="Arial" w:hAnsi="Arial" w:eastAsia="Arial" w:cs="Arial"/>
          <w:b/>
          <w:sz w:val="24"/>
          <w:szCs w:val="24"/>
        </w:rPr>
      </w:pPr>
      <w:bookmarkStart w:id="36" w:name="_heading=h.1jnc8c6wy5wm" w:colFirst="0" w:colLast="0"/>
      <w:bookmarkEnd w:id="36"/>
    </w:p>
    <w:p w14:paraId="2AD59606">
      <w:pPr>
        <w:numPr>
          <w:ilvl w:val="2"/>
          <w:numId w:val="9"/>
        </w:numPr>
        <w:pBdr>
          <w:top w:val="none" w:color="auto" w:sz="0" w:space="0"/>
          <w:left w:val="none" w:color="auto" w:sz="0" w:space="0"/>
          <w:bottom w:val="none" w:color="auto" w:sz="0" w:space="0"/>
          <w:right w:val="none" w:color="auto" w:sz="0" w:space="0"/>
          <w:between w:val="none" w:color="auto" w:sz="0" w:space="0"/>
        </w:pBdr>
        <w:tabs>
          <w:tab w:val="left" w:pos="993"/>
          <w:tab w:val="left" w:pos="1843"/>
        </w:tabs>
        <w:spacing w:after="0"/>
        <w:jc w:val="both"/>
        <w:rPr>
          <w:rFonts w:ascii="Arial" w:hAnsi="Arial" w:eastAsia="Arial" w:cs="Arial"/>
          <w:color w:val="000000"/>
          <w:sz w:val="24"/>
          <w:szCs w:val="24"/>
        </w:rPr>
      </w:pPr>
      <w:r>
        <w:rPr>
          <w:rFonts w:ascii="Arial" w:hAnsi="Arial" w:eastAsia="Arial" w:cs="Arial"/>
          <w:color w:val="000000"/>
          <w:sz w:val="24"/>
          <w:szCs w:val="24"/>
          <w:highlight w:val="white"/>
        </w:rPr>
        <w:t xml:space="preserve">Comprovação de aptidão no desempenho de atividade pertinente e compatível em características, quantidades e prazos com o objeto da licitação </w:t>
      </w:r>
      <w:r>
        <w:rPr>
          <w:rFonts w:ascii="Arial" w:hAnsi="Arial" w:eastAsia="Arial" w:cs="Arial"/>
          <w:color w:val="000000"/>
          <w:sz w:val="24"/>
          <w:szCs w:val="24"/>
        </w:rPr>
        <w:t xml:space="preserve">– </w:t>
      </w:r>
      <w:r>
        <w:rPr>
          <w:rFonts w:ascii="Arial" w:hAnsi="Arial" w:eastAsia="Arial" w:cs="Arial"/>
          <w:b/>
          <w:color w:val="000000"/>
          <w:sz w:val="24"/>
          <w:szCs w:val="24"/>
        </w:rPr>
        <w:t>Atestado(s) de Capacidade Técnica</w:t>
      </w:r>
      <w:r>
        <w:rPr>
          <w:rFonts w:ascii="Arial" w:hAnsi="Arial" w:eastAsia="Arial" w:cs="Arial"/>
          <w:color w:val="000000"/>
          <w:sz w:val="24"/>
          <w:szCs w:val="24"/>
        </w:rPr>
        <w:t xml:space="preserve">, fornecido(s) por pessoa jurídica de direito público ou privado, quando for emitido por ente privado deverá este ser com firma reconhecida de quem o subscreveu. </w:t>
      </w:r>
    </w:p>
    <w:p w14:paraId="5EE92E95">
      <w:pPr>
        <w:numPr>
          <w:ilvl w:val="2"/>
          <w:numId w:val="9"/>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 xml:space="preserve">Cópia da Licença de Funcionamento expedida por órgão sanitário Estadual ou Municipal (Vigilância Sanitária) da sede da licitante, válida para o ano em exercício, na qual constem atividades compatíveis com o objeto ora licitado. </w:t>
      </w:r>
      <w:r>
        <w:rPr>
          <w:rFonts w:ascii="Arial" w:hAnsi="Arial" w:eastAsia="Arial" w:cs="Arial"/>
          <w:color w:val="222222"/>
          <w:sz w:val="24"/>
          <w:szCs w:val="24"/>
          <w:highlight w:val="white"/>
        </w:rPr>
        <w:t> </w:t>
      </w:r>
    </w:p>
    <w:p w14:paraId="32ACF221">
      <w:pPr>
        <w:numPr>
          <w:ilvl w:val="2"/>
          <w:numId w:val="9"/>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222222"/>
          <w:sz w:val="24"/>
          <w:szCs w:val="24"/>
          <w:highlight w:val="white"/>
        </w:rPr>
        <w:t>Comprovação de registro ou inscrição da empresa no Conselho Regional de Farmácia (CRF); comprovação de Autorização de Funcionamento (AFE) da Anvisa; comprovação de Autorização Especial (AE) da Anvisa, para os medicamentos controlados</w:t>
      </w:r>
      <w:r>
        <w:rPr>
          <w:rFonts w:ascii="Arial" w:hAnsi="Arial" w:eastAsia="Arial" w:cs="Arial"/>
          <w:color w:val="222222"/>
          <w:sz w:val="24"/>
          <w:szCs w:val="24"/>
        </w:rPr>
        <w:t>;</w:t>
      </w:r>
    </w:p>
    <w:p w14:paraId="0314D194">
      <w:pPr>
        <w:numPr>
          <w:ilvl w:val="2"/>
          <w:numId w:val="9"/>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Apresentar comprovação da ANVISA através do extrato de publicação no Diário Oficial da União – DOU, a concessão da Certificação de Boas Práticas de Distribuição e/ou Armazenagem de Medicamentos (CBPDA).</w:t>
      </w:r>
    </w:p>
    <w:p w14:paraId="2FD1BA53">
      <w:p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p>
    <w:p w14:paraId="1BE5CFEE">
      <w:pPr>
        <w:pBdr>
          <w:top w:val="none" w:color="auto" w:sz="0" w:space="0"/>
          <w:left w:val="none" w:color="auto" w:sz="0" w:space="0"/>
          <w:bottom w:val="none" w:color="auto" w:sz="0" w:space="0"/>
          <w:right w:val="none" w:color="auto" w:sz="0" w:space="0"/>
          <w:between w:val="none" w:color="auto" w:sz="0" w:space="0"/>
        </w:pBdr>
        <w:spacing w:before="120" w:after="0"/>
        <w:ind w:left="1080"/>
        <w:jc w:val="both"/>
        <w:rPr>
          <w:rFonts w:ascii="Arial" w:hAnsi="Arial" w:eastAsia="Arial" w:cs="Arial"/>
          <w:color w:val="000000"/>
          <w:sz w:val="24"/>
          <w:szCs w:val="24"/>
        </w:rPr>
      </w:pPr>
    </w:p>
    <w:p w14:paraId="5A66A5C4">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i/>
          <w:color w:val="000000"/>
          <w:sz w:val="24"/>
          <w:szCs w:val="24"/>
        </w:rPr>
      </w:pPr>
      <w:r>
        <w:rPr>
          <w:rFonts w:ascii="Arial" w:hAnsi="Arial" w:eastAsia="Arial" w:cs="Arial"/>
          <w:color w:val="000000"/>
          <w:sz w:val="24"/>
          <w:szCs w:val="24"/>
        </w:rPr>
        <w:t>Quando permitida a participação de empresas estrangeiras que não funcionem no País, as exigências de habilitação serão atendidas mediante documentos equivalentes, inicialmente apresentados em tradução livre.</w:t>
      </w:r>
    </w:p>
    <w:p w14:paraId="2EF234E8">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i/>
          <w:color w:val="000000"/>
          <w:sz w:val="24"/>
          <w:szCs w:val="24"/>
        </w:rPr>
      </w:pPr>
      <w:r>
        <w:rPr>
          <w:rFonts w:ascii="Arial" w:hAnsi="Arial" w:eastAsia="Arial" w:cs="Arial"/>
          <w:color w:val="000000"/>
          <w:sz w:val="24"/>
          <w:szCs w:val="24"/>
        </w:rPr>
        <w:t xml:space="preserve">Na hipótese de o licitante vencedor ser empresa estrangeira que não funcione no País, para ﬁns de assinatura do contrato ou da ata de registro de preços, os documentos exigidos para a habilitação serão traduzidos por tradutor juramentado no País e apostilados nos termos do disposto no </w:t>
      </w:r>
      <w:r>
        <w:fldChar w:fldCharType="begin"/>
      </w:r>
      <w:r>
        <w:instrText xml:space="preserve"> HYPERLINK "https://www.planalto.gov.br/ccivil_03/_ato2015-2018/2016/decreto/d8660.htm" \h </w:instrText>
      </w:r>
      <w:r>
        <w:fldChar w:fldCharType="separate"/>
      </w:r>
      <w:r>
        <w:rPr>
          <w:rFonts w:ascii="Arial" w:hAnsi="Arial" w:eastAsia="Arial" w:cs="Arial"/>
          <w:color w:val="000080"/>
          <w:sz w:val="24"/>
          <w:szCs w:val="24"/>
          <w:u w:val="single"/>
        </w:rPr>
        <w:t>Decreto nº 8.660, de 29 de janeiro de 2016</w:t>
      </w:r>
      <w:r>
        <w:rPr>
          <w:rFonts w:ascii="Arial" w:hAnsi="Arial" w:eastAsia="Arial" w:cs="Arial"/>
          <w:color w:val="000080"/>
          <w:sz w:val="24"/>
          <w:szCs w:val="24"/>
          <w:u w:val="single"/>
        </w:rPr>
        <w:fldChar w:fldCharType="end"/>
      </w:r>
      <w:r>
        <w:rPr>
          <w:rFonts w:ascii="Arial" w:hAnsi="Arial" w:eastAsia="Arial" w:cs="Arial"/>
          <w:color w:val="000000"/>
          <w:sz w:val="24"/>
          <w:szCs w:val="24"/>
        </w:rPr>
        <w:t>, ou de outro que venha a substituí-lo ou consularizados pelos respectivos consulados ou embaixadas.</w:t>
      </w:r>
    </w:p>
    <w:p w14:paraId="1CE486EB">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Quando permitida a participação de consórcio de empresas, a habilitação técnica, quando exigida, será feita por meio do somatório dos quantitativos de cada consorciado e, para efeito de habilitação econômico-financeira, quando exigida, será observado o somatório dos valores de cada consorciado.</w:t>
      </w:r>
    </w:p>
    <w:p w14:paraId="0618A8A9">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Os documentos exigidos para fins de habilitação poderão ser apresentados em original ou por cópia.</w:t>
      </w:r>
    </w:p>
    <w:p w14:paraId="7B0B1336">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Os documentos exigidos para fins de habilitação poderão ser substituídos por registro cadastral emitido por órgão ou entidade pública, desde que o registro tenha sido feito em obediência ao disposto na Lei nº 14.133/2021.</w:t>
      </w:r>
    </w:p>
    <w:p w14:paraId="72ED0B2E">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Será verificado se o licitante apresentou declaração de que atende aos requisitos de habilitação, e o declarante responderá pela veracidade das informações prestadas, na forma da lei (</w:t>
      </w:r>
      <w:r>
        <w:fldChar w:fldCharType="begin"/>
      </w:r>
      <w:r>
        <w:instrText xml:space="preserve"> HYPERLINK "http://www.planalto.gov.br/ccivil_03/_ato2019-2022/2021/lei/L14133.htm" \l "art63" \h </w:instrText>
      </w:r>
      <w:r>
        <w:fldChar w:fldCharType="separate"/>
      </w:r>
      <w:r>
        <w:rPr>
          <w:rFonts w:ascii="Arial" w:hAnsi="Arial" w:eastAsia="Arial" w:cs="Arial"/>
          <w:color w:val="000080"/>
          <w:sz w:val="24"/>
          <w:szCs w:val="24"/>
          <w:u w:val="single"/>
        </w:rPr>
        <w:t>art. 63, I, da Lei nº 14.133/2021</w:t>
      </w:r>
      <w:r>
        <w:rPr>
          <w:rFonts w:ascii="Arial" w:hAnsi="Arial" w:eastAsia="Arial" w:cs="Arial"/>
          <w:color w:val="000080"/>
          <w:sz w:val="24"/>
          <w:szCs w:val="24"/>
          <w:u w:val="single"/>
        </w:rPr>
        <w:fldChar w:fldCharType="end"/>
      </w:r>
      <w:r>
        <w:rPr>
          <w:rFonts w:ascii="Arial" w:hAnsi="Arial" w:eastAsia="Arial" w:cs="Arial"/>
          <w:color w:val="000000"/>
          <w:sz w:val="24"/>
          <w:szCs w:val="24"/>
        </w:rPr>
        <w:t>).</w:t>
      </w:r>
    </w:p>
    <w:p w14:paraId="0AD2DAA0">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Será verificado se o licitante apresentou no sistema, sob pena de inabilitação, a declaração de que cumpre as exigências de reserva de cargos para pessoa com deficiência e para reabilitado da Previdência Social, previstas em lei e em outras normas específicas.</w:t>
      </w:r>
    </w:p>
    <w:p w14:paraId="5619E9CA">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O licitante deverá apresentar, sob pena de desclassificação, declaração de que suas propostas econômicas compreendem a integralidade dos custos para atendimento dos direitos trabalhistas assegurados na Constituição Federal, nas leis trabalhistas, nas normas infralegais, nas convenções coletivas de trabalho e nos termos de ajustamento de conduta vigentes na data de entrega das propostas.</w:t>
      </w:r>
    </w:p>
    <w:p w14:paraId="3B2AD708">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Considerando que na presente contratação a avaliação prévia do local de execução é imprescindível para o conhecimento pleno das condições e peculiaridades do objeto a ser contratado, o licitante deve atestar, sob pena de inabilitação, que conhece o local e as condições de realização do serviço, assegurado a ele o direito de realização de vistoria prévia.</w:t>
      </w:r>
    </w:p>
    <w:p w14:paraId="75880FEA">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O licitante que optar por realizar vistoria prévia terá disponibilizado pela Administração data e horário exclusivos, a ser agendado via e-mail, de modo que seu agendamento não coincida com o agendamento de outros licitantes.</w:t>
      </w:r>
    </w:p>
    <w:p w14:paraId="7FD7852E">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 xml:space="preserve">Caso o licitante opte por não </w:t>
      </w:r>
      <w:r>
        <w:rPr>
          <w:rFonts w:ascii="Arial" w:hAnsi="Arial" w:eastAsia="Arial" w:cs="Arial"/>
          <w:sz w:val="24"/>
          <w:szCs w:val="24"/>
        </w:rPr>
        <w:t>realizar a vistoria</w:t>
      </w:r>
      <w:r>
        <w:rPr>
          <w:rFonts w:ascii="Arial" w:hAnsi="Arial" w:eastAsia="Arial" w:cs="Arial"/>
          <w:color w:val="000000"/>
          <w:sz w:val="24"/>
          <w:szCs w:val="24"/>
        </w:rPr>
        <w:t>, poderá substituir a declaração exigida no presente item por declaração formal assinada pelo seu responsável técnico acerca do conhecimento pleno das condições e peculiaridades da contratação.</w:t>
      </w:r>
    </w:p>
    <w:p w14:paraId="0A1D3B9D">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É de responsabilidade do licitante conferir a exatidão dos seus dados cadastrais no Portal de Compras Públicas e mantê-los atualizados junto aos órgãos responsáveis pela informação, devendo proceder, imediatamente, à correção ou à alteração dos registros tão logo identifique incorreção ou aqueles se tornem desatualizados. (</w:t>
      </w:r>
      <w:r>
        <w:fldChar w:fldCharType="begin"/>
      </w:r>
      <w:r>
        <w:instrText xml:space="preserve"> HYPERLINK "https://www.gov.br/compras/pt-br/acesso-a-informacao/legislacao/instrucoes-normativas/instrucao-normativa-no-3-de-26-de-abril-de-2018" \h </w:instrText>
      </w:r>
      <w:r>
        <w:fldChar w:fldCharType="separate"/>
      </w:r>
      <w:r>
        <w:rPr>
          <w:rFonts w:ascii="Arial" w:hAnsi="Arial" w:eastAsia="Arial" w:cs="Arial"/>
          <w:color w:val="000080"/>
          <w:sz w:val="24"/>
          <w:szCs w:val="24"/>
          <w:u w:val="single"/>
        </w:rPr>
        <w:t xml:space="preserve">IN nº 3/2018, art. 7º, </w:t>
      </w:r>
      <w:r>
        <w:rPr>
          <w:rFonts w:ascii="Arial" w:hAnsi="Arial" w:eastAsia="Arial" w:cs="Arial"/>
          <w:color w:val="000080"/>
          <w:sz w:val="24"/>
          <w:szCs w:val="24"/>
          <w:u w:val="single"/>
        </w:rPr>
        <w:fldChar w:fldCharType="end"/>
      </w:r>
      <w:r>
        <w:fldChar w:fldCharType="begin"/>
      </w:r>
      <w:r>
        <w:instrText xml:space="preserve"> HYPERLINK "https://www.gov.br/compras/pt-br/acesso-a-informacao/legislacao/instrucoes-normativas/instrucao-normativa-no-3-de-26-de-abril-de-2018" \h </w:instrText>
      </w:r>
      <w:r>
        <w:fldChar w:fldCharType="separate"/>
      </w:r>
      <w:r>
        <w:rPr>
          <w:rFonts w:ascii="Arial" w:hAnsi="Arial" w:eastAsia="Arial" w:cs="Arial"/>
          <w:i/>
          <w:color w:val="000080"/>
          <w:sz w:val="24"/>
          <w:szCs w:val="24"/>
          <w:u w:val="single"/>
        </w:rPr>
        <w:t>caput</w:t>
      </w:r>
      <w:r>
        <w:rPr>
          <w:rFonts w:ascii="Arial" w:hAnsi="Arial" w:eastAsia="Arial" w:cs="Arial"/>
          <w:i/>
          <w:color w:val="000080"/>
          <w:sz w:val="24"/>
          <w:szCs w:val="24"/>
          <w:u w:val="single"/>
        </w:rPr>
        <w:fldChar w:fldCharType="end"/>
      </w:r>
      <w:r>
        <w:rPr>
          <w:rFonts w:ascii="Arial" w:hAnsi="Arial" w:eastAsia="Arial" w:cs="Arial"/>
          <w:color w:val="000000"/>
          <w:sz w:val="24"/>
          <w:szCs w:val="24"/>
        </w:rPr>
        <w:t>).</w:t>
      </w:r>
    </w:p>
    <w:p w14:paraId="1E8499EE">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A não observância do disposto no item anterior poderá ensejar desclassificação no momento da habilitação. (</w:t>
      </w:r>
      <w:r>
        <w:fldChar w:fldCharType="begin"/>
      </w:r>
      <w:r>
        <w:instrText xml:space="preserve"> HYPERLINK "https://www.gov.br/compras/pt-br/acesso-a-informacao/legislacao/instrucoes-normativas/instrucao-normativa-no-3-de-26-de-abril-de-2018" \h </w:instrText>
      </w:r>
      <w:r>
        <w:fldChar w:fldCharType="separate"/>
      </w:r>
      <w:r>
        <w:rPr>
          <w:rFonts w:ascii="Arial" w:hAnsi="Arial" w:eastAsia="Arial" w:cs="Arial"/>
          <w:color w:val="000080"/>
          <w:sz w:val="24"/>
          <w:szCs w:val="24"/>
          <w:u w:val="single"/>
        </w:rPr>
        <w:t>IN nº 3/2018, art. 7º, parágrafo único</w:t>
      </w:r>
      <w:r>
        <w:rPr>
          <w:rFonts w:ascii="Arial" w:hAnsi="Arial" w:eastAsia="Arial" w:cs="Arial"/>
          <w:color w:val="000080"/>
          <w:sz w:val="24"/>
          <w:szCs w:val="24"/>
          <w:u w:val="single"/>
        </w:rPr>
        <w:fldChar w:fldCharType="end"/>
      </w:r>
      <w:r>
        <w:rPr>
          <w:rFonts w:ascii="Arial" w:hAnsi="Arial" w:eastAsia="Arial" w:cs="Arial"/>
          <w:color w:val="000000"/>
          <w:sz w:val="24"/>
          <w:szCs w:val="24"/>
        </w:rPr>
        <w:t>).</w:t>
      </w:r>
    </w:p>
    <w:p w14:paraId="6011F329">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i/>
          <w:color w:val="000000"/>
          <w:sz w:val="24"/>
          <w:szCs w:val="24"/>
        </w:rPr>
      </w:pPr>
      <w:r>
        <w:rPr>
          <w:rFonts w:ascii="Arial" w:hAnsi="Arial" w:eastAsia="Arial" w:cs="Arial"/>
          <w:color w:val="000000"/>
          <w:sz w:val="24"/>
          <w:szCs w:val="24"/>
        </w:rPr>
        <w:t>A verificação pela Pregoeira, em sítios eletrônicos oficiais de órgãos e entidades emissores de certidões constitui meio legal de prova, para fins de habilitação.</w:t>
      </w:r>
    </w:p>
    <w:p w14:paraId="2BAA5279">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i/>
          <w:color w:val="000000"/>
          <w:sz w:val="24"/>
          <w:szCs w:val="24"/>
        </w:rPr>
      </w:pPr>
      <w:bookmarkStart w:id="37" w:name="_heading=h.1hmsyys" w:colFirst="0" w:colLast="0"/>
      <w:bookmarkEnd w:id="37"/>
      <w:r>
        <w:rPr>
          <w:rFonts w:ascii="Arial" w:hAnsi="Arial" w:eastAsia="Arial" w:cs="Arial"/>
          <w:color w:val="000000"/>
          <w:sz w:val="24"/>
          <w:szCs w:val="24"/>
        </w:rPr>
        <w:t xml:space="preserve">Os documentos exigidos para habilitação que não estejam contemplados no Portal de Compras Públicas serão enviados por meio do sistema, em formato digital, no prazo de </w:t>
      </w:r>
      <w:r>
        <w:rPr>
          <w:rFonts w:ascii="Arial" w:hAnsi="Arial" w:eastAsia="Arial" w:cs="Arial"/>
          <w:b/>
          <w:color w:val="000000"/>
          <w:sz w:val="24"/>
          <w:szCs w:val="24"/>
        </w:rPr>
        <w:t>ATÉ 02 (DUAS) HORAS</w:t>
      </w:r>
      <w:r>
        <w:rPr>
          <w:rFonts w:ascii="Arial" w:hAnsi="Arial" w:eastAsia="Arial" w:cs="Arial"/>
          <w:color w:val="000000"/>
          <w:sz w:val="24"/>
          <w:szCs w:val="24"/>
        </w:rPr>
        <w:t>, prorrogável por igual período, contado da solicitação da Pregoeira.</w:t>
      </w:r>
    </w:p>
    <w:p w14:paraId="402AB8FC">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i/>
          <w:color w:val="000000"/>
          <w:sz w:val="24"/>
          <w:szCs w:val="24"/>
        </w:rPr>
      </w:pPr>
      <w:r>
        <w:rPr>
          <w:rFonts w:ascii="Arial" w:hAnsi="Arial" w:eastAsia="Arial" w:cs="Arial"/>
          <w:color w:val="000000"/>
          <w:sz w:val="24"/>
          <w:szCs w:val="24"/>
        </w:rPr>
        <w:t xml:space="preserve">Na hipótese de a fase de habilitação anteceder a fase de apresentação de propostas e lances, os licitantes encaminharão, por meio do sistema, simultaneamente os documentos de habilitação e a proposta com o preço ou o percentual de desconto, observado o disposto no </w:t>
      </w:r>
      <w:r>
        <w:fldChar w:fldCharType="begin"/>
      </w:r>
      <w:r>
        <w:instrText xml:space="preserve"> HYPERLINK "https://www.gov.br/compras/pt-br/acesso-a-informacao/legislacao/instrucoes-normativas/instrucao-normativa-seges-me-no-73-de-30-de-setembro-de-2022" \h </w:instrText>
      </w:r>
      <w:r>
        <w:fldChar w:fldCharType="separate"/>
      </w:r>
      <w:r>
        <w:rPr>
          <w:rFonts w:ascii="Arial" w:hAnsi="Arial" w:eastAsia="Arial" w:cs="Arial"/>
          <w:color w:val="000080"/>
          <w:sz w:val="24"/>
          <w:szCs w:val="24"/>
          <w:u w:val="single"/>
        </w:rPr>
        <w:t xml:space="preserve">§ 1º do art. 36 e no § 1º do art. 39 da </w:t>
      </w:r>
      <w:r>
        <w:rPr>
          <w:rFonts w:ascii="Arial" w:hAnsi="Arial" w:eastAsia="Arial" w:cs="Arial"/>
          <w:color w:val="000080"/>
          <w:sz w:val="24"/>
          <w:szCs w:val="24"/>
          <w:u w:val="single"/>
        </w:rPr>
        <w:fldChar w:fldCharType="end"/>
      </w:r>
      <w:r>
        <w:fldChar w:fldCharType="begin"/>
      </w:r>
      <w:r>
        <w:instrText xml:space="preserve"> HYPERLINK "https://www.gov.br/compras/pt-br/acesso-a-informacao/legislacao/instrucoes-normativas/instrucao-normativa-seges-me-no-73-de-30-de-setembro-de-2022" \h </w:instrText>
      </w:r>
      <w:r>
        <w:fldChar w:fldCharType="separate"/>
      </w:r>
      <w:r>
        <w:rPr>
          <w:rFonts w:ascii="Arial" w:hAnsi="Arial" w:eastAsia="Arial" w:cs="Arial"/>
          <w:i/>
          <w:color w:val="000080"/>
          <w:sz w:val="24"/>
          <w:szCs w:val="24"/>
          <w:u w:val="single"/>
        </w:rPr>
        <w:t>Instrução Normativa SEGES nº 73, de 30 de setembro de 2022</w:t>
      </w:r>
      <w:r>
        <w:rPr>
          <w:rFonts w:ascii="Arial" w:hAnsi="Arial" w:eastAsia="Arial" w:cs="Arial"/>
          <w:i/>
          <w:color w:val="000080"/>
          <w:sz w:val="24"/>
          <w:szCs w:val="24"/>
          <w:u w:val="single"/>
        </w:rPr>
        <w:fldChar w:fldCharType="end"/>
      </w:r>
      <w:r>
        <w:fldChar w:fldCharType="begin"/>
      </w:r>
      <w:r>
        <w:instrText xml:space="preserve"> HYPERLINK "https://www.gov.br/compras/pt-br/acesso-a-informacao/legislacao/instrucoes-normativas/instrucao-normativa-seges-me-no-73-de-30-de-setembro-de-2022" \h </w:instrText>
      </w:r>
      <w:r>
        <w:fldChar w:fldCharType="separate"/>
      </w:r>
      <w:r>
        <w:rPr>
          <w:rFonts w:ascii="Arial" w:hAnsi="Arial" w:eastAsia="Arial" w:cs="Arial"/>
          <w:color w:val="000080"/>
          <w:sz w:val="24"/>
          <w:szCs w:val="24"/>
          <w:u w:val="single"/>
        </w:rPr>
        <w:t>.</w:t>
      </w:r>
      <w:r>
        <w:rPr>
          <w:rFonts w:ascii="Arial" w:hAnsi="Arial" w:eastAsia="Arial" w:cs="Arial"/>
          <w:color w:val="000080"/>
          <w:sz w:val="24"/>
          <w:szCs w:val="24"/>
          <w:u w:val="single"/>
        </w:rPr>
        <w:fldChar w:fldCharType="end"/>
      </w:r>
    </w:p>
    <w:p w14:paraId="42076AE5">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i/>
          <w:color w:val="000000"/>
          <w:sz w:val="24"/>
          <w:szCs w:val="24"/>
        </w:rPr>
      </w:pPr>
      <w:r>
        <w:rPr>
          <w:rFonts w:ascii="Arial" w:hAnsi="Arial" w:eastAsia="Arial" w:cs="Arial"/>
          <w:color w:val="000000"/>
          <w:sz w:val="24"/>
          <w:szCs w:val="24"/>
        </w:rPr>
        <w:t>A verificação no Portal de Compras Públicas ou a exigência dos documentos nele não contidos somente será feita em relação ao licitante vencedor.</w:t>
      </w:r>
    </w:p>
    <w:p w14:paraId="319CBABE">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Os documentos relativos à regularidade fiscal que constem do Termo de Referência somente serão exigidos, em qualquer caso, em momento posterior ao julgamento das propostas, e apenas do licitante mais bem classificado.</w:t>
      </w:r>
    </w:p>
    <w:p w14:paraId="64B4E5E9">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Respeitada a exceção do subitem anterior, relativa à regularidade fiscal, quando a fase de habilitação anteceder as fases de apresentação de propostas e lances e de julgamento, a verificação ou exigência do presente subitem ocorrerá em relação a todos os licitantes.</w:t>
      </w:r>
    </w:p>
    <w:p w14:paraId="0AE50226">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i/>
          <w:color w:val="000000"/>
          <w:sz w:val="24"/>
          <w:szCs w:val="24"/>
        </w:rPr>
      </w:pPr>
      <w:r>
        <w:rPr>
          <w:rFonts w:ascii="Arial" w:hAnsi="Arial" w:eastAsia="Arial" w:cs="Arial"/>
          <w:color w:val="000000"/>
          <w:sz w:val="24"/>
          <w:szCs w:val="24"/>
        </w:rPr>
        <w:t>Após a entrega dos documentos para habilitação, não será permitida a substituição ou a apresentação de novos documentos, salvo em sede de diligência, para (</w:t>
      </w:r>
      <w:r>
        <w:fldChar w:fldCharType="begin"/>
      </w:r>
      <w:r>
        <w:instrText xml:space="preserve"> HYPERLINK "http://www.planalto.gov.br/ccivil_03/_ato2019-2022/2021/lei/L14133.htm" \l "art64" \h </w:instrText>
      </w:r>
      <w:r>
        <w:fldChar w:fldCharType="separate"/>
      </w:r>
      <w:r>
        <w:rPr>
          <w:rFonts w:ascii="Arial" w:hAnsi="Arial" w:eastAsia="Arial" w:cs="Arial"/>
          <w:color w:val="000080"/>
          <w:sz w:val="24"/>
          <w:szCs w:val="24"/>
          <w:u w:val="single"/>
        </w:rPr>
        <w:t>Lei 14.133/21, art. 64</w:t>
      </w:r>
      <w:r>
        <w:rPr>
          <w:rFonts w:ascii="Arial" w:hAnsi="Arial" w:eastAsia="Arial" w:cs="Arial"/>
          <w:color w:val="000080"/>
          <w:sz w:val="24"/>
          <w:szCs w:val="24"/>
          <w:u w:val="single"/>
        </w:rPr>
        <w:fldChar w:fldCharType="end"/>
      </w:r>
      <w:r>
        <w:rPr>
          <w:rFonts w:ascii="Arial" w:hAnsi="Arial" w:eastAsia="Arial" w:cs="Arial"/>
          <w:color w:val="000000"/>
          <w:sz w:val="24"/>
          <w:szCs w:val="24"/>
        </w:rPr>
        <w:t xml:space="preserve">, e </w:t>
      </w:r>
      <w:r>
        <w:fldChar w:fldCharType="begin"/>
      </w:r>
      <w:r>
        <w:instrText xml:space="preserve"> HYPERLINK "https://www.gov.br/compras/pt-br/acesso-a-informacao/legislacao/instrucoes-normativas/instrucao-normativa-seges-me-no-73-de-30-de-setembro-de-2022" \h </w:instrText>
      </w:r>
      <w:r>
        <w:fldChar w:fldCharType="separate"/>
      </w:r>
      <w:r>
        <w:rPr>
          <w:rFonts w:ascii="Arial" w:hAnsi="Arial" w:eastAsia="Arial" w:cs="Arial"/>
          <w:color w:val="000080"/>
          <w:sz w:val="24"/>
          <w:szCs w:val="24"/>
          <w:u w:val="single"/>
        </w:rPr>
        <w:t>IN 73/2022, art. 39, §4º</w:t>
      </w:r>
      <w:r>
        <w:rPr>
          <w:rFonts w:ascii="Arial" w:hAnsi="Arial" w:eastAsia="Arial" w:cs="Arial"/>
          <w:color w:val="000080"/>
          <w:sz w:val="24"/>
          <w:szCs w:val="24"/>
          <w:u w:val="single"/>
        </w:rPr>
        <w:fldChar w:fldCharType="end"/>
      </w:r>
      <w:r>
        <w:rPr>
          <w:rFonts w:ascii="Arial" w:hAnsi="Arial" w:eastAsia="Arial" w:cs="Arial"/>
          <w:color w:val="000000"/>
          <w:sz w:val="24"/>
          <w:szCs w:val="24"/>
        </w:rPr>
        <w:t>):</w:t>
      </w:r>
    </w:p>
    <w:p w14:paraId="0E9031DE">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complementação de informações acerca dos documentos já apresentados pelos licitantes e desde que necessária para apurar fatos existentes à época da abertura do certame; e</w:t>
      </w:r>
    </w:p>
    <w:p w14:paraId="4CD5BEC1">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atualização de documentos cuja validade tenha expirado após a data de recebimento das propostas;</w:t>
      </w:r>
    </w:p>
    <w:p w14:paraId="3F03D94A">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bookmarkStart w:id="38" w:name="_heading=h.41mghml" w:colFirst="0" w:colLast="0"/>
      <w:bookmarkEnd w:id="38"/>
      <w:r>
        <w:rPr>
          <w:rFonts w:ascii="Arial" w:hAnsi="Arial" w:eastAsia="Arial" w:cs="Arial"/>
          <w:color w:val="000000"/>
          <w:sz w:val="24"/>
          <w:szCs w:val="24"/>
        </w:rPr>
        <w:t>Na análise dos documentos de habilitação, a comissão de contratação poderá sanar erros ou falhas, que não alterem a substância dos documentos e sua validade jurídica, mediante decisão fundamentada, registrada em ata e acessível a todos, atribuindo-lhes eﬁcácia para fins de habilitação e classificação.</w:t>
      </w:r>
    </w:p>
    <w:p w14:paraId="11B3CA4C">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bookmarkStart w:id="39" w:name="_heading=h.2grqrue" w:colFirst="0" w:colLast="0"/>
      <w:bookmarkEnd w:id="39"/>
      <w:r>
        <w:rPr>
          <w:rFonts w:ascii="Arial" w:hAnsi="Arial" w:eastAsia="Arial" w:cs="Arial"/>
          <w:color w:val="000000"/>
          <w:sz w:val="24"/>
          <w:szCs w:val="24"/>
        </w:rPr>
        <w:t>Na hipótese de o licitante não atender às exigências para habilitação, a Pregoeira examinará a proposta subsequente e assim sucessivamente, na ordem de classificação, até a apuração de uma proposta que atenda ao presente edital, observado o prazo disposto no subitem 8.13.4.</w:t>
      </w:r>
    </w:p>
    <w:p w14:paraId="396473FE">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Somente serão disponibilizados para acesso público os documentos de habilitação do licitante cuja proposta atenda ao edital de licitação, após concluídos os procedimentos de que trata o subitem anterior.</w:t>
      </w:r>
    </w:p>
    <w:p w14:paraId="5DC29B75">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A comprovação de regularidade fiscal e trabalhista das microempresas e das empresas de pequeno porte somente será exigida para efeito de contratação, e não como condição para participação na licitação (</w:t>
      </w:r>
      <w:r>
        <w:fldChar w:fldCharType="begin"/>
      </w:r>
      <w:r>
        <w:instrText xml:space="preserve"> HYPERLINK "https://www.planalto.gov.br/ccivil_03/_ato2015-2018/2015/decreto/d8538.htm" \l "art4" \h </w:instrText>
      </w:r>
      <w:r>
        <w:fldChar w:fldCharType="separate"/>
      </w:r>
      <w:r>
        <w:rPr>
          <w:rFonts w:ascii="Arial" w:hAnsi="Arial" w:eastAsia="Arial" w:cs="Arial"/>
          <w:color w:val="000080"/>
          <w:sz w:val="24"/>
          <w:szCs w:val="24"/>
          <w:u w:val="single"/>
        </w:rPr>
        <w:t>art. 4º do Decreto nº 8.538/2015</w:t>
      </w:r>
      <w:r>
        <w:rPr>
          <w:rFonts w:ascii="Arial" w:hAnsi="Arial" w:eastAsia="Arial" w:cs="Arial"/>
          <w:color w:val="000080"/>
          <w:sz w:val="24"/>
          <w:szCs w:val="24"/>
          <w:u w:val="single"/>
        </w:rPr>
        <w:fldChar w:fldCharType="end"/>
      </w:r>
      <w:r>
        <w:rPr>
          <w:rFonts w:ascii="Arial" w:hAnsi="Arial" w:eastAsia="Arial" w:cs="Arial"/>
          <w:color w:val="000000"/>
          <w:sz w:val="24"/>
          <w:szCs w:val="24"/>
        </w:rPr>
        <w:t>).</w:t>
      </w:r>
    </w:p>
    <w:p w14:paraId="0DD2BC96">
      <w:pPr>
        <w:numPr>
          <w:ilvl w:val="1"/>
          <w:numId w:val="8"/>
        </w:numPr>
        <w:pBdr>
          <w:top w:val="none" w:color="auto" w:sz="0" w:space="0"/>
          <w:left w:val="none" w:color="auto" w:sz="0" w:space="0"/>
          <w:bottom w:val="none" w:color="auto" w:sz="0" w:space="0"/>
          <w:right w:val="none" w:color="auto" w:sz="0" w:space="0"/>
          <w:between w:val="none" w:color="auto" w:sz="0" w:space="0"/>
        </w:pBdr>
        <w:spacing w:after="120"/>
        <w:jc w:val="both"/>
        <w:rPr>
          <w:rFonts w:ascii="Arial" w:hAnsi="Arial" w:eastAsia="Arial" w:cs="Arial"/>
          <w:color w:val="000000"/>
          <w:sz w:val="24"/>
          <w:szCs w:val="24"/>
        </w:rPr>
      </w:pPr>
      <w:r>
        <w:rPr>
          <w:rFonts w:ascii="Arial" w:hAnsi="Arial" w:eastAsia="Arial" w:cs="Arial"/>
          <w:color w:val="000000"/>
          <w:sz w:val="24"/>
          <w:szCs w:val="24"/>
        </w:rPr>
        <w:t>Quando a fase de habilitação anteceder a de julgamento e já tiver sido encerrada, não caberá exclusão de licitante por motivo relacionado à habilitação, salvo em razão de fatos supervenientes ou só conhecidos após o julgamento.</w:t>
      </w:r>
    </w:p>
    <w:p w14:paraId="68997B3D">
      <w:pPr>
        <w:spacing w:before="120" w:after="120"/>
        <w:ind w:left="360"/>
        <w:jc w:val="both"/>
        <w:rPr>
          <w:rFonts w:ascii="Arial" w:hAnsi="Arial" w:eastAsia="Arial" w:cs="Arial"/>
          <w:color w:val="000000"/>
          <w:sz w:val="24"/>
          <w:szCs w:val="24"/>
        </w:rPr>
      </w:pPr>
    </w:p>
    <w:p w14:paraId="6319CE91">
      <w:pPr>
        <w:numPr>
          <w:ilvl w:val="0"/>
          <w:numId w:val="8"/>
        </w:numPr>
        <w:pBdr>
          <w:top w:val="none" w:color="auto" w:sz="0" w:space="0"/>
          <w:left w:val="none" w:color="auto" w:sz="0" w:space="0"/>
          <w:bottom w:val="none" w:color="auto" w:sz="0" w:space="0"/>
          <w:right w:val="none" w:color="auto" w:sz="0" w:space="0"/>
          <w:between w:val="none" w:color="auto" w:sz="0" w:space="0"/>
        </w:pBdr>
        <w:spacing w:before="120" w:after="0"/>
        <w:jc w:val="both"/>
        <w:rPr>
          <w:rFonts w:ascii="Arial" w:hAnsi="Arial" w:eastAsia="Arial" w:cs="Arial"/>
          <w:b/>
          <w:color w:val="000000"/>
          <w:sz w:val="24"/>
          <w:szCs w:val="24"/>
        </w:rPr>
      </w:pPr>
      <w:r>
        <w:rPr>
          <w:rFonts w:ascii="Arial" w:hAnsi="Arial" w:eastAsia="Arial" w:cs="Arial"/>
          <w:b/>
          <w:color w:val="000000"/>
          <w:sz w:val="24"/>
          <w:szCs w:val="24"/>
        </w:rPr>
        <w:t>DA ATA DE REGISTRO DE PREÇOS</w:t>
      </w:r>
    </w:p>
    <w:p w14:paraId="701670BB">
      <w:pPr>
        <w:pBdr>
          <w:top w:val="none" w:color="auto" w:sz="0" w:space="0"/>
          <w:left w:val="none" w:color="auto" w:sz="0" w:space="0"/>
          <w:bottom w:val="none" w:color="auto" w:sz="0" w:space="0"/>
          <w:right w:val="none" w:color="auto" w:sz="0" w:space="0"/>
          <w:between w:val="none" w:color="auto" w:sz="0" w:space="0"/>
        </w:pBdr>
        <w:spacing w:after="0"/>
        <w:ind w:left="720"/>
        <w:jc w:val="both"/>
        <w:rPr>
          <w:rFonts w:ascii="Arial" w:hAnsi="Arial" w:eastAsia="Arial" w:cs="Arial"/>
          <w:color w:val="000000"/>
          <w:sz w:val="24"/>
          <w:szCs w:val="24"/>
        </w:rPr>
      </w:pPr>
    </w:p>
    <w:p w14:paraId="27EFB0E5">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Homologado o resultado da licitação, o licitante mais bem classificado terá o prazo de 05 (cinco) dias, contados a partir da data de sua convocação, para assinar a Ata de Registro de Preços, cujo prazo de validade encontra-se nela fixado, sob pena de decadência do direito à contratação, sem prejuízo das sanções previstas na Lei nº 14.133, de 2021.</w:t>
      </w:r>
    </w:p>
    <w:p w14:paraId="3161F784">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O prazo de convocação poderá ser prorrogado uma vez, por igual período, mediante solicitação do licitante mais bem classificado ou do fornecedor convocado, desde que:</w:t>
      </w:r>
    </w:p>
    <w:p w14:paraId="166150E2">
      <w:pPr>
        <w:numPr>
          <w:ilvl w:val="0"/>
          <w:numId w:val="10"/>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A solicitação seja devidamente justificada e apresentada dentro do prazo; e</w:t>
      </w:r>
    </w:p>
    <w:p w14:paraId="2E689DFB">
      <w:pPr>
        <w:numPr>
          <w:ilvl w:val="0"/>
          <w:numId w:val="10"/>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A justificativa apresentada seja aceita pela Administração.</w:t>
      </w:r>
    </w:p>
    <w:p w14:paraId="7E8182A4">
      <w:pPr>
        <w:pBdr>
          <w:top w:val="none" w:color="auto" w:sz="0" w:space="0"/>
          <w:left w:val="none" w:color="auto" w:sz="0" w:space="0"/>
          <w:bottom w:val="none" w:color="auto" w:sz="0" w:space="0"/>
          <w:right w:val="none" w:color="auto" w:sz="0" w:space="0"/>
          <w:between w:val="none" w:color="auto" w:sz="0" w:space="0"/>
        </w:pBdr>
        <w:spacing w:after="0"/>
        <w:ind w:left="1440"/>
        <w:jc w:val="both"/>
        <w:rPr>
          <w:rFonts w:ascii="Arial" w:hAnsi="Arial" w:eastAsia="Arial" w:cs="Arial"/>
          <w:color w:val="000000"/>
          <w:sz w:val="24"/>
          <w:szCs w:val="24"/>
        </w:rPr>
      </w:pPr>
    </w:p>
    <w:p w14:paraId="497DD353">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A ata de registro de preços será assinada por meio de assinatura digital e disponibilizada no sistema de registro de preços.</w:t>
      </w:r>
    </w:p>
    <w:p w14:paraId="7B20F9D4">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Serão formalizadas tantas Atas de Registro de Preços quantas forem necessárias para o registro de todos os itens constantes no Termo de Referência, com a indicação do licitante vencedor, a descrição do(s) item(ns), as respectivas quantidades, preços registrados e demais condições.</w:t>
      </w:r>
    </w:p>
    <w:p w14:paraId="3B1D42AF">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O preço registrado, com a indicação dos fornecedores, será divulgado no PNCP e disponibilizado durante a vigência da ata de registro de preços.</w:t>
      </w:r>
    </w:p>
    <w:p w14:paraId="6C941966">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A existência de preços registrados implicará compromisso de fornecimento nas condições estabelecidas, mas não obrigará a Administração a contratar, facultada a realização de licitação específica para a aquisição pretendida, desde que devidamente justificada.</w:t>
      </w:r>
    </w:p>
    <w:p w14:paraId="089F587E">
      <w:pPr>
        <w:numPr>
          <w:ilvl w:val="1"/>
          <w:numId w:val="8"/>
        </w:numPr>
        <w:pBdr>
          <w:top w:val="none" w:color="auto" w:sz="0" w:space="0"/>
          <w:left w:val="none" w:color="auto" w:sz="0" w:space="0"/>
          <w:bottom w:val="none" w:color="auto" w:sz="0" w:space="0"/>
          <w:right w:val="none" w:color="auto" w:sz="0" w:space="0"/>
          <w:between w:val="none" w:color="auto" w:sz="0" w:space="0"/>
        </w:pBdr>
        <w:spacing w:after="120"/>
        <w:jc w:val="both"/>
        <w:rPr>
          <w:rFonts w:ascii="Arial" w:hAnsi="Arial" w:eastAsia="Arial" w:cs="Arial"/>
          <w:color w:val="000000"/>
          <w:sz w:val="24"/>
          <w:szCs w:val="24"/>
        </w:rPr>
      </w:pPr>
      <w:r>
        <w:rPr>
          <w:rFonts w:ascii="Arial" w:hAnsi="Arial" w:eastAsia="Arial" w:cs="Arial"/>
          <w:color w:val="000000"/>
          <w:sz w:val="24"/>
          <w:szCs w:val="24"/>
        </w:rPr>
        <w:t>Na hipótese de o convocado não assinar a ata de registro de preços no prazo e nas condições estabelecidas, fica facultado à Administração convocar os licitantes remanescentes do cadastro de reserva, na ordem de classificação, para fazê-lo em igual prazo e nas condições propostas pelo primeiro classificado.</w:t>
      </w:r>
    </w:p>
    <w:p w14:paraId="641285C1">
      <w:pPr>
        <w:spacing w:before="120" w:after="120"/>
        <w:jc w:val="both"/>
        <w:rPr>
          <w:rFonts w:ascii="Arial" w:hAnsi="Arial" w:eastAsia="Arial" w:cs="Arial"/>
          <w:color w:val="000000"/>
          <w:sz w:val="24"/>
          <w:szCs w:val="24"/>
          <w:highlight w:val="cyan"/>
        </w:rPr>
      </w:pPr>
    </w:p>
    <w:p w14:paraId="35A22EDB">
      <w:pPr>
        <w:keepNext/>
        <w:keepLines/>
        <w:numPr>
          <w:ilvl w:val="0"/>
          <w:numId w:val="8"/>
        </w:numPr>
        <w:pBdr>
          <w:top w:val="none" w:color="auto" w:sz="0" w:space="0"/>
          <w:left w:val="none" w:color="auto" w:sz="0" w:space="0"/>
          <w:bottom w:val="none" w:color="auto" w:sz="0" w:space="0"/>
          <w:right w:val="none" w:color="auto" w:sz="0" w:space="0"/>
          <w:between w:val="none" w:color="auto" w:sz="0" w:space="0"/>
        </w:pBdr>
        <w:tabs>
          <w:tab w:val="left" w:pos="567"/>
        </w:tabs>
        <w:spacing w:before="288" w:after="0" w:line="312" w:lineRule="auto"/>
        <w:jc w:val="both"/>
        <w:rPr>
          <w:rFonts w:ascii="Arial" w:hAnsi="Arial" w:eastAsia="Arial" w:cs="Arial"/>
          <w:b/>
          <w:color w:val="000000"/>
          <w:sz w:val="24"/>
          <w:szCs w:val="24"/>
        </w:rPr>
      </w:pPr>
      <w:bookmarkStart w:id="40" w:name="_heading=h.vx1227" w:colFirst="0" w:colLast="0"/>
      <w:bookmarkEnd w:id="40"/>
      <w:r>
        <w:rPr>
          <w:rFonts w:ascii="Arial" w:hAnsi="Arial" w:eastAsia="Arial" w:cs="Arial"/>
          <w:b/>
          <w:color w:val="000000"/>
          <w:sz w:val="24"/>
          <w:szCs w:val="24"/>
        </w:rPr>
        <w:t xml:space="preserve"> DA FORMAÇÃO DO CADASTRO RESERVA</w:t>
      </w:r>
    </w:p>
    <w:p w14:paraId="29EC570F">
      <w:pPr>
        <w:keepNext/>
        <w:keepLines/>
        <w:pBdr>
          <w:top w:val="none" w:color="auto" w:sz="0" w:space="0"/>
          <w:left w:val="none" w:color="auto" w:sz="0" w:space="0"/>
          <w:bottom w:val="none" w:color="auto" w:sz="0" w:space="0"/>
          <w:right w:val="none" w:color="auto" w:sz="0" w:space="0"/>
          <w:between w:val="none" w:color="auto" w:sz="0" w:space="0"/>
        </w:pBdr>
        <w:tabs>
          <w:tab w:val="left" w:pos="567"/>
        </w:tabs>
        <w:spacing w:after="288" w:line="312" w:lineRule="auto"/>
        <w:ind w:left="720"/>
        <w:jc w:val="both"/>
        <w:rPr>
          <w:rFonts w:ascii="Arial" w:hAnsi="Arial" w:eastAsia="Arial" w:cs="Arial"/>
          <w:b/>
          <w:color w:val="000000"/>
          <w:sz w:val="24"/>
          <w:szCs w:val="24"/>
        </w:rPr>
      </w:pPr>
    </w:p>
    <w:p w14:paraId="6AD4A992">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jc w:val="both"/>
        <w:rPr>
          <w:rFonts w:ascii="Arial" w:hAnsi="Arial" w:eastAsia="Arial" w:cs="Arial"/>
          <w:color w:val="000000"/>
          <w:sz w:val="24"/>
          <w:szCs w:val="24"/>
        </w:rPr>
      </w:pPr>
      <w:r>
        <w:rPr>
          <w:rFonts w:ascii="Arial" w:hAnsi="Arial" w:eastAsia="Arial" w:cs="Arial"/>
          <w:color w:val="000000"/>
          <w:sz w:val="24"/>
          <w:szCs w:val="24"/>
        </w:rPr>
        <w:t>Após a homologação da licitação, será incluído na ata, na forma de anexo, o registro:</w:t>
      </w:r>
    </w:p>
    <w:p w14:paraId="7B7A3F0C">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jc w:val="both"/>
        <w:rPr>
          <w:rFonts w:ascii="Arial" w:hAnsi="Arial" w:eastAsia="Arial" w:cs="Arial"/>
          <w:color w:val="000000"/>
          <w:sz w:val="24"/>
          <w:szCs w:val="24"/>
        </w:rPr>
      </w:pPr>
      <w:bookmarkStart w:id="41" w:name="_heading=h.3fwokq0" w:colFirst="0" w:colLast="0"/>
      <w:bookmarkEnd w:id="41"/>
      <w:r>
        <w:rPr>
          <w:rFonts w:ascii="Arial" w:hAnsi="Arial" w:eastAsia="Arial" w:cs="Arial"/>
          <w:color w:val="000000"/>
          <w:sz w:val="24"/>
          <w:szCs w:val="24"/>
        </w:rPr>
        <w:t xml:space="preserve">dos licitantes que aceitarem cotar o objeto com preço igual ao do adjudicatário, observada a classificação na licitação; e </w:t>
      </w:r>
    </w:p>
    <w:p w14:paraId="1BD196B0">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jc w:val="both"/>
        <w:rPr>
          <w:rFonts w:ascii="Arial" w:hAnsi="Arial" w:eastAsia="Arial" w:cs="Arial"/>
          <w:color w:val="000000"/>
          <w:sz w:val="24"/>
          <w:szCs w:val="24"/>
        </w:rPr>
      </w:pPr>
      <w:r>
        <w:rPr>
          <w:rFonts w:ascii="Arial" w:hAnsi="Arial" w:eastAsia="Arial" w:cs="Arial"/>
          <w:color w:val="000000"/>
          <w:sz w:val="24"/>
          <w:szCs w:val="24"/>
        </w:rPr>
        <w:t>dos licitantes que mantiverem sua proposta original.</w:t>
      </w:r>
    </w:p>
    <w:p w14:paraId="528EA3FF">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jc w:val="both"/>
        <w:rPr>
          <w:rFonts w:ascii="Arial" w:hAnsi="Arial" w:eastAsia="Arial" w:cs="Arial"/>
          <w:i/>
          <w:color w:val="000000"/>
          <w:sz w:val="24"/>
          <w:szCs w:val="24"/>
        </w:rPr>
      </w:pPr>
      <w:r>
        <w:rPr>
          <w:rFonts w:ascii="Arial" w:hAnsi="Arial" w:eastAsia="Arial" w:cs="Arial"/>
          <w:color w:val="000000"/>
          <w:sz w:val="24"/>
          <w:szCs w:val="24"/>
        </w:rPr>
        <w:t xml:space="preserve">          Será respeitada, nas contratações, a ordem de classificação dos licitantes ou fornecedores registrados na ata.</w:t>
      </w:r>
    </w:p>
    <w:p w14:paraId="4536411B">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jc w:val="both"/>
        <w:rPr>
          <w:rFonts w:ascii="Arial" w:hAnsi="Arial" w:eastAsia="Arial" w:cs="Arial"/>
          <w:color w:val="000000"/>
          <w:sz w:val="24"/>
          <w:szCs w:val="24"/>
        </w:rPr>
      </w:pPr>
      <w:r>
        <w:rPr>
          <w:rFonts w:ascii="Arial" w:hAnsi="Arial" w:eastAsia="Arial" w:cs="Arial"/>
          <w:color w:val="000000"/>
          <w:sz w:val="24"/>
          <w:szCs w:val="24"/>
        </w:rPr>
        <w:t>A apresentação de novas propostas na forma deste item não prejudicará o resultado do certame em relação ao licitante mais bem classificado.</w:t>
      </w:r>
    </w:p>
    <w:p w14:paraId="4D6C8FFC">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jc w:val="both"/>
        <w:rPr>
          <w:rFonts w:ascii="Arial" w:hAnsi="Arial" w:eastAsia="Arial" w:cs="Arial"/>
          <w:color w:val="000000"/>
          <w:sz w:val="24"/>
          <w:szCs w:val="24"/>
        </w:rPr>
      </w:pPr>
      <w:r>
        <w:rPr>
          <w:rFonts w:ascii="Arial" w:hAnsi="Arial" w:eastAsia="Arial" w:cs="Arial"/>
          <w:color w:val="000000"/>
          <w:sz w:val="24"/>
          <w:szCs w:val="24"/>
        </w:rPr>
        <w:t>Para fins da ordem de classificação, os licitantes ou fornecedores que aceitarem cotar o objeto com preço igual ao do adjudicatário antecederão aqueles que mantiverem sua proposta original.</w:t>
      </w:r>
    </w:p>
    <w:p w14:paraId="58DC94F5">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 xml:space="preserve"> A habilitação dos licitantes que comporão o cadastro de reserva será efetuada quando houver necessidade de contratação dos licitantes remanescentes, nas seguintes hipóteses:</w:t>
      </w:r>
    </w:p>
    <w:p w14:paraId="214B4FC0">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 xml:space="preserve"> quando o licitante vencedor não assinar a ata de registro de preços no prazo e nas condições estabelecidos no edital; ou</w:t>
      </w:r>
    </w:p>
    <w:p w14:paraId="613F3CEF">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quando houver o cancelamento do registro do fornecedor ou do registro de preços, nas hipóteses previstas nos art. 28 e art. 29 do Decreto nº 11.462/23.</w:t>
      </w:r>
    </w:p>
    <w:p w14:paraId="521181E7">
      <w:pPr>
        <w:pBdr>
          <w:top w:val="none" w:color="auto" w:sz="0" w:space="0"/>
          <w:left w:val="none" w:color="auto" w:sz="0" w:space="0"/>
          <w:bottom w:val="none" w:color="auto" w:sz="0" w:space="0"/>
          <w:right w:val="none" w:color="auto" w:sz="0" w:space="0"/>
          <w:between w:val="none" w:color="auto" w:sz="0" w:space="0"/>
        </w:pBdr>
        <w:spacing w:before="120" w:after="120"/>
        <w:ind w:left="4969" w:hanging="431"/>
        <w:jc w:val="both"/>
        <w:rPr>
          <w:rFonts w:ascii="Arial" w:hAnsi="Arial" w:eastAsia="Arial" w:cs="Arial"/>
          <w:i/>
          <w:color w:val="000000"/>
          <w:sz w:val="24"/>
          <w:szCs w:val="24"/>
        </w:rPr>
      </w:pPr>
    </w:p>
    <w:p w14:paraId="04B15609">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Na hipótese de nenhum dos licitantes que aceitaram cotar o objeto com preço igual ao do adjudicatário concordar com a contratação nos termos em igual prazo e nas condições propostas pelo primeiro classificado, a Administração, observados o valor estimado e a sua eventual atualização na forma prevista no edital, poderá:</w:t>
      </w:r>
    </w:p>
    <w:p w14:paraId="223E45F4">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 xml:space="preserve"> convocar os licitantes que mantiveram sua proposta original para negociação, na ordem de classificação, com vistas à obtenção de preço melhor, mesmo que acima do preço do adjudicatário; ou</w:t>
      </w:r>
    </w:p>
    <w:p w14:paraId="4A0E5B56">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 xml:space="preserve"> adjudicar e firmar o contrato nas condições ofertadas pelos licitantes remanescentes, observada a ordem de classificação, quando frustrada a negociação de melhor condição.</w:t>
      </w:r>
    </w:p>
    <w:p w14:paraId="23D2C6D7">
      <w:pPr>
        <w:keepNext/>
        <w:keepLines/>
        <w:tabs>
          <w:tab w:val="left" w:pos="567"/>
        </w:tabs>
        <w:spacing w:before="288" w:after="288" w:line="312" w:lineRule="auto"/>
        <w:jc w:val="both"/>
        <w:rPr>
          <w:rFonts w:ascii="Arial" w:hAnsi="Arial" w:eastAsia="Arial" w:cs="Arial"/>
          <w:b/>
          <w:color w:val="000000"/>
          <w:sz w:val="24"/>
          <w:szCs w:val="24"/>
        </w:rPr>
      </w:pPr>
    </w:p>
    <w:p w14:paraId="6822DC5A">
      <w:pPr>
        <w:keepNext/>
        <w:keepLines/>
        <w:numPr>
          <w:ilvl w:val="0"/>
          <w:numId w:val="8"/>
        </w:numPr>
        <w:pBdr>
          <w:top w:val="none" w:color="auto" w:sz="0" w:space="0"/>
          <w:left w:val="none" w:color="auto" w:sz="0" w:space="0"/>
          <w:bottom w:val="none" w:color="auto" w:sz="0" w:space="0"/>
          <w:right w:val="none" w:color="auto" w:sz="0" w:space="0"/>
          <w:between w:val="none" w:color="auto" w:sz="0" w:space="0"/>
        </w:pBdr>
        <w:tabs>
          <w:tab w:val="left" w:pos="567"/>
        </w:tabs>
        <w:spacing w:before="288" w:after="0" w:line="312" w:lineRule="auto"/>
        <w:jc w:val="both"/>
        <w:rPr>
          <w:rFonts w:ascii="Arial" w:hAnsi="Arial" w:eastAsia="Arial" w:cs="Arial"/>
          <w:b/>
          <w:color w:val="000000"/>
          <w:sz w:val="24"/>
          <w:szCs w:val="24"/>
        </w:rPr>
      </w:pPr>
      <w:r>
        <w:rPr>
          <w:rFonts w:ascii="Arial" w:hAnsi="Arial" w:eastAsia="Arial" w:cs="Arial"/>
          <w:b/>
          <w:color w:val="000000"/>
          <w:sz w:val="24"/>
          <w:szCs w:val="24"/>
        </w:rPr>
        <w:t>DOS RECURSOS</w:t>
      </w:r>
    </w:p>
    <w:p w14:paraId="1C6C5605">
      <w:pPr>
        <w:keepNext/>
        <w:keepLines/>
        <w:pBdr>
          <w:top w:val="none" w:color="auto" w:sz="0" w:space="0"/>
          <w:left w:val="none" w:color="auto" w:sz="0" w:space="0"/>
          <w:bottom w:val="none" w:color="auto" w:sz="0" w:space="0"/>
          <w:right w:val="none" w:color="auto" w:sz="0" w:space="0"/>
          <w:between w:val="none" w:color="auto" w:sz="0" w:space="0"/>
        </w:pBdr>
        <w:tabs>
          <w:tab w:val="left" w:pos="567"/>
        </w:tabs>
        <w:spacing w:after="0" w:line="312" w:lineRule="auto"/>
        <w:ind w:left="720"/>
        <w:jc w:val="both"/>
        <w:rPr>
          <w:rFonts w:ascii="Arial" w:hAnsi="Arial" w:eastAsia="Arial" w:cs="Arial"/>
          <w:b/>
          <w:color w:val="17365D"/>
          <w:sz w:val="24"/>
          <w:szCs w:val="24"/>
        </w:rPr>
      </w:pPr>
    </w:p>
    <w:p w14:paraId="032CB1D2">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 xml:space="preserve">A interposição de recurso referente ao julgamento das propostas, à habilitação ou inabilitação de licitantes, à anulação ou revogação da licitação, observará o disposto no </w:t>
      </w:r>
      <w:r>
        <w:fldChar w:fldCharType="begin"/>
      </w:r>
      <w:r>
        <w:instrText xml:space="preserve"> HYPERLINK "http://www.planalto.gov.br/ccivil_03/_ato2019-2022/2021/lei/L14133.htm" \l "art165" \h </w:instrText>
      </w:r>
      <w:r>
        <w:fldChar w:fldCharType="separate"/>
      </w:r>
      <w:r>
        <w:rPr>
          <w:rFonts w:ascii="Arial" w:hAnsi="Arial" w:eastAsia="Arial" w:cs="Arial"/>
          <w:color w:val="000080"/>
          <w:sz w:val="24"/>
          <w:szCs w:val="24"/>
          <w:u w:val="single"/>
        </w:rPr>
        <w:t>art. 165 da Lei nº 14.133, de 2021</w:t>
      </w:r>
      <w:r>
        <w:rPr>
          <w:rFonts w:ascii="Arial" w:hAnsi="Arial" w:eastAsia="Arial" w:cs="Arial"/>
          <w:color w:val="000080"/>
          <w:sz w:val="24"/>
          <w:szCs w:val="24"/>
          <w:u w:val="single"/>
        </w:rPr>
        <w:fldChar w:fldCharType="end"/>
      </w:r>
      <w:r>
        <w:rPr>
          <w:rFonts w:ascii="Arial" w:hAnsi="Arial" w:eastAsia="Arial" w:cs="Arial"/>
          <w:color w:val="000000"/>
          <w:sz w:val="24"/>
          <w:szCs w:val="24"/>
        </w:rPr>
        <w:t>.</w:t>
      </w:r>
    </w:p>
    <w:p w14:paraId="64AE7B03">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 xml:space="preserve">O prazo recursal é de </w:t>
      </w:r>
      <w:r>
        <w:rPr>
          <w:rFonts w:ascii="Arial" w:hAnsi="Arial" w:eastAsia="Arial" w:cs="Arial"/>
          <w:b/>
          <w:color w:val="000000"/>
          <w:sz w:val="24"/>
          <w:szCs w:val="24"/>
          <w:highlight w:val="green"/>
        </w:rPr>
        <w:t>3 (três) dias úteis</w:t>
      </w:r>
      <w:r>
        <w:rPr>
          <w:rFonts w:ascii="Arial" w:hAnsi="Arial" w:eastAsia="Arial" w:cs="Arial"/>
          <w:color w:val="000000"/>
          <w:sz w:val="24"/>
          <w:szCs w:val="24"/>
        </w:rPr>
        <w:t>, contados da data de intimação ou de lavratura da ata.</w:t>
      </w:r>
    </w:p>
    <w:p w14:paraId="14B20500">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Quando o recurso apresentado impugnar o julgamento das propostas ou o ato de habilitação ou inabilitação do licitante:</w:t>
      </w:r>
    </w:p>
    <w:p w14:paraId="0C76927E">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bookmarkStart w:id="42" w:name="_heading=h.1v1yuxt" w:colFirst="0" w:colLast="0"/>
      <w:bookmarkEnd w:id="42"/>
      <w:r>
        <w:rPr>
          <w:rFonts w:ascii="Arial" w:hAnsi="Arial" w:eastAsia="Arial" w:cs="Arial"/>
          <w:color w:val="000000"/>
          <w:sz w:val="24"/>
          <w:szCs w:val="24"/>
        </w:rPr>
        <w:t>a intenção de recorrer deverá ser manifestada imediatamente, sob pena de preclusão;</w:t>
      </w:r>
    </w:p>
    <w:p w14:paraId="3BDE95CF">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 xml:space="preserve">o prazo para a manifestação da intenção de recorrer não será inferior a </w:t>
      </w:r>
      <w:r>
        <w:rPr>
          <w:rFonts w:ascii="Arial" w:hAnsi="Arial" w:eastAsia="Arial" w:cs="Arial"/>
          <w:b/>
          <w:color w:val="000000"/>
          <w:sz w:val="24"/>
          <w:szCs w:val="24"/>
        </w:rPr>
        <w:t>10 (dez) minutos</w:t>
      </w:r>
      <w:r>
        <w:rPr>
          <w:rFonts w:ascii="Arial" w:hAnsi="Arial" w:eastAsia="Arial" w:cs="Arial"/>
          <w:color w:val="000000"/>
          <w:sz w:val="24"/>
          <w:szCs w:val="24"/>
        </w:rPr>
        <w:t>;</w:t>
      </w:r>
    </w:p>
    <w:p w14:paraId="6525FC37">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o prazo para apresentação das razões recursais será iniciado na data de intimação ou de lavratura da ata de habilitação ou inabilitação;</w:t>
      </w:r>
    </w:p>
    <w:p w14:paraId="7D49B7E6">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na hipótese de adoção da inversão de fases prevista no </w:t>
      </w:r>
      <w:r>
        <w:fldChar w:fldCharType="begin"/>
      </w:r>
      <w:r>
        <w:instrText xml:space="preserve"> HYPERLINK "http://www.planalto.gov.br/ccivil_03/_ato2019-2022/2021/lei/L14133.htm" \l "art17%C2%A71" \h </w:instrText>
      </w:r>
      <w:r>
        <w:fldChar w:fldCharType="separate"/>
      </w:r>
      <w:r>
        <w:rPr>
          <w:rFonts w:ascii="Arial" w:hAnsi="Arial" w:eastAsia="Arial" w:cs="Arial"/>
          <w:color w:val="000080"/>
          <w:sz w:val="24"/>
          <w:szCs w:val="24"/>
          <w:u w:val="single"/>
        </w:rPr>
        <w:t>§ 1º do art. 17 da Lei nº 14.133, de 2021</w:t>
      </w:r>
      <w:r>
        <w:rPr>
          <w:rFonts w:ascii="Arial" w:hAnsi="Arial" w:eastAsia="Arial" w:cs="Arial"/>
          <w:color w:val="000080"/>
          <w:sz w:val="24"/>
          <w:szCs w:val="24"/>
          <w:u w:val="single"/>
        </w:rPr>
        <w:fldChar w:fldCharType="end"/>
      </w:r>
      <w:r>
        <w:rPr>
          <w:rFonts w:ascii="Arial" w:hAnsi="Arial" w:eastAsia="Arial" w:cs="Arial"/>
          <w:color w:val="000000"/>
          <w:sz w:val="24"/>
          <w:szCs w:val="24"/>
        </w:rPr>
        <w:t>, o prazo para apresentação das razões recursais será iniciado na data de intimação da ata de julgamento.</w:t>
      </w:r>
    </w:p>
    <w:p w14:paraId="1020DE4E">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Os recursos deverão ser encaminhados em campo próprio do sistema.</w:t>
      </w:r>
    </w:p>
    <w:p w14:paraId="57FD119A">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 xml:space="preserve">O recurso será dirigido à autoridade que tiver editado o ato ou proferido a decisão recorrida, a qual poderá reconsiderar sua decisão no prazo de </w:t>
      </w:r>
      <w:r>
        <w:rPr>
          <w:rFonts w:ascii="Arial" w:hAnsi="Arial" w:eastAsia="Arial" w:cs="Arial"/>
          <w:b/>
          <w:color w:val="000000"/>
          <w:sz w:val="24"/>
          <w:szCs w:val="24"/>
          <w:highlight w:val="green"/>
        </w:rPr>
        <w:t>3 (três) dias úteis</w:t>
      </w:r>
      <w:r>
        <w:rPr>
          <w:rFonts w:ascii="Arial" w:hAnsi="Arial" w:eastAsia="Arial" w:cs="Arial"/>
          <w:color w:val="000000"/>
          <w:sz w:val="24"/>
          <w:szCs w:val="24"/>
        </w:rPr>
        <w:t xml:space="preserve">, ou, nesse mesmo prazo, encaminhar recurso para a autoridade superior, a qual deverá proferir sua decisão no prazo de </w:t>
      </w:r>
      <w:r>
        <w:rPr>
          <w:rFonts w:ascii="Arial" w:hAnsi="Arial" w:eastAsia="Arial" w:cs="Arial"/>
          <w:b/>
          <w:color w:val="000000"/>
          <w:sz w:val="24"/>
          <w:szCs w:val="24"/>
          <w:highlight w:val="green"/>
        </w:rPr>
        <w:t>10 (dez) dias úteis</w:t>
      </w:r>
      <w:r>
        <w:rPr>
          <w:rFonts w:ascii="Arial" w:hAnsi="Arial" w:eastAsia="Arial" w:cs="Arial"/>
          <w:color w:val="000000"/>
          <w:sz w:val="24"/>
          <w:szCs w:val="24"/>
        </w:rPr>
        <w:t>, contado do recebimento dos autos.</w:t>
      </w:r>
    </w:p>
    <w:p w14:paraId="229934C9">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 xml:space="preserve">Os recursos interpostos fora do prazo não serão conhecidos. </w:t>
      </w:r>
    </w:p>
    <w:p w14:paraId="6A8AD5D0">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 xml:space="preserve">O prazo para apresentação de contrarrazões ao recurso pelos demais licitantes será de </w:t>
      </w:r>
      <w:r>
        <w:rPr>
          <w:rFonts w:ascii="Arial" w:hAnsi="Arial" w:eastAsia="Arial" w:cs="Arial"/>
          <w:b/>
          <w:color w:val="000000"/>
          <w:sz w:val="24"/>
          <w:szCs w:val="24"/>
          <w:highlight w:val="green"/>
        </w:rPr>
        <w:t>3 (três) dias úteis</w:t>
      </w:r>
      <w:r>
        <w:rPr>
          <w:rFonts w:ascii="Arial" w:hAnsi="Arial" w:eastAsia="Arial" w:cs="Arial"/>
          <w:color w:val="000000"/>
          <w:sz w:val="24"/>
          <w:szCs w:val="24"/>
        </w:rPr>
        <w:t>, contados da data da intimação pessoal ou da divulgação da interposição do recurso, assegurada a vista imediata dos elementos indispensáveis à defesa de seus interesses.</w:t>
      </w:r>
    </w:p>
    <w:p w14:paraId="6B3981BF">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 xml:space="preserve">O recurso e o pedido de reconsideração terão efeito suspensivo do ato ou da decisão recorrida até que sobrevenha decisão final da autoridade competente. </w:t>
      </w:r>
    </w:p>
    <w:p w14:paraId="18337FE3">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 xml:space="preserve">O acolhimento do recurso invalida tão somente os atos insuscetíveis de aproveitamento. </w:t>
      </w:r>
    </w:p>
    <w:p w14:paraId="0ABDF8EA">
      <w:pPr>
        <w:numPr>
          <w:ilvl w:val="1"/>
          <w:numId w:val="8"/>
        </w:numPr>
        <w:pBdr>
          <w:top w:val="none" w:color="auto" w:sz="0" w:space="0"/>
          <w:left w:val="none" w:color="auto" w:sz="0" w:space="0"/>
          <w:bottom w:val="none" w:color="auto" w:sz="0" w:space="0"/>
          <w:right w:val="none" w:color="auto" w:sz="0" w:space="0"/>
          <w:between w:val="none" w:color="auto" w:sz="0" w:space="0"/>
        </w:pBdr>
        <w:spacing w:after="120"/>
        <w:jc w:val="both"/>
        <w:rPr>
          <w:rFonts w:ascii="Arial" w:hAnsi="Arial" w:eastAsia="Arial" w:cs="Arial"/>
          <w:color w:val="000000"/>
          <w:sz w:val="24"/>
          <w:szCs w:val="24"/>
        </w:rPr>
      </w:pPr>
      <w:r>
        <w:rPr>
          <w:rFonts w:ascii="Arial" w:hAnsi="Arial" w:eastAsia="Arial" w:cs="Arial"/>
          <w:color w:val="000000"/>
          <w:sz w:val="24"/>
          <w:szCs w:val="24"/>
        </w:rPr>
        <w:t xml:space="preserve">Os autos do processo permanecerão com vista franqueada aos interessados no sítio eletrônico no Portal de Compras Públicas </w:t>
      </w:r>
      <w:r>
        <w:fldChar w:fldCharType="begin"/>
      </w:r>
      <w:r>
        <w:instrText xml:space="preserve"> HYPERLINK "http://www.portaldecompraspublicas.com.br" \h </w:instrText>
      </w:r>
      <w:r>
        <w:fldChar w:fldCharType="separate"/>
      </w:r>
      <w:r>
        <w:rPr>
          <w:rFonts w:ascii="Arial" w:hAnsi="Arial" w:eastAsia="Arial" w:cs="Arial"/>
          <w:b/>
          <w:color w:val="0066FF"/>
          <w:sz w:val="24"/>
          <w:szCs w:val="24"/>
          <w:u w:val="single"/>
        </w:rPr>
        <w:t>www.portaldecompraspublicas.com.br</w:t>
      </w:r>
      <w:r>
        <w:rPr>
          <w:rFonts w:ascii="Arial" w:hAnsi="Arial" w:eastAsia="Arial" w:cs="Arial"/>
          <w:b/>
          <w:color w:val="0066FF"/>
          <w:sz w:val="24"/>
          <w:szCs w:val="24"/>
          <w:u w:val="single"/>
        </w:rPr>
        <w:fldChar w:fldCharType="end"/>
      </w:r>
      <w:r>
        <w:rPr>
          <w:rFonts w:ascii="Arial" w:hAnsi="Arial" w:eastAsia="Arial" w:cs="Arial"/>
          <w:b/>
          <w:color w:val="0066FF"/>
          <w:sz w:val="24"/>
          <w:szCs w:val="24"/>
          <w:u w:val="single"/>
        </w:rPr>
        <w:t>.</w:t>
      </w:r>
    </w:p>
    <w:p w14:paraId="3502ED7E">
      <w:pPr>
        <w:spacing w:before="120" w:after="120"/>
        <w:ind w:left="360"/>
        <w:jc w:val="both"/>
        <w:rPr>
          <w:rFonts w:ascii="Arial" w:hAnsi="Arial" w:eastAsia="Arial" w:cs="Arial"/>
          <w:color w:val="000000"/>
          <w:sz w:val="24"/>
          <w:szCs w:val="24"/>
        </w:rPr>
      </w:pPr>
    </w:p>
    <w:p w14:paraId="4C5DD55C">
      <w:pPr>
        <w:keepNext/>
        <w:keepLines/>
        <w:numPr>
          <w:ilvl w:val="0"/>
          <w:numId w:val="8"/>
        </w:numPr>
        <w:pBdr>
          <w:top w:val="none" w:color="auto" w:sz="0" w:space="0"/>
          <w:left w:val="none" w:color="auto" w:sz="0" w:space="0"/>
          <w:bottom w:val="none" w:color="auto" w:sz="0" w:space="0"/>
          <w:right w:val="none" w:color="auto" w:sz="0" w:space="0"/>
          <w:between w:val="none" w:color="auto" w:sz="0" w:space="0"/>
        </w:pBdr>
        <w:tabs>
          <w:tab w:val="left" w:pos="567"/>
        </w:tabs>
        <w:spacing w:before="288" w:after="0" w:line="312" w:lineRule="auto"/>
        <w:jc w:val="both"/>
        <w:rPr>
          <w:rFonts w:ascii="Arial" w:hAnsi="Arial" w:eastAsia="Arial" w:cs="Arial"/>
          <w:b/>
          <w:color w:val="000000"/>
          <w:sz w:val="24"/>
          <w:szCs w:val="24"/>
        </w:rPr>
      </w:pPr>
      <w:bookmarkStart w:id="43" w:name="_heading=h.4f1mdlm" w:colFirst="0" w:colLast="0"/>
      <w:bookmarkEnd w:id="43"/>
      <w:r>
        <w:rPr>
          <w:rFonts w:ascii="Arial" w:hAnsi="Arial" w:eastAsia="Arial" w:cs="Arial"/>
          <w:b/>
          <w:color w:val="000000"/>
          <w:sz w:val="24"/>
          <w:szCs w:val="24"/>
        </w:rPr>
        <w:t>DAS INFRAÇÕES ADMINISTRATIVAS E SANÇÕES</w:t>
      </w:r>
    </w:p>
    <w:p w14:paraId="46CF1B6A">
      <w:pPr>
        <w:keepNext/>
        <w:keepLines/>
        <w:pBdr>
          <w:top w:val="none" w:color="auto" w:sz="0" w:space="0"/>
          <w:left w:val="none" w:color="auto" w:sz="0" w:space="0"/>
          <w:bottom w:val="none" w:color="auto" w:sz="0" w:space="0"/>
          <w:right w:val="none" w:color="auto" w:sz="0" w:space="0"/>
          <w:between w:val="none" w:color="auto" w:sz="0" w:space="0"/>
        </w:pBdr>
        <w:tabs>
          <w:tab w:val="left" w:pos="567"/>
        </w:tabs>
        <w:spacing w:after="0" w:line="312" w:lineRule="auto"/>
        <w:ind w:left="720"/>
        <w:jc w:val="both"/>
        <w:rPr>
          <w:rFonts w:ascii="Arial" w:hAnsi="Arial" w:eastAsia="Arial" w:cs="Arial"/>
          <w:b/>
          <w:color w:val="17365D"/>
          <w:sz w:val="24"/>
          <w:szCs w:val="24"/>
        </w:rPr>
      </w:pPr>
    </w:p>
    <w:p w14:paraId="125B880E">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Comete infração administrativa, nos termos da lei, o licitante que, com dolo ou culpa:</w:t>
      </w:r>
    </w:p>
    <w:p w14:paraId="5C7F2CB1">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bookmarkStart w:id="44" w:name="_heading=h.2u6wntf" w:colFirst="0" w:colLast="0"/>
      <w:bookmarkEnd w:id="44"/>
      <w:r>
        <w:rPr>
          <w:rFonts w:ascii="Arial" w:hAnsi="Arial" w:eastAsia="Arial" w:cs="Arial"/>
          <w:color w:val="000000"/>
          <w:sz w:val="24"/>
          <w:szCs w:val="24"/>
        </w:rPr>
        <w:t>deixar de entregar a documentação exigida para o certame ou não entregar qualquer documento que tenha sido solicitado pelo/a pregoeiro/a durante o certame;</w:t>
      </w:r>
    </w:p>
    <w:p w14:paraId="15E27791">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bookmarkStart w:id="45" w:name="_heading=h.19c6y18" w:colFirst="0" w:colLast="0"/>
      <w:bookmarkEnd w:id="45"/>
      <w:r>
        <w:rPr>
          <w:rFonts w:ascii="Arial" w:hAnsi="Arial" w:eastAsia="Arial" w:cs="Arial"/>
          <w:color w:val="000000"/>
          <w:sz w:val="24"/>
          <w:szCs w:val="24"/>
        </w:rPr>
        <w:t>Salvo em decorrência de fato superveniente devidamente justificado, não mantiver a proposta em especial quando:</w:t>
      </w:r>
    </w:p>
    <w:p w14:paraId="2C11B36B">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não enviar a proposta adequada ao último lance ofertado ou após a negociação;</w:t>
      </w:r>
    </w:p>
    <w:p w14:paraId="3E1CDD1F">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 xml:space="preserve">recusar-se a enviar o detalhamento da proposta quando exigível; </w:t>
      </w:r>
    </w:p>
    <w:p w14:paraId="745BD283">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pedir para ser desclassificado quando encerrada a etapa competitiva; ou</w:t>
      </w:r>
    </w:p>
    <w:p w14:paraId="01A7ED25">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deixar de apresentar amostra;</w:t>
      </w:r>
    </w:p>
    <w:p w14:paraId="22415A2B">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bookmarkStart w:id="46" w:name="_heading=h.3tbugp1" w:colFirst="0" w:colLast="0"/>
      <w:bookmarkEnd w:id="46"/>
      <w:r>
        <w:rPr>
          <w:rFonts w:ascii="Arial" w:hAnsi="Arial" w:eastAsia="Arial" w:cs="Arial"/>
          <w:color w:val="000000"/>
          <w:sz w:val="24"/>
          <w:szCs w:val="24"/>
        </w:rPr>
        <w:t>apresentar proposta ou amostra em desacordo com as especificações do edital;</w:t>
      </w:r>
    </w:p>
    <w:p w14:paraId="402CE02A">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não celebrar o contrato ou não entregar a documentação exigida para a contratação, quando convocado dentro do prazo de validade de sua proposta;</w:t>
      </w:r>
    </w:p>
    <w:p w14:paraId="14A0879C">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bookmarkStart w:id="47" w:name="_heading=h.28h4qwu" w:colFirst="0" w:colLast="0"/>
      <w:bookmarkEnd w:id="47"/>
      <w:r>
        <w:rPr>
          <w:rFonts w:ascii="Arial" w:hAnsi="Arial" w:eastAsia="Arial" w:cs="Arial"/>
          <w:color w:val="000000"/>
          <w:sz w:val="24"/>
          <w:szCs w:val="24"/>
        </w:rPr>
        <w:t>recusar-se, sem justificativa, a assinar o contrato ou a ata de registro de preço, ou a aceitar ou retirar o instrumento equivalente no prazo estabelecido pela Administração;</w:t>
      </w:r>
    </w:p>
    <w:p w14:paraId="6D7F2D75">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bookmarkStart w:id="48" w:name="_heading=h.nmf14n" w:colFirst="0" w:colLast="0"/>
      <w:bookmarkEnd w:id="48"/>
      <w:r>
        <w:rPr>
          <w:rFonts w:ascii="Arial" w:hAnsi="Arial" w:eastAsia="Arial" w:cs="Arial"/>
          <w:color w:val="000000"/>
          <w:sz w:val="24"/>
          <w:szCs w:val="24"/>
        </w:rPr>
        <w:t>apresentar declaração ou documentação falsa exigida para o certame ou prestar declaração falsa durante a licitação;</w:t>
      </w:r>
    </w:p>
    <w:p w14:paraId="42FFCDC7">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bookmarkStart w:id="49" w:name="_heading=h.37m2jsg" w:colFirst="0" w:colLast="0"/>
      <w:bookmarkEnd w:id="49"/>
      <w:r>
        <w:rPr>
          <w:rFonts w:ascii="Arial" w:hAnsi="Arial" w:eastAsia="Arial" w:cs="Arial"/>
          <w:color w:val="000000"/>
          <w:sz w:val="24"/>
          <w:szCs w:val="24"/>
        </w:rPr>
        <w:t>fraudar a licitação;</w:t>
      </w:r>
    </w:p>
    <w:p w14:paraId="6A8610E6">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comportar-se de modo inidôneo ou cometer fraude de qualquer natureza, em especial quando:</w:t>
      </w:r>
    </w:p>
    <w:p w14:paraId="34433DF1">
      <w:pPr>
        <w:numPr>
          <w:ilvl w:val="0"/>
          <w:numId w:val="1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 xml:space="preserve">agir em conluio ou em desconformidade com a lei; </w:t>
      </w:r>
    </w:p>
    <w:p w14:paraId="12AC2018">
      <w:pPr>
        <w:numPr>
          <w:ilvl w:val="0"/>
          <w:numId w:val="1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induzir deliberadamente a erro no julgamento;</w:t>
      </w:r>
    </w:p>
    <w:p w14:paraId="7057EE84">
      <w:pPr>
        <w:numPr>
          <w:ilvl w:val="0"/>
          <w:numId w:val="1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bookmarkStart w:id="50" w:name="_heading=h.1mrcu09" w:colFirst="0" w:colLast="0"/>
      <w:bookmarkEnd w:id="50"/>
      <w:r>
        <w:rPr>
          <w:rFonts w:ascii="Arial" w:hAnsi="Arial" w:eastAsia="Arial" w:cs="Arial"/>
          <w:color w:val="000000"/>
          <w:sz w:val="24"/>
          <w:szCs w:val="24"/>
        </w:rPr>
        <w:t>apresentar amostra falsificada ou deteriorada;</w:t>
      </w:r>
    </w:p>
    <w:p w14:paraId="786627D3">
      <w:pPr>
        <w:numPr>
          <w:ilvl w:val="0"/>
          <w:numId w:val="1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bookmarkStart w:id="51" w:name="_heading=h.46r0co2" w:colFirst="0" w:colLast="0"/>
      <w:bookmarkEnd w:id="51"/>
      <w:r>
        <w:rPr>
          <w:rFonts w:ascii="Arial" w:hAnsi="Arial" w:eastAsia="Arial" w:cs="Arial"/>
          <w:color w:val="000000"/>
          <w:sz w:val="24"/>
          <w:szCs w:val="24"/>
        </w:rPr>
        <w:t>praticar atos ilícitos com vistas a frustrar os objetivos da licitação;</w:t>
      </w:r>
    </w:p>
    <w:p w14:paraId="0212BCD2">
      <w:pPr>
        <w:numPr>
          <w:ilvl w:val="0"/>
          <w:numId w:val="11"/>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 xml:space="preserve">praticar ato lesivo previsto no </w:t>
      </w:r>
      <w:r>
        <w:fldChar w:fldCharType="begin"/>
      </w:r>
      <w:r>
        <w:instrText xml:space="preserve"> HYPERLINK "https://www.planalto.gov.br/ccivil_03/_ato2011-2014/2013/lei/l12846.htm" \l "art5" \h </w:instrText>
      </w:r>
      <w:r>
        <w:fldChar w:fldCharType="separate"/>
      </w:r>
      <w:r>
        <w:rPr>
          <w:rFonts w:ascii="Arial" w:hAnsi="Arial" w:eastAsia="Arial" w:cs="Arial"/>
          <w:color w:val="000080"/>
          <w:sz w:val="24"/>
          <w:szCs w:val="24"/>
          <w:u w:val="single"/>
        </w:rPr>
        <w:t>art. 5º da Lei n.º 12.846, de 2013</w:t>
      </w:r>
      <w:r>
        <w:rPr>
          <w:rFonts w:ascii="Arial" w:hAnsi="Arial" w:eastAsia="Arial" w:cs="Arial"/>
          <w:color w:val="000080"/>
          <w:sz w:val="24"/>
          <w:szCs w:val="24"/>
          <w:u w:val="single"/>
        </w:rPr>
        <w:fldChar w:fldCharType="end"/>
      </w:r>
      <w:r>
        <w:rPr>
          <w:rFonts w:ascii="Arial" w:hAnsi="Arial" w:eastAsia="Arial" w:cs="Arial"/>
          <w:color w:val="000000"/>
          <w:sz w:val="24"/>
          <w:szCs w:val="24"/>
        </w:rPr>
        <w:t>.</w:t>
      </w:r>
    </w:p>
    <w:p w14:paraId="23E27ECF">
      <w:pPr>
        <w:pBdr>
          <w:top w:val="none" w:color="auto" w:sz="0" w:space="0"/>
          <w:left w:val="none" w:color="auto" w:sz="0" w:space="0"/>
          <w:bottom w:val="none" w:color="auto" w:sz="0" w:space="0"/>
          <w:right w:val="none" w:color="auto" w:sz="0" w:space="0"/>
          <w:between w:val="none" w:color="auto" w:sz="0" w:space="0"/>
        </w:pBdr>
        <w:spacing w:after="0"/>
        <w:ind w:left="927"/>
        <w:jc w:val="both"/>
        <w:rPr>
          <w:rFonts w:ascii="Arial" w:hAnsi="Arial" w:eastAsia="Arial" w:cs="Arial"/>
          <w:color w:val="000000"/>
          <w:sz w:val="24"/>
          <w:szCs w:val="24"/>
        </w:rPr>
      </w:pPr>
    </w:p>
    <w:p w14:paraId="43279FB9">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 xml:space="preserve">Com fulcro na </w:t>
      </w:r>
      <w:r>
        <w:fldChar w:fldCharType="begin"/>
      </w:r>
      <w:r>
        <w:instrText xml:space="preserve"> HYPERLINK "http://www.planalto.gov.br/ccivil_03/_ato2019-2022/2021/lei/L14133.htm" \h </w:instrText>
      </w:r>
      <w:r>
        <w:fldChar w:fldCharType="separate"/>
      </w:r>
      <w:r>
        <w:rPr>
          <w:rFonts w:ascii="Arial" w:hAnsi="Arial" w:eastAsia="Arial" w:cs="Arial"/>
          <w:color w:val="000080"/>
          <w:sz w:val="24"/>
          <w:szCs w:val="24"/>
          <w:u w:val="single"/>
        </w:rPr>
        <w:t>Lei nº 14.133, de 2021</w:t>
      </w:r>
      <w:r>
        <w:rPr>
          <w:rFonts w:ascii="Arial" w:hAnsi="Arial" w:eastAsia="Arial" w:cs="Arial"/>
          <w:color w:val="000080"/>
          <w:sz w:val="24"/>
          <w:szCs w:val="24"/>
          <w:u w:val="single"/>
        </w:rPr>
        <w:fldChar w:fldCharType="end"/>
      </w:r>
      <w:r>
        <w:rPr>
          <w:rFonts w:ascii="Arial" w:hAnsi="Arial" w:eastAsia="Arial" w:cs="Arial"/>
          <w:color w:val="000000"/>
          <w:sz w:val="24"/>
          <w:szCs w:val="24"/>
        </w:rPr>
        <w:t xml:space="preserve">, a Administração poderá, garantida a prévia defesa, aplicar aos licitantes e/ou adjudicatários as seguintes sanções, sem prejuízo das responsabilidades civil e criminal: </w:t>
      </w:r>
    </w:p>
    <w:p w14:paraId="6227427D">
      <w:pPr>
        <w:numPr>
          <w:ilvl w:val="0"/>
          <w:numId w:val="12"/>
        </w:numPr>
        <w:pBdr>
          <w:top w:val="none" w:color="auto" w:sz="0" w:space="0"/>
          <w:left w:val="none" w:color="auto" w:sz="0" w:space="0"/>
          <w:bottom w:val="none" w:color="auto" w:sz="0" w:space="0"/>
          <w:right w:val="none" w:color="auto" w:sz="0" w:space="0"/>
          <w:between w:val="none" w:color="auto" w:sz="0" w:space="0"/>
        </w:pBdr>
        <w:spacing w:after="0"/>
        <w:ind w:hanging="360"/>
        <w:jc w:val="both"/>
        <w:rPr>
          <w:rFonts w:ascii="Arial" w:hAnsi="Arial" w:eastAsia="Arial" w:cs="Arial"/>
          <w:color w:val="000000"/>
          <w:sz w:val="24"/>
          <w:szCs w:val="24"/>
        </w:rPr>
      </w:pPr>
      <w:r>
        <w:rPr>
          <w:rFonts w:ascii="Arial" w:hAnsi="Arial" w:eastAsia="Arial" w:cs="Arial"/>
          <w:color w:val="000000"/>
          <w:sz w:val="24"/>
          <w:szCs w:val="24"/>
        </w:rPr>
        <w:t>advertência;</w:t>
      </w:r>
    </w:p>
    <w:p w14:paraId="172E9DCA">
      <w:pPr>
        <w:numPr>
          <w:ilvl w:val="0"/>
          <w:numId w:val="12"/>
        </w:numPr>
        <w:pBdr>
          <w:top w:val="none" w:color="auto" w:sz="0" w:space="0"/>
          <w:left w:val="none" w:color="auto" w:sz="0" w:space="0"/>
          <w:bottom w:val="none" w:color="auto" w:sz="0" w:space="0"/>
          <w:right w:val="none" w:color="auto" w:sz="0" w:space="0"/>
          <w:between w:val="none" w:color="auto" w:sz="0" w:space="0"/>
        </w:pBdr>
        <w:spacing w:after="0"/>
        <w:ind w:hanging="360"/>
        <w:jc w:val="both"/>
        <w:rPr>
          <w:rFonts w:ascii="Arial" w:hAnsi="Arial" w:eastAsia="Arial" w:cs="Arial"/>
          <w:color w:val="000000"/>
          <w:sz w:val="24"/>
          <w:szCs w:val="24"/>
        </w:rPr>
      </w:pPr>
      <w:r>
        <w:rPr>
          <w:rFonts w:ascii="Arial" w:hAnsi="Arial" w:eastAsia="Arial" w:cs="Arial"/>
          <w:color w:val="000000"/>
          <w:sz w:val="24"/>
          <w:szCs w:val="24"/>
        </w:rPr>
        <w:t>multa;</w:t>
      </w:r>
    </w:p>
    <w:p w14:paraId="726802D4">
      <w:pPr>
        <w:numPr>
          <w:ilvl w:val="0"/>
          <w:numId w:val="12"/>
        </w:numPr>
        <w:pBdr>
          <w:top w:val="none" w:color="auto" w:sz="0" w:space="0"/>
          <w:left w:val="none" w:color="auto" w:sz="0" w:space="0"/>
          <w:bottom w:val="none" w:color="auto" w:sz="0" w:space="0"/>
          <w:right w:val="none" w:color="auto" w:sz="0" w:space="0"/>
          <w:between w:val="none" w:color="auto" w:sz="0" w:space="0"/>
        </w:pBdr>
        <w:spacing w:after="0"/>
        <w:ind w:hanging="360"/>
        <w:jc w:val="both"/>
        <w:rPr>
          <w:rFonts w:ascii="Arial" w:hAnsi="Arial" w:eastAsia="Arial" w:cs="Arial"/>
          <w:color w:val="000000"/>
          <w:sz w:val="24"/>
          <w:szCs w:val="24"/>
        </w:rPr>
      </w:pPr>
      <w:r>
        <w:rPr>
          <w:rFonts w:ascii="Arial" w:hAnsi="Arial" w:eastAsia="Arial" w:cs="Arial"/>
          <w:color w:val="000000"/>
          <w:sz w:val="24"/>
          <w:szCs w:val="24"/>
        </w:rPr>
        <w:t>impedimento de licitar e contratar e</w:t>
      </w:r>
    </w:p>
    <w:p w14:paraId="1B4184EA">
      <w:pPr>
        <w:numPr>
          <w:ilvl w:val="0"/>
          <w:numId w:val="12"/>
        </w:numPr>
        <w:pBdr>
          <w:top w:val="none" w:color="auto" w:sz="0" w:space="0"/>
          <w:left w:val="none" w:color="auto" w:sz="0" w:space="0"/>
          <w:bottom w:val="none" w:color="auto" w:sz="0" w:space="0"/>
          <w:right w:val="none" w:color="auto" w:sz="0" w:space="0"/>
          <w:between w:val="none" w:color="auto" w:sz="0" w:space="0"/>
        </w:pBdr>
        <w:spacing w:after="0"/>
        <w:ind w:hanging="360"/>
        <w:jc w:val="both"/>
        <w:rPr>
          <w:rFonts w:ascii="Arial" w:hAnsi="Arial" w:eastAsia="Arial" w:cs="Arial"/>
          <w:color w:val="000000"/>
          <w:sz w:val="24"/>
          <w:szCs w:val="24"/>
        </w:rPr>
      </w:pPr>
      <w:r>
        <w:rPr>
          <w:rFonts w:ascii="Arial" w:hAnsi="Arial" w:eastAsia="Arial" w:cs="Arial"/>
          <w:color w:val="000000"/>
          <w:sz w:val="24"/>
          <w:szCs w:val="24"/>
        </w:rPr>
        <w:t>declaração de inidoneidade para licitar ou contratar, enquanto perdurarem os motivos determinantes da punição ou até que seja promovida sua reabilitação perante a própria autoridade que aplicou a penalidade</w:t>
      </w:r>
    </w:p>
    <w:p w14:paraId="3B94CF43">
      <w:pPr>
        <w:pBdr>
          <w:top w:val="none" w:color="auto" w:sz="0" w:space="0"/>
          <w:left w:val="none" w:color="auto" w:sz="0" w:space="0"/>
          <w:bottom w:val="none" w:color="auto" w:sz="0" w:space="0"/>
          <w:right w:val="none" w:color="auto" w:sz="0" w:space="0"/>
          <w:between w:val="none" w:color="auto" w:sz="0" w:space="0"/>
        </w:pBdr>
        <w:spacing w:after="0"/>
        <w:ind w:left="644"/>
        <w:jc w:val="both"/>
        <w:rPr>
          <w:rFonts w:ascii="Arial" w:hAnsi="Arial" w:eastAsia="Arial" w:cs="Arial"/>
          <w:color w:val="000000"/>
          <w:sz w:val="24"/>
          <w:szCs w:val="24"/>
        </w:rPr>
      </w:pPr>
    </w:p>
    <w:p w14:paraId="56E01767">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Na aplicação das sanções serão considerados:</w:t>
      </w:r>
    </w:p>
    <w:p w14:paraId="6DEEB0FE">
      <w:pPr>
        <w:numPr>
          <w:ilvl w:val="0"/>
          <w:numId w:val="13"/>
        </w:numPr>
        <w:pBdr>
          <w:top w:val="none" w:color="auto" w:sz="0" w:space="0"/>
          <w:left w:val="none" w:color="auto" w:sz="0" w:space="0"/>
          <w:bottom w:val="none" w:color="auto" w:sz="0" w:space="0"/>
          <w:right w:val="none" w:color="auto" w:sz="0" w:space="0"/>
          <w:between w:val="none" w:color="auto" w:sz="0" w:space="0"/>
        </w:pBdr>
        <w:spacing w:after="0"/>
        <w:ind w:hanging="360"/>
        <w:jc w:val="both"/>
        <w:rPr>
          <w:rFonts w:ascii="Arial" w:hAnsi="Arial" w:eastAsia="Arial" w:cs="Arial"/>
          <w:color w:val="000000"/>
          <w:sz w:val="24"/>
          <w:szCs w:val="24"/>
        </w:rPr>
      </w:pPr>
      <w:r>
        <w:rPr>
          <w:rFonts w:ascii="Arial" w:hAnsi="Arial" w:eastAsia="Arial" w:cs="Arial"/>
          <w:color w:val="000000"/>
          <w:sz w:val="24"/>
          <w:szCs w:val="24"/>
        </w:rPr>
        <w:t>a natureza e a gravidade da infração cometida;</w:t>
      </w:r>
    </w:p>
    <w:p w14:paraId="7908F3A9">
      <w:pPr>
        <w:numPr>
          <w:ilvl w:val="0"/>
          <w:numId w:val="13"/>
        </w:numPr>
        <w:pBdr>
          <w:top w:val="none" w:color="auto" w:sz="0" w:space="0"/>
          <w:left w:val="none" w:color="auto" w:sz="0" w:space="0"/>
          <w:bottom w:val="none" w:color="auto" w:sz="0" w:space="0"/>
          <w:right w:val="none" w:color="auto" w:sz="0" w:space="0"/>
          <w:between w:val="none" w:color="auto" w:sz="0" w:space="0"/>
        </w:pBdr>
        <w:spacing w:after="0"/>
        <w:ind w:hanging="360"/>
        <w:jc w:val="both"/>
        <w:rPr>
          <w:rFonts w:ascii="Arial" w:hAnsi="Arial" w:eastAsia="Arial" w:cs="Arial"/>
          <w:color w:val="000000"/>
          <w:sz w:val="24"/>
          <w:szCs w:val="24"/>
        </w:rPr>
      </w:pPr>
      <w:r>
        <w:rPr>
          <w:rFonts w:ascii="Arial" w:hAnsi="Arial" w:eastAsia="Arial" w:cs="Arial"/>
          <w:color w:val="000000"/>
          <w:sz w:val="24"/>
          <w:szCs w:val="24"/>
        </w:rPr>
        <w:t>as peculiaridades do caso concreto;</w:t>
      </w:r>
    </w:p>
    <w:p w14:paraId="6778901B">
      <w:pPr>
        <w:numPr>
          <w:ilvl w:val="0"/>
          <w:numId w:val="13"/>
        </w:numPr>
        <w:pBdr>
          <w:top w:val="none" w:color="auto" w:sz="0" w:space="0"/>
          <w:left w:val="none" w:color="auto" w:sz="0" w:space="0"/>
          <w:bottom w:val="none" w:color="auto" w:sz="0" w:space="0"/>
          <w:right w:val="none" w:color="auto" w:sz="0" w:space="0"/>
          <w:between w:val="none" w:color="auto" w:sz="0" w:space="0"/>
        </w:pBdr>
        <w:spacing w:after="0"/>
        <w:ind w:hanging="360"/>
        <w:jc w:val="both"/>
        <w:rPr>
          <w:rFonts w:ascii="Arial" w:hAnsi="Arial" w:eastAsia="Arial" w:cs="Arial"/>
          <w:color w:val="000000"/>
          <w:sz w:val="24"/>
          <w:szCs w:val="24"/>
        </w:rPr>
      </w:pPr>
      <w:r>
        <w:rPr>
          <w:rFonts w:ascii="Arial" w:hAnsi="Arial" w:eastAsia="Arial" w:cs="Arial"/>
          <w:color w:val="000000"/>
          <w:sz w:val="24"/>
          <w:szCs w:val="24"/>
        </w:rPr>
        <w:t>as circunstâncias agravantes ou atenuantes;</w:t>
      </w:r>
    </w:p>
    <w:p w14:paraId="173D4370">
      <w:pPr>
        <w:numPr>
          <w:ilvl w:val="0"/>
          <w:numId w:val="13"/>
        </w:numPr>
        <w:pBdr>
          <w:top w:val="none" w:color="auto" w:sz="0" w:space="0"/>
          <w:left w:val="none" w:color="auto" w:sz="0" w:space="0"/>
          <w:bottom w:val="none" w:color="auto" w:sz="0" w:space="0"/>
          <w:right w:val="none" w:color="auto" w:sz="0" w:space="0"/>
          <w:between w:val="none" w:color="auto" w:sz="0" w:space="0"/>
        </w:pBdr>
        <w:spacing w:after="0"/>
        <w:ind w:hanging="360"/>
        <w:jc w:val="both"/>
        <w:rPr>
          <w:rFonts w:ascii="Arial" w:hAnsi="Arial" w:eastAsia="Arial" w:cs="Arial"/>
          <w:color w:val="000000"/>
          <w:sz w:val="24"/>
          <w:szCs w:val="24"/>
        </w:rPr>
      </w:pPr>
      <w:r>
        <w:rPr>
          <w:rFonts w:ascii="Arial" w:hAnsi="Arial" w:eastAsia="Arial" w:cs="Arial"/>
          <w:color w:val="000000"/>
          <w:sz w:val="24"/>
          <w:szCs w:val="24"/>
        </w:rPr>
        <w:t>os danos que dela provierem para a Administração Pública;</w:t>
      </w:r>
    </w:p>
    <w:p w14:paraId="2450DB2F">
      <w:pPr>
        <w:numPr>
          <w:ilvl w:val="0"/>
          <w:numId w:val="13"/>
        </w:numPr>
        <w:pBdr>
          <w:top w:val="none" w:color="auto" w:sz="0" w:space="0"/>
          <w:left w:val="none" w:color="auto" w:sz="0" w:space="0"/>
          <w:bottom w:val="none" w:color="auto" w:sz="0" w:space="0"/>
          <w:right w:val="none" w:color="auto" w:sz="0" w:space="0"/>
          <w:between w:val="none" w:color="auto" w:sz="0" w:space="0"/>
        </w:pBdr>
        <w:spacing w:after="0"/>
        <w:ind w:hanging="360"/>
        <w:jc w:val="both"/>
        <w:rPr>
          <w:rFonts w:ascii="Arial" w:hAnsi="Arial" w:eastAsia="Arial" w:cs="Arial"/>
          <w:color w:val="000000"/>
          <w:sz w:val="24"/>
          <w:szCs w:val="24"/>
        </w:rPr>
      </w:pPr>
      <w:r>
        <w:rPr>
          <w:rFonts w:ascii="Arial" w:hAnsi="Arial" w:eastAsia="Arial" w:cs="Arial"/>
          <w:color w:val="000000"/>
          <w:sz w:val="24"/>
          <w:szCs w:val="24"/>
        </w:rPr>
        <w:t>a implantação ou o aperfeiçoamento de programa de integridade, conforme normas e orientações dos órgãos de controle.</w:t>
      </w:r>
    </w:p>
    <w:p w14:paraId="4CF55617">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bookmarkStart w:id="52" w:name="_heading=h.2lwamvv" w:colFirst="0" w:colLast="0"/>
      <w:bookmarkEnd w:id="52"/>
      <w:r>
        <w:rPr>
          <w:rFonts w:ascii="Arial" w:hAnsi="Arial" w:eastAsia="Arial" w:cs="Arial"/>
          <w:color w:val="000000"/>
          <w:sz w:val="24"/>
          <w:szCs w:val="24"/>
        </w:rPr>
        <w:t xml:space="preserve">A multa será recolhida em percentual de 0,5% a 30% incidente sobre o valor do contrato licitado, recolhida no prazo máximo de </w:t>
      </w:r>
      <w:r>
        <w:rPr>
          <w:rFonts w:ascii="Arial" w:hAnsi="Arial" w:eastAsia="Arial" w:cs="Arial"/>
          <w:b/>
          <w:color w:val="000000"/>
          <w:sz w:val="24"/>
          <w:szCs w:val="24"/>
        </w:rPr>
        <w:t>30 (trinta) dias</w:t>
      </w:r>
      <w:r>
        <w:rPr>
          <w:rFonts w:ascii="Arial" w:hAnsi="Arial" w:eastAsia="Arial" w:cs="Arial"/>
          <w:color w:val="FF0000"/>
          <w:sz w:val="24"/>
          <w:szCs w:val="24"/>
        </w:rPr>
        <w:t xml:space="preserve"> </w:t>
      </w:r>
      <w:r>
        <w:rPr>
          <w:rFonts w:ascii="Arial" w:hAnsi="Arial" w:eastAsia="Arial" w:cs="Arial"/>
          <w:color w:val="000000"/>
          <w:sz w:val="24"/>
          <w:szCs w:val="24"/>
        </w:rPr>
        <w:t>úteis, a contar da comunicação oficial.</w:t>
      </w:r>
    </w:p>
    <w:p w14:paraId="7AF49D26">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Para as infrações previstas nos itens 12.2.4, 12.3 e 12.3.8, a multa será de 0,5% a 15% do valor do contrato licitado.</w:t>
      </w:r>
    </w:p>
    <w:p w14:paraId="153DB11F">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Para as infrações previstas nos itens 12.3.10, 12.3.11, 12.3.12, c) e d), a multa será de 15% a 30% do valor do contrato licitado.</w:t>
      </w:r>
    </w:p>
    <w:p w14:paraId="7AC09E8B">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As sanções de advertência, impedimento de licitar e contratar e declaração de inidoneidade para licitar ou contratar poderão ser aplicadas, cumulativamente ou não, à penalidade de multa.</w:t>
      </w:r>
    </w:p>
    <w:p w14:paraId="4A8F21BF">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 xml:space="preserve">Na aplicação da sanção de multa será facultada a defesa do interessado no prazo de </w:t>
      </w:r>
      <w:r>
        <w:rPr>
          <w:rFonts w:ascii="Arial" w:hAnsi="Arial" w:eastAsia="Arial" w:cs="Arial"/>
          <w:b/>
          <w:color w:val="000000"/>
          <w:sz w:val="24"/>
          <w:szCs w:val="24"/>
        </w:rPr>
        <w:t>15 (quinze) dias úteis</w:t>
      </w:r>
      <w:r>
        <w:rPr>
          <w:rFonts w:ascii="Arial" w:hAnsi="Arial" w:eastAsia="Arial" w:cs="Arial"/>
          <w:color w:val="000000"/>
          <w:sz w:val="24"/>
          <w:szCs w:val="24"/>
        </w:rPr>
        <w:t>, contado da data de sua intimação.</w:t>
      </w:r>
    </w:p>
    <w:p w14:paraId="700E81E9">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A sanção de impedimento de licitar e contratar será aplicada ao responsável em decorrência das infrações administrativas relacionadas nos itens 12.2.4, 12.3 e 12.3.8, quando não se justificar a imposição de penalidade mais grave, e impedirá o responsável de licitar e contratar no âmbito da Administração Pública direta e indireta do ente federativo a qual pertencer o órgão ou entidade, pelo prazo máximo de 3 (três) anos.</w:t>
      </w:r>
    </w:p>
    <w:p w14:paraId="779ACC90">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 xml:space="preserve">Poderá ser aplicada ao responsável a sanção de declaração de inidoneidade para licitar ou contratar, em decorrência da prática das infrações dispostas nos itens 12.3.10, 12.3.11, 12.3.12, c) e d), bem como pelas infrações administrativas previstas nos itens 12.2.4, 12.3 e 12.3.8 que justifiquem a imposição de penalidade mais grave que a sanção de impedimento de licitar e contratar, cuja duração observará o prazo previsto no </w:t>
      </w:r>
      <w:r>
        <w:fldChar w:fldCharType="begin"/>
      </w:r>
      <w:r>
        <w:instrText xml:space="preserve"> HYPERLINK "http://www.planalto.gov.br/ccivil_03/_ato2019-2022/2021/lei/L14133.htm" \l "art156%C2%A75" \h </w:instrText>
      </w:r>
      <w:r>
        <w:fldChar w:fldCharType="separate"/>
      </w:r>
      <w:r>
        <w:rPr>
          <w:rFonts w:ascii="Arial" w:hAnsi="Arial" w:eastAsia="Arial" w:cs="Arial"/>
          <w:color w:val="000080"/>
          <w:sz w:val="24"/>
          <w:szCs w:val="24"/>
          <w:u w:val="single"/>
        </w:rPr>
        <w:t>art. 156, §5º, da Lei n.º 14.133/2021</w:t>
      </w:r>
      <w:r>
        <w:rPr>
          <w:rFonts w:ascii="Arial" w:hAnsi="Arial" w:eastAsia="Arial" w:cs="Arial"/>
          <w:color w:val="000080"/>
          <w:sz w:val="24"/>
          <w:szCs w:val="24"/>
          <w:u w:val="single"/>
        </w:rPr>
        <w:fldChar w:fldCharType="end"/>
      </w:r>
      <w:r>
        <w:rPr>
          <w:rFonts w:ascii="Arial" w:hAnsi="Arial" w:eastAsia="Arial" w:cs="Arial"/>
          <w:color w:val="000000"/>
          <w:sz w:val="24"/>
          <w:szCs w:val="24"/>
        </w:rPr>
        <w:t>.</w:t>
      </w:r>
    </w:p>
    <w:p w14:paraId="08A6B983">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 xml:space="preserve">A recusa injustificada do adjudicatário em assinar o contrato ou a ata de registro de preço, ou em aceitar ou retirar o instrumento equivalente no prazo estabelecido pela Administração, descrita no item 12.3.8, caracterizará o descumprimento total da obrigação assumida e o sujeitará às penalidades e à imediata perda da garantia de proposta em favor do órgão ou entidade promotora da licitação, nos termos do </w:t>
      </w:r>
      <w:r>
        <w:fldChar w:fldCharType="begin"/>
      </w:r>
      <w:r>
        <w:instrText xml:space="preserve"> HYPERLINK "https://www.gov.br/compras/pt-br/acesso-a-informacao/legislacao/instrucoes-normativas/instrucao-normativa-seges-me-no-73-de-30-de-setembro-de-2022" \h </w:instrText>
      </w:r>
      <w:r>
        <w:fldChar w:fldCharType="separate"/>
      </w:r>
      <w:r>
        <w:rPr>
          <w:rFonts w:ascii="Arial" w:hAnsi="Arial" w:eastAsia="Arial" w:cs="Arial"/>
          <w:color w:val="000080"/>
          <w:sz w:val="24"/>
          <w:szCs w:val="24"/>
          <w:u w:val="single"/>
        </w:rPr>
        <w:t>art. 45, §4º da IN SEGES/ME n.º 73, de 2022</w:t>
      </w:r>
      <w:r>
        <w:rPr>
          <w:rFonts w:ascii="Arial" w:hAnsi="Arial" w:eastAsia="Arial" w:cs="Arial"/>
          <w:color w:val="000080"/>
          <w:sz w:val="24"/>
          <w:szCs w:val="24"/>
          <w:u w:val="single"/>
        </w:rPr>
        <w:fldChar w:fldCharType="end"/>
      </w:r>
      <w:r>
        <w:rPr>
          <w:rFonts w:ascii="Arial" w:hAnsi="Arial" w:eastAsia="Arial" w:cs="Arial"/>
          <w:color w:val="000000"/>
          <w:sz w:val="24"/>
          <w:szCs w:val="24"/>
        </w:rPr>
        <w:t xml:space="preserve">. </w:t>
      </w:r>
    </w:p>
    <w:p w14:paraId="7F277A2D">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A apuração de responsabilidade relacionadas às sanções de impedimento de licitar e contratar e de declaração de inidoneidade para licitar ou contratar demandará a instauração de processo de responsabilização a ser conduzido por comissão composta por 2 (dois) ou mais servidores estáveis, que avaliará fatos e circunstâncias conhecidos e intimará o licitante ou o adjudicatário para, no prazo de 15 (quinze) dias úteis, contado da data de sua intimação, apresentar defesa escrita e especificar as provas que pretenda produzir.</w:t>
      </w:r>
    </w:p>
    <w:p w14:paraId="28871B44">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Caberá recurso no prazo de 15 (quinze) dias úteis da aplicação das sanções de advertência, multa e impedimento de licitar e contratar, contado da data da intimação, o qual será dirigido à autoridade que tiver proferido a decisão recorrida, que, se não a reconsiderar no prazo de 5 (cinco) dias úteis, encaminhará o recurso com sua motivação à autoridade superior, que deverá proferir sua decisão no prazo máximo de 20 (vinte) dias úteis, contado do recebimento dos autos.</w:t>
      </w:r>
    </w:p>
    <w:p w14:paraId="622DD08D">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Caberá a apresentação de pedido de reconsideração da aplicação da sanção de declaração de inidoneidade para licitar ou contratar no prazo de 15 (quinze) dias úteis, contado da data da intimação, e decidido no prazo máximo de 20 (vinte) dias úteis, contado do seu recebimento.</w:t>
      </w:r>
    </w:p>
    <w:p w14:paraId="12A68AB1">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O recurso e o pedido de reconsideração terão efeito suspensivo do ato ou da decisão recorrida até que sobrevenha decisão final da autoridade competente.</w:t>
      </w:r>
    </w:p>
    <w:p w14:paraId="1A235722">
      <w:pPr>
        <w:numPr>
          <w:ilvl w:val="1"/>
          <w:numId w:val="8"/>
        </w:numPr>
        <w:pBdr>
          <w:top w:val="none" w:color="auto" w:sz="0" w:space="0"/>
          <w:left w:val="none" w:color="auto" w:sz="0" w:space="0"/>
          <w:bottom w:val="none" w:color="auto" w:sz="0" w:space="0"/>
          <w:right w:val="none" w:color="auto" w:sz="0" w:space="0"/>
          <w:between w:val="none" w:color="auto" w:sz="0" w:space="0"/>
        </w:pBdr>
        <w:spacing w:after="120"/>
        <w:jc w:val="both"/>
        <w:rPr>
          <w:rFonts w:ascii="Arial" w:hAnsi="Arial" w:eastAsia="Arial" w:cs="Arial"/>
          <w:color w:val="000000"/>
          <w:sz w:val="24"/>
          <w:szCs w:val="24"/>
        </w:rPr>
      </w:pPr>
      <w:r>
        <w:rPr>
          <w:rFonts w:ascii="Arial" w:hAnsi="Arial" w:eastAsia="Arial" w:cs="Arial"/>
          <w:color w:val="000000"/>
          <w:sz w:val="24"/>
          <w:szCs w:val="24"/>
        </w:rPr>
        <w:t>A aplicação das sanções previstas neste edital não exclui, em hipótese alguma, a obrigação de reparação integral dos danos causados.</w:t>
      </w:r>
    </w:p>
    <w:p w14:paraId="58D27AFB">
      <w:pPr>
        <w:spacing w:before="120" w:after="120"/>
        <w:ind w:left="360"/>
        <w:jc w:val="both"/>
        <w:rPr>
          <w:rFonts w:ascii="Arial" w:hAnsi="Arial" w:eastAsia="Arial" w:cs="Arial"/>
          <w:color w:val="000000"/>
          <w:sz w:val="24"/>
          <w:szCs w:val="24"/>
        </w:rPr>
      </w:pPr>
    </w:p>
    <w:p w14:paraId="1DC4E1E7">
      <w:pPr>
        <w:keepNext/>
        <w:keepLines/>
        <w:numPr>
          <w:ilvl w:val="0"/>
          <w:numId w:val="8"/>
        </w:numPr>
        <w:pBdr>
          <w:top w:val="none" w:color="auto" w:sz="0" w:space="0"/>
          <w:left w:val="none" w:color="auto" w:sz="0" w:space="0"/>
          <w:bottom w:val="none" w:color="auto" w:sz="0" w:space="0"/>
          <w:right w:val="none" w:color="auto" w:sz="0" w:space="0"/>
          <w:between w:val="none" w:color="auto" w:sz="0" w:space="0"/>
        </w:pBdr>
        <w:tabs>
          <w:tab w:val="left" w:pos="567"/>
        </w:tabs>
        <w:spacing w:before="288" w:after="0" w:line="312" w:lineRule="auto"/>
        <w:jc w:val="both"/>
        <w:rPr>
          <w:rFonts w:ascii="Arial" w:hAnsi="Arial" w:eastAsia="Arial" w:cs="Arial"/>
          <w:b/>
          <w:color w:val="000000"/>
          <w:sz w:val="24"/>
          <w:szCs w:val="24"/>
        </w:rPr>
      </w:pPr>
      <w:bookmarkStart w:id="53" w:name="_heading=h.111kx3o" w:colFirst="0" w:colLast="0"/>
      <w:bookmarkEnd w:id="53"/>
      <w:r>
        <w:rPr>
          <w:rFonts w:ascii="Arial" w:hAnsi="Arial" w:eastAsia="Arial" w:cs="Arial"/>
          <w:b/>
          <w:color w:val="000000"/>
          <w:sz w:val="24"/>
          <w:szCs w:val="24"/>
        </w:rPr>
        <w:t>DA IMPUGNAÇÃO AO EDITAL E DO PEDIDO DE ESCLARECIMENTO</w:t>
      </w:r>
    </w:p>
    <w:p w14:paraId="251B11EB">
      <w:pPr>
        <w:keepNext/>
        <w:keepLines/>
        <w:pBdr>
          <w:top w:val="none" w:color="auto" w:sz="0" w:space="0"/>
          <w:left w:val="none" w:color="auto" w:sz="0" w:space="0"/>
          <w:bottom w:val="none" w:color="auto" w:sz="0" w:space="0"/>
          <w:right w:val="none" w:color="auto" w:sz="0" w:space="0"/>
          <w:between w:val="none" w:color="auto" w:sz="0" w:space="0"/>
        </w:pBdr>
        <w:tabs>
          <w:tab w:val="left" w:pos="567"/>
        </w:tabs>
        <w:spacing w:after="0" w:line="312" w:lineRule="auto"/>
        <w:ind w:left="720"/>
        <w:jc w:val="both"/>
        <w:rPr>
          <w:rFonts w:ascii="Arial" w:hAnsi="Arial" w:eastAsia="Arial" w:cs="Arial"/>
          <w:b/>
          <w:color w:val="17365D"/>
          <w:sz w:val="24"/>
          <w:szCs w:val="24"/>
        </w:rPr>
      </w:pPr>
    </w:p>
    <w:p w14:paraId="1A8B244A">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 xml:space="preserve">Qualquer pessoa é parte legítima para impugnar este Edital por irregularidade na aplicação da </w:t>
      </w:r>
      <w:r>
        <w:fldChar w:fldCharType="begin"/>
      </w:r>
      <w:r>
        <w:instrText xml:space="preserve"> HYPERLINK "http://www.planalto.gov.br/ccivil_03/_ato2019-2022/2021/lei/L14133.htm" \h </w:instrText>
      </w:r>
      <w:r>
        <w:fldChar w:fldCharType="separate"/>
      </w:r>
      <w:r>
        <w:rPr>
          <w:rFonts w:ascii="Arial" w:hAnsi="Arial" w:eastAsia="Arial" w:cs="Arial"/>
          <w:color w:val="000080"/>
          <w:sz w:val="24"/>
          <w:szCs w:val="24"/>
          <w:u w:val="single"/>
        </w:rPr>
        <w:t>Lei nº 14.133, de 2021</w:t>
      </w:r>
      <w:r>
        <w:rPr>
          <w:rFonts w:ascii="Arial" w:hAnsi="Arial" w:eastAsia="Arial" w:cs="Arial"/>
          <w:color w:val="000080"/>
          <w:sz w:val="24"/>
          <w:szCs w:val="24"/>
          <w:u w:val="single"/>
        </w:rPr>
        <w:fldChar w:fldCharType="end"/>
      </w:r>
      <w:r>
        <w:rPr>
          <w:rFonts w:ascii="Arial" w:hAnsi="Arial" w:eastAsia="Arial" w:cs="Arial"/>
          <w:color w:val="000000"/>
          <w:sz w:val="24"/>
          <w:szCs w:val="24"/>
        </w:rPr>
        <w:t>, devendo protocolar o pedido até 3 (três) dias úteis antes da data da abertura do certame.</w:t>
      </w:r>
    </w:p>
    <w:p w14:paraId="66FBDC09">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A resposta à impugnação ou ao pedido de esclarecimento será divulgado em sítio eletrônico oficial no prazo de até 3 (três) dias úteis, limitado ao último dia útil anterior à data da abertura do certame.</w:t>
      </w:r>
    </w:p>
    <w:p w14:paraId="6735251A">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 xml:space="preserve">A impugnação e o pedido de esclarecimento poderão ser realizados </w:t>
      </w:r>
      <w:r>
        <w:rPr>
          <w:rFonts w:ascii="Arial" w:hAnsi="Arial" w:eastAsia="Arial" w:cs="Arial"/>
          <w:b/>
          <w:color w:val="000000"/>
          <w:sz w:val="24"/>
          <w:szCs w:val="24"/>
        </w:rPr>
        <w:t>EXCLUSIVAMENTE POR FORMA ELETRÔNICA</w:t>
      </w:r>
      <w:r>
        <w:rPr>
          <w:rFonts w:ascii="Arial" w:hAnsi="Arial" w:eastAsia="Arial" w:cs="Arial"/>
          <w:color w:val="000000"/>
          <w:sz w:val="24"/>
          <w:szCs w:val="24"/>
        </w:rPr>
        <w:t xml:space="preserve"> no sistema </w:t>
      </w:r>
      <w:r>
        <w:fldChar w:fldCharType="begin"/>
      </w:r>
      <w:r>
        <w:instrText xml:space="preserve"> HYPERLINK "http://www.portaldecompraspublicas.com.br" \h </w:instrText>
      </w:r>
      <w:r>
        <w:fldChar w:fldCharType="separate"/>
      </w:r>
      <w:r>
        <w:rPr>
          <w:rFonts w:ascii="Arial" w:hAnsi="Arial" w:eastAsia="Arial" w:cs="Arial"/>
          <w:b/>
          <w:color w:val="0066FF"/>
          <w:sz w:val="24"/>
          <w:szCs w:val="24"/>
          <w:u w:val="single"/>
        </w:rPr>
        <w:t>www.portaldecompraspublicas.com.br</w:t>
      </w:r>
      <w:r>
        <w:rPr>
          <w:rFonts w:ascii="Arial" w:hAnsi="Arial" w:eastAsia="Arial" w:cs="Arial"/>
          <w:b/>
          <w:color w:val="0066FF"/>
          <w:sz w:val="24"/>
          <w:szCs w:val="24"/>
          <w:u w:val="single"/>
        </w:rPr>
        <w:fldChar w:fldCharType="end"/>
      </w:r>
      <w:r>
        <w:rPr>
          <w:rFonts w:ascii="Arial" w:hAnsi="Arial" w:eastAsia="Arial" w:cs="Arial"/>
          <w:b/>
          <w:color w:val="0066FF"/>
          <w:sz w:val="24"/>
          <w:szCs w:val="24"/>
          <w:u w:val="single"/>
        </w:rPr>
        <w:t>.</w:t>
      </w:r>
    </w:p>
    <w:p w14:paraId="7CDD3C7F">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As impugnações e pedidos de esclarecimentos não suspendem os prazos previstos no certame.</w:t>
      </w:r>
    </w:p>
    <w:p w14:paraId="4E66BD1C">
      <w:pPr>
        <w:numPr>
          <w:ilvl w:val="2"/>
          <w:numId w:val="8"/>
        </w:numPr>
        <w:pBdr>
          <w:top w:val="none" w:color="auto" w:sz="0" w:space="0"/>
          <w:left w:val="none" w:color="auto" w:sz="0" w:space="0"/>
          <w:bottom w:val="none" w:color="auto" w:sz="0" w:space="0"/>
          <w:right w:val="none" w:color="auto" w:sz="0" w:space="0"/>
          <w:between w:val="none" w:color="auto" w:sz="0" w:space="0"/>
        </w:pBdr>
        <w:spacing w:after="0"/>
        <w:ind w:left="1701" w:hanging="567"/>
        <w:jc w:val="both"/>
        <w:rPr>
          <w:rFonts w:ascii="Arial" w:hAnsi="Arial" w:eastAsia="Arial" w:cs="Arial"/>
          <w:color w:val="000000"/>
          <w:sz w:val="24"/>
          <w:szCs w:val="24"/>
        </w:rPr>
      </w:pPr>
      <w:r>
        <w:rPr>
          <w:rFonts w:ascii="Arial" w:hAnsi="Arial" w:eastAsia="Arial" w:cs="Arial"/>
          <w:color w:val="000000"/>
          <w:sz w:val="24"/>
          <w:szCs w:val="24"/>
        </w:rPr>
        <w:t>A concessão de efeito suspensivo à impugnação é medida excepcional e deverá ser motivada pelo agente de contratação, nos autos do processo de licitação.</w:t>
      </w:r>
    </w:p>
    <w:p w14:paraId="5671C771">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Acolhida a impugnação, será definida e publicada nova data para a realização do certame.</w:t>
      </w:r>
    </w:p>
    <w:p w14:paraId="65FD25F2">
      <w:pPr>
        <w:pBdr>
          <w:top w:val="none" w:color="auto" w:sz="0" w:space="0"/>
          <w:left w:val="none" w:color="auto" w:sz="0" w:space="0"/>
          <w:bottom w:val="none" w:color="auto" w:sz="0" w:space="0"/>
          <w:right w:val="none" w:color="auto" w:sz="0" w:space="0"/>
          <w:between w:val="none" w:color="auto" w:sz="0" w:space="0"/>
        </w:pBdr>
        <w:spacing w:after="0"/>
        <w:ind w:left="1080"/>
        <w:jc w:val="both"/>
        <w:rPr>
          <w:rFonts w:ascii="Arial" w:hAnsi="Arial" w:eastAsia="Arial" w:cs="Arial"/>
          <w:color w:val="000000"/>
          <w:sz w:val="24"/>
          <w:szCs w:val="24"/>
        </w:rPr>
      </w:pPr>
    </w:p>
    <w:p w14:paraId="3BA5A455">
      <w:pPr>
        <w:keepNext/>
        <w:keepLines/>
        <w:numPr>
          <w:ilvl w:val="0"/>
          <w:numId w:val="8"/>
        </w:numPr>
        <w:pBdr>
          <w:top w:val="none" w:color="auto" w:sz="0" w:space="0"/>
          <w:left w:val="none" w:color="auto" w:sz="0" w:space="0"/>
          <w:bottom w:val="none" w:color="auto" w:sz="0" w:space="0"/>
          <w:right w:val="none" w:color="auto" w:sz="0" w:space="0"/>
          <w:between w:val="none" w:color="auto" w:sz="0" w:space="0"/>
        </w:pBdr>
        <w:tabs>
          <w:tab w:val="left" w:pos="567"/>
        </w:tabs>
        <w:spacing w:after="0" w:line="312" w:lineRule="auto"/>
        <w:jc w:val="both"/>
        <w:rPr>
          <w:rFonts w:ascii="Arial" w:hAnsi="Arial" w:eastAsia="Arial" w:cs="Arial"/>
          <w:b/>
          <w:color w:val="000000"/>
          <w:sz w:val="24"/>
          <w:szCs w:val="24"/>
        </w:rPr>
      </w:pPr>
      <w:bookmarkStart w:id="54" w:name="_heading=h.3l18frh" w:colFirst="0" w:colLast="0"/>
      <w:bookmarkEnd w:id="54"/>
      <w:r>
        <w:rPr>
          <w:rFonts w:ascii="Arial" w:hAnsi="Arial" w:eastAsia="Arial" w:cs="Arial"/>
          <w:b/>
          <w:color w:val="000000"/>
          <w:sz w:val="24"/>
          <w:szCs w:val="24"/>
        </w:rPr>
        <w:t>DAS DISPOSIÇÕES GERAIS</w:t>
      </w:r>
    </w:p>
    <w:p w14:paraId="5C9E2E8A">
      <w:pPr>
        <w:keepNext/>
        <w:keepLines/>
        <w:pBdr>
          <w:top w:val="none" w:color="auto" w:sz="0" w:space="0"/>
          <w:left w:val="none" w:color="auto" w:sz="0" w:space="0"/>
          <w:bottom w:val="none" w:color="auto" w:sz="0" w:space="0"/>
          <w:right w:val="none" w:color="auto" w:sz="0" w:space="0"/>
          <w:between w:val="none" w:color="auto" w:sz="0" w:space="0"/>
        </w:pBdr>
        <w:tabs>
          <w:tab w:val="left" w:pos="567"/>
        </w:tabs>
        <w:spacing w:after="0" w:line="312" w:lineRule="auto"/>
        <w:ind w:left="720"/>
        <w:jc w:val="both"/>
        <w:rPr>
          <w:rFonts w:ascii="Arial" w:hAnsi="Arial" w:eastAsia="Arial" w:cs="Arial"/>
          <w:b/>
          <w:color w:val="17365D"/>
          <w:sz w:val="24"/>
          <w:szCs w:val="24"/>
        </w:rPr>
      </w:pPr>
    </w:p>
    <w:p w14:paraId="3B6C3FEC">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bookmarkStart w:id="55" w:name="_heading=h.206ipza" w:colFirst="0" w:colLast="0"/>
      <w:bookmarkEnd w:id="55"/>
      <w:r>
        <w:rPr>
          <w:rFonts w:ascii="Arial" w:hAnsi="Arial" w:eastAsia="Arial" w:cs="Arial"/>
          <w:color w:val="000000"/>
          <w:sz w:val="24"/>
          <w:szCs w:val="24"/>
        </w:rPr>
        <w:t>Será divulgada ata da sessão pública no sistema eletrônico.</w:t>
      </w:r>
    </w:p>
    <w:p w14:paraId="42DD07C4">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pela Pregoeira.</w:t>
      </w:r>
    </w:p>
    <w:p w14:paraId="347FCB89">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Todas as referências de tempo no Edital, no aviso e durante a sessão pública observarão o horário de Brasília - DF.</w:t>
      </w:r>
    </w:p>
    <w:p w14:paraId="25B01EBD">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A homologação do resultado desta licitação não implicará direito à contratação.</w:t>
      </w:r>
    </w:p>
    <w:p w14:paraId="7097F593">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 xml:space="preserve">As normas disciplinadoras da licitação serão sempre interpretadas em favor da ampliação da disputa entre os interessados, desde que não comprometam o interesse da Administração, o princípio da isonomia, a finalidade e a segurança da contratação. </w:t>
      </w:r>
    </w:p>
    <w:p w14:paraId="10B4FC18">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Os licitantes assumem todos os custos de preparação e apresentação de suas propostas e a Administração não será, em nenhum caso, responsável por esses custos, independentemente da condução ou do resultado do processo licitatório.</w:t>
      </w:r>
    </w:p>
    <w:p w14:paraId="0A37E995">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Na contagem dos prazos estabelecidos neste Edital e seus Anexos, excluir-se-á o dia do início e incluir-se-á o do vencimento. Só se iniciam e vencem os prazos em dias de expediente na Administração.</w:t>
      </w:r>
    </w:p>
    <w:p w14:paraId="1E08A9D6">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O desatendimento de exigências formais não essenciais não importará o afastamento do licitante, desde que seja possível o aproveitamento do ato, observados os princípios da isonomia e do interesse público.</w:t>
      </w:r>
    </w:p>
    <w:p w14:paraId="4D682CC4">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Em caso de divergência entre disposições deste Edital e de seus anexos ou demais peças que compõem o processo, prevalecerá as deste Edital.</w:t>
      </w:r>
    </w:p>
    <w:p w14:paraId="308A339F">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 xml:space="preserve">O Edital e seus anexos estão disponíveis, na íntegra, no Portal Nacional de Contratações Públicas (PNCP) e endereço eletrônico </w:t>
      </w:r>
      <w:r>
        <w:fldChar w:fldCharType="begin"/>
      </w:r>
      <w:r>
        <w:instrText xml:space="preserve"> HYPERLINK "http://www.portaldecompraspublicas.com.br" \h </w:instrText>
      </w:r>
      <w:r>
        <w:fldChar w:fldCharType="separate"/>
      </w:r>
      <w:r>
        <w:rPr>
          <w:rFonts w:ascii="Arial" w:hAnsi="Arial" w:eastAsia="Arial" w:cs="Arial"/>
          <w:b/>
          <w:color w:val="0066FF"/>
          <w:sz w:val="24"/>
          <w:szCs w:val="24"/>
          <w:u w:val="single"/>
        </w:rPr>
        <w:t>www.portaldecompraspublicas.com.br</w:t>
      </w:r>
      <w:r>
        <w:rPr>
          <w:rFonts w:ascii="Arial" w:hAnsi="Arial" w:eastAsia="Arial" w:cs="Arial"/>
          <w:b/>
          <w:color w:val="0066FF"/>
          <w:sz w:val="24"/>
          <w:szCs w:val="24"/>
          <w:u w:val="single"/>
        </w:rPr>
        <w:fldChar w:fldCharType="end"/>
      </w:r>
      <w:r>
        <w:rPr>
          <w:rFonts w:ascii="Arial" w:hAnsi="Arial" w:eastAsia="Arial" w:cs="Arial"/>
          <w:color w:val="000000"/>
          <w:sz w:val="24"/>
          <w:szCs w:val="24"/>
        </w:rPr>
        <w:t>.</w:t>
      </w:r>
    </w:p>
    <w:p w14:paraId="40EB1B20">
      <w:pPr>
        <w:numPr>
          <w:ilvl w:val="1"/>
          <w:numId w:val="8"/>
        </w:numPr>
        <w:pBdr>
          <w:top w:val="none" w:color="auto" w:sz="0" w:space="0"/>
          <w:left w:val="none" w:color="auto" w:sz="0" w:space="0"/>
          <w:bottom w:val="none" w:color="auto" w:sz="0" w:space="0"/>
          <w:right w:val="none" w:color="auto" w:sz="0" w:space="0"/>
          <w:between w:val="none" w:color="auto" w:sz="0" w:space="0"/>
        </w:pBdr>
        <w:spacing w:after="0"/>
        <w:jc w:val="both"/>
        <w:rPr>
          <w:rFonts w:ascii="Arial" w:hAnsi="Arial" w:eastAsia="Arial" w:cs="Arial"/>
          <w:color w:val="000000"/>
          <w:sz w:val="24"/>
          <w:szCs w:val="24"/>
        </w:rPr>
      </w:pPr>
      <w:r>
        <w:rPr>
          <w:rFonts w:ascii="Arial" w:hAnsi="Arial" w:eastAsia="Arial" w:cs="Arial"/>
          <w:color w:val="000000"/>
          <w:sz w:val="24"/>
          <w:szCs w:val="24"/>
        </w:rPr>
        <w:t>Integram este Edital, para todos os fins e efeitos, os seguintes anexos:</w:t>
      </w:r>
    </w:p>
    <w:p w14:paraId="167C7597">
      <w:pPr>
        <w:pBdr>
          <w:top w:val="none" w:color="auto" w:sz="0" w:space="0"/>
          <w:left w:val="none" w:color="auto" w:sz="0" w:space="0"/>
          <w:bottom w:val="none" w:color="auto" w:sz="0" w:space="0"/>
          <w:right w:val="none" w:color="auto" w:sz="0" w:space="0"/>
          <w:between w:val="none" w:color="auto" w:sz="0" w:space="0"/>
        </w:pBdr>
        <w:spacing w:after="0"/>
        <w:ind w:left="1080"/>
        <w:jc w:val="both"/>
        <w:rPr>
          <w:rFonts w:ascii="Arial" w:hAnsi="Arial" w:eastAsia="Arial" w:cs="Arial"/>
          <w:color w:val="000000"/>
          <w:sz w:val="24"/>
          <w:szCs w:val="24"/>
        </w:rPr>
      </w:pPr>
    </w:p>
    <w:p w14:paraId="3FB7E8F6">
      <w:pPr>
        <w:pBdr>
          <w:top w:val="none" w:color="auto" w:sz="0" w:space="0"/>
          <w:left w:val="none" w:color="auto" w:sz="0" w:space="0"/>
          <w:bottom w:val="none" w:color="auto" w:sz="0" w:space="0"/>
          <w:right w:val="none" w:color="auto" w:sz="0" w:space="0"/>
          <w:between w:val="none" w:color="auto" w:sz="0" w:space="0"/>
        </w:pBdr>
        <w:spacing w:after="0"/>
        <w:ind w:left="720"/>
        <w:jc w:val="both"/>
        <w:rPr>
          <w:rFonts w:ascii="Arial" w:hAnsi="Arial" w:eastAsia="Arial" w:cs="Arial"/>
          <w:b/>
          <w:color w:val="000000"/>
          <w:sz w:val="24"/>
          <w:szCs w:val="24"/>
        </w:rPr>
      </w:pPr>
      <w:r>
        <w:rPr>
          <w:rFonts w:ascii="Arial" w:hAnsi="Arial" w:eastAsia="Arial" w:cs="Arial"/>
          <w:b/>
          <w:color w:val="000000"/>
          <w:sz w:val="24"/>
          <w:szCs w:val="24"/>
        </w:rPr>
        <w:t xml:space="preserve">ANEXO I – </w:t>
      </w:r>
      <w:r>
        <w:rPr>
          <w:rFonts w:ascii="Arial" w:hAnsi="Arial" w:eastAsia="Arial" w:cs="Arial"/>
          <w:color w:val="000000"/>
          <w:sz w:val="24"/>
          <w:szCs w:val="24"/>
        </w:rPr>
        <w:t>TERMO DE REFERÊNCIA;</w:t>
      </w:r>
    </w:p>
    <w:p w14:paraId="0D710DAC">
      <w:pPr>
        <w:pBdr>
          <w:top w:val="none" w:color="auto" w:sz="0" w:space="0"/>
          <w:left w:val="none" w:color="auto" w:sz="0" w:space="0"/>
          <w:bottom w:val="none" w:color="auto" w:sz="0" w:space="0"/>
          <w:right w:val="none" w:color="auto" w:sz="0" w:space="0"/>
          <w:between w:val="none" w:color="auto" w:sz="0" w:space="0"/>
        </w:pBdr>
        <w:spacing w:after="0"/>
        <w:ind w:left="720"/>
        <w:jc w:val="both"/>
        <w:rPr>
          <w:rFonts w:ascii="Arial" w:hAnsi="Arial" w:eastAsia="Arial" w:cs="Arial"/>
          <w:color w:val="000000"/>
          <w:sz w:val="24"/>
          <w:szCs w:val="24"/>
        </w:rPr>
      </w:pPr>
      <w:r>
        <w:rPr>
          <w:rFonts w:ascii="Arial" w:hAnsi="Arial" w:eastAsia="Arial" w:cs="Arial"/>
          <w:b/>
          <w:color w:val="000000"/>
          <w:sz w:val="24"/>
          <w:szCs w:val="24"/>
        </w:rPr>
        <w:t xml:space="preserve">ANEXO II – </w:t>
      </w:r>
      <w:r>
        <w:rPr>
          <w:rFonts w:ascii="Arial" w:hAnsi="Arial" w:eastAsia="Arial" w:cs="Arial"/>
          <w:color w:val="000000"/>
          <w:sz w:val="24"/>
          <w:szCs w:val="24"/>
        </w:rPr>
        <w:t>MODELO DE PROPOSTA DE PREÇOS;</w:t>
      </w:r>
    </w:p>
    <w:p w14:paraId="45262CF7">
      <w:pPr>
        <w:pBdr>
          <w:top w:val="none" w:color="auto" w:sz="0" w:space="0"/>
          <w:left w:val="none" w:color="auto" w:sz="0" w:space="0"/>
          <w:bottom w:val="none" w:color="auto" w:sz="0" w:space="0"/>
          <w:right w:val="none" w:color="auto" w:sz="0" w:space="0"/>
          <w:between w:val="none" w:color="auto" w:sz="0" w:space="0"/>
        </w:pBdr>
        <w:spacing w:after="0"/>
        <w:ind w:left="720"/>
        <w:jc w:val="both"/>
        <w:rPr>
          <w:rFonts w:ascii="Arial" w:hAnsi="Arial" w:eastAsia="Arial" w:cs="Arial"/>
          <w:color w:val="000000"/>
          <w:sz w:val="24"/>
          <w:szCs w:val="24"/>
        </w:rPr>
      </w:pPr>
      <w:r>
        <w:rPr>
          <w:rFonts w:ascii="Arial" w:hAnsi="Arial" w:eastAsia="Arial" w:cs="Arial"/>
          <w:b/>
          <w:color w:val="000000"/>
          <w:sz w:val="24"/>
          <w:szCs w:val="24"/>
        </w:rPr>
        <w:t>ANEXO III</w:t>
      </w:r>
      <w:r>
        <w:rPr>
          <w:rFonts w:ascii="Arial" w:hAnsi="Arial" w:eastAsia="Arial" w:cs="Arial"/>
          <w:color w:val="000000"/>
          <w:sz w:val="24"/>
          <w:szCs w:val="24"/>
        </w:rPr>
        <w:t xml:space="preserve"> – MODELO DE DECLARAÇÃO DE SUJEIÇÃO ÀS CONDIÇÕES ESTABELECIDAS NO EDITAL E DE INEXISTÊNCIA DE FATOS SUPERVENIENTES IMPEDITIVOS DA HABILITAÇÃO;</w:t>
      </w:r>
    </w:p>
    <w:p w14:paraId="6497E362">
      <w:pPr>
        <w:pBdr>
          <w:top w:val="none" w:color="auto" w:sz="0" w:space="0"/>
          <w:left w:val="none" w:color="auto" w:sz="0" w:space="0"/>
          <w:bottom w:val="none" w:color="auto" w:sz="0" w:space="0"/>
          <w:right w:val="none" w:color="auto" w:sz="0" w:space="0"/>
          <w:between w:val="none" w:color="auto" w:sz="0" w:space="0"/>
        </w:pBdr>
        <w:spacing w:after="0"/>
        <w:ind w:left="720"/>
        <w:jc w:val="both"/>
        <w:rPr>
          <w:rFonts w:ascii="Arial" w:hAnsi="Arial" w:eastAsia="Arial" w:cs="Arial"/>
          <w:color w:val="000000"/>
          <w:sz w:val="24"/>
          <w:szCs w:val="24"/>
        </w:rPr>
      </w:pPr>
      <w:r>
        <w:rPr>
          <w:rFonts w:ascii="Arial" w:hAnsi="Arial" w:eastAsia="Arial" w:cs="Arial"/>
          <w:b/>
          <w:color w:val="000000"/>
          <w:sz w:val="24"/>
          <w:szCs w:val="24"/>
        </w:rPr>
        <w:t>ANEXO IV</w:t>
      </w:r>
      <w:r>
        <w:rPr>
          <w:rFonts w:ascii="Arial" w:hAnsi="Arial" w:eastAsia="Arial" w:cs="Arial"/>
          <w:color w:val="000000"/>
          <w:sz w:val="24"/>
          <w:szCs w:val="24"/>
        </w:rPr>
        <w:t xml:space="preserve"> – MODELO DE DECLARAÇÃO NOS TERMOS DO INCISO XXXIII, ART. 7º DA CONSTITUIÇÃO FEDERAL;</w:t>
      </w:r>
    </w:p>
    <w:p w14:paraId="31FB16C5">
      <w:pPr>
        <w:pBdr>
          <w:top w:val="none" w:color="auto" w:sz="0" w:space="0"/>
          <w:left w:val="none" w:color="auto" w:sz="0" w:space="0"/>
          <w:bottom w:val="none" w:color="auto" w:sz="0" w:space="0"/>
          <w:right w:val="none" w:color="auto" w:sz="0" w:space="0"/>
          <w:between w:val="none" w:color="auto" w:sz="0" w:space="0"/>
        </w:pBdr>
        <w:spacing w:after="0"/>
        <w:ind w:left="720"/>
        <w:jc w:val="both"/>
        <w:rPr>
          <w:rFonts w:ascii="Arial" w:hAnsi="Arial" w:eastAsia="Arial" w:cs="Arial"/>
          <w:color w:val="000000"/>
          <w:sz w:val="24"/>
          <w:szCs w:val="24"/>
        </w:rPr>
      </w:pPr>
      <w:r>
        <w:rPr>
          <w:rFonts w:ascii="Arial" w:hAnsi="Arial" w:eastAsia="Arial" w:cs="Arial"/>
          <w:b/>
          <w:color w:val="000000"/>
          <w:sz w:val="24"/>
          <w:szCs w:val="24"/>
        </w:rPr>
        <w:t>ANEXO V</w:t>
      </w:r>
      <w:r>
        <w:rPr>
          <w:rFonts w:ascii="Arial" w:hAnsi="Arial" w:eastAsia="Arial" w:cs="Arial"/>
          <w:color w:val="000000"/>
          <w:sz w:val="24"/>
          <w:szCs w:val="24"/>
        </w:rPr>
        <w:t xml:space="preserve"> – MODELO DE DECLARAÇÃO DE ELABORAÇÃO INDEPENDENTE DE PROPOSTA;</w:t>
      </w:r>
    </w:p>
    <w:p w14:paraId="08A55A30">
      <w:pPr>
        <w:pBdr>
          <w:top w:val="none" w:color="auto" w:sz="0" w:space="0"/>
          <w:left w:val="none" w:color="auto" w:sz="0" w:space="0"/>
          <w:bottom w:val="none" w:color="auto" w:sz="0" w:space="0"/>
          <w:right w:val="none" w:color="auto" w:sz="0" w:space="0"/>
          <w:between w:val="none" w:color="auto" w:sz="0" w:space="0"/>
        </w:pBdr>
        <w:spacing w:after="0"/>
        <w:ind w:left="720"/>
        <w:jc w:val="both"/>
        <w:rPr>
          <w:rFonts w:ascii="Arial" w:hAnsi="Arial" w:eastAsia="Arial" w:cs="Arial"/>
          <w:color w:val="000000"/>
          <w:sz w:val="24"/>
          <w:szCs w:val="24"/>
        </w:rPr>
      </w:pPr>
      <w:r>
        <w:rPr>
          <w:rFonts w:ascii="Arial" w:hAnsi="Arial" w:eastAsia="Arial" w:cs="Arial"/>
          <w:b/>
          <w:color w:val="000000"/>
          <w:sz w:val="24"/>
          <w:szCs w:val="24"/>
        </w:rPr>
        <w:t>ANEXO VI</w:t>
      </w:r>
      <w:r>
        <w:rPr>
          <w:rFonts w:ascii="Arial" w:hAnsi="Arial" w:eastAsia="Arial" w:cs="Arial"/>
          <w:color w:val="000000"/>
          <w:sz w:val="24"/>
          <w:szCs w:val="24"/>
        </w:rPr>
        <w:t xml:space="preserve"> – MODELO DE DECLARAÇÃO DO PORTE DA EMPRESA;</w:t>
      </w:r>
    </w:p>
    <w:p w14:paraId="4A819604">
      <w:pPr>
        <w:pBdr>
          <w:top w:val="none" w:color="auto" w:sz="0" w:space="0"/>
          <w:left w:val="none" w:color="auto" w:sz="0" w:space="0"/>
          <w:bottom w:val="none" w:color="auto" w:sz="0" w:space="0"/>
          <w:right w:val="none" w:color="auto" w:sz="0" w:space="0"/>
          <w:between w:val="none" w:color="auto" w:sz="0" w:space="0"/>
        </w:pBdr>
        <w:spacing w:after="0"/>
        <w:ind w:left="720"/>
        <w:jc w:val="both"/>
        <w:rPr>
          <w:rFonts w:ascii="Arial" w:hAnsi="Arial" w:eastAsia="Arial" w:cs="Arial"/>
          <w:color w:val="000000"/>
          <w:sz w:val="24"/>
          <w:szCs w:val="24"/>
        </w:rPr>
      </w:pPr>
      <w:r>
        <w:rPr>
          <w:rFonts w:ascii="Arial" w:hAnsi="Arial" w:eastAsia="Arial" w:cs="Arial"/>
          <w:b/>
          <w:color w:val="000000"/>
          <w:sz w:val="24"/>
          <w:szCs w:val="24"/>
        </w:rPr>
        <w:t>ANEXO VII</w:t>
      </w:r>
      <w:r>
        <w:rPr>
          <w:rFonts w:ascii="Arial" w:hAnsi="Arial" w:eastAsia="Arial" w:cs="Arial"/>
          <w:color w:val="000000"/>
          <w:sz w:val="24"/>
          <w:szCs w:val="24"/>
        </w:rPr>
        <w:t xml:space="preserve"> – MODELO DE DECLARAÇÃO DE IDONEIDADE;</w:t>
      </w:r>
    </w:p>
    <w:p w14:paraId="6864E23B">
      <w:pPr>
        <w:pBdr>
          <w:top w:val="none" w:color="auto" w:sz="0" w:space="0"/>
          <w:left w:val="none" w:color="auto" w:sz="0" w:space="0"/>
          <w:bottom w:val="none" w:color="auto" w:sz="0" w:space="0"/>
          <w:right w:val="none" w:color="auto" w:sz="0" w:space="0"/>
          <w:between w:val="none" w:color="auto" w:sz="0" w:space="0"/>
        </w:pBdr>
        <w:spacing w:after="0"/>
        <w:ind w:left="720"/>
        <w:jc w:val="both"/>
        <w:rPr>
          <w:rFonts w:ascii="Arial" w:hAnsi="Arial" w:eastAsia="Arial" w:cs="Arial"/>
          <w:color w:val="000000"/>
          <w:sz w:val="24"/>
          <w:szCs w:val="24"/>
        </w:rPr>
      </w:pPr>
      <w:r>
        <w:rPr>
          <w:rFonts w:ascii="Arial" w:hAnsi="Arial" w:eastAsia="Arial" w:cs="Arial"/>
          <w:b/>
          <w:color w:val="000000"/>
          <w:sz w:val="24"/>
          <w:szCs w:val="24"/>
        </w:rPr>
        <w:t>ANEXO VIII</w:t>
      </w:r>
      <w:r>
        <w:rPr>
          <w:rFonts w:ascii="Arial" w:hAnsi="Arial" w:eastAsia="Arial" w:cs="Arial"/>
          <w:color w:val="000000"/>
          <w:sz w:val="24"/>
          <w:szCs w:val="24"/>
        </w:rPr>
        <w:t xml:space="preserve"> – DECLARAÇÃO DE CUMPRIMENTO DOS REQUISITOS DE HABILITAÇÃO;</w:t>
      </w:r>
    </w:p>
    <w:p w14:paraId="0147D5EB">
      <w:pPr>
        <w:pBdr>
          <w:top w:val="none" w:color="auto" w:sz="0" w:space="0"/>
          <w:left w:val="none" w:color="auto" w:sz="0" w:space="0"/>
          <w:bottom w:val="none" w:color="auto" w:sz="0" w:space="0"/>
          <w:right w:val="none" w:color="auto" w:sz="0" w:space="0"/>
          <w:between w:val="none" w:color="auto" w:sz="0" w:space="0"/>
        </w:pBdr>
        <w:ind w:left="720"/>
        <w:jc w:val="both"/>
        <w:rPr>
          <w:rFonts w:ascii="Arial" w:hAnsi="Arial" w:eastAsia="Arial" w:cs="Arial"/>
          <w:color w:val="000000"/>
          <w:sz w:val="24"/>
          <w:szCs w:val="24"/>
        </w:rPr>
      </w:pPr>
      <w:r>
        <w:rPr>
          <w:rFonts w:ascii="Arial" w:hAnsi="Arial" w:eastAsia="Arial" w:cs="Arial"/>
          <w:b/>
          <w:color w:val="000000"/>
          <w:sz w:val="24"/>
          <w:szCs w:val="24"/>
        </w:rPr>
        <w:t>ANEXO IX</w:t>
      </w:r>
      <w:r>
        <w:rPr>
          <w:rFonts w:ascii="Arial" w:hAnsi="Arial" w:eastAsia="Arial" w:cs="Arial"/>
          <w:color w:val="000000"/>
          <w:sz w:val="24"/>
          <w:szCs w:val="24"/>
        </w:rPr>
        <w:t xml:space="preserve"> – MINUTA DA ATA DE REGISTRO DE PREÇOS.</w:t>
      </w:r>
    </w:p>
    <w:p w14:paraId="3BE63BBD">
      <w:pPr>
        <w:spacing w:after="0" w:line="240" w:lineRule="auto"/>
        <w:rPr>
          <w:rFonts w:ascii="Arial" w:hAnsi="Arial" w:eastAsia="Arial" w:cs="Arial"/>
          <w:sz w:val="24"/>
          <w:szCs w:val="24"/>
          <w:highlight w:val="cyan"/>
        </w:rPr>
      </w:pPr>
    </w:p>
    <w:p w14:paraId="0A8E9150">
      <w:pPr>
        <w:spacing w:before="288" w:after="288" w:line="312" w:lineRule="auto"/>
        <w:ind w:firstLine="567"/>
        <w:jc w:val="center"/>
        <w:rPr>
          <w:rFonts w:ascii="Arial" w:hAnsi="Arial" w:eastAsia="Arial" w:cs="Arial"/>
          <w:color w:val="000000"/>
          <w:sz w:val="24"/>
          <w:szCs w:val="24"/>
        </w:rPr>
      </w:pPr>
      <w:r>
        <w:rPr>
          <w:rFonts w:ascii="Arial" w:hAnsi="Arial" w:eastAsia="Arial" w:cs="Arial"/>
          <w:color w:val="000000"/>
          <w:sz w:val="24"/>
          <w:szCs w:val="24"/>
        </w:rPr>
        <w:t>JATOBÁ, 15 DE JULHO DE 2024</w:t>
      </w:r>
    </w:p>
    <w:p w14:paraId="1A696C3A">
      <w:pPr>
        <w:spacing w:before="288" w:after="288" w:line="312" w:lineRule="auto"/>
        <w:ind w:firstLine="567"/>
        <w:jc w:val="center"/>
        <w:rPr>
          <w:rFonts w:ascii="Arial" w:hAnsi="Arial" w:eastAsia="Arial" w:cs="Arial"/>
          <w:sz w:val="24"/>
          <w:szCs w:val="24"/>
        </w:rPr>
      </w:pPr>
    </w:p>
    <w:p w14:paraId="5969AF75">
      <w:pPr>
        <w:widowControl w:val="0"/>
        <w:ind w:right="-127"/>
        <w:jc w:val="center"/>
        <w:rPr>
          <w:rFonts w:ascii="Arial" w:hAnsi="Arial" w:eastAsia="Arial" w:cs="Arial"/>
          <w:b/>
          <w:sz w:val="24"/>
          <w:szCs w:val="24"/>
        </w:rPr>
      </w:pPr>
      <w:r>
        <w:rPr>
          <w:rFonts w:ascii="Arial" w:hAnsi="Arial" w:eastAsia="Arial" w:cs="Arial"/>
          <w:b/>
          <w:sz w:val="24"/>
          <w:szCs w:val="24"/>
        </w:rPr>
        <w:t>MARIA JOSILEIDE DA SILVA</w:t>
      </w:r>
    </w:p>
    <w:p w14:paraId="467CF2CC">
      <w:pPr>
        <w:widowControl w:val="0"/>
        <w:ind w:right="-127"/>
        <w:jc w:val="center"/>
        <w:rPr>
          <w:rFonts w:ascii="Arial" w:hAnsi="Arial" w:eastAsia="Arial" w:cs="Arial"/>
          <w:b/>
          <w:sz w:val="24"/>
          <w:szCs w:val="24"/>
        </w:rPr>
      </w:pPr>
      <w:r>
        <w:rPr>
          <w:rFonts w:ascii="Arial" w:hAnsi="Arial" w:eastAsia="Arial" w:cs="Arial"/>
          <w:b/>
          <w:sz w:val="24"/>
          <w:szCs w:val="24"/>
        </w:rPr>
        <w:t>Secretária Municipal de Saúde</w:t>
      </w:r>
    </w:p>
    <w:p w14:paraId="427B470A">
      <w:pPr>
        <w:widowControl w:val="0"/>
        <w:ind w:right="-127"/>
        <w:jc w:val="center"/>
        <w:rPr>
          <w:rFonts w:ascii="Arial" w:hAnsi="Arial" w:eastAsia="Arial" w:cs="Arial"/>
          <w:b/>
          <w:sz w:val="24"/>
          <w:szCs w:val="24"/>
        </w:rPr>
      </w:pPr>
    </w:p>
    <w:p w14:paraId="0E6116B0">
      <w:pPr>
        <w:widowControl w:val="0"/>
        <w:ind w:right="-127"/>
        <w:jc w:val="center"/>
        <w:rPr>
          <w:rFonts w:ascii="Arial" w:hAnsi="Arial" w:eastAsia="Arial" w:cs="Arial"/>
          <w:b/>
          <w:sz w:val="24"/>
          <w:szCs w:val="24"/>
        </w:rPr>
      </w:pPr>
    </w:p>
    <w:p w14:paraId="3DB01F6D">
      <w:pPr>
        <w:widowControl w:val="0"/>
        <w:jc w:val="center"/>
        <w:rPr>
          <w:rFonts w:ascii="Arial" w:hAnsi="Arial" w:eastAsia="Arial" w:cs="Arial"/>
          <w:b/>
          <w:sz w:val="24"/>
          <w:szCs w:val="24"/>
        </w:rPr>
      </w:pPr>
      <w:bookmarkStart w:id="56" w:name="_heading=h.4k668n3" w:colFirst="0" w:colLast="0"/>
      <w:bookmarkEnd w:id="56"/>
      <w:r>
        <w:rPr>
          <w:rFonts w:ascii="Arial" w:hAnsi="Arial" w:eastAsia="Arial" w:cs="Arial"/>
          <w:b/>
          <w:color w:val="000000"/>
          <w:sz w:val="24"/>
          <w:szCs w:val="24"/>
        </w:rPr>
        <w:t>ROGÉRIO FERREIRA GOMES DA SILVA</w:t>
      </w:r>
      <w:r>
        <w:rPr>
          <w:rFonts w:ascii="Arial" w:hAnsi="Arial" w:eastAsia="Arial" w:cs="Arial"/>
          <w:b/>
          <w:sz w:val="24"/>
          <w:szCs w:val="24"/>
        </w:rPr>
        <w:t xml:space="preserve"> </w:t>
      </w:r>
    </w:p>
    <w:p w14:paraId="28B268FF">
      <w:pPr>
        <w:widowControl w:val="0"/>
        <w:jc w:val="center"/>
        <w:rPr>
          <w:rFonts w:ascii="Arial" w:hAnsi="Arial" w:eastAsia="Arial" w:cs="Arial"/>
          <w:b/>
          <w:sz w:val="24"/>
          <w:szCs w:val="24"/>
        </w:rPr>
      </w:pPr>
      <w:r>
        <w:rPr>
          <w:rFonts w:ascii="Arial" w:hAnsi="Arial" w:eastAsia="Arial" w:cs="Arial"/>
          <w:b/>
          <w:sz w:val="24"/>
          <w:szCs w:val="24"/>
        </w:rPr>
        <w:t>Prefeito</w:t>
      </w:r>
    </w:p>
    <w:p w14:paraId="5F72D4A7">
      <w:pPr>
        <w:rPr>
          <w:rFonts w:ascii="Arial" w:hAnsi="Arial" w:eastAsia="Arial" w:cs="Arial"/>
          <w:sz w:val="24"/>
          <w:szCs w:val="24"/>
        </w:rPr>
      </w:pPr>
    </w:p>
    <w:p w14:paraId="5354F896">
      <w:pPr>
        <w:rPr>
          <w:rFonts w:ascii="Arial" w:hAnsi="Arial" w:eastAsia="Arial" w:cs="Arial"/>
          <w:sz w:val="24"/>
          <w:szCs w:val="24"/>
        </w:rPr>
      </w:pPr>
    </w:p>
    <w:p w14:paraId="7DD17E3C">
      <w:pPr>
        <w:rPr>
          <w:rFonts w:ascii="Arial" w:hAnsi="Arial" w:eastAsia="Arial" w:cs="Arial"/>
          <w:sz w:val="24"/>
          <w:szCs w:val="24"/>
        </w:rPr>
      </w:pPr>
    </w:p>
    <w:p w14:paraId="68E4CBA4">
      <w:pPr>
        <w:rPr>
          <w:rFonts w:ascii="Arial" w:hAnsi="Arial" w:eastAsia="Arial" w:cs="Arial"/>
          <w:sz w:val="24"/>
          <w:szCs w:val="24"/>
        </w:rPr>
      </w:pPr>
    </w:p>
    <w:p w14:paraId="2C65388F">
      <w:pPr>
        <w:rPr>
          <w:rFonts w:ascii="Arial" w:hAnsi="Arial" w:eastAsia="Arial" w:cs="Arial"/>
          <w:sz w:val="24"/>
          <w:szCs w:val="24"/>
        </w:rPr>
      </w:pPr>
    </w:p>
    <w:p w14:paraId="42378198">
      <w:pPr>
        <w:rPr>
          <w:rFonts w:ascii="Arial" w:hAnsi="Arial" w:eastAsia="Arial" w:cs="Arial"/>
          <w:sz w:val="24"/>
          <w:szCs w:val="24"/>
        </w:rPr>
      </w:pPr>
    </w:p>
    <w:p w14:paraId="66736E2C">
      <w:pPr>
        <w:rPr>
          <w:rFonts w:ascii="Arial" w:hAnsi="Arial" w:eastAsia="Arial" w:cs="Arial"/>
          <w:sz w:val="24"/>
          <w:szCs w:val="24"/>
        </w:rPr>
      </w:pPr>
    </w:p>
    <w:p w14:paraId="75567289">
      <w:pPr>
        <w:rPr>
          <w:rFonts w:ascii="Arial" w:hAnsi="Arial" w:eastAsia="Arial" w:cs="Arial"/>
          <w:sz w:val="24"/>
          <w:szCs w:val="24"/>
        </w:rPr>
      </w:pPr>
    </w:p>
    <w:p w14:paraId="1074E8D5">
      <w:pPr>
        <w:rPr>
          <w:rFonts w:ascii="Arial" w:hAnsi="Arial" w:eastAsia="Arial" w:cs="Arial"/>
          <w:sz w:val="24"/>
          <w:szCs w:val="24"/>
        </w:rPr>
      </w:pPr>
    </w:p>
    <w:p w14:paraId="7014FEFB">
      <w:pPr>
        <w:rPr>
          <w:rFonts w:ascii="Arial" w:hAnsi="Arial" w:eastAsia="Arial" w:cs="Arial"/>
          <w:sz w:val="24"/>
          <w:szCs w:val="24"/>
        </w:rPr>
      </w:pPr>
    </w:p>
    <w:p w14:paraId="7086C796">
      <w:pPr>
        <w:rPr>
          <w:rFonts w:ascii="Arial" w:hAnsi="Arial" w:eastAsia="Arial" w:cs="Arial"/>
          <w:sz w:val="24"/>
          <w:szCs w:val="24"/>
        </w:rPr>
      </w:pPr>
    </w:p>
    <w:p w14:paraId="7DA3AE9D">
      <w:pPr>
        <w:rPr>
          <w:rFonts w:ascii="Arial" w:hAnsi="Arial" w:eastAsia="Arial" w:cs="Arial"/>
          <w:sz w:val="24"/>
          <w:szCs w:val="24"/>
        </w:rPr>
      </w:pPr>
    </w:p>
    <w:p w14:paraId="0B6EB73F">
      <w:pPr>
        <w:rPr>
          <w:rFonts w:ascii="Arial" w:hAnsi="Arial" w:eastAsia="Arial" w:cs="Arial"/>
          <w:sz w:val="24"/>
          <w:szCs w:val="24"/>
        </w:rPr>
      </w:pPr>
    </w:p>
    <w:p w14:paraId="3178A941">
      <w:pPr>
        <w:rPr>
          <w:rFonts w:ascii="Arial" w:hAnsi="Arial" w:eastAsia="Arial" w:cs="Arial"/>
          <w:sz w:val="24"/>
          <w:szCs w:val="24"/>
        </w:rPr>
      </w:pPr>
    </w:p>
    <w:p w14:paraId="7D01F362">
      <w:pPr>
        <w:rPr>
          <w:rFonts w:ascii="Arial" w:hAnsi="Arial" w:eastAsia="Arial" w:cs="Arial"/>
          <w:sz w:val="24"/>
          <w:szCs w:val="24"/>
        </w:rPr>
      </w:pPr>
    </w:p>
    <w:p w14:paraId="4EE2EF76">
      <w:pPr>
        <w:rPr>
          <w:rFonts w:ascii="Arial" w:hAnsi="Arial" w:eastAsia="Arial" w:cs="Arial"/>
          <w:sz w:val="24"/>
          <w:szCs w:val="24"/>
        </w:rPr>
      </w:pPr>
    </w:p>
    <w:p w14:paraId="73095B41">
      <w:pPr>
        <w:rPr>
          <w:rFonts w:ascii="Arial" w:hAnsi="Arial" w:eastAsia="Arial" w:cs="Arial"/>
          <w:sz w:val="24"/>
          <w:szCs w:val="24"/>
        </w:rPr>
      </w:pPr>
    </w:p>
    <w:p w14:paraId="48FEC134">
      <w:pPr>
        <w:rPr>
          <w:rFonts w:ascii="Arial" w:hAnsi="Arial" w:eastAsia="Arial" w:cs="Arial"/>
          <w:sz w:val="24"/>
          <w:szCs w:val="24"/>
        </w:rPr>
      </w:pPr>
    </w:p>
    <w:p w14:paraId="7046B3A4">
      <w:pPr>
        <w:rPr>
          <w:rFonts w:ascii="Arial" w:hAnsi="Arial" w:eastAsia="Arial" w:cs="Arial"/>
          <w:sz w:val="24"/>
          <w:szCs w:val="24"/>
        </w:rPr>
      </w:pPr>
    </w:p>
    <w:p w14:paraId="63668CEB">
      <w:pPr>
        <w:pBdr>
          <w:top w:val="single" w:color="000000" w:sz="4" w:space="1"/>
          <w:bottom w:val="single" w:color="000000" w:sz="4" w:space="1"/>
        </w:pBdr>
        <w:shd w:val="clear" w:color="auto" w:fill="D9D9D9"/>
        <w:jc w:val="center"/>
        <w:rPr>
          <w:rFonts w:ascii="Arial" w:hAnsi="Arial" w:eastAsia="Arial" w:cs="Arial"/>
          <w:b/>
        </w:rPr>
      </w:pPr>
      <w:r>
        <w:rPr>
          <w:rFonts w:ascii="Arial" w:hAnsi="Arial" w:eastAsia="Arial" w:cs="Arial"/>
          <w:b/>
        </w:rPr>
        <w:t>ANEXO I – TERMO DE REFERÊNCIA</w:t>
      </w:r>
    </w:p>
    <w:p w14:paraId="7038F467">
      <w:pPr>
        <w:shd w:val="clear" w:color="auto" w:fill="FFFFFF"/>
        <w:tabs>
          <w:tab w:val="left" w:pos="567"/>
        </w:tabs>
        <w:jc w:val="both"/>
        <w:rPr>
          <w:rFonts w:ascii="Arial" w:hAnsi="Arial" w:eastAsia="Arial" w:cs="Arial"/>
          <w:b/>
          <w:color w:val="FF0000"/>
        </w:rPr>
      </w:pPr>
    </w:p>
    <w:p w14:paraId="5404F5DF">
      <w:pPr>
        <w:shd w:val="clear" w:color="auto" w:fill="FFFFFF"/>
        <w:tabs>
          <w:tab w:val="left" w:pos="567"/>
        </w:tabs>
        <w:jc w:val="center"/>
        <w:rPr>
          <w:rFonts w:ascii="Arial" w:hAnsi="Arial" w:eastAsia="Arial" w:cs="Arial"/>
          <w:b/>
          <w:color w:val="FF0000"/>
        </w:rPr>
      </w:pPr>
      <w:r>
        <w:rPr>
          <w:rFonts w:ascii="Arial" w:hAnsi="Arial" w:eastAsia="Arial" w:cs="Arial"/>
          <w:b/>
          <w:color w:val="FF0000"/>
        </w:rPr>
        <w:t>ANEXO AO EDITAL</w:t>
      </w:r>
    </w:p>
    <w:p w14:paraId="5D595FED">
      <w:pPr>
        <w:rPr>
          <w:rFonts w:ascii="Arial" w:hAnsi="Arial" w:eastAsia="Arial" w:cs="Arial"/>
          <w:sz w:val="24"/>
          <w:szCs w:val="24"/>
        </w:rPr>
      </w:pPr>
    </w:p>
    <w:p w14:paraId="48C1E0DD">
      <w:pPr>
        <w:pBdr>
          <w:top w:val="single" w:color="000000" w:sz="4" w:space="1"/>
          <w:bottom w:val="single" w:color="000000" w:sz="4" w:space="1"/>
        </w:pBdr>
        <w:shd w:val="clear" w:color="auto" w:fill="D9D9D9"/>
        <w:jc w:val="center"/>
        <w:rPr>
          <w:rFonts w:ascii="Arial" w:hAnsi="Arial" w:eastAsia="Arial" w:cs="Arial"/>
          <w:b/>
        </w:rPr>
      </w:pPr>
      <w:r>
        <w:rPr>
          <w:rFonts w:ascii="Arial" w:hAnsi="Arial" w:eastAsia="Arial" w:cs="Arial"/>
          <w:b/>
        </w:rPr>
        <w:t>ANEXO II – PROPOSTA DE PREÇOS (MODELO)</w:t>
      </w:r>
    </w:p>
    <w:p w14:paraId="50DC48FD">
      <w:pPr>
        <w:jc w:val="both"/>
        <w:rPr>
          <w:rFonts w:ascii="Arial" w:hAnsi="Arial" w:eastAsia="Arial" w:cs="Arial"/>
          <w:b/>
          <w:sz w:val="24"/>
          <w:szCs w:val="24"/>
        </w:rPr>
      </w:pPr>
    </w:p>
    <w:p w14:paraId="2DE8EF6C">
      <w:pPr>
        <w:jc w:val="both"/>
        <w:rPr>
          <w:rFonts w:ascii="Arial" w:hAnsi="Arial" w:eastAsia="Arial" w:cs="Arial"/>
          <w:b/>
          <w:sz w:val="24"/>
          <w:szCs w:val="24"/>
        </w:rPr>
      </w:pPr>
      <w:r>
        <w:rPr>
          <w:rFonts w:ascii="Arial" w:hAnsi="Arial" w:eastAsia="Arial" w:cs="Arial"/>
          <w:b/>
          <w:sz w:val="24"/>
          <w:szCs w:val="24"/>
        </w:rPr>
        <w:t>PROCESSO LICITATÓRIO Nº XX/2024</w:t>
      </w:r>
    </w:p>
    <w:p w14:paraId="5C35D015">
      <w:pPr>
        <w:jc w:val="both"/>
        <w:rPr>
          <w:rFonts w:ascii="Arial" w:hAnsi="Arial" w:eastAsia="Arial" w:cs="Arial"/>
          <w:b/>
          <w:sz w:val="24"/>
          <w:szCs w:val="24"/>
        </w:rPr>
      </w:pPr>
      <w:r>
        <w:rPr>
          <w:rFonts w:ascii="Arial" w:hAnsi="Arial" w:eastAsia="Arial" w:cs="Arial"/>
          <w:b/>
          <w:sz w:val="24"/>
          <w:szCs w:val="24"/>
        </w:rPr>
        <w:t>PREGÃO ELETRÔNICO Nº 00X/2024 - SRP Nº 00X/2024</w:t>
      </w:r>
    </w:p>
    <w:p w14:paraId="177CAB45">
      <w:pPr>
        <w:jc w:val="both"/>
        <w:rPr>
          <w:rFonts w:ascii="Arial" w:hAnsi="Arial" w:eastAsia="Arial" w:cs="Arial"/>
          <w:b/>
          <w:sz w:val="24"/>
          <w:szCs w:val="24"/>
        </w:rPr>
      </w:pPr>
    </w:p>
    <w:p w14:paraId="24C3304A">
      <w:pPr>
        <w:jc w:val="both"/>
        <w:rPr>
          <w:rFonts w:ascii="Arial" w:hAnsi="Arial" w:eastAsia="Arial" w:cs="Arial"/>
          <w:sz w:val="24"/>
          <w:szCs w:val="24"/>
        </w:rPr>
      </w:pPr>
      <w:r>
        <w:rPr>
          <w:rFonts w:ascii="Arial" w:hAnsi="Arial" w:eastAsia="Arial" w:cs="Arial"/>
          <w:sz w:val="24"/>
          <w:szCs w:val="24"/>
        </w:rPr>
        <w:t>SESSÃO PÚBLICA: ___/___/2024, ÀS ___H___MIN (___) HORAS.</w:t>
      </w:r>
    </w:p>
    <w:p w14:paraId="6F203F87">
      <w:pPr>
        <w:jc w:val="both"/>
        <w:rPr>
          <w:rFonts w:ascii="Arial" w:hAnsi="Arial" w:eastAsia="Arial" w:cs="Arial"/>
          <w:sz w:val="24"/>
          <w:szCs w:val="24"/>
        </w:rPr>
      </w:pPr>
      <w:r>
        <w:rPr>
          <w:rFonts w:ascii="Arial" w:hAnsi="Arial" w:eastAsia="Arial" w:cs="Arial"/>
          <w:sz w:val="24"/>
          <w:szCs w:val="24"/>
        </w:rPr>
        <w:t xml:space="preserve">LOCAL:  </w:t>
      </w:r>
      <w:r>
        <w:rPr>
          <w:rFonts w:ascii="Arial" w:hAnsi="Arial" w:eastAsia="Arial" w:cs="Arial"/>
          <w:b/>
          <w:sz w:val="24"/>
          <w:szCs w:val="24"/>
        </w:rPr>
        <w:t>PREFEITURA MUNICIPAL DE JATOBÁ/PE</w:t>
      </w:r>
    </w:p>
    <w:p w14:paraId="4332042C">
      <w:pPr>
        <w:jc w:val="both"/>
        <w:rPr>
          <w:rFonts w:ascii="Arial" w:hAnsi="Arial" w:eastAsia="Arial" w:cs="Arial"/>
          <w:sz w:val="24"/>
          <w:szCs w:val="24"/>
        </w:rPr>
      </w:pPr>
    </w:p>
    <w:p w14:paraId="70D6D5A3">
      <w:pPr>
        <w:jc w:val="both"/>
        <w:rPr>
          <w:rFonts w:ascii="Arial" w:hAnsi="Arial" w:eastAsia="Arial" w:cs="Arial"/>
          <w:sz w:val="24"/>
          <w:szCs w:val="24"/>
        </w:rPr>
      </w:pPr>
      <w:r>
        <w:rPr>
          <w:rFonts w:ascii="Arial" w:hAnsi="Arial" w:eastAsia="Arial" w:cs="Arial"/>
          <w:sz w:val="24"/>
          <w:szCs w:val="24"/>
        </w:rPr>
        <w:t>IDENTIFICAÇÃO DA PROPONENTE:</w:t>
      </w:r>
    </w:p>
    <w:tbl>
      <w:tblPr>
        <w:tblStyle w:val="153"/>
        <w:tblW w:w="10065" w:type="dxa"/>
        <w:tblInd w:w="7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15" w:type="dxa"/>
          <w:bottom w:w="0" w:type="dxa"/>
          <w:right w:w="115" w:type="dxa"/>
        </w:tblCellMar>
      </w:tblPr>
      <w:tblGrid>
        <w:gridCol w:w="676"/>
        <w:gridCol w:w="3309"/>
        <w:gridCol w:w="216"/>
        <w:gridCol w:w="871"/>
        <w:gridCol w:w="971"/>
        <w:gridCol w:w="1045"/>
        <w:gridCol w:w="1559"/>
        <w:gridCol w:w="1418"/>
      </w:tblGrid>
      <w:tr w14:paraId="223F6E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cantSplit/>
          <w:trHeight w:val="97" w:hRule="atLeast"/>
        </w:trPr>
        <w:tc>
          <w:tcPr>
            <w:tcW w:w="10065" w:type="dxa"/>
            <w:gridSpan w:val="8"/>
            <w:tcBorders>
              <w:top w:val="single" w:color="000000" w:sz="4" w:space="0"/>
              <w:left w:val="single" w:color="000000" w:sz="4" w:space="0"/>
              <w:bottom w:val="single" w:color="000000" w:sz="4" w:space="0"/>
              <w:right w:val="single" w:color="000000" w:sz="4" w:space="0"/>
            </w:tcBorders>
          </w:tcPr>
          <w:p w14:paraId="7CCEBD41">
            <w:pPr>
              <w:rPr>
                <w:rFonts w:ascii="Arial" w:hAnsi="Arial" w:eastAsia="Arial" w:cs="Arial"/>
                <w:b/>
                <w:sz w:val="24"/>
                <w:szCs w:val="24"/>
              </w:rPr>
            </w:pPr>
            <w:r>
              <w:rPr>
                <w:rFonts w:ascii="Arial" w:hAnsi="Arial" w:eastAsia="Arial" w:cs="Arial"/>
                <w:b/>
                <w:sz w:val="24"/>
                <w:szCs w:val="24"/>
              </w:rPr>
              <w:t>NOME DE FANTASIA:</w:t>
            </w:r>
          </w:p>
        </w:tc>
      </w:tr>
      <w:tr w14:paraId="66F7D0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cantSplit/>
          <w:trHeight w:val="216" w:hRule="atLeast"/>
        </w:trPr>
        <w:tc>
          <w:tcPr>
            <w:tcW w:w="10065" w:type="dxa"/>
            <w:gridSpan w:val="8"/>
            <w:tcBorders>
              <w:top w:val="single" w:color="000000" w:sz="4" w:space="0"/>
              <w:left w:val="single" w:color="000000" w:sz="4" w:space="0"/>
              <w:bottom w:val="single" w:color="000000" w:sz="4" w:space="0"/>
              <w:right w:val="single" w:color="000000" w:sz="4" w:space="0"/>
            </w:tcBorders>
          </w:tcPr>
          <w:p w14:paraId="7677A4BD">
            <w:pPr>
              <w:rPr>
                <w:rFonts w:ascii="Arial" w:hAnsi="Arial" w:eastAsia="Arial" w:cs="Arial"/>
                <w:b/>
                <w:sz w:val="24"/>
                <w:szCs w:val="24"/>
              </w:rPr>
            </w:pPr>
            <w:r>
              <w:rPr>
                <w:rFonts w:ascii="Arial" w:hAnsi="Arial" w:eastAsia="Arial" w:cs="Arial"/>
                <w:b/>
                <w:sz w:val="24"/>
                <w:szCs w:val="24"/>
              </w:rPr>
              <w:t>RAZÃO SOCIAL:</w:t>
            </w:r>
          </w:p>
        </w:tc>
      </w:tr>
      <w:tr w14:paraId="0D3B87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cantSplit/>
          <w:trHeight w:val="216" w:hRule="atLeast"/>
        </w:trPr>
        <w:tc>
          <w:tcPr>
            <w:tcW w:w="10065" w:type="dxa"/>
            <w:gridSpan w:val="8"/>
            <w:tcBorders>
              <w:top w:val="single" w:color="000000" w:sz="4" w:space="0"/>
              <w:left w:val="single" w:color="000000" w:sz="4" w:space="0"/>
              <w:bottom w:val="single" w:color="000000" w:sz="4" w:space="0"/>
              <w:right w:val="single" w:color="000000" w:sz="4" w:space="0"/>
            </w:tcBorders>
          </w:tcPr>
          <w:p w14:paraId="4C164400">
            <w:pPr>
              <w:rPr>
                <w:rFonts w:ascii="Arial" w:hAnsi="Arial" w:eastAsia="Arial" w:cs="Arial"/>
                <w:b/>
                <w:sz w:val="24"/>
                <w:szCs w:val="24"/>
              </w:rPr>
            </w:pPr>
            <w:r>
              <w:rPr>
                <w:rFonts w:ascii="Arial" w:hAnsi="Arial" w:eastAsia="Arial" w:cs="Arial"/>
                <w:b/>
                <w:sz w:val="24"/>
                <w:szCs w:val="24"/>
              </w:rPr>
              <w:t>CNPJ:</w:t>
            </w:r>
          </w:p>
        </w:tc>
      </w:tr>
      <w:tr w14:paraId="613CD5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cantSplit/>
          <w:trHeight w:val="132" w:hRule="atLeast"/>
        </w:trPr>
        <w:tc>
          <w:tcPr>
            <w:tcW w:w="10065" w:type="dxa"/>
            <w:gridSpan w:val="8"/>
            <w:tcBorders>
              <w:top w:val="single" w:color="000000" w:sz="4" w:space="0"/>
              <w:left w:val="single" w:color="000000" w:sz="4" w:space="0"/>
              <w:bottom w:val="single" w:color="000000" w:sz="4" w:space="0"/>
              <w:right w:val="single" w:color="000000" w:sz="4" w:space="0"/>
            </w:tcBorders>
          </w:tcPr>
          <w:p w14:paraId="3FBD6E4A">
            <w:pPr>
              <w:rPr>
                <w:rFonts w:ascii="Arial" w:hAnsi="Arial" w:eastAsia="Arial" w:cs="Arial"/>
                <w:b/>
                <w:sz w:val="24"/>
                <w:szCs w:val="24"/>
              </w:rPr>
            </w:pPr>
            <w:r>
              <w:rPr>
                <w:rFonts w:ascii="Arial" w:hAnsi="Arial" w:eastAsia="Arial" w:cs="Arial"/>
                <w:b/>
                <w:sz w:val="24"/>
                <w:szCs w:val="24"/>
              </w:rPr>
              <w:t>INSC. EST.:</w:t>
            </w:r>
          </w:p>
        </w:tc>
      </w:tr>
      <w:tr w14:paraId="6479BC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cantSplit/>
          <w:trHeight w:val="132" w:hRule="atLeast"/>
        </w:trPr>
        <w:tc>
          <w:tcPr>
            <w:tcW w:w="10065" w:type="dxa"/>
            <w:gridSpan w:val="8"/>
            <w:tcBorders>
              <w:top w:val="single" w:color="000000" w:sz="4" w:space="0"/>
              <w:left w:val="single" w:color="000000" w:sz="4" w:space="0"/>
              <w:bottom w:val="single" w:color="000000" w:sz="4" w:space="0"/>
              <w:right w:val="single" w:color="000000" w:sz="4" w:space="0"/>
            </w:tcBorders>
          </w:tcPr>
          <w:p w14:paraId="75D416C0">
            <w:pPr>
              <w:rPr>
                <w:rFonts w:ascii="Arial" w:hAnsi="Arial" w:eastAsia="Arial" w:cs="Arial"/>
                <w:b/>
                <w:sz w:val="24"/>
                <w:szCs w:val="24"/>
              </w:rPr>
            </w:pPr>
            <w:r>
              <w:rPr>
                <w:rFonts w:ascii="Arial" w:hAnsi="Arial" w:eastAsia="Arial" w:cs="Arial"/>
                <w:b/>
                <w:sz w:val="24"/>
                <w:szCs w:val="24"/>
              </w:rPr>
              <w:t>OPTANTE PELO SIMPLES? SIM (    ) NÃO(    )</w:t>
            </w:r>
          </w:p>
        </w:tc>
      </w:tr>
      <w:tr w14:paraId="146484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cantSplit/>
          <w:trHeight w:val="109" w:hRule="atLeast"/>
        </w:trPr>
        <w:tc>
          <w:tcPr>
            <w:tcW w:w="10065" w:type="dxa"/>
            <w:gridSpan w:val="8"/>
            <w:tcBorders>
              <w:top w:val="single" w:color="000000" w:sz="4" w:space="0"/>
              <w:left w:val="single" w:color="000000" w:sz="4" w:space="0"/>
              <w:bottom w:val="single" w:color="000000" w:sz="4" w:space="0"/>
              <w:right w:val="single" w:color="000000" w:sz="4" w:space="0"/>
            </w:tcBorders>
          </w:tcPr>
          <w:p w14:paraId="2D3CE687">
            <w:pPr>
              <w:rPr>
                <w:rFonts w:ascii="Arial" w:hAnsi="Arial" w:eastAsia="Arial" w:cs="Arial"/>
                <w:b/>
                <w:sz w:val="24"/>
                <w:szCs w:val="24"/>
              </w:rPr>
            </w:pPr>
            <w:r>
              <w:rPr>
                <w:rFonts w:ascii="Arial" w:hAnsi="Arial" w:eastAsia="Arial" w:cs="Arial"/>
                <w:b/>
                <w:sz w:val="24"/>
                <w:szCs w:val="24"/>
              </w:rPr>
              <w:t>ENDEREÇO:</w:t>
            </w:r>
          </w:p>
        </w:tc>
      </w:tr>
      <w:tr w14:paraId="6EBED7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cantSplit/>
          <w:trHeight w:val="96" w:hRule="atLeast"/>
        </w:trPr>
        <w:tc>
          <w:tcPr>
            <w:tcW w:w="3985" w:type="dxa"/>
            <w:gridSpan w:val="2"/>
            <w:tcBorders>
              <w:top w:val="single" w:color="000000" w:sz="4" w:space="0"/>
              <w:left w:val="single" w:color="000000" w:sz="4" w:space="0"/>
              <w:bottom w:val="single" w:color="000000" w:sz="4" w:space="0"/>
              <w:right w:val="single" w:color="000000" w:sz="4" w:space="0"/>
            </w:tcBorders>
          </w:tcPr>
          <w:p w14:paraId="6F31DEAA">
            <w:pPr>
              <w:rPr>
                <w:rFonts w:ascii="Arial" w:hAnsi="Arial" w:eastAsia="Arial" w:cs="Arial"/>
                <w:b/>
                <w:sz w:val="24"/>
                <w:szCs w:val="24"/>
              </w:rPr>
            </w:pPr>
            <w:r>
              <w:rPr>
                <w:rFonts w:ascii="Arial" w:hAnsi="Arial" w:eastAsia="Arial" w:cs="Arial"/>
                <w:b/>
                <w:sz w:val="24"/>
                <w:szCs w:val="24"/>
              </w:rPr>
              <w:t>BAIRRO:</w:t>
            </w:r>
          </w:p>
        </w:tc>
        <w:tc>
          <w:tcPr>
            <w:tcW w:w="6080" w:type="dxa"/>
            <w:gridSpan w:val="6"/>
            <w:tcBorders>
              <w:top w:val="single" w:color="000000" w:sz="4" w:space="0"/>
              <w:left w:val="single" w:color="000000" w:sz="4" w:space="0"/>
              <w:bottom w:val="single" w:color="000000" w:sz="4" w:space="0"/>
              <w:right w:val="single" w:color="000000" w:sz="4" w:space="0"/>
            </w:tcBorders>
          </w:tcPr>
          <w:p w14:paraId="67381D09">
            <w:pPr>
              <w:rPr>
                <w:rFonts w:ascii="Arial" w:hAnsi="Arial" w:eastAsia="Arial" w:cs="Arial"/>
                <w:b/>
                <w:sz w:val="24"/>
                <w:szCs w:val="24"/>
              </w:rPr>
            </w:pPr>
            <w:r>
              <w:rPr>
                <w:rFonts w:ascii="Arial" w:hAnsi="Arial" w:eastAsia="Arial" w:cs="Arial"/>
                <w:b/>
                <w:sz w:val="24"/>
                <w:szCs w:val="24"/>
              </w:rPr>
              <w:t>CIDADE:</w:t>
            </w:r>
          </w:p>
        </w:tc>
      </w:tr>
      <w:tr w14:paraId="014750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cantSplit/>
          <w:trHeight w:val="99" w:hRule="atLeast"/>
        </w:trPr>
        <w:tc>
          <w:tcPr>
            <w:tcW w:w="3985" w:type="dxa"/>
            <w:gridSpan w:val="2"/>
            <w:tcBorders>
              <w:top w:val="single" w:color="000000" w:sz="4" w:space="0"/>
              <w:left w:val="single" w:color="000000" w:sz="4" w:space="0"/>
              <w:bottom w:val="single" w:color="000000" w:sz="4" w:space="0"/>
              <w:right w:val="single" w:color="000000" w:sz="4" w:space="0"/>
            </w:tcBorders>
          </w:tcPr>
          <w:p w14:paraId="2A4E214A">
            <w:pPr>
              <w:rPr>
                <w:rFonts w:ascii="Arial" w:hAnsi="Arial" w:eastAsia="Arial" w:cs="Arial"/>
                <w:b/>
                <w:sz w:val="24"/>
                <w:szCs w:val="24"/>
              </w:rPr>
            </w:pPr>
            <w:r>
              <w:rPr>
                <w:rFonts w:ascii="Arial" w:hAnsi="Arial" w:eastAsia="Arial" w:cs="Arial"/>
                <w:b/>
                <w:sz w:val="24"/>
                <w:szCs w:val="24"/>
              </w:rPr>
              <w:t>CEP:</w:t>
            </w:r>
          </w:p>
        </w:tc>
        <w:tc>
          <w:tcPr>
            <w:tcW w:w="6080" w:type="dxa"/>
            <w:gridSpan w:val="6"/>
            <w:tcBorders>
              <w:top w:val="single" w:color="000000" w:sz="4" w:space="0"/>
              <w:left w:val="single" w:color="000000" w:sz="4" w:space="0"/>
              <w:bottom w:val="single" w:color="000000" w:sz="4" w:space="0"/>
              <w:right w:val="single" w:color="000000" w:sz="4" w:space="0"/>
            </w:tcBorders>
          </w:tcPr>
          <w:p w14:paraId="125FD3A6">
            <w:pPr>
              <w:rPr>
                <w:rFonts w:ascii="Arial" w:hAnsi="Arial" w:eastAsia="Arial" w:cs="Arial"/>
                <w:b/>
                <w:sz w:val="24"/>
                <w:szCs w:val="24"/>
              </w:rPr>
            </w:pPr>
            <w:r>
              <w:rPr>
                <w:rFonts w:ascii="Arial" w:hAnsi="Arial" w:eastAsia="Arial" w:cs="Arial"/>
                <w:b/>
                <w:sz w:val="24"/>
                <w:szCs w:val="24"/>
              </w:rPr>
              <w:t>E-MAIL:</w:t>
            </w:r>
          </w:p>
        </w:tc>
      </w:tr>
      <w:tr w14:paraId="224618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cantSplit/>
          <w:trHeight w:val="73" w:hRule="atLeast"/>
        </w:trPr>
        <w:tc>
          <w:tcPr>
            <w:tcW w:w="3985" w:type="dxa"/>
            <w:gridSpan w:val="2"/>
            <w:tcBorders>
              <w:top w:val="single" w:color="000000" w:sz="4" w:space="0"/>
              <w:left w:val="single" w:color="000000" w:sz="4" w:space="0"/>
              <w:bottom w:val="single" w:color="000000" w:sz="4" w:space="0"/>
              <w:right w:val="single" w:color="000000" w:sz="4" w:space="0"/>
            </w:tcBorders>
          </w:tcPr>
          <w:p w14:paraId="27F6D62E">
            <w:pPr>
              <w:rPr>
                <w:rFonts w:ascii="Arial" w:hAnsi="Arial" w:eastAsia="Arial" w:cs="Arial"/>
                <w:b/>
                <w:sz w:val="24"/>
                <w:szCs w:val="24"/>
              </w:rPr>
            </w:pPr>
            <w:r>
              <w:rPr>
                <w:rFonts w:ascii="Arial" w:hAnsi="Arial" w:eastAsia="Arial" w:cs="Arial"/>
                <w:b/>
                <w:sz w:val="24"/>
                <w:szCs w:val="24"/>
              </w:rPr>
              <w:t>TELEFONE:</w:t>
            </w:r>
          </w:p>
        </w:tc>
        <w:tc>
          <w:tcPr>
            <w:tcW w:w="6080" w:type="dxa"/>
            <w:gridSpan w:val="6"/>
            <w:tcBorders>
              <w:top w:val="single" w:color="000000" w:sz="4" w:space="0"/>
              <w:left w:val="single" w:color="000000" w:sz="4" w:space="0"/>
              <w:bottom w:val="single" w:color="000000" w:sz="4" w:space="0"/>
              <w:right w:val="single" w:color="000000" w:sz="4" w:space="0"/>
            </w:tcBorders>
          </w:tcPr>
          <w:p w14:paraId="438361A7">
            <w:pPr>
              <w:rPr>
                <w:rFonts w:ascii="Arial" w:hAnsi="Arial" w:eastAsia="Arial" w:cs="Arial"/>
                <w:b/>
                <w:sz w:val="24"/>
                <w:szCs w:val="24"/>
              </w:rPr>
            </w:pPr>
            <w:r>
              <w:rPr>
                <w:rFonts w:ascii="Arial" w:hAnsi="Arial" w:eastAsia="Arial" w:cs="Arial"/>
                <w:b/>
                <w:sz w:val="24"/>
                <w:szCs w:val="24"/>
              </w:rPr>
              <w:t>FAX:</w:t>
            </w:r>
          </w:p>
        </w:tc>
      </w:tr>
      <w:tr w14:paraId="5BC0FF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cantSplit/>
          <w:trHeight w:val="69" w:hRule="atLeast"/>
        </w:trPr>
        <w:tc>
          <w:tcPr>
            <w:tcW w:w="3985" w:type="dxa"/>
            <w:gridSpan w:val="2"/>
            <w:tcBorders>
              <w:top w:val="single" w:color="000000" w:sz="4" w:space="0"/>
              <w:left w:val="single" w:color="000000" w:sz="4" w:space="0"/>
              <w:bottom w:val="single" w:color="000000" w:sz="4" w:space="0"/>
              <w:right w:val="single" w:color="000000" w:sz="4" w:space="0"/>
            </w:tcBorders>
          </w:tcPr>
          <w:p w14:paraId="76332E04">
            <w:pPr>
              <w:rPr>
                <w:rFonts w:ascii="Arial" w:hAnsi="Arial" w:eastAsia="Arial" w:cs="Arial"/>
                <w:b/>
                <w:sz w:val="24"/>
                <w:szCs w:val="24"/>
              </w:rPr>
            </w:pPr>
            <w:r>
              <w:rPr>
                <w:rFonts w:ascii="Arial" w:hAnsi="Arial" w:eastAsia="Arial" w:cs="Arial"/>
                <w:b/>
                <w:sz w:val="24"/>
                <w:szCs w:val="24"/>
              </w:rPr>
              <w:t>CONTATO DA LICITANTE:</w:t>
            </w:r>
          </w:p>
        </w:tc>
        <w:tc>
          <w:tcPr>
            <w:tcW w:w="6080" w:type="dxa"/>
            <w:gridSpan w:val="6"/>
            <w:tcBorders>
              <w:top w:val="single" w:color="000000" w:sz="4" w:space="0"/>
              <w:left w:val="single" w:color="000000" w:sz="4" w:space="0"/>
              <w:bottom w:val="single" w:color="000000" w:sz="4" w:space="0"/>
              <w:right w:val="single" w:color="000000" w:sz="4" w:space="0"/>
            </w:tcBorders>
          </w:tcPr>
          <w:p w14:paraId="247947B7">
            <w:pPr>
              <w:rPr>
                <w:rFonts w:ascii="Arial" w:hAnsi="Arial" w:eastAsia="Arial" w:cs="Arial"/>
                <w:b/>
                <w:sz w:val="24"/>
                <w:szCs w:val="24"/>
              </w:rPr>
            </w:pPr>
            <w:r>
              <w:rPr>
                <w:rFonts w:ascii="Arial" w:hAnsi="Arial" w:eastAsia="Arial" w:cs="Arial"/>
                <w:b/>
                <w:sz w:val="24"/>
                <w:szCs w:val="24"/>
              </w:rPr>
              <w:t>TELEFONE:</w:t>
            </w:r>
          </w:p>
        </w:tc>
      </w:tr>
      <w:tr w14:paraId="041E11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cantSplit/>
          <w:trHeight w:val="69" w:hRule="atLeast"/>
        </w:trPr>
        <w:tc>
          <w:tcPr>
            <w:tcW w:w="3985" w:type="dxa"/>
            <w:gridSpan w:val="2"/>
            <w:tcBorders>
              <w:top w:val="single" w:color="000000" w:sz="4" w:space="0"/>
              <w:left w:val="single" w:color="000000" w:sz="4" w:space="0"/>
              <w:bottom w:val="single" w:color="000000" w:sz="4" w:space="0"/>
              <w:right w:val="single" w:color="000000" w:sz="4" w:space="0"/>
            </w:tcBorders>
          </w:tcPr>
          <w:p w14:paraId="1616273E">
            <w:pPr>
              <w:rPr>
                <w:rFonts w:ascii="Arial" w:hAnsi="Arial" w:eastAsia="Arial" w:cs="Arial"/>
                <w:b/>
                <w:sz w:val="24"/>
                <w:szCs w:val="24"/>
              </w:rPr>
            </w:pPr>
            <w:r>
              <w:rPr>
                <w:rFonts w:ascii="Arial" w:hAnsi="Arial" w:eastAsia="Arial" w:cs="Arial"/>
                <w:b/>
                <w:sz w:val="24"/>
                <w:szCs w:val="24"/>
              </w:rPr>
              <w:t xml:space="preserve">BANCO DA LICITANTE: </w:t>
            </w:r>
          </w:p>
        </w:tc>
        <w:tc>
          <w:tcPr>
            <w:tcW w:w="6080" w:type="dxa"/>
            <w:gridSpan w:val="6"/>
            <w:tcBorders>
              <w:top w:val="single" w:color="000000" w:sz="4" w:space="0"/>
              <w:left w:val="single" w:color="000000" w:sz="4" w:space="0"/>
              <w:bottom w:val="single" w:color="000000" w:sz="4" w:space="0"/>
              <w:right w:val="single" w:color="000000" w:sz="4" w:space="0"/>
            </w:tcBorders>
          </w:tcPr>
          <w:p w14:paraId="6AEC3E47">
            <w:pPr>
              <w:rPr>
                <w:rFonts w:ascii="Arial" w:hAnsi="Arial" w:eastAsia="Arial" w:cs="Arial"/>
                <w:b/>
                <w:sz w:val="24"/>
                <w:szCs w:val="24"/>
              </w:rPr>
            </w:pPr>
            <w:r>
              <w:rPr>
                <w:rFonts w:ascii="Arial" w:hAnsi="Arial" w:eastAsia="Arial" w:cs="Arial"/>
                <w:b/>
                <w:sz w:val="24"/>
                <w:szCs w:val="24"/>
              </w:rPr>
              <w:t>CONTA BANCÁRIA DA LICITANTE:</w:t>
            </w:r>
          </w:p>
        </w:tc>
      </w:tr>
      <w:tr w14:paraId="6080C1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cantSplit/>
          <w:trHeight w:val="133" w:hRule="atLeast"/>
        </w:trPr>
        <w:tc>
          <w:tcPr>
            <w:tcW w:w="10065" w:type="dxa"/>
            <w:gridSpan w:val="8"/>
            <w:tcBorders>
              <w:top w:val="single" w:color="000000" w:sz="4" w:space="0"/>
              <w:left w:val="single" w:color="000000" w:sz="4" w:space="0"/>
              <w:bottom w:val="single" w:color="000000" w:sz="4" w:space="0"/>
              <w:right w:val="single" w:color="000000" w:sz="4" w:space="0"/>
            </w:tcBorders>
          </w:tcPr>
          <w:p w14:paraId="10A336FA">
            <w:pPr>
              <w:rPr>
                <w:rFonts w:ascii="Arial" w:hAnsi="Arial" w:eastAsia="Arial" w:cs="Arial"/>
                <w:b/>
                <w:sz w:val="24"/>
                <w:szCs w:val="24"/>
              </w:rPr>
            </w:pPr>
            <w:r>
              <w:rPr>
                <w:rFonts w:ascii="Arial" w:hAnsi="Arial" w:eastAsia="Arial" w:cs="Arial"/>
                <w:b/>
                <w:sz w:val="24"/>
                <w:szCs w:val="24"/>
              </w:rPr>
              <w:t>Nº DA AGÊNCIA:</w:t>
            </w:r>
          </w:p>
        </w:tc>
      </w:tr>
      <w:tr w14:paraId="67C0A8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20" w:hRule="atLeast"/>
        </w:trPr>
        <w:tc>
          <w:tcPr>
            <w:tcW w:w="676"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469C8846">
            <w:pPr>
              <w:rPr>
                <w:rFonts w:ascii="Arial" w:hAnsi="Arial" w:eastAsia="Arial" w:cs="Arial"/>
                <w:b/>
                <w:sz w:val="24"/>
                <w:szCs w:val="24"/>
              </w:rPr>
            </w:pPr>
            <w:r>
              <w:rPr>
                <w:rFonts w:ascii="Arial" w:hAnsi="Arial" w:eastAsia="Arial" w:cs="Arial"/>
                <w:b/>
                <w:sz w:val="24"/>
                <w:szCs w:val="24"/>
              </w:rPr>
              <w:t>ITENS</w:t>
            </w:r>
          </w:p>
        </w:tc>
        <w:tc>
          <w:tcPr>
            <w:tcW w:w="3525" w:type="dxa"/>
            <w:gridSpan w:val="2"/>
            <w:tcBorders>
              <w:top w:val="single" w:color="000000" w:sz="4" w:space="0"/>
              <w:left w:val="nil"/>
              <w:bottom w:val="single" w:color="000000" w:sz="4" w:space="0"/>
              <w:right w:val="single" w:color="000000" w:sz="4" w:space="0"/>
            </w:tcBorders>
            <w:shd w:val="clear" w:color="auto" w:fill="D9D9D9"/>
            <w:vAlign w:val="center"/>
          </w:tcPr>
          <w:p w14:paraId="7E24C3D6">
            <w:pPr>
              <w:rPr>
                <w:rFonts w:ascii="Arial" w:hAnsi="Arial" w:eastAsia="Arial" w:cs="Arial"/>
                <w:b/>
                <w:sz w:val="24"/>
                <w:szCs w:val="24"/>
              </w:rPr>
            </w:pPr>
            <w:r>
              <w:rPr>
                <w:rFonts w:ascii="Arial" w:hAnsi="Arial" w:eastAsia="Arial" w:cs="Arial"/>
                <w:b/>
                <w:sz w:val="24"/>
                <w:szCs w:val="24"/>
              </w:rPr>
              <w:t>DESCRIÇÃO</w:t>
            </w:r>
          </w:p>
        </w:tc>
        <w:tc>
          <w:tcPr>
            <w:tcW w:w="871" w:type="dxa"/>
            <w:tcBorders>
              <w:top w:val="single" w:color="000000" w:sz="4" w:space="0"/>
              <w:left w:val="nil"/>
              <w:bottom w:val="single" w:color="000000" w:sz="4" w:space="0"/>
              <w:right w:val="single" w:color="000000" w:sz="4" w:space="0"/>
            </w:tcBorders>
            <w:shd w:val="clear" w:color="auto" w:fill="D9D9D9"/>
            <w:vAlign w:val="center"/>
          </w:tcPr>
          <w:p w14:paraId="6379E3D9">
            <w:pPr>
              <w:rPr>
                <w:rFonts w:ascii="Arial" w:hAnsi="Arial" w:eastAsia="Arial" w:cs="Arial"/>
                <w:b/>
                <w:sz w:val="24"/>
                <w:szCs w:val="24"/>
              </w:rPr>
            </w:pPr>
            <w:r>
              <w:rPr>
                <w:rFonts w:ascii="Arial" w:hAnsi="Arial" w:eastAsia="Arial" w:cs="Arial"/>
                <w:b/>
                <w:sz w:val="24"/>
                <w:szCs w:val="24"/>
              </w:rPr>
              <w:t>MARCA</w:t>
            </w:r>
          </w:p>
        </w:tc>
        <w:tc>
          <w:tcPr>
            <w:tcW w:w="971" w:type="dxa"/>
            <w:tcBorders>
              <w:top w:val="single" w:color="000000" w:sz="4" w:space="0"/>
              <w:left w:val="nil"/>
              <w:bottom w:val="single" w:color="000000" w:sz="4" w:space="0"/>
              <w:right w:val="single" w:color="000000" w:sz="4" w:space="0"/>
            </w:tcBorders>
            <w:shd w:val="clear" w:color="auto" w:fill="D9D9D9"/>
            <w:vAlign w:val="center"/>
          </w:tcPr>
          <w:p w14:paraId="5626E674">
            <w:pPr>
              <w:rPr>
                <w:rFonts w:ascii="Arial" w:hAnsi="Arial" w:eastAsia="Arial" w:cs="Arial"/>
                <w:b/>
                <w:sz w:val="24"/>
                <w:szCs w:val="24"/>
              </w:rPr>
            </w:pPr>
            <w:r>
              <w:rPr>
                <w:rFonts w:ascii="Arial" w:hAnsi="Arial" w:eastAsia="Arial" w:cs="Arial"/>
                <w:b/>
                <w:sz w:val="24"/>
                <w:szCs w:val="24"/>
              </w:rPr>
              <w:t>QUANT.</w:t>
            </w:r>
          </w:p>
        </w:tc>
        <w:tc>
          <w:tcPr>
            <w:tcW w:w="1045" w:type="dxa"/>
            <w:tcBorders>
              <w:top w:val="single" w:color="000000" w:sz="4" w:space="0"/>
              <w:left w:val="nil"/>
              <w:bottom w:val="single" w:color="000000" w:sz="4" w:space="0"/>
              <w:right w:val="single" w:color="000000" w:sz="4" w:space="0"/>
            </w:tcBorders>
            <w:shd w:val="clear" w:color="auto" w:fill="D9D9D9"/>
            <w:vAlign w:val="center"/>
          </w:tcPr>
          <w:p w14:paraId="2D63DC30">
            <w:pPr>
              <w:rPr>
                <w:rFonts w:ascii="Arial" w:hAnsi="Arial" w:eastAsia="Arial" w:cs="Arial"/>
                <w:b/>
                <w:sz w:val="24"/>
                <w:szCs w:val="24"/>
              </w:rPr>
            </w:pPr>
            <w:r>
              <w:rPr>
                <w:rFonts w:ascii="Arial" w:hAnsi="Arial" w:eastAsia="Arial" w:cs="Arial"/>
                <w:b/>
                <w:sz w:val="24"/>
                <w:szCs w:val="24"/>
              </w:rPr>
              <w:t>UNIDADE</w:t>
            </w:r>
          </w:p>
        </w:tc>
        <w:tc>
          <w:tcPr>
            <w:tcW w:w="1559" w:type="dxa"/>
            <w:tcBorders>
              <w:top w:val="single" w:color="000000" w:sz="4" w:space="0"/>
              <w:left w:val="nil"/>
              <w:bottom w:val="single" w:color="000000" w:sz="4" w:space="0"/>
              <w:right w:val="single" w:color="000000" w:sz="4" w:space="0"/>
            </w:tcBorders>
            <w:shd w:val="clear" w:color="auto" w:fill="D9D9D9"/>
            <w:vAlign w:val="center"/>
          </w:tcPr>
          <w:p w14:paraId="6B02F46D">
            <w:pPr>
              <w:rPr>
                <w:rFonts w:ascii="Arial" w:hAnsi="Arial" w:eastAsia="Arial" w:cs="Arial"/>
                <w:b/>
                <w:sz w:val="24"/>
                <w:szCs w:val="24"/>
              </w:rPr>
            </w:pPr>
            <w:r>
              <w:rPr>
                <w:rFonts w:ascii="Arial" w:hAnsi="Arial" w:eastAsia="Arial" w:cs="Arial"/>
                <w:b/>
                <w:sz w:val="24"/>
                <w:szCs w:val="24"/>
              </w:rPr>
              <w:t>VALOR</w:t>
            </w:r>
          </w:p>
          <w:p w14:paraId="6B67F560">
            <w:pPr>
              <w:rPr>
                <w:rFonts w:ascii="Arial" w:hAnsi="Arial" w:eastAsia="Arial" w:cs="Arial"/>
                <w:b/>
                <w:sz w:val="24"/>
                <w:szCs w:val="24"/>
              </w:rPr>
            </w:pPr>
            <w:r>
              <w:rPr>
                <w:rFonts w:ascii="Arial" w:hAnsi="Arial" w:eastAsia="Arial" w:cs="Arial"/>
                <w:b/>
                <w:sz w:val="24"/>
                <w:szCs w:val="24"/>
              </w:rPr>
              <w:t>UNITÁRIO R$</w:t>
            </w:r>
          </w:p>
        </w:tc>
        <w:tc>
          <w:tcPr>
            <w:tcW w:w="1418" w:type="dxa"/>
            <w:tcBorders>
              <w:top w:val="single" w:color="000000" w:sz="4" w:space="0"/>
              <w:left w:val="nil"/>
              <w:bottom w:val="single" w:color="000000" w:sz="4" w:space="0"/>
              <w:right w:val="single" w:color="000000" w:sz="4" w:space="0"/>
            </w:tcBorders>
            <w:shd w:val="clear" w:color="auto" w:fill="D9D9D9"/>
            <w:vAlign w:val="center"/>
          </w:tcPr>
          <w:p w14:paraId="0E3D66C7">
            <w:pPr>
              <w:rPr>
                <w:rFonts w:ascii="Arial" w:hAnsi="Arial" w:eastAsia="Arial" w:cs="Arial"/>
                <w:b/>
                <w:sz w:val="24"/>
                <w:szCs w:val="24"/>
              </w:rPr>
            </w:pPr>
            <w:r>
              <w:rPr>
                <w:rFonts w:ascii="Arial" w:hAnsi="Arial" w:eastAsia="Arial" w:cs="Arial"/>
                <w:b/>
                <w:sz w:val="24"/>
                <w:szCs w:val="24"/>
              </w:rPr>
              <w:t>VALOR</w:t>
            </w:r>
          </w:p>
          <w:p w14:paraId="649CA05B">
            <w:pPr>
              <w:rPr>
                <w:rFonts w:ascii="Arial" w:hAnsi="Arial" w:eastAsia="Arial" w:cs="Arial"/>
                <w:b/>
                <w:sz w:val="24"/>
                <w:szCs w:val="24"/>
              </w:rPr>
            </w:pPr>
            <w:r>
              <w:rPr>
                <w:rFonts w:ascii="Arial" w:hAnsi="Arial" w:eastAsia="Arial" w:cs="Arial"/>
                <w:b/>
                <w:sz w:val="24"/>
                <w:szCs w:val="24"/>
              </w:rPr>
              <w:t>TOTAL R$</w:t>
            </w:r>
          </w:p>
        </w:tc>
      </w:tr>
      <w:tr w14:paraId="4DA3AE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20" w:hRule="atLeast"/>
        </w:trPr>
        <w:tc>
          <w:tcPr>
            <w:tcW w:w="676"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650D812E">
            <w:pPr>
              <w:numPr>
                <w:ilvl w:val="0"/>
                <w:numId w:val="14"/>
              </w:numPr>
              <w:pBdr>
                <w:top w:val="none" w:color="auto" w:sz="0" w:space="0"/>
                <w:left w:val="none" w:color="auto" w:sz="0" w:space="0"/>
                <w:bottom w:val="none" w:color="auto" w:sz="0" w:space="0"/>
                <w:right w:val="none" w:color="auto" w:sz="0" w:space="0"/>
                <w:between w:val="none" w:color="auto" w:sz="0" w:space="0"/>
              </w:pBdr>
              <w:spacing w:after="0" w:line="240" w:lineRule="auto"/>
              <w:ind w:hanging="360"/>
              <w:jc w:val="both"/>
              <w:rPr>
                <w:rFonts w:ascii="Arial" w:hAnsi="Arial" w:eastAsia="Arial" w:cs="Arial"/>
                <w:b/>
                <w:color w:val="000000"/>
                <w:sz w:val="24"/>
                <w:szCs w:val="24"/>
              </w:rPr>
            </w:pPr>
          </w:p>
        </w:tc>
        <w:tc>
          <w:tcPr>
            <w:tcW w:w="3525" w:type="dxa"/>
            <w:gridSpan w:val="2"/>
            <w:tcBorders>
              <w:top w:val="single" w:color="000000" w:sz="4" w:space="0"/>
              <w:left w:val="nil"/>
              <w:bottom w:val="single" w:color="000000" w:sz="4" w:space="0"/>
              <w:right w:val="single" w:color="000000" w:sz="4" w:space="0"/>
            </w:tcBorders>
            <w:shd w:val="clear" w:color="auto" w:fill="auto"/>
            <w:vAlign w:val="bottom"/>
          </w:tcPr>
          <w:p w14:paraId="5221A883">
            <w:pPr>
              <w:rPr>
                <w:rFonts w:ascii="Arial" w:hAnsi="Arial" w:eastAsia="Arial" w:cs="Arial"/>
                <w:sz w:val="24"/>
                <w:szCs w:val="24"/>
              </w:rPr>
            </w:pPr>
          </w:p>
        </w:tc>
        <w:tc>
          <w:tcPr>
            <w:tcW w:w="871" w:type="dxa"/>
            <w:tcBorders>
              <w:top w:val="single" w:color="000000" w:sz="4" w:space="0"/>
              <w:left w:val="nil"/>
              <w:bottom w:val="single" w:color="000000" w:sz="4" w:space="0"/>
              <w:right w:val="single" w:color="000000" w:sz="4" w:space="0"/>
            </w:tcBorders>
            <w:shd w:val="clear" w:color="auto" w:fill="FFFFFF"/>
            <w:vAlign w:val="center"/>
          </w:tcPr>
          <w:p w14:paraId="704A8B85">
            <w:pPr>
              <w:rPr>
                <w:rFonts w:ascii="Arial" w:hAnsi="Arial" w:eastAsia="Arial" w:cs="Arial"/>
                <w:sz w:val="24"/>
                <w:szCs w:val="24"/>
              </w:rPr>
            </w:pPr>
          </w:p>
        </w:tc>
        <w:tc>
          <w:tcPr>
            <w:tcW w:w="971" w:type="dxa"/>
            <w:tcBorders>
              <w:top w:val="single" w:color="000000" w:sz="4" w:space="0"/>
              <w:left w:val="nil"/>
              <w:bottom w:val="single" w:color="000000" w:sz="4" w:space="0"/>
              <w:right w:val="single" w:color="000000" w:sz="4" w:space="0"/>
            </w:tcBorders>
            <w:shd w:val="clear" w:color="auto" w:fill="auto"/>
            <w:vAlign w:val="center"/>
          </w:tcPr>
          <w:p w14:paraId="76D756AA">
            <w:pPr>
              <w:rPr>
                <w:rFonts w:ascii="Arial" w:hAnsi="Arial" w:eastAsia="Arial" w:cs="Arial"/>
                <w:sz w:val="24"/>
                <w:szCs w:val="24"/>
              </w:rPr>
            </w:pPr>
          </w:p>
        </w:tc>
        <w:tc>
          <w:tcPr>
            <w:tcW w:w="1045" w:type="dxa"/>
            <w:tcBorders>
              <w:top w:val="single" w:color="000000" w:sz="4" w:space="0"/>
              <w:left w:val="nil"/>
              <w:bottom w:val="single" w:color="000000" w:sz="4" w:space="0"/>
              <w:right w:val="single" w:color="000000" w:sz="4" w:space="0"/>
            </w:tcBorders>
            <w:shd w:val="clear" w:color="auto" w:fill="auto"/>
            <w:vAlign w:val="center"/>
          </w:tcPr>
          <w:p w14:paraId="3E24A095">
            <w:pPr>
              <w:rPr>
                <w:rFonts w:ascii="Arial" w:hAnsi="Arial" w:eastAsia="Arial" w:cs="Arial"/>
                <w:sz w:val="24"/>
                <w:szCs w:val="24"/>
              </w:rPr>
            </w:pPr>
          </w:p>
        </w:tc>
        <w:tc>
          <w:tcPr>
            <w:tcW w:w="1559" w:type="dxa"/>
            <w:tcBorders>
              <w:top w:val="single" w:color="000000" w:sz="4" w:space="0"/>
              <w:left w:val="nil"/>
              <w:bottom w:val="single" w:color="000000" w:sz="4" w:space="0"/>
              <w:right w:val="single" w:color="000000" w:sz="4" w:space="0"/>
            </w:tcBorders>
            <w:shd w:val="clear" w:color="auto" w:fill="FFFFFF"/>
            <w:vAlign w:val="center"/>
          </w:tcPr>
          <w:p w14:paraId="1E315277">
            <w:pPr>
              <w:rPr>
                <w:rFonts w:ascii="Arial" w:hAnsi="Arial" w:eastAsia="Arial" w:cs="Arial"/>
                <w:sz w:val="24"/>
                <w:szCs w:val="24"/>
              </w:rPr>
            </w:pPr>
          </w:p>
        </w:tc>
        <w:tc>
          <w:tcPr>
            <w:tcW w:w="1418" w:type="dxa"/>
            <w:tcBorders>
              <w:top w:val="single" w:color="000000" w:sz="4" w:space="0"/>
              <w:left w:val="nil"/>
              <w:bottom w:val="single" w:color="000000" w:sz="4" w:space="0"/>
              <w:right w:val="single" w:color="000000" w:sz="4" w:space="0"/>
            </w:tcBorders>
            <w:shd w:val="clear" w:color="auto" w:fill="auto"/>
            <w:vAlign w:val="center"/>
          </w:tcPr>
          <w:p w14:paraId="65356D01">
            <w:pPr>
              <w:rPr>
                <w:rFonts w:ascii="Arial" w:hAnsi="Arial" w:eastAsia="Arial" w:cs="Arial"/>
                <w:sz w:val="24"/>
                <w:szCs w:val="24"/>
              </w:rPr>
            </w:pPr>
          </w:p>
        </w:tc>
      </w:tr>
      <w:tr w14:paraId="74CAF1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64" w:hRule="atLeast"/>
        </w:trPr>
        <w:tc>
          <w:tcPr>
            <w:tcW w:w="8647" w:type="dxa"/>
            <w:gridSpan w:val="7"/>
            <w:tcBorders>
              <w:top w:val="single" w:color="000000" w:sz="4" w:space="0"/>
              <w:left w:val="single" w:color="000000" w:sz="4" w:space="0"/>
              <w:bottom w:val="single" w:color="000000" w:sz="4" w:space="0"/>
              <w:right w:val="single" w:color="000000" w:sz="4" w:space="0"/>
            </w:tcBorders>
            <w:shd w:val="clear" w:color="auto" w:fill="D9D9D9"/>
            <w:vAlign w:val="center"/>
          </w:tcPr>
          <w:p w14:paraId="1B584D9D">
            <w:pPr>
              <w:rPr>
                <w:rFonts w:ascii="Arial" w:hAnsi="Arial" w:eastAsia="Arial" w:cs="Arial"/>
                <w:b/>
                <w:sz w:val="24"/>
                <w:szCs w:val="24"/>
              </w:rPr>
            </w:pPr>
            <w:r>
              <w:rPr>
                <w:rFonts w:ascii="Arial" w:hAnsi="Arial" w:eastAsia="Arial" w:cs="Arial"/>
                <w:b/>
                <w:sz w:val="24"/>
                <w:szCs w:val="24"/>
              </w:rPr>
              <w:t xml:space="preserve">TOTAL POR EXTENSO: </w:t>
            </w:r>
          </w:p>
        </w:tc>
        <w:tc>
          <w:tcPr>
            <w:tcW w:w="1418" w:type="dxa"/>
            <w:tcBorders>
              <w:top w:val="single" w:color="000000" w:sz="4" w:space="0"/>
              <w:left w:val="nil"/>
              <w:bottom w:val="single" w:color="000000" w:sz="4" w:space="0"/>
              <w:right w:val="single" w:color="000000" w:sz="4" w:space="0"/>
            </w:tcBorders>
            <w:shd w:val="clear" w:color="auto" w:fill="D9D9D9"/>
            <w:vAlign w:val="center"/>
          </w:tcPr>
          <w:p w14:paraId="25A6384F">
            <w:pPr>
              <w:rPr>
                <w:rFonts w:ascii="Arial" w:hAnsi="Arial" w:eastAsia="Arial" w:cs="Arial"/>
                <w:b/>
                <w:sz w:val="24"/>
                <w:szCs w:val="24"/>
              </w:rPr>
            </w:pPr>
          </w:p>
        </w:tc>
      </w:tr>
    </w:tbl>
    <w:p w14:paraId="28B22EBC">
      <w:pPr>
        <w:pBdr>
          <w:top w:val="none" w:color="auto" w:sz="0" w:space="0"/>
          <w:left w:val="none" w:color="auto" w:sz="0" w:space="0"/>
          <w:bottom w:val="none" w:color="auto" w:sz="0" w:space="0"/>
          <w:right w:val="none" w:color="auto" w:sz="0" w:space="0"/>
          <w:between w:val="none" w:color="auto" w:sz="0" w:space="0"/>
        </w:pBdr>
        <w:jc w:val="both"/>
        <w:rPr>
          <w:rFonts w:ascii="Arial" w:hAnsi="Arial" w:eastAsia="Arial" w:cs="Arial"/>
          <w:color w:val="000000"/>
          <w:sz w:val="24"/>
          <w:szCs w:val="24"/>
        </w:rPr>
      </w:pPr>
    </w:p>
    <w:p w14:paraId="56B7A236">
      <w:pPr>
        <w:pBdr>
          <w:top w:val="none" w:color="auto" w:sz="0" w:space="0"/>
          <w:left w:val="none" w:color="auto" w:sz="0" w:space="0"/>
          <w:bottom w:val="none" w:color="auto" w:sz="0" w:space="0"/>
          <w:right w:val="none" w:color="auto" w:sz="0" w:space="0"/>
          <w:between w:val="none" w:color="auto" w:sz="0" w:space="0"/>
        </w:pBdr>
        <w:jc w:val="both"/>
        <w:rPr>
          <w:rFonts w:ascii="Arial" w:hAnsi="Arial" w:eastAsia="Arial" w:cs="Arial"/>
          <w:color w:val="000000"/>
          <w:sz w:val="24"/>
          <w:szCs w:val="24"/>
        </w:rPr>
      </w:pPr>
      <w:r>
        <w:rPr>
          <w:rFonts w:ascii="Arial" w:hAnsi="Arial" w:eastAsia="Arial" w:cs="Arial"/>
          <w:color w:val="000000"/>
          <w:sz w:val="24"/>
          <w:szCs w:val="24"/>
        </w:rPr>
        <w:t>A EMPRESA: ............................................ DECLARA QUE:</w:t>
      </w:r>
    </w:p>
    <w:p w14:paraId="5DD6C922">
      <w:pPr>
        <w:pBdr>
          <w:top w:val="none" w:color="auto" w:sz="0" w:space="0"/>
          <w:left w:val="none" w:color="auto" w:sz="0" w:space="0"/>
          <w:bottom w:val="none" w:color="auto" w:sz="0" w:space="0"/>
          <w:right w:val="none" w:color="auto" w:sz="0" w:space="0"/>
          <w:between w:val="none" w:color="auto" w:sz="0" w:space="0"/>
        </w:pBdr>
        <w:jc w:val="both"/>
        <w:rPr>
          <w:rFonts w:ascii="Arial" w:hAnsi="Arial" w:eastAsia="Arial" w:cs="Arial"/>
          <w:color w:val="000000"/>
          <w:sz w:val="24"/>
          <w:szCs w:val="24"/>
        </w:rPr>
      </w:pPr>
    </w:p>
    <w:p w14:paraId="13EEFD30">
      <w:pPr>
        <w:numPr>
          <w:ilvl w:val="0"/>
          <w:numId w:val="15"/>
        </w:numPr>
        <w:pBdr>
          <w:top w:val="none" w:color="auto" w:sz="0" w:space="0"/>
          <w:left w:val="none" w:color="auto" w:sz="0" w:space="0"/>
          <w:bottom w:val="none" w:color="auto" w:sz="0" w:space="0"/>
          <w:right w:val="none" w:color="auto" w:sz="0" w:space="0"/>
          <w:between w:val="none" w:color="auto" w:sz="0" w:space="0"/>
        </w:pBdr>
        <w:tabs>
          <w:tab w:val="left" w:pos="284"/>
        </w:tabs>
        <w:spacing w:after="0" w:line="240" w:lineRule="auto"/>
        <w:ind w:left="0" w:firstLine="0"/>
        <w:jc w:val="both"/>
        <w:rPr>
          <w:rFonts w:ascii="Arial" w:hAnsi="Arial" w:eastAsia="Arial" w:cs="Arial"/>
          <w:color w:val="000000"/>
          <w:sz w:val="24"/>
          <w:szCs w:val="24"/>
        </w:rPr>
      </w:pPr>
      <w:r>
        <w:rPr>
          <w:rFonts w:ascii="Arial" w:hAnsi="Arial" w:eastAsia="Arial" w:cs="Arial"/>
          <w:color w:val="000000"/>
          <w:sz w:val="24"/>
          <w:szCs w:val="24"/>
        </w:rPr>
        <w:t>ESTÃO INCLUSAS NO VALOR COTADO TODAS AS DESPESAS COM MÃO DE OBRA E, BEM COMO, TODOS OS TRIBUTOS E ENCARGOS FISCAIS, SOCIAIS, TRABALHISTAS, PREVIDENCIÁRIOS E COMERCIAIS E, AINDA, OS GASTOS COM TRANSPORTE E ACONDICIONAMENTO DOS PRODUTOS EM EMBALAGENS ADEQUADAS.</w:t>
      </w:r>
    </w:p>
    <w:p w14:paraId="5273DA20">
      <w:pPr>
        <w:numPr>
          <w:ilvl w:val="0"/>
          <w:numId w:val="15"/>
        </w:numPr>
        <w:pBdr>
          <w:top w:val="none" w:color="auto" w:sz="0" w:space="0"/>
          <w:left w:val="none" w:color="auto" w:sz="0" w:space="0"/>
          <w:bottom w:val="none" w:color="auto" w:sz="0" w:space="0"/>
          <w:right w:val="none" w:color="auto" w:sz="0" w:space="0"/>
          <w:between w:val="none" w:color="auto" w:sz="0" w:space="0"/>
        </w:pBdr>
        <w:tabs>
          <w:tab w:val="left" w:pos="284"/>
        </w:tabs>
        <w:spacing w:after="0" w:line="240" w:lineRule="auto"/>
        <w:ind w:left="0" w:firstLine="0"/>
        <w:jc w:val="both"/>
        <w:rPr>
          <w:rFonts w:ascii="Arial" w:hAnsi="Arial" w:eastAsia="Arial" w:cs="Arial"/>
          <w:color w:val="000000"/>
          <w:sz w:val="24"/>
          <w:szCs w:val="24"/>
        </w:rPr>
      </w:pPr>
      <w:r>
        <w:rPr>
          <w:rFonts w:ascii="Arial" w:hAnsi="Arial" w:eastAsia="Arial" w:cs="Arial"/>
          <w:color w:val="000000"/>
          <w:sz w:val="24"/>
          <w:szCs w:val="24"/>
        </w:rPr>
        <w:t>VALIDADE DA PROPOSTA: 60 (SESSENTA) DIAS.</w:t>
      </w:r>
    </w:p>
    <w:p w14:paraId="4183E69A">
      <w:pPr>
        <w:numPr>
          <w:ilvl w:val="0"/>
          <w:numId w:val="15"/>
        </w:numPr>
        <w:pBdr>
          <w:top w:val="none" w:color="auto" w:sz="0" w:space="0"/>
          <w:left w:val="none" w:color="auto" w:sz="0" w:space="0"/>
          <w:bottom w:val="none" w:color="auto" w:sz="0" w:space="0"/>
          <w:right w:val="none" w:color="auto" w:sz="0" w:space="0"/>
          <w:between w:val="none" w:color="auto" w:sz="0" w:space="0"/>
        </w:pBdr>
        <w:tabs>
          <w:tab w:val="left" w:pos="284"/>
        </w:tabs>
        <w:spacing w:after="0" w:line="240" w:lineRule="auto"/>
        <w:ind w:left="0" w:firstLine="0"/>
        <w:jc w:val="both"/>
        <w:rPr>
          <w:rFonts w:ascii="Arial" w:hAnsi="Arial" w:eastAsia="Arial" w:cs="Arial"/>
          <w:color w:val="000000"/>
          <w:sz w:val="24"/>
          <w:szCs w:val="24"/>
        </w:rPr>
      </w:pPr>
      <w:r>
        <w:rPr>
          <w:rFonts w:ascii="Arial" w:hAnsi="Arial" w:eastAsia="Arial" w:cs="Arial"/>
          <w:color w:val="000000"/>
          <w:sz w:val="24"/>
          <w:szCs w:val="24"/>
        </w:rPr>
        <w:t>PRAZO DE INÍCIO DE FORNECIMENTO/EXECUÇÃO DOS SERVIÇOS DE ACORDO COM O ESTABELECIDO NO TERMO DE REFERÊNCIA (ANEXO I) DO EDITAL DESSE PROCESSO.</w:t>
      </w:r>
    </w:p>
    <w:p w14:paraId="7C3267C6">
      <w:pPr>
        <w:numPr>
          <w:ilvl w:val="0"/>
          <w:numId w:val="15"/>
        </w:numPr>
        <w:pBdr>
          <w:top w:val="none" w:color="auto" w:sz="0" w:space="0"/>
          <w:left w:val="none" w:color="auto" w:sz="0" w:space="0"/>
          <w:bottom w:val="none" w:color="auto" w:sz="0" w:space="0"/>
          <w:right w:val="none" w:color="auto" w:sz="0" w:space="0"/>
          <w:between w:val="none" w:color="auto" w:sz="0" w:space="0"/>
        </w:pBdr>
        <w:tabs>
          <w:tab w:val="left" w:pos="284"/>
        </w:tabs>
        <w:spacing w:after="0" w:line="240" w:lineRule="auto"/>
        <w:ind w:left="0" w:firstLine="0"/>
        <w:jc w:val="both"/>
        <w:rPr>
          <w:rFonts w:ascii="Arial" w:hAnsi="Arial" w:eastAsia="Arial" w:cs="Arial"/>
          <w:color w:val="000000"/>
          <w:sz w:val="24"/>
          <w:szCs w:val="24"/>
        </w:rPr>
      </w:pPr>
      <w:r>
        <w:rPr>
          <w:rFonts w:ascii="Arial" w:hAnsi="Arial" w:eastAsia="Arial" w:cs="Arial"/>
          <w:color w:val="000000"/>
          <w:sz w:val="24"/>
          <w:szCs w:val="24"/>
        </w:rPr>
        <w:t xml:space="preserve">QUE </w:t>
      </w:r>
      <w:r>
        <w:rPr>
          <w:rFonts w:ascii="Arial" w:hAnsi="Arial" w:eastAsia="Arial" w:cs="Arial"/>
          <w:b/>
          <w:color w:val="000000"/>
          <w:sz w:val="24"/>
          <w:szCs w:val="24"/>
        </w:rPr>
        <w:t xml:space="preserve">NÃO POSSUI </w:t>
      </w:r>
      <w:r>
        <w:rPr>
          <w:rFonts w:ascii="Arial" w:hAnsi="Arial" w:eastAsia="Arial" w:cs="Arial"/>
          <w:color w:val="000000"/>
          <w:sz w:val="24"/>
          <w:szCs w:val="24"/>
        </w:rPr>
        <w:t xml:space="preserve">COMO SÓCIO, GERENTE E DIRETORES, SERVIDORES DA </w:t>
      </w:r>
      <w:r>
        <w:rPr>
          <w:rFonts w:ascii="Arial" w:hAnsi="Arial" w:eastAsia="Arial" w:cs="Arial"/>
          <w:b/>
          <w:color w:val="000000"/>
          <w:sz w:val="24"/>
          <w:szCs w:val="24"/>
        </w:rPr>
        <w:t>PREFEITURA MUNICIPAL DE JATOBÁ/PE</w:t>
      </w:r>
      <w:r>
        <w:rPr>
          <w:rFonts w:ascii="Arial" w:hAnsi="Arial" w:eastAsia="Arial" w:cs="Arial"/>
          <w:color w:val="000000"/>
          <w:sz w:val="24"/>
          <w:szCs w:val="24"/>
        </w:rPr>
        <w:t>, E AINDA CÔNJUGE, COMPANHEIRO OU PARENTE ATÉ TERCEIRO GRAU.</w:t>
      </w:r>
    </w:p>
    <w:p w14:paraId="34C42239">
      <w:pPr>
        <w:pBdr>
          <w:top w:val="none" w:color="auto" w:sz="0" w:space="0"/>
          <w:left w:val="none" w:color="auto" w:sz="0" w:space="0"/>
          <w:bottom w:val="none" w:color="auto" w:sz="0" w:space="0"/>
          <w:right w:val="none" w:color="auto" w:sz="0" w:space="0"/>
          <w:between w:val="none" w:color="auto" w:sz="0" w:space="0"/>
        </w:pBdr>
        <w:tabs>
          <w:tab w:val="left" w:pos="284"/>
        </w:tabs>
        <w:jc w:val="both"/>
        <w:rPr>
          <w:rFonts w:ascii="Arial" w:hAnsi="Arial" w:eastAsia="Arial" w:cs="Arial"/>
          <w:color w:val="000000"/>
          <w:sz w:val="24"/>
          <w:szCs w:val="24"/>
        </w:rPr>
      </w:pPr>
    </w:p>
    <w:p w14:paraId="6361B1F5">
      <w:pPr>
        <w:numPr>
          <w:ilvl w:val="0"/>
          <w:numId w:val="15"/>
        </w:numPr>
        <w:pBdr>
          <w:top w:val="none" w:color="auto" w:sz="0" w:space="0"/>
          <w:left w:val="none" w:color="auto" w:sz="0" w:space="0"/>
          <w:bottom w:val="none" w:color="auto" w:sz="0" w:space="0"/>
          <w:right w:val="none" w:color="auto" w:sz="0" w:space="0"/>
          <w:between w:val="none" w:color="auto" w:sz="0" w:space="0"/>
        </w:pBdr>
        <w:tabs>
          <w:tab w:val="left" w:pos="284"/>
        </w:tabs>
        <w:spacing w:after="0" w:line="240" w:lineRule="auto"/>
        <w:ind w:left="0" w:firstLine="0"/>
        <w:jc w:val="both"/>
        <w:rPr>
          <w:rFonts w:ascii="Arial" w:hAnsi="Arial" w:eastAsia="Arial" w:cs="Arial"/>
          <w:color w:val="000000"/>
          <w:sz w:val="24"/>
          <w:szCs w:val="24"/>
        </w:rPr>
      </w:pPr>
      <w:r>
        <w:rPr>
          <w:rFonts w:ascii="Arial" w:hAnsi="Arial" w:eastAsia="Arial" w:cs="Arial"/>
          <w:color w:val="000000"/>
          <w:sz w:val="24"/>
          <w:szCs w:val="24"/>
        </w:rPr>
        <w:t>QUE O PRAZO DE INÍCIO DA ENTREGA DOS XXXXXXXXXX SERÁ DE ACORDO COM OS TERMOS ESTABELECIDOS NO ANEXO II, DESTE EDITAL A CONTAR DO RECEBIMENTO, POR PARTE DA CONTRATADA, DA ORDEM DE COMPRA OU DOCUMENTO SIMILAR. TODOS XXXXXXXX SERÃO AVALIADOS, SOB PENA DE DEVOLUÇÃO DE NÃO ACEITE, CASO NÃO ATENDA A DESCRIMINAÇÃO DO TERMO DE REFERÊNCIA DO REFERIDO EDITAL OU DE MÁ QUALIDADE.</w:t>
      </w:r>
    </w:p>
    <w:p w14:paraId="35F4E842">
      <w:pPr>
        <w:jc w:val="both"/>
        <w:rPr>
          <w:rFonts w:ascii="Arial" w:hAnsi="Arial" w:eastAsia="Arial" w:cs="Arial"/>
          <w:sz w:val="24"/>
          <w:szCs w:val="24"/>
        </w:rPr>
      </w:pPr>
    </w:p>
    <w:p w14:paraId="0F7F072B">
      <w:pPr>
        <w:jc w:val="both"/>
        <w:rPr>
          <w:rFonts w:ascii="Arial" w:hAnsi="Arial" w:eastAsia="Arial" w:cs="Arial"/>
          <w:sz w:val="24"/>
          <w:szCs w:val="24"/>
        </w:rPr>
      </w:pPr>
    </w:p>
    <w:p w14:paraId="1742B246">
      <w:pPr>
        <w:jc w:val="both"/>
        <w:rPr>
          <w:rFonts w:ascii="Arial" w:hAnsi="Arial" w:eastAsia="Arial" w:cs="Arial"/>
          <w:sz w:val="24"/>
          <w:szCs w:val="24"/>
        </w:rPr>
      </w:pPr>
    </w:p>
    <w:p w14:paraId="74BDDD00">
      <w:pPr>
        <w:jc w:val="both"/>
        <w:rPr>
          <w:rFonts w:ascii="Arial" w:hAnsi="Arial" w:eastAsia="Arial" w:cs="Arial"/>
          <w:sz w:val="24"/>
          <w:szCs w:val="24"/>
        </w:rPr>
      </w:pPr>
    </w:p>
    <w:p w14:paraId="32D44455">
      <w:pPr>
        <w:jc w:val="both"/>
        <w:rPr>
          <w:rFonts w:ascii="Arial" w:hAnsi="Arial" w:eastAsia="Arial" w:cs="Arial"/>
          <w:sz w:val="24"/>
          <w:szCs w:val="24"/>
        </w:rPr>
      </w:pPr>
    </w:p>
    <w:p w14:paraId="144E4A1F">
      <w:pPr>
        <w:jc w:val="both"/>
        <w:rPr>
          <w:rFonts w:ascii="Arial" w:hAnsi="Arial" w:eastAsia="Arial" w:cs="Arial"/>
          <w:sz w:val="24"/>
          <w:szCs w:val="24"/>
        </w:rPr>
      </w:pPr>
    </w:p>
    <w:p w14:paraId="1A7E478E">
      <w:pPr>
        <w:jc w:val="both"/>
        <w:rPr>
          <w:rFonts w:ascii="Arial" w:hAnsi="Arial" w:eastAsia="Arial" w:cs="Arial"/>
          <w:sz w:val="24"/>
          <w:szCs w:val="24"/>
        </w:rPr>
      </w:pPr>
    </w:p>
    <w:p w14:paraId="798BC037">
      <w:pPr>
        <w:jc w:val="center"/>
        <w:rPr>
          <w:rFonts w:ascii="Arial" w:hAnsi="Arial" w:eastAsia="Arial" w:cs="Arial"/>
          <w:sz w:val="24"/>
          <w:szCs w:val="24"/>
        </w:rPr>
      </w:pPr>
      <w:r>
        <w:rPr>
          <w:rFonts w:ascii="Arial" w:hAnsi="Arial" w:eastAsia="Arial" w:cs="Arial"/>
          <w:sz w:val="24"/>
          <w:szCs w:val="24"/>
        </w:rPr>
        <w:t>LOCAL E DATA</w:t>
      </w:r>
    </w:p>
    <w:p w14:paraId="0159EF93">
      <w:pPr>
        <w:jc w:val="center"/>
        <w:rPr>
          <w:rFonts w:ascii="Arial" w:hAnsi="Arial" w:eastAsia="Arial" w:cs="Arial"/>
          <w:sz w:val="24"/>
          <w:szCs w:val="24"/>
        </w:rPr>
      </w:pPr>
    </w:p>
    <w:p w14:paraId="72489BF6">
      <w:pPr>
        <w:jc w:val="center"/>
        <w:rPr>
          <w:rFonts w:ascii="Arial" w:hAnsi="Arial" w:eastAsia="Arial" w:cs="Arial"/>
          <w:sz w:val="24"/>
          <w:szCs w:val="24"/>
        </w:rPr>
      </w:pPr>
    </w:p>
    <w:p w14:paraId="66942A19">
      <w:pPr>
        <w:jc w:val="center"/>
        <w:rPr>
          <w:rFonts w:ascii="Arial" w:hAnsi="Arial" w:eastAsia="Arial" w:cs="Arial"/>
          <w:sz w:val="24"/>
          <w:szCs w:val="24"/>
        </w:rPr>
      </w:pPr>
    </w:p>
    <w:p w14:paraId="5D1FDE84">
      <w:pPr>
        <w:jc w:val="center"/>
        <w:rPr>
          <w:rFonts w:ascii="Arial" w:hAnsi="Arial" w:eastAsia="Arial" w:cs="Arial"/>
          <w:sz w:val="24"/>
          <w:szCs w:val="24"/>
        </w:rPr>
      </w:pPr>
      <w:r>
        <w:rPr>
          <w:rFonts w:ascii="Arial" w:hAnsi="Arial" w:eastAsia="Arial" w:cs="Arial"/>
          <w:sz w:val="24"/>
          <w:szCs w:val="24"/>
        </w:rPr>
        <w:t>_____________________________________</w:t>
      </w:r>
    </w:p>
    <w:p w14:paraId="2AA85B33">
      <w:pPr>
        <w:jc w:val="center"/>
        <w:rPr>
          <w:rFonts w:ascii="Arial" w:hAnsi="Arial" w:eastAsia="Arial" w:cs="Arial"/>
          <w:sz w:val="24"/>
          <w:szCs w:val="24"/>
        </w:rPr>
      </w:pPr>
      <w:r>
        <w:rPr>
          <w:rFonts w:ascii="Arial" w:hAnsi="Arial" w:eastAsia="Arial" w:cs="Arial"/>
          <w:sz w:val="24"/>
          <w:szCs w:val="24"/>
        </w:rPr>
        <w:t>CARIMBO DA EMPRESA/ASSINATURA DO RESPONSÁVEL.</w:t>
      </w:r>
    </w:p>
    <w:p w14:paraId="17BF86ED">
      <w:pPr>
        <w:jc w:val="center"/>
        <w:rPr>
          <w:rFonts w:ascii="Arial" w:hAnsi="Arial" w:eastAsia="Arial" w:cs="Arial"/>
          <w:sz w:val="24"/>
          <w:szCs w:val="24"/>
        </w:rPr>
      </w:pPr>
    </w:p>
    <w:p w14:paraId="29A7EBF2">
      <w:pPr>
        <w:jc w:val="center"/>
        <w:rPr>
          <w:rFonts w:ascii="Arial" w:hAnsi="Arial" w:eastAsia="Arial" w:cs="Arial"/>
          <w:sz w:val="24"/>
          <w:szCs w:val="24"/>
        </w:rPr>
      </w:pPr>
    </w:p>
    <w:p w14:paraId="2A135F15">
      <w:pPr>
        <w:jc w:val="both"/>
        <w:rPr>
          <w:rFonts w:ascii="Arial" w:hAnsi="Arial" w:eastAsia="Arial" w:cs="Arial"/>
          <w:sz w:val="24"/>
          <w:szCs w:val="24"/>
        </w:rPr>
      </w:pPr>
      <w:r>
        <w:rPr>
          <w:rFonts w:ascii="Arial" w:hAnsi="Arial" w:eastAsia="Arial" w:cs="Arial"/>
          <w:b/>
          <w:sz w:val="24"/>
          <w:szCs w:val="24"/>
        </w:rPr>
        <w:t xml:space="preserve">OBS. </w:t>
      </w:r>
      <w:r>
        <w:rPr>
          <w:rFonts w:ascii="Arial" w:hAnsi="Arial" w:eastAsia="Arial" w:cs="Arial"/>
          <w:sz w:val="24"/>
          <w:szCs w:val="24"/>
        </w:rPr>
        <w:t>SERÃO DESCLASSIFICADAS AS PROPOSTAS QUE APRESENTAREM COTAÇÕES CONTENDO PREÇOS EXCESSIVOS, SIMBÓLICOS, DE VALOR ZERO OU INEXEQUÍVEIS, NA FORMA DA LEGISLAÇÃO EM VIGOR, OU AINDA, QUE OFEREÇAM PREÇOS OU VANTAGENS BASEADAS NAS OFERTAS DOS DEMAIS LICITANTES.</w:t>
      </w:r>
    </w:p>
    <w:p w14:paraId="44337D00">
      <w:pPr>
        <w:spacing w:line="360" w:lineRule="auto"/>
        <w:jc w:val="center"/>
        <w:rPr>
          <w:rFonts w:ascii="Arial" w:hAnsi="Arial" w:eastAsia="Arial" w:cs="Arial"/>
          <w:b/>
          <w:color w:val="000000"/>
          <w:sz w:val="24"/>
          <w:szCs w:val="24"/>
        </w:rPr>
      </w:pPr>
    </w:p>
    <w:p w14:paraId="064F30B6">
      <w:pPr>
        <w:spacing w:line="360" w:lineRule="auto"/>
        <w:jc w:val="center"/>
        <w:rPr>
          <w:rFonts w:ascii="Arial" w:hAnsi="Arial" w:eastAsia="Arial" w:cs="Arial"/>
          <w:b/>
          <w:color w:val="000000"/>
          <w:sz w:val="24"/>
          <w:szCs w:val="24"/>
        </w:rPr>
      </w:pPr>
    </w:p>
    <w:p w14:paraId="270C6313">
      <w:pPr>
        <w:spacing w:line="360" w:lineRule="auto"/>
        <w:jc w:val="center"/>
        <w:rPr>
          <w:rFonts w:ascii="Arial" w:hAnsi="Arial" w:eastAsia="Arial" w:cs="Arial"/>
          <w:b/>
          <w:color w:val="000000"/>
          <w:sz w:val="24"/>
          <w:szCs w:val="24"/>
        </w:rPr>
      </w:pPr>
    </w:p>
    <w:p w14:paraId="2141A925">
      <w:pPr>
        <w:spacing w:line="360" w:lineRule="auto"/>
        <w:jc w:val="center"/>
        <w:rPr>
          <w:rFonts w:ascii="Arial" w:hAnsi="Arial" w:eastAsia="Arial" w:cs="Arial"/>
          <w:b/>
          <w:color w:val="000000"/>
          <w:sz w:val="24"/>
          <w:szCs w:val="24"/>
        </w:rPr>
      </w:pPr>
    </w:p>
    <w:p w14:paraId="6F02B0BA">
      <w:pPr>
        <w:spacing w:line="360" w:lineRule="auto"/>
        <w:jc w:val="center"/>
        <w:rPr>
          <w:rFonts w:ascii="Arial" w:hAnsi="Arial" w:eastAsia="Arial" w:cs="Arial"/>
          <w:b/>
          <w:color w:val="000000"/>
          <w:sz w:val="24"/>
          <w:szCs w:val="24"/>
        </w:rPr>
      </w:pPr>
    </w:p>
    <w:p w14:paraId="5542C9ED">
      <w:pPr>
        <w:spacing w:line="360" w:lineRule="auto"/>
        <w:jc w:val="center"/>
        <w:rPr>
          <w:rFonts w:ascii="Arial" w:hAnsi="Arial" w:eastAsia="Arial" w:cs="Arial"/>
          <w:b/>
          <w:color w:val="000000"/>
          <w:sz w:val="24"/>
          <w:szCs w:val="24"/>
        </w:rPr>
      </w:pPr>
    </w:p>
    <w:p w14:paraId="7E497AC3">
      <w:pPr>
        <w:spacing w:line="360" w:lineRule="auto"/>
        <w:jc w:val="center"/>
        <w:rPr>
          <w:rFonts w:ascii="Arial" w:hAnsi="Arial" w:eastAsia="Arial" w:cs="Arial"/>
          <w:b/>
          <w:color w:val="000000"/>
          <w:sz w:val="24"/>
          <w:szCs w:val="24"/>
        </w:rPr>
      </w:pPr>
    </w:p>
    <w:p w14:paraId="63F779BB">
      <w:pPr>
        <w:spacing w:line="360" w:lineRule="auto"/>
        <w:jc w:val="center"/>
        <w:rPr>
          <w:rFonts w:ascii="Arial" w:hAnsi="Arial" w:eastAsia="Arial" w:cs="Arial"/>
          <w:b/>
          <w:color w:val="000000"/>
          <w:sz w:val="24"/>
          <w:szCs w:val="24"/>
        </w:rPr>
      </w:pPr>
    </w:p>
    <w:p w14:paraId="2805F48B">
      <w:pPr>
        <w:spacing w:line="360" w:lineRule="auto"/>
        <w:jc w:val="center"/>
        <w:rPr>
          <w:rFonts w:ascii="Arial" w:hAnsi="Arial" w:eastAsia="Arial" w:cs="Arial"/>
          <w:b/>
          <w:color w:val="000000"/>
          <w:sz w:val="24"/>
          <w:szCs w:val="24"/>
        </w:rPr>
      </w:pPr>
    </w:p>
    <w:p w14:paraId="07834AC5">
      <w:pPr>
        <w:spacing w:line="360" w:lineRule="auto"/>
        <w:jc w:val="center"/>
        <w:rPr>
          <w:rFonts w:ascii="Arial" w:hAnsi="Arial" w:eastAsia="Arial" w:cs="Arial"/>
          <w:b/>
          <w:color w:val="000000"/>
          <w:sz w:val="24"/>
          <w:szCs w:val="24"/>
        </w:rPr>
      </w:pPr>
    </w:p>
    <w:p w14:paraId="52D82BFA">
      <w:pPr>
        <w:spacing w:line="360" w:lineRule="auto"/>
        <w:jc w:val="center"/>
        <w:rPr>
          <w:rFonts w:ascii="Arial" w:hAnsi="Arial" w:eastAsia="Arial" w:cs="Arial"/>
          <w:b/>
          <w:color w:val="000000"/>
          <w:sz w:val="24"/>
          <w:szCs w:val="24"/>
        </w:rPr>
      </w:pPr>
    </w:p>
    <w:p w14:paraId="4A1BE971">
      <w:pPr>
        <w:spacing w:line="360" w:lineRule="auto"/>
        <w:jc w:val="center"/>
        <w:rPr>
          <w:rFonts w:ascii="Arial" w:hAnsi="Arial" w:eastAsia="Arial" w:cs="Arial"/>
          <w:b/>
          <w:color w:val="000000"/>
          <w:sz w:val="24"/>
          <w:szCs w:val="24"/>
        </w:rPr>
      </w:pPr>
    </w:p>
    <w:p w14:paraId="2BD762CD">
      <w:pPr>
        <w:pBdr>
          <w:top w:val="single" w:color="000000" w:sz="4" w:space="1"/>
          <w:bottom w:val="single" w:color="000000" w:sz="4" w:space="1"/>
        </w:pBdr>
        <w:shd w:val="clear" w:color="auto" w:fill="D9D9D9"/>
        <w:jc w:val="both"/>
        <w:rPr>
          <w:rFonts w:ascii="Arial" w:hAnsi="Arial" w:eastAsia="Arial" w:cs="Arial"/>
          <w:b/>
        </w:rPr>
      </w:pPr>
      <w:r>
        <w:rPr>
          <w:rFonts w:ascii="Arial" w:hAnsi="Arial" w:eastAsia="Arial" w:cs="Arial"/>
          <w:b/>
        </w:rPr>
        <w:t>ANEXO III – DECLARAÇÃO DE SUJEIÇÃO ÀS CONDIÇÕES ESTABELECIDAS NO EDITAL E DE INEXISTÊNCIA DE FATOS SUPERVENIENTES IMPEDITIVOS DA HABILITAÇÃO</w:t>
      </w:r>
    </w:p>
    <w:p w14:paraId="00F628A5">
      <w:pPr>
        <w:jc w:val="both"/>
        <w:rPr>
          <w:rFonts w:ascii="Arial" w:hAnsi="Arial" w:eastAsia="Arial" w:cs="Arial"/>
          <w:b/>
        </w:rPr>
      </w:pPr>
    </w:p>
    <w:p w14:paraId="7E81F111">
      <w:pPr>
        <w:jc w:val="both"/>
        <w:rPr>
          <w:rFonts w:ascii="Arial" w:hAnsi="Arial" w:eastAsia="Arial" w:cs="Arial"/>
          <w:b/>
        </w:rPr>
      </w:pPr>
      <w:r>
        <w:rPr>
          <w:rFonts w:ascii="Arial" w:hAnsi="Arial" w:eastAsia="Arial" w:cs="Arial"/>
          <w:b/>
        </w:rPr>
        <w:t>PROCESSO LICITATÓRIO Nº XX/2024</w:t>
      </w:r>
    </w:p>
    <w:p w14:paraId="5A0A230B">
      <w:pPr>
        <w:jc w:val="both"/>
        <w:rPr>
          <w:rFonts w:ascii="Arial" w:hAnsi="Arial" w:eastAsia="Arial" w:cs="Arial"/>
          <w:b/>
        </w:rPr>
      </w:pPr>
      <w:r>
        <w:rPr>
          <w:rFonts w:ascii="Arial" w:hAnsi="Arial" w:eastAsia="Arial" w:cs="Arial"/>
          <w:b/>
        </w:rPr>
        <w:t>PREGÃO ELETRÔNICO Nº 00X/2024 - SRP Nº 00X/2024</w:t>
      </w:r>
    </w:p>
    <w:p w14:paraId="51EF4AC4">
      <w:pPr>
        <w:jc w:val="both"/>
        <w:rPr>
          <w:rFonts w:ascii="Arial" w:hAnsi="Arial" w:eastAsia="Arial" w:cs="Arial"/>
        </w:rPr>
      </w:pPr>
    </w:p>
    <w:p w14:paraId="64141F03">
      <w:pPr>
        <w:jc w:val="both"/>
        <w:rPr>
          <w:rFonts w:ascii="Arial" w:hAnsi="Arial" w:eastAsia="Arial" w:cs="Arial"/>
        </w:rPr>
      </w:pPr>
      <w:r>
        <w:rPr>
          <w:rFonts w:ascii="Arial" w:hAnsi="Arial" w:eastAsia="Arial" w:cs="Arial"/>
        </w:rPr>
        <w:t>À</w:t>
      </w:r>
    </w:p>
    <w:p w14:paraId="72F69FD0">
      <w:pPr>
        <w:jc w:val="both"/>
        <w:rPr>
          <w:rFonts w:ascii="Arial" w:hAnsi="Arial" w:eastAsia="Arial" w:cs="Arial"/>
        </w:rPr>
      </w:pPr>
      <w:r>
        <w:rPr>
          <w:rFonts w:ascii="Arial" w:hAnsi="Arial" w:eastAsia="Arial" w:cs="Arial"/>
          <w:b/>
        </w:rPr>
        <w:t>PREFEITURA MUNICIPAL DE JATOBÁ/PE.</w:t>
      </w:r>
    </w:p>
    <w:p w14:paraId="7A5DD3B6">
      <w:pPr>
        <w:pBdr>
          <w:top w:val="none" w:color="auto" w:sz="0" w:space="0"/>
          <w:left w:val="none" w:color="auto" w:sz="0" w:space="0"/>
          <w:bottom w:val="none" w:color="auto" w:sz="0" w:space="0"/>
          <w:right w:val="none" w:color="auto" w:sz="0" w:space="0"/>
          <w:between w:val="none" w:color="auto" w:sz="0" w:space="0"/>
        </w:pBdr>
        <w:tabs>
          <w:tab w:val="center" w:pos="4252"/>
          <w:tab w:val="right" w:pos="8504"/>
        </w:tabs>
        <w:jc w:val="both"/>
        <w:rPr>
          <w:rFonts w:ascii="Arial" w:hAnsi="Arial" w:eastAsia="Arial" w:cs="Arial"/>
          <w:color w:val="000000"/>
        </w:rPr>
      </w:pPr>
      <w:r>
        <w:rPr>
          <w:rFonts w:ascii="Arial" w:hAnsi="Arial" w:eastAsia="Arial" w:cs="Arial"/>
          <w:color w:val="000000"/>
        </w:rPr>
        <w:t>A PREGOEIRA E EQUIPE DE APOIO.</w:t>
      </w:r>
    </w:p>
    <w:p w14:paraId="7C8FF5B5">
      <w:pPr>
        <w:jc w:val="both"/>
        <w:rPr>
          <w:rFonts w:ascii="Arial" w:hAnsi="Arial" w:eastAsia="Arial" w:cs="Arial"/>
        </w:rPr>
      </w:pPr>
    </w:p>
    <w:p w14:paraId="39D2260D">
      <w:pPr>
        <w:jc w:val="both"/>
        <w:rPr>
          <w:rFonts w:ascii="Arial" w:hAnsi="Arial" w:eastAsia="Arial" w:cs="Arial"/>
        </w:rPr>
      </w:pPr>
      <w:r>
        <w:rPr>
          <w:rFonts w:ascii="Arial" w:hAnsi="Arial" w:eastAsia="Arial" w:cs="Arial"/>
        </w:rPr>
        <w:t>_____________________, PORTADOR DO RG _______________, ABAIXO ASSINADO, NA QUALIDADE DE RESPONSÁVEL LEGAL DA PROPONENTE, ___________________, CNPJ ___________________, DECLARA EXPRESSAMENTE QUE SE SUJEITA ÀS CONDIÇÕES ESTABELECIDAS NO EDITAL ACIMA CITADO E QUE ACATARÁ INTEGRALMENTE QUALQUER DECISÃO QUE VENHA A SER TOMADA PELO LICITADOR QUANTO À QUALIFICAÇÃO APENAS DAS PROPONENTES QUE TENHAM ATENDIDO ÀS CONDIÇÕES ESTABELECIDAS NO EDITAL E QUE DEMONSTREM INTEGRAL CAPACIDADE DE EXECUTAR O FORNECIMENTO DO BEM PREVISTO.</w:t>
      </w:r>
    </w:p>
    <w:p w14:paraId="4E0A9FF5">
      <w:pPr>
        <w:jc w:val="both"/>
        <w:rPr>
          <w:rFonts w:ascii="Arial" w:hAnsi="Arial" w:eastAsia="Arial" w:cs="Arial"/>
        </w:rPr>
      </w:pPr>
    </w:p>
    <w:p w14:paraId="08A74EAD">
      <w:pPr>
        <w:jc w:val="both"/>
        <w:rPr>
          <w:rFonts w:ascii="Arial" w:hAnsi="Arial" w:eastAsia="Arial" w:cs="Arial"/>
        </w:rPr>
      </w:pPr>
      <w:r>
        <w:rPr>
          <w:rFonts w:ascii="Arial" w:hAnsi="Arial" w:eastAsia="Arial" w:cs="Arial"/>
        </w:rPr>
        <w:t>DECLARA, AINDA, PARA TODOS OS FINS DE DIREITO, A INEXISTÊNCIA DE FATOS SUPERVENIENTES IMPEDITIVOS DA HABILITAÇÃO OU QUE COMPROMETA A IDONEIDADE DA PROPONENTE NOS TERMOS DO ARTIGO 32, PARÁGRAFO 2º, E ARTIGO 97 DA LEI Nº 8.666, DE 21 DE JUNHO DE 1993, E ALTERAÇÕES SUBSEQUENTES.</w:t>
      </w:r>
    </w:p>
    <w:p w14:paraId="15820011">
      <w:pPr>
        <w:jc w:val="both"/>
        <w:rPr>
          <w:rFonts w:ascii="Arial" w:hAnsi="Arial" w:eastAsia="Arial" w:cs="Arial"/>
        </w:rPr>
      </w:pPr>
    </w:p>
    <w:p w14:paraId="37494F03">
      <w:pPr>
        <w:widowControl w:val="0"/>
        <w:pBdr>
          <w:top w:val="none" w:color="auto" w:sz="0" w:space="0"/>
          <w:left w:val="none" w:color="auto" w:sz="0" w:space="0"/>
          <w:bottom w:val="none" w:color="auto" w:sz="0" w:space="0"/>
          <w:right w:val="none" w:color="auto" w:sz="0" w:space="0"/>
          <w:between w:val="none" w:color="auto" w:sz="0" w:space="0"/>
        </w:pBdr>
        <w:jc w:val="center"/>
        <w:rPr>
          <w:rFonts w:ascii="Arial" w:hAnsi="Arial" w:eastAsia="Arial" w:cs="Arial"/>
          <w:color w:val="000000"/>
        </w:rPr>
      </w:pPr>
      <w:r>
        <w:rPr>
          <w:rFonts w:ascii="Arial" w:hAnsi="Arial" w:eastAsia="Arial" w:cs="Arial"/>
          <w:color w:val="000000"/>
        </w:rPr>
        <w:t>________________ EM, ___ DE _________ DE 2024.</w:t>
      </w:r>
    </w:p>
    <w:p w14:paraId="126900D5">
      <w:pPr>
        <w:jc w:val="center"/>
        <w:rPr>
          <w:rFonts w:ascii="Arial" w:hAnsi="Arial" w:eastAsia="Arial" w:cs="Arial"/>
        </w:rPr>
      </w:pPr>
    </w:p>
    <w:p w14:paraId="61519D94">
      <w:pPr>
        <w:jc w:val="center"/>
        <w:rPr>
          <w:rFonts w:ascii="Arial" w:hAnsi="Arial" w:eastAsia="Arial" w:cs="Arial"/>
        </w:rPr>
      </w:pPr>
      <w:r>
        <w:rPr>
          <w:rFonts w:ascii="Arial" w:hAnsi="Arial" w:eastAsia="Arial" w:cs="Arial"/>
        </w:rPr>
        <w:t>(ASSINATURA DO RESPONSÁVEL E CPF)</w:t>
      </w:r>
    </w:p>
    <w:p w14:paraId="13172B6F">
      <w:pPr>
        <w:jc w:val="both"/>
        <w:rPr>
          <w:rFonts w:ascii="Arial" w:hAnsi="Arial" w:eastAsia="Arial" w:cs="Arial"/>
        </w:rPr>
      </w:pPr>
    </w:p>
    <w:p w14:paraId="7AE9EDAE">
      <w:pPr>
        <w:jc w:val="both"/>
        <w:rPr>
          <w:rFonts w:ascii="Arial" w:hAnsi="Arial" w:eastAsia="Arial" w:cs="Arial"/>
        </w:rPr>
      </w:pPr>
    </w:p>
    <w:p w14:paraId="7B501A6D">
      <w:pPr>
        <w:jc w:val="both"/>
        <w:rPr>
          <w:rFonts w:ascii="Arial" w:hAnsi="Arial" w:eastAsia="Arial" w:cs="Arial"/>
        </w:rPr>
      </w:pPr>
    </w:p>
    <w:p w14:paraId="4B12CF4B">
      <w:pPr>
        <w:jc w:val="both"/>
        <w:rPr>
          <w:rFonts w:ascii="Arial" w:hAnsi="Arial" w:eastAsia="Arial" w:cs="Arial"/>
        </w:rPr>
      </w:pPr>
    </w:p>
    <w:p w14:paraId="2BA7484A">
      <w:pPr>
        <w:pBdr>
          <w:top w:val="single" w:color="000000" w:sz="4" w:space="1"/>
          <w:bottom w:val="single" w:color="000000" w:sz="4" w:space="1"/>
        </w:pBdr>
        <w:shd w:val="clear" w:color="auto" w:fill="D9D9D9"/>
        <w:jc w:val="both"/>
        <w:rPr>
          <w:rFonts w:ascii="Arial" w:hAnsi="Arial" w:eastAsia="Arial" w:cs="Arial"/>
          <w:b/>
        </w:rPr>
      </w:pPr>
      <w:r>
        <w:rPr>
          <w:rFonts w:ascii="Arial" w:hAnsi="Arial" w:eastAsia="Arial" w:cs="Arial"/>
          <w:b/>
        </w:rPr>
        <w:t>ANEXO IV – MODELO DE DECLARAÇÃO NOS TERMOS DO INCISO XXXIII DO ARTIGO 7º DA CONSTITUIÇÃO FEDERAL</w:t>
      </w:r>
    </w:p>
    <w:p w14:paraId="4B8D02C4">
      <w:pPr>
        <w:jc w:val="both"/>
        <w:rPr>
          <w:rFonts w:ascii="Arial" w:hAnsi="Arial" w:eastAsia="Arial" w:cs="Arial"/>
        </w:rPr>
      </w:pPr>
    </w:p>
    <w:p w14:paraId="7BB008C5">
      <w:pPr>
        <w:jc w:val="both"/>
        <w:rPr>
          <w:rFonts w:ascii="Arial" w:hAnsi="Arial" w:eastAsia="Arial" w:cs="Arial"/>
          <w:b/>
        </w:rPr>
      </w:pPr>
      <w:r>
        <w:rPr>
          <w:rFonts w:ascii="Arial" w:hAnsi="Arial" w:eastAsia="Arial" w:cs="Arial"/>
          <w:b/>
        </w:rPr>
        <w:t>PROCESSO LICITATÓRIO Nº XX/2024</w:t>
      </w:r>
    </w:p>
    <w:p w14:paraId="2B4D592A">
      <w:pPr>
        <w:jc w:val="both"/>
        <w:rPr>
          <w:rFonts w:ascii="Arial" w:hAnsi="Arial" w:eastAsia="Arial" w:cs="Arial"/>
          <w:b/>
        </w:rPr>
      </w:pPr>
      <w:r>
        <w:rPr>
          <w:rFonts w:ascii="Arial" w:hAnsi="Arial" w:eastAsia="Arial" w:cs="Arial"/>
          <w:b/>
        </w:rPr>
        <w:t>PREGÃO ELETRÔNICO Nº 00X/2024 - SRP Nº 00X/2024</w:t>
      </w:r>
    </w:p>
    <w:p w14:paraId="516273CD">
      <w:pPr>
        <w:jc w:val="both"/>
        <w:rPr>
          <w:rFonts w:ascii="Arial" w:hAnsi="Arial" w:eastAsia="Arial" w:cs="Arial"/>
          <w:b/>
        </w:rPr>
      </w:pPr>
    </w:p>
    <w:p w14:paraId="49016D9E">
      <w:pPr>
        <w:jc w:val="both"/>
        <w:rPr>
          <w:rFonts w:ascii="Arial" w:hAnsi="Arial" w:eastAsia="Arial" w:cs="Arial"/>
          <w:b/>
        </w:rPr>
      </w:pPr>
      <w:r>
        <w:rPr>
          <w:rFonts w:ascii="Arial" w:hAnsi="Arial" w:eastAsia="Arial" w:cs="Arial"/>
          <w:b/>
        </w:rPr>
        <w:t>(PAPEL TIMBRADO DA EMPRESA)</w:t>
      </w:r>
    </w:p>
    <w:p w14:paraId="56D720B0">
      <w:pPr>
        <w:jc w:val="both"/>
        <w:rPr>
          <w:rFonts w:ascii="Arial" w:hAnsi="Arial" w:eastAsia="Arial" w:cs="Arial"/>
        </w:rPr>
      </w:pPr>
    </w:p>
    <w:p w14:paraId="160DD50F">
      <w:pPr>
        <w:jc w:val="both"/>
        <w:rPr>
          <w:rFonts w:ascii="Arial" w:hAnsi="Arial" w:eastAsia="Arial" w:cs="Arial"/>
        </w:rPr>
      </w:pPr>
      <w:r>
        <w:rPr>
          <w:rFonts w:ascii="Arial" w:hAnsi="Arial" w:eastAsia="Arial" w:cs="Arial"/>
        </w:rPr>
        <w:t>..............................................., INSCRITO NO CNPJ Nº ..........................., POR INTERMÉDIO DE SEU REPRESENTANTE LEGAL O(A) SR(A) ................................., PORTADOR(A) DA CARTEIRA DE IDENTIDADE Nº ................ E CPF Nº............................, DECLARA, PARA FINS DO DISPOSTO NO INC. V DO ART. Nº 27 DA LEI Nº 8.666, DE 21 DE JUNHO DE 1993, ACRESCIDO PELA LEI Nº 9.854, DE 27 DE OUTUBRO DE 1999, QUE NÃO EMPREGA MENOR DE DEZOITO ANOS EM TRABALHO NOTURNO, PERIGOSO OU INSALUBRE E NÃO EMPREGA MENOR DE DEZESSEIS ANOS.</w:t>
      </w:r>
    </w:p>
    <w:p w14:paraId="2BB3611D">
      <w:pPr>
        <w:jc w:val="both"/>
        <w:rPr>
          <w:rFonts w:ascii="Arial" w:hAnsi="Arial" w:eastAsia="Arial" w:cs="Arial"/>
        </w:rPr>
      </w:pPr>
    </w:p>
    <w:p w14:paraId="1BA16603">
      <w:pPr>
        <w:jc w:val="both"/>
        <w:rPr>
          <w:rFonts w:ascii="Arial" w:hAnsi="Arial" w:eastAsia="Arial" w:cs="Arial"/>
        </w:rPr>
      </w:pPr>
      <w:r>
        <w:rPr>
          <w:rFonts w:ascii="Arial" w:hAnsi="Arial" w:eastAsia="Arial" w:cs="Arial"/>
        </w:rPr>
        <w:t>RESSALVA: EMPREGA MENOR, A PARTIR DE QUATORZE ANOS, NA CONDIÇÃO DE APRENDIZ ( )</w:t>
      </w:r>
      <w:r>
        <w:rPr>
          <w:rFonts w:ascii="Arial" w:hAnsi="Arial" w:eastAsia="Arial" w:cs="Arial"/>
          <w:vertAlign w:val="superscript"/>
        </w:rPr>
        <w:footnoteReference w:id="0"/>
      </w:r>
      <w:r>
        <w:rPr>
          <w:rFonts w:ascii="Arial" w:hAnsi="Arial" w:eastAsia="Arial" w:cs="Arial"/>
        </w:rPr>
        <w:t>.</w:t>
      </w:r>
    </w:p>
    <w:p w14:paraId="19D337B7">
      <w:pPr>
        <w:jc w:val="both"/>
        <w:rPr>
          <w:rFonts w:ascii="Arial" w:hAnsi="Arial" w:eastAsia="Arial" w:cs="Arial"/>
        </w:rPr>
      </w:pPr>
    </w:p>
    <w:p w14:paraId="570D2AEA">
      <w:pPr>
        <w:jc w:val="both"/>
        <w:rPr>
          <w:rFonts w:ascii="Arial" w:hAnsi="Arial" w:eastAsia="Arial" w:cs="Arial"/>
        </w:rPr>
      </w:pPr>
    </w:p>
    <w:p w14:paraId="2F343F21">
      <w:pPr>
        <w:jc w:val="center"/>
        <w:rPr>
          <w:rFonts w:ascii="Arial" w:hAnsi="Arial" w:eastAsia="Arial" w:cs="Arial"/>
        </w:rPr>
      </w:pPr>
      <w:r>
        <w:rPr>
          <w:rFonts w:ascii="Arial" w:hAnsi="Arial" w:eastAsia="Arial" w:cs="Arial"/>
        </w:rPr>
        <w:t>...............................</w:t>
      </w:r>
    </w:p>
    <w:p w14:paraId="0266B2F4">
      <w:pPr>
        <w:jc w:val="center"/>
        <w:rPr>
          <w:rFonts w:ascii="Arial" w:hAnsi="Arial" w:eastAsia="Arial" w:cs="Arial"/>
        </w:rPr>
      </w:pPr>
      <w:r>
        <w:rPr>
          <w:rFonts w:ascii="Arial" w:hAnsi="Arial" w:eastAsia="Arial" w:cs="Arial"/>
        </w:rPr>
        <w:t>(DATA)</w:t>
      </w:r>
    </w:p>
    <w:p w14:paraId="38EBE593">
      <w:pPr>
        <w:jc w:val="center"/>
        <w:rPr>
          <w:rFonts w:ascii="Arial" w:hAnsi="Arial" w:eastAsia="Arial" w:cs="Arial"/>
        </w:rPr>
      </w:pPr>
    </w:p>
    <w:p w14:paraId="4CD31551">
      <w:pPr>
        <w:jc w:val="center"/>
        <w:rPr>
          <w:rFonts w:ascii="Arial" w:hAnsi="Arial" w:eastAsia="Arial" w:cs="Arial"/>
        </w:rPr>
      </w:pPr>
    </w:p>
    <w:p w14:paraId="58E597E5">
      <w:pPr>
        <w:jc w:val="center"/>
        <w:rPr>
          <w:rFonts w:ascii="Arial" w:hAnsi="Arial" w:eastAsia="Arial" w:cs="Arial"/>
        </w:rPr>
      </w:pPr>
      <w:r>
        <w:rPr>
          <w:rFonts w:ascii="Arial" w:hAnsi="Arial" w:eastAsia="Arial" w:cs="Arial"/>
        </w:rPr>
        <w:t>.................................</w:t>
      </w:r>
    </w:p>
    <w:p w14:paraId="7B01135D">
      <w:pPr>
        <w:jc w:val="center"/>
        <w:rPr>
          <w:rFonts w:ascii="Arial" w:hAnsi="Arial" w:eastAsia="Arial" w:cs="Arial"/>
        </w:rPr>
      </w:pPr>
      <w:r>
        <w:rPr>
          <w:rFonts w:ascii="Arial" w:hAnsi="Arial" w:eastAsia="Arial" w:cs="Arial"/>
        </w:rPr>
        <w:t>(REPRESENTANTE LEGAL)</w:t>
      </w:r>
    </w:p>
    <w:p w14:paraId="7350DB8E">
      <w:pPr>
        <w:jc w:val="both"/>
        <w:rPr>
          <w:rFonts w:ascii="Arial" w:hAnsi="Arial" w:eastAsia="Arial" w:cs="Arial"/>
        </w:rPr>
      </w:pPr>
    </w:p>
    <w:p w14:paraId="0003D1B3">
      <w:pPr>
        <w:jc w:val="both"/>
        <w:rPr>
          <w:rFonts w:ascii="Arial" w:hAnsi="Arial" w:eastAsia="Arial" w:cs="Arial"/>
        </w:rPr>
      </w:pPr>
    </w:p>
    <w:p w14:paraId="2D905DED">
      <w:pPr>
        <w:jc w:val="both"/>
        <w:rPr>
          <w:rFonts w:ascii="Arial" w:hAnsi="Arial" w:eastAsia="Arial" w:cs="Arial"/>
        </w:rPr>
      </w:pPr>
    </w:p>
    <w:p w14:paraId="167012C9">
      <w:pPr>
        <w:pBdr>
          <w:top w:val="single" w:color="000000" w:sz="4" w:space="1"/>
          <w:left w:val="none" w:color="auto" w:sz="0" w:space="0"/>
          <w:bottom w:val="single" w:color="000000" w:sz="4" w:space="1"/>
          <w:right w:val="none" w:color="auto" w:sz="0" w:space="0"/>
          <w:between w:val="none" w:color="auto" w:sz="0" w:space="0"/>
        </w:pBdr>
        <w:shd w:val="clear" w:color="auto" w:fill="D9D9D9"/>
        <w:jc w:val="both"/>
        <w:rPr>
          <w:rFonts w:ascii="Arial" w:hAnsi="Arial" w:eastAsia="Arial" w:cs="Arial"/>
          <w:color w:val="000000"/>
        </w:rPr>
      </w:pPr>
      <w:r>
        <w:rPr>
          <w:rFonts w:ascii="Arial" w:hAnsi="Arial" w:eastAsia="Arial" w:cs="Arial"/>
          <w:b/>
          <w:color w:val="000000"/>
        </w:rPr>
        <w:t>ANEXO V –</w:t>
      </w:r>
      <w:r>
        <w:rPr>
          <w:rFonts w:ascii="Arial" w:hAnsi="Arial" w:eastAsia="Arial" w:cs="Arial"/>
          <w:color w:val="000000"/>
        </w:rPr>
        <w:t xml:space="preserve"> </w:t>
      </w:r>
      <w:r>
        <w:rPr>
          <w:rFonts w:ascii="Arial" w:hAnsi="Arial" w:eastAsia="Arial" w:cs="Arial"/>
          <w:b/>
          <w:color w:val="000000"/>
        </w:rPr>
        <w:t>DECLARAÇÃO DE ELABORAÇÃO INDEPENDENTE DE PROPOSTA (MODELO)</w:t>
      </w:r>
    </w:p>
    <w:p w14:paraId="648D6778">
      <w:pPr>
        <w:jc w:val="both"/>
        <w:rPr>
          <w:rFonts w:ascii="Arial" w:hAnsi="Arial" w:eastAsia="Arial" w:cs="Arial"/>
          <w:b/>
        </w:rPr>
      </w:pPr>
    </w:p>
    <w:p w14:paraId="1FC762DD">
      <w:pPr>
        <w:jc w:val="both"/>
        <w:rPr>
          <w:rFonts w:ascii="Arial" w:hAnsi="Arial" w:eastAsia="Arial" w:cs="Arial"/>
          <w:b/>
        </w:rPr>
      </w:pPr>
      <w:r>
        <w:rPr>
          <w:rFonts w:ascii="Arial" w:hAnsi="Arial" w:eastAsia="Arial" w:cs="Arial"/>
          <w:b/>
        </w:rPr>
        <w:t>PROCESSO LICITATÓRIO Nº XX/2024</w:t>
      </w:r>
    </w:p>
    <w:p w14:paraId="3F28889C">
      <w:pPr>
        <w:jc w:val="both"/>
        <w:rPr>
          <w:rFonts w:ascii="Arial" w:hAnsi="Arial" w:eastAsia="Arial" w:cs="Arial"/>
          <w:b/>
        </w:rPr>
      </w:pPr>
      <w:r>
        <w:rPr>
          <w:rFonts w:ascii="Arial" w:hAnsi="Arial" w:eastAsia="Arial" w:cs="Arial"/>
          <w:b/>
        </w:rPr>
        <w:t>PREGÃO ELETRÔNICO Nº 00X/2024 - SRP Nº 00X/2024</w:t>
      </w:r>
    </w:p>
    <w:p w14:paraId="110D97B9">
      <w:pPr>
        <w:jc w:val="both"/>
        <w:rPr>
          <w:rFonts w:ascii="Arial" w:hAnsi="Arial" w:eastAsia="Arial" w:cs="Arial"/>
          <w:b/>
        </w:rPr>
      </w:pPr>
    </w:p>
    <w:p w14:paraId="51825FE2">
      <w:pPr>
        <w:jc w:val="both"/>
        <w:rPr>
          <w:rFonts w:ascii="Arial" w:hAnsi="Arial" w:eastAsia="Arial" w:cs="Arial"/>
          <w:b/>
        </w:rPr>
      </w:pPr>
    </w:p>
    <w:p w14:paraId="11A54C7A">
      <w:pPr>
        <w:jc w:val="both"/>
        <w:rPr>
          <w:rFonts w:ascii="Arial" w:hAnsi="Arial" w:eastAsia="Arial" w:cs="Arial"/>
        </w:rPr>
      </w:pPr>
      <w:r>
        <w:rPr>
          <w:rFonts w:ascii="Arial" w:hAnsi="Arial" w:eastAsia="Arial" w:cs="Arial"/>
        </w:rPr>
        <w:t xml:space="preserve">(IDENTIFICAÇÃO COMPLETA DO REPRESENTANTE DA LICITANTE), COMO REPRESENTANTE DEVIDAMENTE CONSTITUÍDO DE (IDENTIFICAÇÃO COMPLETA DA LICITANTE), PARA FINS DO DISPOSTO NO EDITAL DE LICITAÇÃO: </w:t>
      </w:r>
      <w:r>
        <w:rPr>
          <w:rFonts w:ascii="Arial" w:hAnsi="Arial" w:eastAsia="Arial" w:cs="Arial"/>
          <w:b/>
        </w:rPr>
        <w:t xml:space="preserve">PREGÃO ELETRÔNICO Nº 0XX/2024-SRP Nº00X/2024, PROCESSO LICITATÓRIO Nº 00X/2024, </w:t>
      </w:r>
      <w:r>
        <w:rPr>
          <w:rFonts w:ascii="Arial" w:hAnsi="Arial" w:eastAsia="Arial" w:cs="Arial"/>
        </w:rPr>
        <w:t>DECLARA, SOB AS PENAS DA LEI, EM ESPECIAL O ART. 299 DO CÓDIGO PENAL BRASILEIRO, QUE:</w:t>
      </w:r>
    </w:p>
    <w:p w14:paraId="0D73A2F7">
      <w:pPr>
        <w:pBdr>
          <w:top w:val="none" w:color="auto" w:sz="0" w:space="0"/>
          <w:left w:val="none" w:color="auto" w:sz="0" w:space="0"/>
          <w:bottom w:val="none" w:color="auto" w:sz="0" w:space="0"/>
          <w:right w:val="none" w:color="auto" w:sz="0" w:space="0"/>
          <w:between w:val="none" w:color="auto" w:sz="0" w:space="0"/>
        </w:pBdr>
        <w:jc w:val="both"/>
        <w:rPr>
          <w:rFonts w:ascii="Arial" w:hAnsi="Arial" w:eastAsia="Arial" w:cs="Arial"/>
          <w:color w:val="000000"/>
        </w:rPr>
      </w:pPr>
    </w:p>
    <w:p w14:paraId="283F8B83">
      <w:pPr>
        <w:jc w:val="both"/>
        <w:rPr>
          <w:rFonts w:ascii="Arial" w:hAnsi="Arial" w:eastAsia="Arial" w:cs="Arial"/>
        </w:rPr>
      </w:pPr>
      <w:r>
        <w:rPr>
          <w:rFonts w:ascii="Arial" w:hAnsi="Arial" w:eastAsia="Arial" w:cs="Arial"/>
          <w:b/>
        </w:rPr>
        <w:t>A)</w:t>
      </w:r>
      <w:r>
        <w:rPr>
          <w:rFonts w:ascii="Arial" w:hAnsi="Arial" w:eastAsia="Arial" w:cs="Arial"/>
        </w:rPr>
        <w:t xml:space="preserve"> A PROPOSTA APRESENTADA PARA PARTICIPAR DO </w:t>
      </w:r>
      <w:r>
        <w:rPr>
          <w:rFonts w:ascii="Arial" w:hAnsi="Arial" w:eastAsia="Arial" w:cs="Arial"/>
          <w:b/>
        </w:rPr>
        <w:t xml:space="preserve">PREGÃO ELETRÔNICO Nº 0XX/2024 - SRP Nº 00X/2024, </w:t>
      </w:r>
      <w:r>
        <w:rPr>
          <w:rFonts w:ascii="Arial" w:hAnsi="Arial" w:eastAsia="Arial" w:cs="Arial"/>
        </w:rPr>
        <w:t xml:space="preserve">FOI ELABORADA DE MANEIRA INDEPENDENTE (PELO LICITANTE), E O CONTEÚDO DA PROPOSTA NÃO FOI, NO TODO OU EM PARTE, DIRETA OU INDIRETAMENTE, INFORMADO, DISCUTIDO OU RECEBIDO DE QUALQUER OUTRO PARTICIPANTE POTENCIAL OU DE FATO DO </w:t>
      </w:r>
      <w:r>
        <w:rPr>
          <w:rFonts w:ascii="Arial" w:hAnsi="Arial" w:eastAsia="Arial" w:cs="Arial"/>
          <w:b/>
        </w:rPr>
        <w:t xml:space="preserve">PREGÃO ELETRÔNICO Nº 0XX/2024 - SRP Nº 00X/2024, </w:t>
      </w:r>
      <w:r>
        <w:rPr>
          <w:rFonts w:ascii="Arial" w:hAnsi="Arial" w:eastAsia="Arial" w:cs="Arial"/>
        </w:rPr>
        <w:t>POR QUALQUER MEIO OU POR QUALQUER PESSOA;</w:t>
      </w:r>
    </w:p>
    <w:p w14:paraId="28D7F9C2">
      <w:pPr>
        <w:pBdr>
          <w:top w:val="none" w:color="auto" w:sz="0" w:space="0"/>
          <w:left w:val="none" w:color="auto" w:sz="0" w:space="0"/>
          <w:bottom w:val="none" w:color="auto" w:sz="0" w:space="0"/>
          <w:right w:val="none" w:color="auto" w:sz="0" w:space="0"/>
          <w:between w:val="none" w:color="auto" w:sz="0" w:space="0"/>
        </w:pBdr>
        <w:ind w:left="709"/>
        <w:jc w:val="both"/>
        <w:rPr>
          <w:rFonts w:ascii="Arial" w:hAnsi="Arial" w:eastAsia="Arial" w:cs="Arial"/>
          <w:color w:val="000000"/>
        </w:rPr>
      </w:pPr>
    </w:p>
    <w:p w14:paraId="009540CD">
      <w:pPr>
        <w:pBdr>
          <w:top w:val="none" w:color="auto" w:sz="0" w:space="0"/>
          <w:left w:val="none" w:color="auto" w:sz="0" w:space="0"/>
          <w:bottom w:val="none" w:color="auto" w:sz="0" w:space="0"/>
          <w:right w:val="none" w:color="auto" w:sz="0" w:space="0"/>
          <w:between w:val="none" w:color="auto" w:sz="0" w:space="0"/>
        </w:pBdr>
        <w:jc w:val="both"/>
        <w:rPr>
          <w:rFonts w:ascii="Arial" w:hAnsi="Arial" w:eastAsia="Arial" w:cs="Arial"/>
          <w:color w:val="000000"/>
        </w:rPr>
      </w:pPr>
      <w:r>
        <w:rPr>
          <w:rFonts w:ascii="Arial" w:hAnsi="Arial" w:eastAsia="Arial" w:cs="Arial"/>
          <w:b/>
          <w:color w:val="000000"/>
        </w:rPr>
        <w:t>B)</w:t>
      </w:r>
      <w:r>
        <w:rPr>
          <w:rFonts w:ascii="Arial" w:hAnsi="Arial" w:eastAsia="Arial" w:cs="Arial"/>
          <w:color w:val="000000"/>
        </w:rPr>
        <w:t xml:space="preserve"> A INTENÇÃO DE APRESENTAR A PROPOSTA ELABORADA PARA PARTICIPAR DO </w:t>
      </w:r>
      <w:r>
        <w:rPr>
          <w:rFonts w:ascii="Arial" w:hAnsi="Arial" w:eastAsia="Arial" w:cs="Arial"/>
          <w:b/>
          <w:color w:val="000000"/>
        </w:rPr>
        <w:t>PREGÃO ELETRÔNICO Nº 0XX/2024 - SRP Nº 00X/2024</w:t>
      </w:r>
      <w:r>
        <w:rPr>
          <w:rFonts w:ascii="Arial" w:hAnsi="Arial" w:eastAsia="Arial" w:cs="Arial"/>
          <w:color w:val="000000"/>
        </w:rPr>
        <w:t xml:space="preserve"> NÃO FOI INFORMADA, DISCUTIDA OU RECEBIDA DE QUALQUER OUTRO PARTICIPANTE POTENCIAL OU DE FATO DO </w:t>
      </w:r>
      <w:r>
        <w:rPr>
          <w:rFonts w:ascii="Arial" w:hAnsi="Arial" w:eastAsia="Arial" w:cs="Arial"/>
          <w:b/>
          <w:color w:val="000000"/>
        </w:rPr>
        <w:t>PREGÃO ELETRÔNICO Nº 0XX/2024 - SRP Nº 00X/2024</w:t>
      </w:r>
      <w:r>
        <w:rPr>
          <w:rFonts w:ascii="Arial" w:hAnsi="Arial" w:eastAsia="Arial" w:cs="Arial"/>
          <w:color w:val="000000"/>
        </w:rPr>
        <w:t>, POR QUALQUER MEIO OU POR QUALQUER PESSOA;</w:t>
      </w:r>
    </w:p>
    <w:p w14:paraId="78E3AA39">
      <w:pPr>
        <w:pBdr>
          <w:top w:val="none" w:color="auto" w:sz="0" w:space="0"/>
          <w:left w:val="none" w:color="auto" w:sz="0" w:space="0"/>
          <w:bottom w:val="none" w:color="auto" w:sz="0" w:space="0"/>
          <w:right w:val="none" w:color="auto" w:sz="0" w:space="0"/>
          <w:between w:val="none" w:color="auto" w:sz="0" w:space="0"/>
        </w:pBdr>
        <w:ind w:left="709"/>
        <w:jc w:val="both"/>
        <w:rPr>
          <w:rFonts w:ascii="Arial" w:hAnsi="Arial" w:eastAsia="Arial" w:cs="Arial"/>
          <w:color w:val="000000"/>
        </w:rPr>
      </w:pPr>
    </w:p>
    <w:p w14:paraId="51063DED">
      <w:pPr>
        <w:pBdr>
          <w:top w:val="none" w:color="auto" w:sz="0" w:space="0"/>
          <w:left w:val="none" w:color="auto" w:sz="0" w:space="0"/>
          <w:bottom w:val="none" w:color="auto" w:sz="0" w:space="0"/>
          <w:right w:val="none" w:color="auto" w:sz="0" w:space="0"/>
          <w:between w:val="none" w:color="auto" w:sz="0" w:space="0"/>
        </w:pBdr>
        <w:jc w:val="both"/>
        <w:rPr>
          <w:rFonts w:ascii="Arial" w:hAnsi="Arial" w:eastAsia="Arial" w:cs="Arial"/>
          <w:color w:val="000000"/>
        </w:rPr>
      </w:pPr>
      <w:bookmarkStart w:id="57" w:name="_heading=h.2zbgiuw" w:colFirst="0" w:colLast="0"/>
      <w:bookmarkEnd w:id="57"/>
      <w:r>
        <w:rPr>
          <w:rFonts w:ascii="Arial" w:hAnsi="Arial" w:eastAsia="Arial" w:cs="Arial"/>
          <w:b/>
          <w:color w:val="000000"/>
        </w:rPr>
        <w:t>C)</w:t>
      </w:r>
      <w:r>
        <w:rPr>
          <w:rFonts w:ascii="Arial" w:hAnsi="Arial" w:eastAsia="Arial" w:cs="Arial"/>
          <w:color w:val="000000"/>
        </w:rPr>
        <w:t xml:space="preserve"> QUE NÃO TENTOU, POR QUALQUER MEIO OU POR QUALQUER PESSOA, INFLUIR NA DECISÃO DE QUALQUER OUTRO PARTICIPANTE POTENCIAL OU DE FATO DO </w:t>
      </w:r>
      <w:r>
        <w:rPr>
          <w:rFonts w:ascii="Arial" w:hAnsi="Arial" w:eastAsia="Arial" w:cs="Arial"/>
          <w:b/>
          <w:color w:val="000000"/>
        </w:rPr>
        <w:t xml:space="preserve">PREGÃO ELETRÔNICO Nº XXX/2024 - SRP XXX/2024 </w:t>
      </w:r>
      <w:r>
        <w:rPr>
          <w:rFonts w:ascii="Arial" w:hAnsi="Arial" w:eastAsia="Arial" w:cs="Arial"/>
          <w:color w:val="000000"/>
        </w:rPr>
        <w:t>QUANTO A PARTICIPAR OU NÃO DA REFERIDA LICITAÇÃO;</w:t>
      </w:r>
    </w:p>
    <w:p w14:paraId="77827DCB">
      <w:pPr>
        <w:pBdr>
          <w:top w:val="none" w:color="auto" w:sz="0" w:space="0"/>
          <w:left w:val="none" w:color="auto" w:sz="0" w:space="0"/>
          <w:bottom w:val="none" w:color="auto" w:sz="0" w:space="0"/>
          <w:right w:val="none" w:color="auto" w:sz="0" w:space="0"/>
          <w:between w:val="none" w:color="auto" w:sz="0" w:space="0"/>
        </w:pBdr>
        <w:ind w:left="709"/>
        <w:jc w:val="both"/>
        <w:rPr>
          <w:rFonts w:ascii="Arial" w:hAnsi="Arial" w:eastAsia="Arial" w:cs="Arial"/>
          <w:color w:val="000000"/>
        </w:rPr>
      </w:pPr>
    </w:p>
    <w:p w14:paraId="6420C6A3">
      <w:pPr>
        <w:pBdr>
          <w:top w:val="none" w:color="auto" w:sz="0" w:space="0"/>
          <w:left w:val="none" w:color="auto" w:sz="0" w:space="0"/>
          <w:bottom w:val="none" w:color="auto" w:sz="0" w:space="0"/>
          <w:right w:val="none" w:color="auto" w:sz="0" w:space="0"/>
          <w:between w:val="none" w:color="auto" w:sz="0" w:space="0"/>
        </w:pBdr>
        <w:jc w:val="both"/>
        <w:rPr>
          <w:rFonts w:ascii="Arial" w:hAnsi="Arial" w:eastAsia="Arial" w:cs="Arial"/>
          <w:color w:val="000000"/>
        </w:rPr>
      </w:pPr>
      <w:r>
        <w:rPr>
          <w:rFonts w:ascii="Arial" w:hAnsi="Arial" w:eastAsia="Arial" w:cs="Arial"/>
          <w:b/>
          <w:color w:val="000000"/>
        </w:rPr>
        <w:t>D)</w:t>
      </w:r>
      <w:r>
        <w:rPr>
          <w:rFonts w:ascii="Arial" w:hAnsi="Arial" w:eastAsia="Arial" w:cs="Arial"/>
          <w:color w:val="000000"/>
        </w:rPr>
        <w:t xml:space="preserve"> QUE O CONTEÚDO DA PROPOSTA APRESENTADA PARA PARTICIPAR DO </w:t>
      </w:r>
      <w:r>
        <w:rPr>
          <w:rFonts w:ascii="Arial" w:hAnsi="Arial" w:eastAsia="Arial" w:cs="Arial"/>
          <w:b/>
          <w:color w:val="000000"/>
        </w:rPr>
        <w:t>PREGÃO ELETRÔNICO Nº 0XX/2024 - SRP Nº 0XX/2024</w:t>
      </w:r>
      <w:r>
        <w:rPr>
          <w:rFonts w:ascii="Arial" w:hAnsi="Arial" w:eastAsia="Arial" w:cs="Arial"/>
          <w:color w:val="000000"/>
        </w:rPr>
        <w:t xml:space="preserve"> NÃO SERÁ, NO TODO OU EM PARTE, DIRETA OU INDIRETAMENTE, COMUNICADO OU DISCUTIDO COM QUALQUER OUTRO PARTICIPANTE POTENCIAL OU DE FATO DO </w:t>
      </w:r>
      <w:r>
        <w:rPr>
          <w:rFonts w:ascii="Arial" w:hAnsi="Arial" w:eastAsia="Arial" w:cs="Arial"/>
          <w:b/>
          <w:color w:val="000000"/>
        </w:rPr>
        <w:t xml:space="preserve">PREGÃO ELETRÔNICO Nº 0XX/2024 - SRP Nº XXX/2024 </w:t>
      </w:r>
      <w:r>
        <w:rPr>
          <w:rFonts w:ascii="Arial" w:hAnsi="Arial" w:eastAsia="Arial" w:cs="Arial"/>
          <w:color w:val="000000"/>
        </w:rPr>
        <w:t>ANTES DA ADJUDICAÇÃO DO OBJETO DA REFERIDA LICITAÇÃO;</w:t>
      </w:r>
    </w:p>
    <w:p w14:paraId="587138A6">
      <w:pPr>
        <w:pBdr>
          <w:top w:val="none" w:color="auto" w:sz="0" w:space="0"/>
          <w:left w:val="none" w:color="auto" w:sz="0" w:space="0"/>
          <w:bottom w:val="none" w:color="auto" w:sz="0" w:space="0"/>
          <w:right w:val="none" w:color="auto" w:sz="0" w:space="0"/>
          <w:between w:val="none" w:color="auto" w:sz="0" w:space="0"/>
        </w:pBdr>
        <w:ind w:left="709"/>
        <w:jc w:val="both"/>
        <w:rPr>
          <w:rFonts w:ascii="Arial" w:hAnsi="Arial" w:eastAsia="Arial" w:cs="Arial"/>
          <w:color w:val="000000"/>
        </w:rPr>
      </w:pPr>
    </w:p>
    <w:p w14:paraId="0A97258E">
      <w:pPr>
        <w:pBdr>
          <w:top w:val="none" w:color="auto" w:sz="0" w:space="0"/>
          <w:left w:val="none" w:color="auto" w:sz="0" w:space="0"/>
          <w:bottom w:val="none" w:color="auto" w:sz="0" w:space="0"/>
          <w:right w:val="none" w:color="auto" w:sz="0" w:space="0"/>
          <w:between w:val="none" w:color="auto" w:sz="0" w:space="0"/>
        </w:pBdr>
        <w:jc w:val="both"/>
        <w:rPr>
          <w:rFonts w:ascii="Arial" w:hAnsi="Arial" w:eastAsia="Arial" w:cs="Arial"/>
          <w:color w:val="000000"/>
        </w:rPr>
      </w:pPr>
      <w:r>
        <w:rPr>
          <w:rFonts w:ascii="Arial" w:hAnsi="Arial" w:eastAsia="Arial" w:cs="Arial"/>
          <w:b/>
          <w:color w:val="000000"/>
        </w:rPr>
        <w:t>E)</w:t>
      </w:r>
      <w:r>
        <w:rPr>
          <w:rFonts w:ascii="Arial" w:hAnsi="Arial" w:eastAsia="Arial" w:cs="Arial"/>
          <w:color w:val="000000"/>
        </w:rPr>
        <w:t xml:space="preserve"> QUE O CONTEÚDO DA PROPOSTA APRESENTADA PARA PARTICIPAR DO </w:t>
      </w:r>
      <w:r>
        <w:rPr>
          <w:rFonts w:ascii="Arial" w:hAnsi="Arial" w:eastAsia="Arial" w:cs="Arial"/>
          <w:b/>
          <w:color w:val="000000"/>
        </w:rPr>
        <w:t xml:space="preserve">PREGÃO ELETRÔNICO Nº XXX/2024 - SRP XXX/2024 </w:t>
      </w:r>
      <w:r>
        <w:rPr>
          <w:rFonts w:ascii="Arial" w:hAnsi="Arial" w:eastAsia="Arial" w:cs="Arial"/>
          <w:color w:val="000000"/>
        </w:rPr>
        <w:t xml:space="preserve">NÃO FOI, NO TODO OU EM PARTE, DIRETA OU INDIRETAMENTE, INFORMADO, DISCUTIDO OU RECEBIDO DE QUALQUER INTEGRANTE DO MUNICÍPIO DE JATOBÁ/PE, ANTES DA ABERTURA OFICIAL DAS PROPOSTAS; E </w:t>
      </w:r>
    </w:p>
    <w:p w14:paraId="6388659E">
      <w:pPr>
        <w:pBdr>
          <w:top w:val="none" w:color="auto" w:sz="0" w:space="0"/>
          <w:left w:val="none" w:color="auto" w:sz="0" w:space="0"/>
          <w:bottom w:val="none" w:color="auto" w:sz="0" w:space="0"/>
          <w:right w:val="none" w:color="auto" w:sz="0" w:space="0"/>
          <w:between w:val="none" w:color="auto" w:sz="0" w:space="0"/>
        </w:pBdr>
        <w:ind w:left="709"/>
        <w:jc w:val="both"/>
        <w:rPr>
          <w:rFonts w:ascii="Arial" w:hAnsi="Arial" w:eastAsia="Arial" w:cs="Arial"/>
          <w:color w:val="000000"/>
        </w:rPr>
      </w:pPr>
    </w:p>
    <w:p w14:paraId="02AF3E9C">
      <w:pPr>
        <w:pBdr>
          <w:top w:val="none" w:color="auto" w:sz="0" w:space="0"/>
          <w:left w:val="none" w:color="auto" w:sz="0" w:space="0"/>
          <w:bottom w:val="none" w:color="auto" w:sz="0" w:space="0"/>
          <w:right w:val="none" w:color="auto" w:sz="0" w:space="0"/>
          <w:between w:val="none" w:color="auto" w:sz="0" w:space="0"/>
        </w:pBdr>
        <w:jc w:val="both"/>
        <w:rPr>
          <w:rFonts w:ascii="Arial" w:hAnsi="Arial" w:eastAsia="Arial" w:cs="Arial"/>
          <w:color w:val="000000"/>
        </w:rPr>
      </w:pPr>
      <w:r>
        <w:rPr>
          <w:rFonts w:ascii="Arial" w:hAnsi="Arial" w:eastAsia="Arial" w:cs="Arial"/>
          <w:b/>
          <w:color w:val="000000"/>
        </w:rPr>
        <w:t>F)</w:t>
      </w:r>
      <w:r>
        <w:rPr>
          <w:rFonts w:ascii="Arial" w:hAnsi="Arial" w:eastAsia="Arial" w:cs="Arial"/>
          <w:color w:val="000000"/>
        </w:rPr>
        <w:t xml:space="preserve"> QUE ESTÁ PLENAMENTE CIENTE DO TEOR E DA EXTENSÃO DESTA DECLARAÇÃO E QUE DETÉM PLENOS PODERES E INFORMAÇÕES PARA FIRMÁ-LA.</w:t>
      </w:r>
    </w:p>
    <w:p w14:paraId="1801A2D8">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rPr>
      </w:pPr>
    </w:p>
    <w:p w14:paraId="11D0E67B">
      <w:pPr>
        <w:jc w:val="center"/>
        <w:rPr>
          <w:rFonts w:ascii="Arial" w:hAnsi="Arial" w:eastAsia="Arial" w:cs="Arial"/>
        </w:rPr>
      </w:pPr>
      <w:r>
        <w:rPr>
          <w:rFonts w:ascii="Arial" w:hAnsi="Arial" w:eastAsia="Arial" w:cs="Arial"/>
        </w:rPr>
        <w:t>JATOBÁ, ..... DE ..........   DE 2024.</w:t>
      </w:r>
    </w:p>
    <w:p w14:paraId="1626B508">
      <w:pPr>
        <w:jc w:val="center"/>
        <w:rPr>
          <w:rFonts w:ascii="Arial" w:hAnsi="Arial" w:eastAsia="Arial" w:cs="Arial"/>
        </w:rPr>
      </w:pPr>
      <w:r>
        <w:rPr>
          <w:rFonts w:ascii="Arial" w:hAnsi="Arial" w:eastAsia="Arial" w:cs="Arial"/>
        </w:rPr>
        <w:t>REPRESENTANTE LEGAL.</w:t>
      </w:r>
    </w:p>
    <w:p w14:paraId="65FBBE28">
      <w:pPr>
        <w:jc w:val="center"/>
        <w:rPr>
          <w:rFonts w:ascii="Arial" w:hAnsi="Arial" w:eastAsia="Arial" w:cs="Arial"/>
        </w:rPr>
      </w:pPr>
    </w:p>
    <w:p w14:paraId="05BB04F6">
      <w:pPr>
        <w:jc w:val="center"/>
        <w:rPr>
          <w:rFonts w:ascii="Arial" w:hAnsi="Arial" w:eastAsia="Arial" w:cs="Arial"/>
        </w:rPr>
      </w:pPr>
    </w:p>
    <w:p w14:paraId="72BA1194">
      <w:pPr>
        <w:jc w:val="center"/>
        <w:rPr>
          <w:rFonts w:ascii="Arial" w:hAnsi="Arial" w:eastAsia="Arial" w:cs="Arial"/>
        </w:rPr>
      </w:pPr>
    </w:p>
    <w:p w14:paraId="67414E27">
      <w:pPr>
        <w:jc w:val="center"/>
        <w:rPr>
          <w:rFonts w:ascii="Arial" w:hAnsi="Arial" w:eastAsia="Arial" w:cs="Arial"/>
        </w:rPr>
      </w:pPr>
    </w:p>
    <w:p w14:paraId="4F6023E1">
      <w:pPr>
        <w:jc w:val="center"/>
        <w:rPr>
          <w:rFonts w:ascii="Arial" w:hAnsi="Arial" w:eastAsia="Arial" w:cs="Arial"/>
        </w:rPr>
      </w:pPr>
    </w:p>
    <w:p w14:paraId="364D564A">
      <w:pPr>
        <w:jc w:val="center"/>
        <w:rPr>
          <w:rFonts w:ascii="Arial" w:hAnsi="Arial" w:eastAsia="Arial" w:cs="Arial"/>
        </w:rPr>
      </w:pPr>
    </w:p>
    <w:p w14:paraId="4FF42FC5">
      <w:pPr>
        <w:jc w:val="center"/>
        <w:rPr>
          <w:rFonts w:ascii="Arial" w:hAnsi="Arial" w:eastAsia="Arial" w:cs="Arial"/>
        </w:rPr>
      </w:pPr>
    </w:p>
    <w:p w14:paraId="65D97F11">
      <w:pPr>
        <w:jc w:val="center"/>
        <w:rPr>
          <w:rFonts w:ascii="Arial" w:hAnsi="Arial" w:eastAsia="Arial" w:cs="Arial"/>
        </w:rPr>
      </w:pPr>
    </w:p>
    <w:p w14:paraId="63EC9B98">
      <w:pPr>
        <w:jc w:val="center"/>
        <w:rPr>
          <w:rFonts w:ascii="Arial" w:hAnsi="Arial" w:eastAsia="Arial" w:cs="Arial"/>
        </w:rPr>
      </w:pPr>
    </w:p>
    <w:p w14:paraId="071A100E">
      <w:pPr>
        <w:jc w:val="center"/>
        <w:rPr>
          <w:rFonts w:ascii="Arial" w:hAnsi="Arial" w:eastAsia="Arial" w:cs="Arial"/>
        </w:rPr>
      </w:pPr>
    </w:p>
    <w:p w14:paraId="0DE6A9E7">
      <w:pPr>
        <w:jc w:val="center"/>
        <w:rPr>
          <w:rFonts w:ascii="Arial" w:hAnsi="Arial" w:eastAsia="Arial" w:cs="Arial"/>
        </w:rPr>
      </w:pPr>
    </w:p>
    <w:p w14:paraId="6510BAF6">
      <w:pPr>
        <w:jc w:val="center"/>
        <w:rPr>
          <w:rFonts w:ascii="Arial" w:hAnsi="Arial" w:eastAsia="Arial" w:cs="Arial"/>
        </w:rPr>
      </w:pPr>
    </w:p>
    <w:p w14:paraId="4DE16A79">
      <w:pPr>
        <w:jc w:val="center"/>
        <w:rPr>
          <w:rFonts w:ascii="Arial" w:hAnsi="Arial" w:eastAsia="Arial" w:cs="Arial"/>
        </w:rPr>
      </w:pPr>
    </w:p>
    <w:p w14:paraId="5BBE8E81">
      <w:pPr>
        <w:jc w:val="center"/>
        <w:rPr>
          <w:rFonts w:ascii="Arial" w:hAnsi="Arial" w:eastAsia="Arial" w:cs="Arial"/>
        </w:rPr>
      </w:pPr>
    </w:p>
    <w:p w14:paraId="386DCFF1">
      <w:pPr>
        <w:jc w:val="center"/>
        <w:rPr>
          <w:rFonts w:ascii="Arial" w:hAnsi="Arial" w:eastAsia="Arial" w:cs="Arial"/>
        </w:rPr>
      </w:pPr>
    </w:p>
    <w:p w14:paraId="67CF2BA9">
      <w:pPr>
        <w:jc w:val="center"/>
        <w:rPr>
          <w:rFonts w:ascii="Arial" w:hAnsi="Arial" w:eastAsia="Arial" w:cs="Arial"/>
        </w:rPr>
      </w:pPr>
    </w:p>
    <w:p w14:paraId="11CAEDCE">
      <w:pPr>
        <w:pBdr>
          <w:top w:val="single" w:color="000000" w:sz="4" w:space="1"/>
          <w:left w:val="none" w:color="auto" w:sz="0" w:space="0"/>
          <w:bottom w:val="single" w:color="000000" w:sz="4" w:space="1"/>
          <w:right w:val="none" w:color="auto" w:sz="0" w:space="0"/>
          <w:between w:val="none" w:color="auto" w:sz="0" w:space="0"/>
        </w:pBdr>
        <w:shd w:val="clear" w:color="auto" w:fill="D9D9D9"/>
        <w:jc w:val="both"/>
        <w:rPr>
          <w:rFonts w:ascii="Arial" w:hAnsi="Arial" w:eastAsia="Arial" w:cs="Arial"/>
          <w:b/>
          <w:color w:val="000000"/>
        </w:rPr>
      </w:pPr>
      <w:r>
        <w:rPr>
          <w:rFonts w:ascii="Arial" w:hAnsi="Arial" w:eastAsia="Arial" w:cs="Arial"/>
          <w:b/>
          <w:color w:val="000000"/>
        </w:rPr>
        <w:t>ANEXO VI – DECLARAÇÃO DO PORTE DA EMPRESA (MICROEMPRESA OU EMPRESA DE PEQUENO PORTE)</w:t>
      </w:r>
    </w:p>
    <w:p w14:paraId="3111B188">
      <w:pPr>
        <w:jc w:val="both"/>
        <w:rPr>
          <w:rFonts w:ascii="Arial" w:hAnsi="Arial" w:eastAsia="Arial" w:cs="Arial"/>
        </w:rPr>
      </w:pPr>
    </w:p>
    <w:p w14:paraId="0ED48301">
      <w:pPr>
        <w:jc w:val="both"/>
        <w:rPr>
          <w:rFonts w:ascii="Arial" w:hAnsi="Arial" w:eastAsia="Arial" w:cs="Arial"/>
          <w:b/>
        </w:rPr>
      </w:pPr>
      <w:r>
        <w:rPr>
          <w:rFonts w:ascii="Arial" w:hAnsi="Arial" w:eastAsia="Arial" w:cs="Arial"/>
          <w:b/>
        </w:rPr>
        <w:t>PROCESSO LICITATÓRIO Nº XX/2024</w:t>
      </w:r>
    </w:p>
    <w:p w14:paraId="09B2739D">
      <w:pPr>
        <w:jc w:val="both"/>
        <w:rPr>
          <w:rFonts w:ascii="Arial" w:hAnsi="Arial" w:eastAsia="Arial" w:cs="Arial"/>
          <w:b/>
        </w:rPr>
      </w:pPr>
      <w:r>
        <w:rPr>
          <w:rFonts w:ascii="Arial" w:hAnsi="Arial" w:eastAsia="Arial" w:cs="Arial"/>
          <w:b/>
        </w:rPr>
        <w:t>PREGÃO ELETRÔNICO Nº 00X/2024 - SRP Nº 00X/2024</w:t>
      </w:r>
    </w:p>
    <w:p w14:paraId="1E0A14FF">
      <w:pPr>
        <w:widowControl w:val="0"/>
        <w:jc w:val="both"/>
        <w:rPr>
          <w:rFonts w:ascii="Arial" w:hAnsi="Arial" w:eastAsia="Arial" w:cs="Arial"/>
          <w:b/>
        </w:rPr>
      </w:pPr>
    </w:p>
    <w:p w14:paraId="03D42EA4">
      <w:pPr>
        <w:widowControl w:val="0"/>
        <w:jc w:val="both"/>
        <w:rPr>
          <w:rFonts w:ascii="Arial" w:hAnsi="Arial" w:eastAsia="Arial" w:cs="Arial"/>
        </w:rPr>
      </w:pPr>
      <w:r>
        <w:rPr>
          <w:rFonts w:ascii="Arial" w:hAnsi="Arial" w:eastAsia="Arial" w:cs="Arial"/>
          <w:b/>
        </w:rPr>
        <w:t>[NOME DA EMPRESA]</w:t>
      </w:r>
      <w:r>
        <w:rPr>
          <w:rFonts w:ascii="Arial" w:hAnsi="Arial" w:eastAsia="Arial" w:cs="Arial"/>
        </w:rPr>
        <w:t xml:space="preserve">, [QUALIFICAÇÃO: TIPO DE SOCIEDADE (LTDA, S.A, ETC.), ENDEREÇO COMPLETO, INSCRITA NO CNPJ SOB O Nº [XXXX], NESTE ATO REPRESENTADA PELO [CARGO] [NOME DO REPRESENTANTE LEGAL], PORTADOR DA CARTEIRA DE IDENTIDADE Nº [XXXX], INSCRITO NO CPF SOB O Nº [XXXX], </w:t>
      </w:r>
      <w:r>
        <w:rPr>
          <w:rFonts w:ascii="Arial" w:hAnsi="Arial" w:eastAsia="Arial" w:cs="Arial"/>
          <w:b/>
        </w:rPr>
        <w:t>DECLARA</w:t>
      </w:r>
      <w:r>
        <w:rPr>
          <w:rFonts w:ascii="Arial" w:hAnsi="Arial" w:eastAsia="Arial" w:cs="Arial"/>
        </w:rPr>
        <w:t>, SOB AS PENALIDADES DA LEI, QUE SE ENQUADRA COMO MICROEMPRESA OU EMPRESA DE PEQUENO PORTE, NOS TERMOS DO ART. 3º DA LEI COMPLEMENTAR Nº 123 DE 14 DE DEZEMBRO DE 2006, ESTANDO APTA A FRUIR OS BENEFÍCIOS E VANTAGENS LEGALMENTE INSTITUÍDAS POR NÃO SE ENQUADRAR EM NENHUMA DAS VEDAÇÕES LEGAIS IMPOSTAS PELO § 4º DO ART. 3º DA LEI COMPLEMENTAR Nº 123 DE 14 DE DEZEMBRO DE 2006.</w:t>
      </w:r>
    </w:p>
    <w:p w14:paraId="7E0DFF4C">
      <w:pPr>
        <w:widowControl w:val="0"/>
        <w:jc w:val="both"/>
        <w:rPr>
          <w:rFonts w:ascii="Arial" w:hAnsi="Arial" w:eastAsia="Arial" w:cs="Arial"/>
        </w:rPr>
      </w:pPr>
      <w:r>
        <w:rPr>
          <w:rFonts w:ascii="Arial" w:hAnsi="Arial" w:eastAsia="Arial" w:cs="Arial"/>
        </w:rPr>
        <w:t>DECLARO, PARA FINS DA LC 123/2006 E SUAS ALTERAÇÕES, SOB AS PENALIDADES DESTA, SER:</w:t>
      </w:r>
    </w:p>
    <w:p w14:paraId="7A080FE0">
      <w:pPr>
        <w:jc w:val="both"/>
        <w:rPr>
          <w:rFonts w:ascii="Arial" w:hAnsi="Arial" w:eastAsia="Arial" w:cs="Arial"/>
          <w:b/>
        </w:rPr>
      </w:pPr>
    </w:p>
    <w:p w14:paraId="2255FB97">
      <w:pPr>
        <w:jc w:val="both"/>
        <w:rPr>
          <w:rFonts w:ascii="Arial" w:hAnsi="Arial" w:eastAsia="Arial" w:cs="Arial"/>
        </w:rPr>
      </w:pPr>
      <w:r>
        <w:rPr>
          <w:rFonts w:ascii="Arial" w:hAnsi="Arial" w:eastAsia="Arial" w:cs="Arial"/>
          <w:b/>
        </w:rPr>
        <w:t>(  ) MICROEMPRESA</w:t>
      </w:r>
      <w:r>
        <w:rPr>
          <w:rFonts w:ascii="Arial" w:hAnsi="Arial" w:eastAsia="Arial" w:cs="Arial"/>
        </w:rPr>
        <w:t xml:space="preserve"> – RECEITA BRUTA ANUAL IGUAL OU INFERIOR A  360.000,00 E ESTANDO APTA A FRUIR OS BENEFÍCIOS E VANTAGENS LEGALMENTE INSTITUÍDAS POR NÃO SE ENQUADRAR EM NENHUMA DAS VEDAÇÕES LEGAIS IMPOSTAS PELO § 4º DO ART. 3º DA LEI COMPLEMENTAR Nº 123/06 ALTERADA PELA LC 147/2014.</w:t>
      </w:r>
    </w:p>
    <w:p w14:paraId="57A18308">
      <w:pPr>
        <w:jc w:val="both"/>
        <w:rPr>
          <w:rFonts w:ascii="Arial" w:hAnsi="Arial" w:eastAsia="Arial" w:cs="Arial"/>
          <w:b/>
        </w:rPr>
      </w:pPr>
    </w:p>
    <w:p w14:paraId="6A2CA611">
      <w:pPr>
        <w:jc w:val="both"/>
        <w:rPr>
          <w:rFonts w:ascii="Arial" w:hAnsi="Arial" w:eastAsia="Arial" w:cs="Arial"/>
        </w:rPr>
      </w:pPr>
      <w:r>
        <w:rPr>
          <w:rFonts w:ascii="Arial" w:hAnsi="Arial" w:eastAsia="Arial" w:cs="Arial"/>
          <w:b/>
        </w:rPr>
        <w:t xml:space="preserve">(  ) EMPRESA DE PEQUENO PORTE </w:t>
      </w:r>
      <w:r>
        <w:rPr>
          <w:rFonts w:ascii="Arial" w:hAnsi="Arial" w:eastAsia="Arial" w:cs="Arial"/>
        </w:rPr>
        <w:t>– RECEITA BRUTA ANUAL SUPERIOR A  360.000,00 E IGUAL OU INFERIOR A  4.800.000,00 VALORES , ESTANDO APTA A FRUIR OS BENEFÍCIOS E VANTAGENS LEGALMENTE INSTITUÍDAS POR NÃO SE ENQUADRAR EM NENHUMA DAS VEDAÇÕES LEGAIS IMPOSTAS PELO § 4º DO ART. 3º DA LEI COMPLEMENTAR Nº 123/06 ALTERADA PELA LC 147/2014.</w:t>
      </w:r>
    </w:p>
    <w:p w14:paraId="4DEBC40D">
      <w:pPr>
        <w:jc w:val="both"/>
        <w:rPr>
          <w:rFonts w:ascii="Arial" w:hAnsi="Arial" w:eastAsia="Arial" w:cs="Arial"/>
          <w:b/>
        </w:rPr>
      </w:pPr>
    </w:p>
    <w:p w14:paraId="68CCF372">
      <w:pPr>
        <w:jc w:val="both"/>
        <w:rPr>
          <w:rFonts w:ascii="Arial" w:hAnsi="Arial" w:eastAsia="Arial" w:cs="Arial"/>
          <w:b/>
        </w:rPr>
      </w:pPr>
      <w:r>
        <w:rPr>
          <w:rFonts w:ascii="Arial" w:hAnsi="Arial" w:eastAsia="Arial" w:cs="Arial"/>
          <w:b/>
        </w:rPr>
        <w:t>OBSERVAÇÕES:</w:t>
      </w:r>
    </w:p>
    <w:p w14:paraId="19A45C9E">
      <w:pPr>
        <w:jc w:val="both"/>
        <w:rPr>
          <w:rFonts w:ascii="Arial" w:hAnsi="Arial" w:eastAsia="Arial" w:cs="Arial"/>
          <w:b/>
        </w:rPr>
      </w:pPr>
    </w:p>
    <w:p w14:paraId="5181EB12">
      <w:pPr>
        <w:numPr>
          <w:ilvl w:val="0"/>
          <w:numId w:val="16"/>
        </w:numPr>
        <w:pBdr>
          <w:top w:val="none" w:color="auto" w:sz="0" w:space="0"/>
          <w:left w:val="none" w:color="auto" w:sz="0" w:space="0"/>
          <w:bottom w:val="none" w:color="auto" w:sz="0" w:space="0"/>
          <w:right w:val="none" w:color="auto" w:sz="0" w:space="0"/>
          <w:between w:val="none" w:color="auto" w:sz="0" w:space="0"/>
        </w:pBdr>
        <w:tabs>
          <w:tab w:val="left" w:pos="284"/>
        </w:tabs>
        <w:spacing w:after="0" w:line="240" w:lineRule="auto"/>
        <w:ind w:left="0" w:firstLine="0"/>
        <w:jc w:val="both"/>
        <w:rPr>
          <w:rFonts w:ascii="Arial" w:hAnsi="Arial" w:eastAsia="Arial" w:cs="Arial"/>
          <w:color w:val="000000"/>
        </w:rPr>
      </w:pPr>
      <w:r>
        <w:rPr>
          <w:rFonts w:ascii="Arial" w:hAnsi="Arial" w:eastAsia="Arial" w:cs="Arial"/>
          <w:color w:val="000000"/>
        </w:rPr>
        <w:t>ESTA DECLARAÇÃO PODERÁ SER PREENCHIDA SOMENTE PELA LICITANTE ENQUADRADA COMO ME OU EPP, NOS TERMOS DA LC 123, DE 14 DE DEZEMBRO DE 2006;</w:t>
      </w:r>
    </w:p>
    <w:p w14:paraId="0023EAEF">
      <w:pPr>
        <w:pBdr>
          <w:top w:val="none" w:color="auto" w:sz="0" w:space="0"/>
          <w:left w:val="none" w:color="auto" w:sz="0" w:space="0"/>
          <w:bottom w:val="none" w:color="auto" w:sz="0" w:space="0"/>
          <w:right w:val="none" w:color="auto" w:sz="0" w:space="0"/>
          <w:between w:val="none" w:color="auto" w:sz="0" w:space="0"/>
        </w:pBdr>
        <w:tabs>
          <w:tab w:val="left" w:pos="284"/>
        </w:tabs>
        <w:jc w:val="both"/>
        <w:rPr>
          <w:rFonts w:ascii="Arial" w:hAnsi="Arial" w:eastAsia="Arial" w:cs="Arial"/>
          <w:color w:val="000000"/>
        </w:rPr>
      </w:pPr>
    </w:p>
    <w:p w14:paraId="7CF87AAF">
      <w:pPr>
        <w:numPr>
          <w:ilvl w:val="0"/>
          <w:numId w:val="16"/>
        </w:numPr>
        <w:pBdr>
          <w:top w:val="none" w:color="auto" w:sz="0" w:space="0"/>
          <w:left w:val="none" w:color="auto" w:sz="0" w:space="0"/>
          <w:bottom w:val="none" w:color="auto" w:sz="0" w:space="0"/>
          <w:right w:val="none" w:color="auto" w:sz="0" w:space="0"/>
          <w:between w:val="none" w:color="auto" w:sz="0" w:space="0"/>
        </w:pBdr>
        <w:tabs>
          <w:tab w:val="left" w:pos="284"/>
        </w:tabs>
        <w:spacing w:after="0" w:line="240" w:lineRule="auto"/>
        <w:ind w:left="0" w:firstLine="0"/>
        <w:jc w:val="both"/>
        <w:rPr>
          <w:rFonts w:ascii="Arial" w:hAnsi="Arial" w:eastAsia="Arial" w:cs="Arial"/>
          <w:color w:val="000000"/>
        </w:rPr>
      </w:pPr>
      <w:r>
        <w:rPr>
          <w:rFonts w:ascii="Arial" w:hAnsi="Arial" w:eastAsia="Arial" w:cs="Arial"/>
          <w:color w:val="000000"/>
        </w:rPr>
        <w:t xml:space="preserve">A NÃO APRESENTAÇÃO DESTA DECLARAÇÃO SERÁ INTERPRETADA COMO NÃO ENQUADRAMENTO DA LICITANTE COMO ME OU EPP, NOS TERMOS DA LC Nº 123/2006, OU A OPÇÃO PELA NÃO UTILIZAÇÃO DO DIREITO DE TRATAMENTO DIFERENCIADO. </w:t>
      </w:r>
    </w:p>
    <w:p w14:paraId="63877DB1">
      <w:pPr>
        <w:pBdr>
          <w:top w:val="none" w:color="auto" w:sz="0" w:space="0"/>
          <w:left w:val="none" w:color="auto" w:sz="0" w:space="0"/>
          <w:bottom w:val="none" w:color="auto" w:sz="0" w:space="0"/>
          <w:right w:val="none" w:color="auto" w:sz="0" w:space="0"/>
          <w:between w:val="none" w:color="auto" w:sz="0" w:space="0"/>
        </w:pBdr>
        <w:tabs>
          <w:tab w:val="left" w:pos="284"/>
        </w:tabs>
        <w:jc w:val="both"/>
        <w:rPr>
          <w:rFonts w:ascii="Arial" w:hAnsi="Arial" w:eastAsia="Arial" w:cs="Arial"/>
          <w:color w:val="000000"/>
        </w:rPr>
      </w:pPr>
    </w:p>
    <w:p w14:paraId="5FEDC9BD">
      <w:pPr>
        <w:pBdr>
          <w:top w:val="none" w:color="auto" w:sz="0" w:space="0"/>
          <w:left w:val="none" w:color="auto" w:sz="0" w:space="0"/>
          <w:bottom w:val="none" w:color="auto" w:sz="0" w:space="0"/>
          <w:right w:val="none" w:color="auto" w:sz="0" w:space="0"/>
          <w:between w:val="none" w:color="auto" w:sz="0" w:space="0"/>
        </w:pBdr>
        <w:tabs>
          <w:tab w:val="left" w:pos="284"/>
        </w:tabs>
        <w:jc w:val="both"/>
        <w:rPr>
          <w:rFonts w:ascii="Arial" w:hAnsi="Arial" w:eastAsia="Arial" w:cs="Arial"/>
          <w:color w:val="000000"/>
        </w:rPr>
      </w:pPr>
    </w:p>
    <w:p w14:paraId="40613AB7">
      <w:pPr>
        <w:pBdr>
          <w:top w:val="none" w:color="auto" w:sz="0" w:space="0"/>
          <w:left w:val="none" w:color="auto" w:sz="0" w:space="0"/>
          <w:bottom w:val="none" w:color="auto" w:sz="0" w:space="0"/>
          <w:right w:val="none" w:color="auto" w:sz="0" w:space="0"/>
          <w:between w:val="none" w:color="auto" w:sz="0" w:space="0"/>
        </w:pBdr>
        <w:tabs>
          <w:tab w:val="left" w:pos="284"/>
        </w:tabs>
        <w:jc w:val="both"/>
        <w:rPr>
          <w:rFonts w:ascii="Arial" w:hAnsi="Arial" w:eastAsia="Arial" w:cs="Arial"/>
          <w:color w:val="000000"/>
        </w:rPr>
      </w:pPr>
    </w:p>
    <w:p w14:paraId="6D165D43">
      <w:pPr>
        <w:pBdr>
          <w:top w:val="none" w:color="auto" w:sz="0" w:space="0"/>
          <w:left w:val="none" w:color="auto" w:sz="0" w:space="0"/>
          <w:bottom w:val="none" w:color="auto" w:sz="0" w:space="0"/>
          <w:right w:val="none" w:color="auto" w:sz="0" w:space="0"/>
          <w:between w:val="none" w:color="auto" w:sz="0" w:space="0"/>
        </w:pBdr>
        <w:tabs>
          <w:tab w:val="left" w:pos="284"/>
        </w:tabs>
        <w:jc w:val="both"/>
        <w:rPr>
          <w:rFonts w:ascii="Arial" w:hAnsi="Arial" w:eastAsia="Arial" w:cs="Arial"/>
          <w:color w:val="000000"/>
        </w:rPr>
      </w:pPr>
    </w:p>
    <w:p w14:paraId="0E04CAEE">
      <w:pPr>
        <w:pBdr>
          <w:top w:val="none" w:color="auto" w:sz="0" w:space="0"/>
          <w:left w:val="none" w:color="auto" w:sz="0" w:space="0"/>
          <w:bottom w:val="none" w:color="auto" w:sz="0" w:space="0"/>
          <w:right w:val="none" w:color="auto" w:sz="0" w:space="0"/>
          <w:between w:val="none" w:color="auto" w:sz="0" w:space="0"/>
        </w:pBdr>
        <w:tabs>
          <w:tab w:val="left" w:pos="284"/>
        </w:tabs>
        <w:jc w:val="both"/>
        <w:rPr>
          <w:rFonts w:ascii="Arial" w:hAnsi="Arial" w:eastAsia="Arial" w:cs="Arial"/>
          <w:color w:val="000000"/>
        </w:rPr>
      </w:pPr>
    </w:p>
    <w:p w14:paraId="68E9BC0A">
      <w:pPr>
        <w:pBdr>
          <w:top w:val="none" w:color="auto" w:sz="0" w:space="0"/>
          <w:left w:val="none" w:color="auto" w:sz="0" w:space="0"/>
          <w:bottom w:val="none" w:color="auto" w:sz="0" w:space="0"/>
          <w:right w:val="none" w:color="auto" w:sz="0" w:space="0"/>
          <w:between w:val="none" w:color="auto" w:sz="0" w:space="0"/>
        </w:pBdr>
        <w:tabs>
          <w:tab w:val="left" w:pos="284"/>
        </w:tabs>
        <w:jc w:val="both"/>
        <w:rPr>
          <w:rFonts w:ascii="Arial" w:hAnsi="Arial" w:eastAsia="Arial" w:cs="Arial"/>
          <w:color w:val="000000"/>
        </w:rPr>
      </w:pPr>
    </w:p>
    <w:p w14:paraId="69DFB295">
      <w:pPr>
        <w:pBdr>
          <w:top w:val="none" w:color="auto" w:sz="0" w:space="0"/>
          <w:left w:val="none" w:color="auto" w:sz="0" w:space="0"/>
          <w:bottom w:val="none" w:color="auto" w:sz="0" w:space="0"/>
          <w:right w:val="none" w:color="auto" w:sz="0" w:space="0"/>
          <w:between w:val="none" w:color="auto" w:sz="0" w:space="0"/>
        </w:pBdr>
        <w:tabs>
          <w:tab w:val="left" w:pos="284"/>
        </w:tabs>
        <w:jc w:val="both"/>
        <w:rPr>
          <w:rFonts w:ascii="Arial" w:hAnsi="Arial" w:eastAsia="Arial" w:cs="Arial"/>
          <w:color w:val="000000"/>
        </w:rPr>
      </w:pPr>
    </w:p>
    <w:p w14:paraId="45D2EDFF">
      <w:pPr>
        <w:pBdr>
          <w:top w:val="none" w:color="auto" w:sz="0" w:space="0"/>
          <w:left w:val="none" w:color="auto" w:sz="0" w:space="0"/>
          <w:bottom w:val="none" w:color="auto" w:sz="0" w:space="0"/>
          <w:right w:val="none" w:color="auto" w:sz="0" w:space="0"/>
          <w:between w:val="none" w:color="auto" w:sz="0" w:space="0"/>
        </w:pBdr>
        <w:tabs>
          <w:tab w:val="left" w:pos="284"/>
        </w:tabs>
        <w:jc w:val="both"/>
        <w:rPr>
          <w:rFonts w:ascii="Arial" w:hAnsi="Arial" w:eastAsia="Arial" w:cs="Arial"/>
          <w:color w:val="000000"/>
        </w:rPr>
      </w:pPr>
    </w:p>
    <w:p w14:paraId="480130BE">
      <w:pPr>
        <w:widowControl w:val="0"/>
        <w:jc w:val="center"/>
        <w:rPr>
          <w:rFonts w:ascii="Arial" w:hAnsi="Arial" w:eastAsia="Arial" w:cs="Arial"/>
        </w:rPr>
      </w:pPr>
    </w:p>
    <w:p w14:paraId="70B7D272">
      <w:pPr>
        <w:widowControl w:val="0"/>
        <w:jc w:val="center"/>
        <w:rPr>
          <w:rFonts w:ascii="Arial" w:hAnsi="Arial" w:eastAsia="Arial" w:cs="Arial"/>
        </w:rPr>
      </w:pPr>
    </w:p>
    <w:p w14:paraId="57114F0E">
      <w:pPr>
        <w:widowControl w:val="0"/>
        <w:jc w:val="center"/>
        <w:rPr>
          <w:rFonts w:ascii="Arial" w:hAnsi="Arial" w:eastAsia="Arial" w:cs="Arial"/>
        </w:rPr>
      </w:pPr>
      <w:r>
        <w:rPr>
          <w:rFonts w:ascii="Arial" w:hAnsi="Arial" w:eastAsia="Arial" w:cs="Arial"/>
        </w:rPr>
        <w:t>LOCAL E DATA</w:t>
      </w:r>
    </w:p>
    <w:p w14:paraId="4E12BECD">
      <w:pPr>
        <w:widowControl w:val="0"/>
        <w:jc w:val="center"/>
        <w:rPr>
          <w:rFonts w:ascii="Arial" w:hAnsi="Arial" w:eastAsia="Arial" w:cs="Arial"/>
        </w:rPr>
      </w:pPr>
    </w:p>
    <w:p w14:paraId="402E9BD5">
      <w:pPr>
        <w:widowControl w:val="0"/>
        <w:jc w:val="center"/>
        <w:rPr>
          <w:rFonts w:ascii="Arial" w:hAnsi="Arial" w:eastAsia="Arial" w:cs="Arial"/>
        </w:rPr>
      </w:pPr>
    </w:p>
    <w:p w14:paraId="571D20A8">
      <w:pPr>
        <w:widowControl w:val="0"/>
        <w:jc w:val="center"/>
        <w:rPr>
          <w:rFonts w:ascii="Arial" w:hAnsi="Arial" w:eastAsia="Arial" w:cs="Arial"/>
        </w:rPr>
      </w:pPr>
    </w:p>
    <w:p w14:paraId="137AA48D">
      <w:pPr>
        <w:widowControl w:val="0"/>
        <w:jc w:val="center"/>
        <w:rPr>
          <w:rFonts w:ascii="Arial" w:hAnsi="Arial" w:eastAsia="Arial" w:cs="Arial"/>
        </w:rPr>
      </w:pPr>
      <w:r>
        <w:rPr>
          <w:rFonts w:ascii="Arial" w:hAnsi="Arial" w:eastAsia="Arial" w:cs="Arial"/>
        </w:rPr>
        <w:t>NOME E ASSINATURA DO REPRESENTANTE LEGAL</w:t>
      </w:r>
    </w:p>
    <w:p w14:paraId="63076EB1">
      <w:pPr>
        <w:widowControl w:val="0"/>
        <w:jc w:val="center"/>
        <w:rPr>
          <w:rFonts w:ascii="Arial" w:hAnsi="Arial" w:eastAsia="Arial" w:cs="Arial"/>
        </w:rPr>
      </w:pPr>
    </w:p>
    <w:p w14:paraId="2F2E625B">
      <w:pPr>
        <w:widowControl w:val="0"/>
        <w:jc w:val="center"/>
        <w:rPr>
          <w:rFonts w:ascii="Arial" w:hAnsi="Arial" w:eastAsia="Arial" w:cs="Arial"/>
        </w:rPr>
      </w:pPr>
    </w:p>
    <w:p w14:paraId="217FFFAC">
      <w:pPr>
        <w:widowControl w:val="0"/>
        <w:jc w:val="center"/>
        <w:rPr>
          <w:rFonts w:ascii="Arial" w:hAnsi="Arial" w:eastAsia="Arial" w:cs="Arial"/>
        </w:rPr>
      </w:pPr>
    </w:p>
    <w:p w14:paraId="46802F51">
      <w:pPr>
        <w:widowControl w:val="0"/>
        <w:jc w:val="center"/>
        <w:rPr>
          <w:rFonts w:ascii="Arial" w:hAnsi="Arial" w:eastAsia="Arial" w:cs="Arial"/>
        </w:rPr>
      </w:pPr>
      <w:r>
        <w:rPr>
          <w:rFonts w:ascii="Arial" w:hAnsi="Arial" w:eastAsia="Arial" w:cs="Arial"/>
        </w:rPr>
        <w:t>NOME E ASSINATURA DO CONTADOR</w:t>
      </w:r>
    </w:p>
    <w:p w14:paraId="3EA41B5B">
      <w:pPr>
        <w:widowControl w:val="0"/>
        <w:jc w:val="center"/>
        <w:rPr>
          <w:rFonts w:ascii="Arial" w:hAnsi="Arial" w:eastAsia="Arial" w:cs="Arial"/>
        </w:rPr>
      </w:pPr>
      <w:r>
        <w:rPr>
          <w:rFonts w:ascii="Arial" w:hAnsi="Arial" w:eastAsia="Arial" w:cs="Arial"/>
        </w:rPr>
        <w:t>(NO CASO DE ME E EPP)</w:t>
      </w:r>
    </w:p>
    <w:p w14:paraId="38BA3F3C">
      <w:pPr>
        <w:widowControl w:val="0"/>
        <w:jc w:val="center"/>
        <w:rPr>
          <w:rFonts w:ascii="Arial" w:hAnsi="Arial" w:eastAsia="Arial" w:cs="Arial"/>
        </w:rPr>
      </w:pPr>
      <w:r>
        <w:rPr>
          <w:rFonts w:ascii="Arial" w:hAnsi="Arial" w:eastAsia="Arial" w:cs="Arial"/>
        </w:rPr>
        <w:t>CPF: XXX.XXX.XXX-XX</w:t>
      </w:r>
    </w:p>
    <w:p w14:paraId="5C18BE15">
      <w:pPr>
        <w:widowControl w:val="0"/>
        <w:jc w:val="center"/>
        <w:rPr>
          <w:rFonts w:ascii="Arial" w:hAnsi="Arial" w:eastAsia="Arial" w:cs="Arial"/>
        </w:rPr>
      </w:pPr>
      <w:r>
        <w:rPr>
          <w:rFonts w:ascii="Arial" w:hAnsi="Arial" w:eastAsia="Arial" w:cs="Arial"/>
        </w:rPr>
        <w:t>CRC: ______________</w:t>
      </w:r>
    </w:p>
    <w:p w14:paraId="3C410AF0">
      <w:pPr>
        <w:widowControl w:val="0"/>
        <w:jc w:val="both"/>
        <w:rPr>
          <w:rFonts w:ascii="Arial" w:hAnsi="Arial" w:eastAsia="Arial" w:cs="Arial"/>
        </w:rPr>
      </w:pPr>
    </w:p>
    <w:p w14:paraId="264D74D4">
      <w:pPr>
        <w:widowControl w:val="0"/>
        <w:jc w:val="both"/>
        <w:rPr>
          <w:rFonts w:ascii="Arial" w:hAnsi="Arial" w:eastAsia="Arial" w:cs="Arial"/>
        </w:rPr>
      </w:pPr>
    </w:p>
    <w:p w14:paraId="0487A21D">
      <w:pPr>
        <w:widowControl w:val="0"/>
        <w:jc w:val="both"/>
        <w:rPr>
          <w:rFonts w:ascii="Arial" w:hAnsi="Arial" w:eastAsia="Arial" w:cs="Arial"/>
        </w:rPr>
      </w:pPr>
    </w:p>
    <w:p w14:paraId="6262F5BE">
      <w:pPr>
        <w:widowControl w:val="0"/>
        <w:jc w:val="both"/>
        <w:rPr>
          <w:rFonts w:ascii="Arial" w:hAnsi="Arial" w:eastAsia="Arial" w:cs="Arial"/>
        </w:rPr>
      </w:pPr>
    </w:p>
    <w:p w14:paraId="097A779B">
      <w:pPr>
        <w:pBdr>
          <w:top w:val="single" w:color="000000" w:sz="4" w:space="0"/>
          <w:bottom w:val="single" w:color="000000" w:sz="4" w:space="1"/>
        </w:pBdr>
        <w:shd w:val="clear" w:color="auto" w:fill="D9D9D9"/>
        <w:jc w:val="center"/>
        <w:rPr>
          <w:rFonts w:ascii="Arial" w:hAnsi="Arial" w:eastAsia="Arial" w:cs="Arial"/>
          <w:b/>
        </w:rPr>
      </w:pPr>
      <w:r>
        <w:rPr>
          <w:rFonts w:ascii="Arial" w:hAnsi="Arial" w:eastAsia="Arial" w:cs="Arial"/>
          <w:b/>
        </w:rPr>
        <w:t>ANEXO VII – DECLARAÇÃO DE IDONEIDADE</w:t>
      </w:r>
    </w:p>
    <w:p w14:paraId="3A4B3945">
      <w:pPr>
        <w:jc w:val="both"/>
        <w:rPr>
          <w:rFonts w:ascii="Arial" w:hAnsi="Arial" w:eastAsia="Arial" w:cs="Arial"/>
        </w:rPr>
      </w:pPr>
    </w:p>
    <w:p w14:paraId="72E0DC3D">
      <w:pPr>
        <w:keepNext/>
        <w:widowControl w:val="0"/>
        <w:pBdr>
          <w:top w:val="none" w:color="auto" w:sz="0" w:space="0"/>
          <w:left w:val="none" w:color="auto" w:sz="0" w:space="0"/>
          <w:bottom w:val="none" w:color="auto" w:sz="0" w:space="0"/>
          <w:right w:val="none" w:color="auto" w:sz="0" w:space="0"/>
          <w:between w:val="none" w:color="auto" w:sz="0" w:space="0"/>
        </w:pBdr>
        <w:jc w:val="both"/>
        <w:rPr>
          <w:rFonts w:ascii="Arial" w:hAnsi="Arial" w:eastAsia="Arial" w:cs="Arial"/>
          <w:b/>
          <w:color w:val="000000"/>
          <w:u w:val="single"/>
        </w:rPr>
      </w:pPr>
      <w:r>
        <w:rPr>
          <w:rFonts w:ascii="Arial" w:hAnsi="Arial" w:eastAsia="Arial" w:cs="Arial"/>
          <w:color w:val="000000"/>
        </w:rPr>
        <w:t>AO REDIGIR A PRESENTE DECLARAÇÃO, O PROPONENTE DEVERÁ UTILIZAR FORMULÁRIO COM TIMBRE DA PROPONENTE.</w:t>
      </w:r>
    </w:p>
    <w:p w14:paraId="376DF7A3">
      <w:pPr>
        <w:jc w:val="both"/>
        <w:rPr>
          <w:rFonts w:ascii="Arial" w:hAnsi="Arial" w:eastAsia="Arial" w:cs="Arial"/>
          <w:b/>
        </w:rPr>
      </w:pPr>
    </w:p>
    <w:p w14:paraId="10C1FC36">
      <w:pPr>
        <w:jc w:val="both"/>
        <w:rPr>
          <w:rFonts w:ascii="Arial" w:hAnsi="Arial" w:eastAsia="Arial" w:cs="Arial"/>
          <w:b/>
        </w:rPr>
      </w:pPr>
      <w:r>
        <w:rPr>
          <w:rFonts w:ascii="Arial" w:hAnsi="Arial" w:eastAsia="Arial" w:cs="Arial"/>
          <w:b/>
        </w:rPr>
        <w:t>PROCESSO LICITATÓRIO Nº XX/2024.</w:t>
      </w:r>
    </w:p>
    <w:p w14:paraId="7CF56ED8">
      <w:pPr>
        <w:jc w:val="both"/>
        <w:rPr>
          <w:rFonts w:ascii="Arial" w:hAnsi="Arial" w:eastAsia="Arial" w:cs="Arial"/>
          <w:b/>
        </w:rPr>
      </w:pPr>
      <w:r>
        <w:rPr>
          <w:rFonts w:ascii="Arial" w:hAnsi="Arial" w:eastAsia="Arial" w:cs="Arial"/>
          <w:b/>
        </w:rPr>
        <w:t>PREGÃO ELETRÔNICO Nº 00X/2024 - SRP Nº 00X/2024.</w:t>
      </w:r>
    </w:p>
    <w:p w14:paraId="6EAA3C64">
      <w:pPr>
        <w:jc w:val="both"/>
        <w:rPr>
          <w:rFonts w:ascii="Arial" w:hAnsi="Arial" w:eastAsia="Arial" w:cs="Arial"/>
        </w:rPr>
      </w:pPr>
    </w:p>
    <w:p w14:paraId="13DBC623">
      <w:pPr>
        <w:jc w:val="both"/>
        <w:rPr>
          <w:rFonts w:ascii="Arial" w:hAnsi="Arial" w:eastAsia="Arial" w:cs="Arial"/>
        </w:rPr>
      </w:pPr>
      <w:r>
        <w:rPr>
          <w:rFonts w:ascii="Arial" w:hAnsi="Arial" w:eastAsia="Arial" w:cs="Arial"/>
          <w:b/>
        </w:rPr>
        <w:t>PREFEITURA MUNICIPAL DE JATOBÁ/PE.</w:t>
      </w:r>
    </w:p>
    <w:p w14:paraId="714CDF4A">
      <w:pPr>
        <w:pBdr>
          <w:top w:val="none" w:color="auto" w:sz="0" w:space="0"/>
          <w:left w:val="none" w:color="auto" w:sz="0" w:space="0"/>
          <w:bottom w:val="none" w:color="auto" w:sz="0" w:space="0"/>
          <w:right w:val="none" w:color="auto" w:sz="0" w:space="0"/>
          <w:between w:val="none" w:color="auto" w:sz="0" w:space="0"/>
        </w:pBdr>
        <w:tabs>
          <w:tab w:val="center" w:pos="4252"/>
          <w:tab w:val="right" w:pos="8504"/>
        </w:tabs>
        <w:jc w:val="both"/>
        <w:rPr>
          <w:rFonts w:ascii="Arial" w:hAnsi="Arial" w:eastAsia="Arial" w:cs="Arial"/>
          <w:color w:val="000000"/>
        </w:rPr>
      </w:pPr>
      <w:r>
        <w:rPr>
          <w:rFonts w:ascii="Arial" w:hAnsi="Arial" w:eastAsia="Arial" w:cs="Arial"/>
          <w:color w:val="000000"/>
        </w:rPr>
        <w:t>A PREGOEIRA / EQUIPE DE APOIO.</w:t>
      </w:r>
    </w:p>
    <w:p w14:paraId="2D1F0B07">
      <w:pPr>
        <w:pBdr>
          <w:top w:val="none" w:color="auto" w:sz="0" w:space="0"/>
          <w:left w:val="none" w:color="auto" w:sz="0" w:space="0"/>
          <w:bottom w:val="none" w:color="auto" w:sz="0" w:space="0"/>
          <w:right w:val="none" w:color="auto" w:sz="0" w:space="0"/>
          <w:between w:val="none" w:color="auto" w:sz="0" w:space="0"/>
        </w:pBdr>
        <w:tabs>
          <w:tab w:val="center" w:pos="4252"/>
          <w:tab w:val="right" w:pos="8504"/>
        </w:tabs>
        <w:jc w:val="both"/>
        <w:rPr>
          <w:rFonts w:ascii="Arial" w:hAnsi="Arial" w:eastAsia="Arial" w:cs="Arial"/>
          <w:color w:val="000000"/>
        </w:rPr>
      </w:pPr>
    </w:p>
    <w:p w14:paraId="1AF6C9D0">
      <w:pPr>
        <w:jc w:val="both"/>
        <w:rPr>
          <w:rFonts w:ascii="Arial" w:hAnsi="Arial" w:eastAsia="Arial" w:cs="Arial"/>
        </w:rPr>
      </w:pPr>
      <w:r>
        <w:rPr>
          <w:rFonts w:ascii="Arial" w:hAnsi="Arial" w:eastAsia="Arial" w:cs="Arial"/>
        </w:rPr>
        <w:t xml:space="preserve">A EMPRESA .............................., INSCRITA NO CNPJ Nº ................................., POR INTERMÉDIO DE SEU REPRESENTANTE LEGAL O SR....................................., PORTADOR DA CARTEIRA DE IDENTIDADE Nº...................... E DO CPF Nº ......................., DECLARA NÃO TER RECEBIDO DO MUNICÍPIO DE _______________/UF OU DE QUALQUER OUTRA ENTIDADE DA ADMINISTRAÇÃO DIRETA OU INDIRETA, EM ÂMBITO FEDERAL, ESTADUAL E MUNICIPAL, SUSPENSÃO TEMPORÁRIA DE PARTICIPAÇÃO EM LICITAÇÃO E OU IMPEDIMENTO DE CONTRATAR COM A ADMINISTRAÇÃO, ASSIM COMO NÃO TER RECEBIDO DECLARAÇÃO DE INIDONEIDADE PARA LICITAR E OU CONTRATAR COM A ADMINISTRAÇÃO FEDERAL, ESTADUAL E MUNICIPAL. </w:t>
      </w:r>
    </w:p>
    <w:p w14:paraId="08A8E1DE">
      <w:pPr>
        <w:jc w:val="both"/>
        <w:rPr>
          <w:rFonts w:ascii="Arial" w:hAnsi="Arial" w:eastAsia="Arial" w:cs="Arial"/>
        </w:rPr>
      </w:pPr>
    </w:p>
    <w:p w14:paraId="51EDC90E">
      <w:pPr>
        <w:jc w:val="both"/>
        <w:rPr>
          <w:rFonts w:ascii="Arial" w:hAnsi="Arial" w:eastAsia="Arial" w:cs="Arial"/>
        </w:rPr>
      </w:pPr>
    </w:p>
    <w:p w14:paraId="2A46FBE6">
      <w:pPr>
        <w:widowControl w:val="0"/>
        <w:pBdr>
          <w:top w:val="none" w:color="auto" w:sz="0" w:space="0"/>
          <w:left w:val="none" w:color="auto" w:sz="0" w:space="0"/>
          <w:bottom w:val="none" w:color="auto" w:sz="0" w:space="0"/>
          <w:right w:val="none" w:color="auto" w:sz="0" w:space="0"/>
          <w:between w:val="none" w:color="auto" w:sz="0" w:space="0"/>
        </w:pBdr>
        <w:spacing w:after="120"/>
        <w:jc w:val="center"/>
        <w:rPr>
          <w:rFonts w:ascii="Arial" w:hAnsi="Arial" w:eastAsia="Arial" w:cs="Arial"/>
          <w:color w:val="000000"/>
        </w:rPr>
      </w:pPr>
      <w:r>
        <w:rPr>
          <w:rFonts w:ascii="Arial" w:hAnsi="Arial" w:eastAsia="Arial" w:cs="Arial"/>
          <w:color w:val="000000"/>
        </w:rPr>
        <w:t>JATOBÁ EM, ___ DE _________ DE 2024.</w:t>
      </w:r>
    </w:p>
    <w:p w14:paraId="003A69EB">
      <w:pPr>
        <w:jc w:val="center"/>
        <w:rPr>
          <w:rFonts w:ascii="Arial" w:hAnsi="Arial" w:eastAsia="Arial" w:cs="Arial"/>
        </w:rPr>
      </w:pPr>
    </w:p>
    <w:p w14:paraId="5BFE1B29">
      <w:pPr>
        <w:jc w:val="center"/>
        <w:rPr>
          <w:rFonts w:ascii="Arial" w:hAnsi="Arial" w:eastAsia="Arial" w:cs="Arial"/>
        </w:rPr>
      </w:pPr>
    </w:p>
    <w:p w14:paraId="3E64D5FA">
      <w:pPr>
        <w:jc w:val="center"/>
        <w:rPr>
          <w:rFonts w:ascii="Arial" w:hAnsi="Arial" w:eastAsia="Arial" w:cs="Arial"/>
        </w:rPr>
      </w:pPr>
      <w:r>
        <w:rPr>
          <w:rFonts w:ascii="Arial" w:hAnsi="Arial" w:eastAsia="Arial" w:cs="Arial"/>
        </w:rPr>
        <w:t>(ASSINATURA DO RESPONSÁVEL E CPF)</w:t>
      </w:r>
    </w:p>
    <w:p w14:paraId="3D71B721">
      <w:pPr>
        <w:jc w:val="both"/>
        <w:rPr>
          <w:rFonts w:ascii="Arial" w:hAnsi="Arial" w:eastAsia="Arial" w:cs="Arial"/>
        </w:rPr>
      </w:pPr>
    </w:p>
    <w:p w14:paraId="4E8B48A0">
      <w:pPr>
        <w:jc w:val="both"/>
        <w:rPr>
          <w:rFonts w:ascii="Arial" w:hAnsi="Arial" w:eastAsia="Arial" w:cs="Arial"/>
        </w:rPr>
      </w:pPr>
    </w:p>
    <w:p w14:paraId="506E0195">
      <w:pPr>
        <w:jc w:val="both"/>
        <w:rPr>
          <w:rFonts w:ascii="Arial" w:hAnsi="Arial" w:eastAsia="Arial" w:cs="Arial"/>
        </w:rPr>
      </w:pPr>
    </w:p>
    <w:p w14:paraId="273F9AB4">
      <w:pPr>
        <w:jc w:val="both"/>
        <w:rPr>
          <w:rFonts w:ascii="Arial" w:hAnsi="Arial" w:eastAsia="Arial" w:cs="Arial"/>
        </w:rPr>
      </w:pPr>
    </w:p>
    <w:p w14:paraId="4E1EC29B">
      <w:pPr>
        <w:jc w:val="both"/>
        <w:rPr>
          <w:rFonts w:ascii="Arial" w:hAnsi="Arial" w:eastAsia="Arial" w:cs="Arial"/>
        </w:rPr>
      </w:pPr>
    </w:p>
    <w:p w14:paraId="0D1C9EA3">
      <w:pPr>
        <w:pBdr>
          <w:top w:val="single" w:color="000000" w:sz="4" w:space="1"/>
          <w:left w:val="none" w:color="auto" w:sz="0" w:space="0"/>
          <w:bottom w:val="single" w:color="000000" w:sz="4" w:space="1"/>
          <w:right w:val="none" w:color="auto" w:sz="0" w:space="0"/>
          <w:between w:val="none" w:color="auto" w:sz="0" w:space="0"/>
        </w:pBdr>
        <w:shd w:val="clear" w:color="auto" w:fill="D9D9D9"/>
        <w:jc w:val="both"/>
        <w:rPr>
          <w:rFonts w:ascii="Arial" w:hAnsi="Arial" w:eastAsia="Arial" w:cs="Arial"/>
          <w:color w:val="000000"/>
        </w:rPr>
      </w:pPr>
      <w:r>
        <w:rPr>
          <w:rFonts w:ascii="Arial" w:hAnsi="Arial" w:eastAsia="Arial" w:cs="Arial"/>
          <w:b/>
          <w:color w:val="000000"/>
        </w:rPr>
        <w:t>ANEXO VIII –</w:t>
      </w:r>
      <w:r>
        <w:rPr>
          <w:rFonts w:ascii="Arial" w:hAnsi="Arial" w:eastAsia="Arial" w:cs="Arial"/>
          <w:color w:val="000000"/>
        </w:rPr>
        <w:t xml:space="preserve"> </w:t>
      </w:r>
      <w:r>
        <w:rPr>
          <w:rFonts w:ascii="Arial" w:hAnsi="Arial" w:eastAsia="Arial" w:cs="Arial"/>
          <w:b/>
          <w:color w:val="000000"/>
        </w:rPr>
        <w:t>DECLARAÇÃO DE CUMPRIMENTO DOS REQUISITOS DE HABILITAÇÃO (MODELO)</w:t>
      </w:r>
    </w:p>
    <w:p w14:paraId="1DFE7D07">
      <w:pPr>
        <w:jc w:val="both"/>
        <w:rPr>
          <w:rFonts w:ascii="Arial" w:hAnsi="Arial" w:eastAsia="Arial" w:cs="Arial"/>
          <w:b/>
        </w:rPr>
      </w:pPr>
    </w:p>
    <w:p w14:paraId="470F36A8">
      <w:pPr>
        <w:jc w:val="both"/>
        <w:rPr>
          <w:rFonts w:ascii="Arial" w:hAnsi="Arial" w:eastAsia="Arial" w:cs="Arial"/>
          <w:b/>
        </w:rPr>
      </w:pPr>
      <w:r>
        <w:rPr>
          <w:rFonts w:ascii="Arial" w:hAnsi="Arial" w:eastAsia="Arial" w:cs="Arial"/>
          <w:b/>
        </w:rPr>
        <w:t>PROCESSO LICITATÓRIO Nº XX/2024.</w:t>
      </w:r>
    </w:p>
    <w:p w14:paraId="2DB09EF4">
      <w:pPr>
        <w:jc w:val="both"/>
        <w:rPr>
          <w:rFonts w:ascii="Arial" w:hAnsi="Arial" w:eastAsia="Arial" w:cs="Arial"/>
          <w:b/>
        </w:rPr>
      </w:pPr>
      <w:r>
        <w:rPr>
          <w:rFonts w:ascii="Arial" w:hAnsi="Arial" w:eastAsia="Arial" w:cs="Arial"/>
          <w:b/>
        </w:rPr>
        <w:t>PREGÃO ELETRÔNICO Nº 00X/2024 - SRP Nº 00X/2024.</w:t>
      </w:r>
    </w:p>
    <w:p w14:paraId="6BCEBAE6">
      <w:pPr>
        <w:jc w:val="both"/>
        <w:rPr>
          <w:rFonts w:ascii="Arial" w:hAnsi="Arial" w:eastAsia="Arial" w:cs="Arial"/>
        </w:rPr>
      </w:pPr>
    </w:p>
    <w:p w14:paraId="74E4F599">
      <w:pPr>
        <w:jc w:val="both"/>
        <w:rPr>
          <w:rFonts w:ascii="Arial" w:hAnsi="Arial" w:eastAsia="Arial" w:cs="Arial"/>
        </w:rPr>
      </w:pPr>
    </w:p>
    <w:p w14:paraId="0EAEEC17">
      <w:pPr>
        <w:jc w:val="both"/>
        <w:rPr>
          <w:rFonts w:ascii="Arial" w:hAnsi="Arial" w:eastAsia="Arial" w:cs="Arial"/>
        </w:rPr>
      </w:pPr>
    </w:p>
    <w:p w14:paraId="67A3EB6C">
      <w:pPr>
        <w:jc w:val="both"/>
        <w:rPr>
          <w:rFonts w:ascii="Arial" w:hAnsi="Arial" w:eastAsia="Arial" w:cs="Arial"/>
          <w:b/>
        </w:rPr>
      </w:pPr>
      <w:r>
        <w:rPr>
          <w:rFonts w:ascii="Arial" w:hAnsi="Arial" w:eastAsia="Arial" w:cs="Arial"/>
        </w:rPr>
        <w:t xml:space="preserve">A ...........................................................(RAZÃO SOCIAL DA EMPRESA), CNPJ Nº........................., LOCALIZADA À ..........................................., DECLARA, EM CONFORMIDADE COM A LEI Nº 10.520/02, QUE CUMPRE TODOS OS REQUISITOS PARA HABILITAÇÃO PARA ESTE CERTAME LICITATÓRIO NA </w:t>
      </w:r>
      <w:r>
        <w:rPr>
          <w:rFonts w:ascii="Arial" w:hAnsi="Arial" w:eastAsia="Arial" w:cs="Arial"/>
          <w:b/>
        </w:rPr>
        <w:t xml:space="preserve">PREFEITURA MUNICIPAL DE JATOBÁ/PE </w:t>
      </w:r>
      <w:r>
        <w:rPr>
          <w:rFonts w:ascii="Arial" w:hAnsi="Arial" w:eastAsia="Arial" w:cs="Arial"/>
        </w:rPr>
        <w:t xml:space="preserve">– </w:t>
      </w:r>
      <w:r>
        <w:rPr>
          <w:rFonts w:ascii="Arial" w:hAnsi="Arial" w:eastAsia="Arial" w:cs="Arial"/>
          <w:b/>
        </w:rPr>
        <w:t>PREGÃO ELETRÔNICO Nº 0XX/2024 - SRP Nº 00X/2024.</w:t>
      </w:r>
    </w:p>
    <w:p w14:paraId="168B6980">
      <w:pPr>
        <w:jc w:val="both"/>
        <w:rPr>
          <w:rFonts w:ascii="Arial" w:hAnsi="Arial" w:eastAsia="Arial" w:cs="Arial"/>
        </w:rPr>
      </w:pPr>
    </w:p>
    <w:p w14:paraId="7D5B101D">
      <w:pPr>
        <w:jc w:val="both"/>
        <w:rPr>
          <w:rFonts w:ascii="Arial" w:hAnsi="Arial" w:eastAsia="Arial" w:cs="Arial"/>
          <w:b/>
        </w:rPr>
      </w:pPr>
    </w:p>
    <w:p w14:paraId="298626B7">
      <w:pPr>
        <w:jc w:val="both"/>
        <w:rPr>
          <w:rFonts w:ascii="Arial" w:hAnsi="Arial" w:eastAsia="Arial" w:cs="Arial"/>
          <w:b/>
        </w:rPr>
      </w:pPr>
    </w:p>
    <w:p w14:paraId="1A880FD4">
      <w:pPr>
        <w:jc w:val="both"/>
        <w:rPr>
          <w:rFonts w:ascii="Arial" w:hAnsi="Arial" w:eastAsia="Arial" w:cs="Arial"/>
        </w:rPr>
      </w:pPr>
    </w:p>
    <w:p w14:paraId="70D3E738">
      <w:pPr>
        <w:jc w:val="center"/>
        <w:rPr>
          <w:rFonts w:ascii="Arial" w:hAnsi="Arial" w:eastAsia="Arial" w:cs="Arial"/>
        </w:rPr>
      </w:pPr>
      <w:r>
        <w:rPr>
          <w:rFonts w:ascii="Arial" w:hAnsi="Arial" w:eastAsia="Arial" w:cs="Arial"/>
        </w:rPr>
        <w:t>JATOBÁ, ......... DE ...................   DE 2024.</w:t>
      </w:r>
    </w:p>
    <w:p w14:paraId="0C5A39D2">
      <w:pPr>
        <w:jc w:val="center"/>
        <w:rPr>
          <w:rFonts w:ascii="Arial" w:hAnsi="Arial" w:eastAsia="Arial" w:cs="Arial"/>
        </w:rPr>
      </w:pPr>
    </w:p>
    <w:p w14:paraId="7C68E51B">
      <w:pPr>
        <w:jc w:val="center"/>
        <w:rPr>
          <w:rFonts w:ascii="Arial" w:hAnsi="Arial" w:eastAsia="Arial" w:cs="Arial"/>
        </w:rPr>
      </w:pPr>
    </w:p>
    <w:p w14:paraId="5F2A495F">
      <w:pPr>
        <w:jc w:val="center"/>
        <w:rPr>
          <w:rFonts w:ascii="Arial" w:hAnsi="Arial" w:eastAsia="Arial" w:cs="Arial"/>
        </w:rPr>
      </w:pPr>
      <w:r>
        <w:rPr>
          <w:rFonts w:ascii="Arial" w:hAnsi="Arial" w:eastAsia="Arial" w:cs="Arial"/>
        </w:rPr>
        <w:t>_______________________________</w:t>
      </w:r>
    </w:p>
    <w:p w14:paraId="744DB86C">
      <w:pPr>
        <w:jc w:val="center"/>
        <w:rPr>
          <w:rFonts w:ascii="Arial" w:hAnsi="Arial" w:eastAsia="Arial" w:cs="Arial"/>
        </w:rPr>
      </w:pPr>
      <w:r>
        <w:rPr>
          <w:rFonts w:ascii="Arial" w:hAnsi="Arial" w:eastAsia="Arial" w:cs="Arial"/>
        </w:rPr>
        <w:t>REPRESENTANTE LEGAL</w:t>
      </w:r>
    </w:p>
    <w:p w14:paraId="64A8EB30">
      <w:pPr>
        <w:jc w:val="both"/>
        <w:rPr>
          <w:rFonts w:ascii="Arial" w:hAnsi="Arial" w:eastAsia="Arial" w:cs="Arial"/>
        </w:rPr>
      </w:pPr>
      <w:r>
        <w:rPr>
          <w:rFonts w:ascii="Arial" w:hAnsi="Arial" w:eastAsia="Arial" w:cs="Arial"/>
        </w:rPr>
        <w:tab/>
      </w:r>
      <w:r>
        <w:rPr>
          <w:rFonts w:ascii="Arial" w:hAnsi="Arial" w:eastAsia="Arial" w:cs="Arial"/>
        </w:rPr>
        <w:tab/>
      </w:r>
      <w:r>
        <w:rPr>
          <w:rFonts w:ascii="Arial" w:hAnsi="Arial" w:eastAsia="Arial" w:cs="Arial"/>
        </w:rPr>
        <w:tab/>
      </w:r>
      <w:r>
        <w:rPr>
          <w:rFonts w:ascii="Arial" w:hAnsi="Arial" w:eastAsia="Arial" w:cs="Arial"/>
        </w:rPr>
        <w:tab/>
      </w:r>
    </w:p>
    <w:p w14:paraId="3F537644">
      <w:pPr>
        <w:jc w:val="both"/>
        <w:rPr>
          <w:rFonts w:ascii="Arial" w:hAnsi="Arial" w:eastAsia="Arial" w:cs="Arial"/>
        </w:rPr>
      </w:pPr>
      <w:r>
        <w:rPr>
          <w:rFonts w:ascii="Arial" w:hAnsi="Arial" w:eastAsia="Arial" w:cs="Arial"/>
        </w:rPr>
        <w:t xml:space="preserve"> </w:t>
      </w:r>
    </w:p>
    <w:p w14:paraId="7FECE2C5">
      <w:pPr>
        <w:jc w:val="both"/>
        <w:rPr>
          <w:rFonts w:ascii="Arial" w:hAnsi="Arial" w:eastAsia="Arial" w:cs="Arial"/>
        </w:rPr>
      </w:pPr>
    </w:p>
    <w:p w14:paraId="3DC49820">
      <w:pPr>
        <w:jc w:val="both"/>
        <w:rPr>
          <w:rFonts w:ascii="Arial" w:hAnsi="Arial" w:eastAsia="Arial" w:cs="Arial"/>
        </w:rPr>
      </w:pPr>
    </w:p>
    <w:p w14:paraId="3A0CE781">
      <w:pPr>
        <w:jc w:val="both"/>
        <w:rPr>
          <w:rFonts w:ascii="Arial" w:hAnsi="Arial" w:eastAsia="Arial" w:cs="Arial"/>
        </w:rPr>
      </w:pPr>
    </w:p>
    <w:p w14:paraId="1C1A1E93">
      <w:pPr>
        <w:jc w:val="both"/>
        <w:rPr>
          <w:rFonts w:ascii="Arial" w:hAnsi="Arial" w:eastAsia="Arial" w:cs="Arial"/>
        </w:rPr>
      </w:pPr>
    </w:p>
    <w:p w14:paraId="3113B7A8">
      <w:pPr>
        <w:pBdr>
          <w:top w:val="single" w:color="000000" w:sz="4" w:space="1"/>
          <w:bottom w:val="single" w:color="000000" w:sz="4" w:space="1"/>
        </w:pBdr>
        <w:shd w:val="clear" w:color="auto" w:fill="D9D9D9"/>
        <w:jc w:val="both"/>
        <w:rPr>
          <w:rFonts w:ascii="Arial" w:hAnsi="Arial" w:eastAsia="Arial" w:cs="Arial"/>
          <w:b/>
        </w:rPr>
      </w:pPr>
      <w:r>
        <w:rPr>
          <w:rFonts w:ascii="Arial" w:hAnsi="Arial" w:eastAsia="Arial" w:cs="Arial"/>
          <w:b/>
        </w:rPr>
        <w:t>ANEXO IX – MINUTA DA ATA DE REGISTRO DE PREÇOS DO PREGÃO ELETRÔNICO Nº 00X/2024 - SRP Nº 00X/2024</w:t>
      </w:r>
    </w:p>
    <w:p w14:paraId="5C798218">
      <w:pPr>
        <w:widowControl w:val="0"/>
        <w:spacing w:line="360" w:lineRule="auto"/>
        <w:ind w:right="-15"/>
        <w:jc w:val="center"/>
        <w:rPr>
          <w:rFonts w:ascii="Arial" w:hAnsi="Arial" w:eastAsia="Arial" w:cs="Arial"/>
          <w:i/>
          <w:color w:val="FF0000"/>
          <w:sz w:val="24"/>
          <w:szCs w:val="24"/>
        </w:rPr>
      </w:pPr>
    </w:p>
    <w:p w14:paraId="3C80B94C">
      <w:pPr>
        <w:widowControl w:val="0"/>
        <w:spacing w:line="360" w:lineRule="auto"/>
        <w:ind w:right="-15"/>
        <w:jc w:val="center"/>
        <w:rPr>
          <w:rFonts w:ascii="Arial" w:hAnsi="Arial" w:eastAsia="Arial" w:cs="Arial"/>
          <w:i/>
          <w:color w:val="FF0000"/>
          <w:sz w:val="24"/>
          <w:szCs w:val="24"/>
        </w:rPr>
      </w:pPr>
      <w:r>
        <w:rPr>
          <w:rFonts w:ascii="Arial" w:hAnsi="Arial" w:eastAsia="Arial" w:cs="Arial"/>
          <w:i/>
          <w:color w:val="FF0000"/>
          <w:sz w:val="24"/>
          <w:szCs w:val="24"/>
        </w:rPr>
        <w:t xml:space="preserve">ÓRGÃO OU ENTIDADE PÚBLICA </w:t>
      </w:r>
    </w:p>
    <w:p w14:paraId="315165A3">
      <w:pPr>
        <w:widowControl w:val="0"/>
        <w:spacing w:line="360" w:lineRule="auto"/>
        <w:ind w:right="-30"/>
        <w:jc w:val="center"/>
        <w:rPr>
          <w:rFonts w:ascii="Arial" w:hAnsi="Arial" w:eastAsia="Arial" w:cs="Arial"/>
          <w:sz w:val="24"/>
          <w:szCs w:val="24"/>
        </w:rPr>
      </w:pPr>
      <w:r>
        <w:rPr>
          <w:rFonts w:ascii="Arial" w:hAnsi="Arial" w:eastAsia="Arial" w:cs="Arial"/>
          <w:sz w:val="24"/>
          <w:szCs w:val="24"/>
        </w:rPr>
        <w:t xml:space="preserve">ATA DE REGISTRO DE PREÇOS </w:t>
      </w:r>
    </w:p>
    <w:p w14:paraId="1AB4ED91">
      <w:pPr>
        <w:widowControl w:val="0"/>
        <w:spacing w:line="360" w:lineRule="auto"/>
        <w:ind w:right="-30"/>
        <w:jc w:val="center"/>
        <w:rPr>
          <w:rFonts w:ascii="Arial" w:hAnsi="Arial" w:eastAsia="Arial" w:cs="Arial"/>
          <w:sz w:val="24"/>
          <w:szCs w:val="24"/>
        </w:rPr>
      </w:pPr>
      <w:r>
        <w:rPr>
          <w:rFonts w:ascii="Arial" w:hAnsi="Arial" w:eastAsia="Arial" w:cs="Arial"/>
          <w:sz w:val="24"/>
          <w:szCs w:val="24"/>
        </w:rPr>
        <w:t>N.º ......</w:t>
      </w:r>
    </w:p>
    <w:p w14:paraId="2A0A94DD">
      <w:pPr>
        <w:widowControl w:val="0"/>
        <w:spacing w:line="360" w:lineRule="auto"/>
        <w:ind w:right="-30"/>
        <w:jc w:val="both"/>
        <w:rPr>
          <w:rFonts w:ascii="Arial" w:hAnsi="Arial" w:eastAsia="Arial" w:cs="Arial"/>
          <w:sz w:val="24"/>
          <w:szCs w:val="24"/>
        </w:rPr>
      </w:pPr>
    </w:p>
    <w:p w14:paraId="72FDBD2C">
      <w:pPr>
        <w:widowControl w:val="0"/>
        <w:tabs>
          <w:tab w:val="center" w:pos="4779"/>
          <w:tab w:val="right" w:pos="9198"/>
        </w:tabs>
        <w:spacing w:before="120" w:after="120"/>
        <w:ind w:right="-28" w:firstLine="1418"/>
        <w:jc w:val="both"/>
        <w:rPr>
          <w:rFonts w:ascii="Arial" w:hAnsi="Arial" w:eastAsia="Arial" w:cs="Arial"/>
          <w:sz w:val="24"/>
          <w:szCs w:val="24"/>
        </w:rPr>
      </w:pPr>
      <w:r>
        <w:rPr>
          <w:rFonts w:ascii="Arial" w:hAnsi="Arial" w:eastAsia="Arial" w:cs="Arial"/>
          <w:sz w:val="24"/>
          <w:szCs w:val="24"/>
        </w:rPr>
        <w:t>O(A)......(</w:t>
      </w:r>
      <w:r>
        <w:rPr>
          <w:rFonts w:ascii="Arial" w:hAnsi="Arial" w:eastAsia="Arial" w:cs="Arial"/>
          <w:i/>
          <w:color w:val="FF0000"/>
          <w:sz w:val="24"/>
          <w:szCs w:val="24"/>
        </w:rPr>
        <w:t>órgão ou entidade pública que gerenciará a ata de registro de preços</w:t>
      </w:r>
      <w:r>
        <w:rPr>
          <w:rFonts w:ascii="Arial" w:hAnsi="Arial" w:eastAsia="Arial" w:cs="Arial"/>
          <w:sz w:val="24"/>
          <w:szCs w:val="24"/>
        </w:rPr>
        <w:t>), com sede no(a) ......, na cidade de ........, inscrito(a) no CNPJ/MF sob o nº ....., neste ato representado(a) pelo(a) ...... (</w:t>
      </w:r>
      <w:r>
        <w:rPr>
          <w:rFonts w:ascii="Arial" w:hAnsi="Arial" w:eastAsia="Arial" w:cs="Arial"/>
          <w:i/>
          <w:sz w:val="24"/>
          <w:szCs w:val="24"/>
        </w:rPr>
        <w:t>cargo e nome</w:t>
      </w:r>
      <w:r>
        <w:rPr>
          <w:rFonts w:ascii="Arial" w:hAnsi="Arial" w:eastAsia="Arial" w:cs="Arial"/>
          <w:sz w:val="24"/>
          <w:szCs w:val="24"/>
        </w:rPr>
        <w:t xml:space="preserve">), nomeado(a) pela  Portaria nº ...... de ..... de ...... de 202..., publicada no ....... de ..... de ....... de ....., portador da matrícula funcional nº ...................,, considerando o julgamento da licitação na modalidade de pregão, na forma eletrônica, para REGISTRO DE PREÇOS nº ......./202..., publicada no ...... de ...../...../202....., processo administrativo n.º ........, RESOLVE registrar os preços da(s)  empresa(s) indicada(s) e qualificada(s) nesta ATA, de acordo com a classificação por ela(s) alcançada(s) e na(s)  quantidade(s)  cotada(s), atendendo as condições previstas no </w:t>
      </w:r>
      <w:r>
        <w:rPr>
          <w:rFonts w:ascii="Arial" w:hAnsi="Arial" w:eastAsia="Arial" w:cs="Arial"/>
          <w:color w:val="FF0000"/>
          <w:sz w:val="24"/>
          <w:szCs w:val="24"/>
        </w:rPr>
        <w:t>Edital de licitação</w:t>
      </w:r>
      <w:r>
        <w:rPr>
          <w:rFonts w:ascii="Arial" w:hAnsi="Arial" w:eastAsia="Arial" w:cs="Arial"/>
          <w:sz w:val="24"/>
          <w:szCs w:val="24"/>
        </w:rPr>
        <w:t>, sujeitando-se as partes às normas constantes na Lei nº 14.133, de 1º de abril de 2021, no Decreto n.º 11.462, de 31 de março de 2023, e em conformidade com as disposições a seguir:</w:t>
      </w:r>
    </w:p>
    <w:p w14:paraId="0B4F277D">
      <w:pPr>
        <w:keepNext/>
        <w:keepLines/>
        <w:numPr>
          <w:ilvl w:val="0"/>
          <w:numId w:val="8"/>
        </w:numPr>
        <w:pBdr>
          <w:top w:val="none" w:color="auto" w:sz="0" w:space="0"/>
          <w:left w:val="none" w:color="auto" w:sz="0" w:space="0"/>
          <w:bottom w:val="none" w:color="auto" w:sz="0" w:space="0"/>
          <w:right w:val="none" w:color="auto" w:sz="0" w:space="0"/>
          <w:between w:val="none" w:color="auto" w:sz="0" w:space="0"/>
        </w:pBdr>
        <w:tabs>
          <w:tab w:val="left" w:pos="567"/>
        </w:tabs>
        <w:spacing w:after="0"/>
        <w:ind w:left="0" w:firstLine="0"/>
        <w:jc w:val="both"/>
        <w:rPr>
          <w:rFonts w:ascii="Arial" w:hAnsi="Arial" w:eastAsia="Arial" w:cs="Arial"/>
          <w:color w:val="000000"/>
          <w:sz w:val="24"/>
          <w:szCs w:val="24"/>
        </w:rPr>
      </w:pPr>
      <w:r>
        <w:rPr>
          <w:rFonts w:ascii="Arial" w:hAnsi="Arial" w:eastAsia="Arial" w:cs="Arial"/>
          <w:color w:val="000000"/>
          <w:sz w:val="24"/>
          <w:szCs w:val="24"/>
        </w:rPr>
        <w:t>DO OBJETO</w:t>
      </w:r>
    </w:p>
    <w:p w14:paraId="76AAAC77">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 xml:space="preserve">A presente Ata tem por objeto o registro de preços para a eventual contratação de ........ , especificado(s) no(s) item(ns).......... do .......... Termo de Referência, anexo </w:t>
      </w:r>
      <w:r>
        <w:rPr>
          <w:rFonts w:ascii="Arial" w:hAnsi="Arial" w:eastAsia="Arial" w:cs="Arial"/>
          <w:i/>
          <w:color w:val="FF0000"/>
          <w:sz w:val="24"/>
          <w:szCs w:val="24"/>
        </w:rPr>
        <w:t>...... [do edital de Licitação nº ........../20...]</w:t>
      </w:r>
      <w:r>
        <w:rPr>
          <w:rFonts w:ascii="Arial" w:hAnsi="Arial" w:eastAsia="Arial" w:cs="Arial"/>
          <w:color w:val="000000"/>
          <w:sz w:val="24"/>
          <w:szCs w:val="24"/>
        </w:rPr>
        <w:t>, que é parte integrante desta Ata, assim como as propostas cujos preços tenham sido registrados, independentemente de transcrição.</w:t>
      </w:r>
    </w:p>
    <w:p w14:paraId="0CA74B11">
      <w:pPr>
        <w:keepNext/>
        <w:keepLines/>
        <w:numPr>
          <w:ilvl w:val="0"/>
          <w:numId w:val="8"/>
        </w:numPr>
        <w:pBdr>
          <w:top w:val="none" w:color="auto" w:sz="0" w:space="0"/>
          <w:left w:val="none" w:color="auto" w:sz="0" w:space="0"/>
          <w:bottom w:val="none" w:color="auto" w:sz="0" w:space="0"/>
          <w:right w:val="none" w:color="auto" w:sz="0" w:space="0"/>
          <w:between w:val="none" w:color="auto" w:sz="0" w:space="0"/>
        </w:pBdr>
        <w:tabs>
          <w:tab w:val="left" w:pos="567"/>
        </w:tabs>
        <w:spacing w:after="0"/>
        <w:ind w:left="0" w:firstLine="0"/>
        <w:jc w:val="both"/>
        <w:rPr>
          <w:rFonts w:ascii="Arial" w:hAnsi="Arial" w:eastAsia="Arial" w:cs="Arial"/>
          <w:color w:val="000000"/>
          <w:sz w:val="24"/>
          <w:szCs w:val="24"/>
        </w:rPr>
      </w:pPr>
      <w:r>
        <w:rPr>
          <w:rFonts w:ascii="Arial" w:hAnsi="Arial" w:eastAsia="Arial" w:cs="Arial"/>
          <w:color w:val="000000"/>
          <w:sz w:val="24"/>
          <w:szCs w:val="24"/>
        </w:rPr>
        <w:t>DOS PREÇOS, ESPECIFICAÇÕES E QUANTITATIVOS</w:t>
      </w:r>
    </w:p>
    <w:p w14:paraId="08F78C24">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 xml:space="preserve">O preço registrado, as especificações do objeto, as quantidades mínimas e máximas de cada item, fornecedor(es) e as demais condições ofertadas na(s) proposta(s) são as que seguem: </w:t>
      </w:r>
    </w:p>
    <w:tbl>
      <w:tblPr>
        <w:tblStyle w:val="154"/>
        <w:tblW w:w="9392" w:type="dxa"/>
        <w:tblInd w:w="10" w:type="dxa"/>
        <w:tblLayout w:type="fixed"/>
        <w:tblCellMar>
          <w:top w:w="0" w:type="dxa"/>
          <w:left w:w="115" w:type="dxa"/>
          <w:bottom w:w="0" w:type="dxa"/>
          <w:right w:w="115" w:type="dxa"/>
        </w:tblCellMar>
      </w:tblPr>
      <w:tblGrid>
        <w:gridCol w:w="497"/>
        <w:gridCol w:w="1333"/>
        <w:gridCol w:w="1253"/>
        <w:gridCol w:w="1541"/>
        <w:gridCol w:w="1121"/>
        <w:gridCol w:w="1121"/>
        <w:gridCol w:w="841"/>
        <w:gridCol w:w="841"/>
        <w:gridCol w:w="844"/>
      </w:tblGrid>
      <w:tr w14:paraId="0E403282">
        <w:tblPrEx>
          <w:tblCellMar>
            <w:top w:w="0" w:type="dxa"/>
            <w:left w:w="115" w:type="dxa"/>
            <w:bottom w:w="0" w:type="dxa"/>
            <w:right w:w="115" w:type="dxa"/>
          </w:tblCellMar>
        </w:tblPrEx>
        <w:trPr>
          <w:trHeight w:val="511" w:hRule="atLeast"/>
        </w:trPr>
        <w:tc>
          <w:tcPr>
            <w:tcW w:w="497" w:type="dxa"/>
            <w:tcBorders>
              <w:top w:val="single" w:color="000000" w:sz="4" w:space="0"/>
              <w:left w:val="single" w:color="000000" w:sz="4" w:space="0"/>
              <w:bottom w:val="single" w:color="000000" w:sz="4" w:space="0"/>
              <w:right w:val="single" w:color="000000" w:sz="4" w:space="0"/>
            </w:tcBorders>
            <w:vAlign w:val="center"/>
          </w:tcPr>
          <w:p w14:paraId="1BC80710">
            <w:pPr>
              <w:widowControl w:val="0"/>
              <w:spacing w:line="360" w:lineRule="auto"/>
              <w:ind w:right="-30"/>
              <w:jc w:val="center"/>
              <w:rPr>
                <w:rFonts w:ascii="Arial" w:hAnsi="Arial" w:eastAsia="Arial" w:cs="Arial"/>
                <w:sz w:val="24"/>
                <w:szCs w:val="24"/>
              </w:rPr>
            </w:pPr>
            <w:r>
              <w:rPr>
                <w:rFonts w:ascii="Arial" w:hAnsi="Arial" w:eastAsia="Arial" w:cs="Arial"/>
                <w:sz w:val="24"/>
                <w:szCs w:val="24"/>
              </w:rPr>
              <w:t>Item</w:t>
            </w:r>
          </w:p>
          <w:p w14:paraId="63C3BD50">
            <w:pPr>
              <w:widowControl w:val="0"/>
              <w:spacing w:line="360" w:lineRule="auto"/>
              <w:ind w:right="-30"/>
              <w:jc w:val="center"/>
              <w:rPr>
                <w:rFonts w:ascii="Arial" w:hAnsi="Arial" w:eastAsia="Arial" w:cs="Arial"/>
                <w:sz w:val="24"/>
                <w:szCs w:val="24"/>
              </w:rPr>
            </w:pPr>
            <w:r>
              <w:rPr>
                <w:rFonts w:ascii="Arial" w:hAnsi="Arial" w:eastAsia="Arial" w:cs="Arial"/>
                <w:sz w:val="24"/>
                <w:szCs w:val="24"/>
              </w:rPr>
              <w:t>do</w:t>
            </w:r>
          </w:p>
          <w:p w14:paraId="6742915C">
            <w:pPr>
              <w:widowControl w:val="0"/>
              <w:spacing w:line="360" w:lineRule="auto"/>
              <w:ind w:right="-30"/>
              <w:jc w:val="center"/>
              <w:rPr>
                <w:rFonts w:ascii="Arial" w:hAnsi="Arial" w:eastAsia="Arial" w:cs="Arial"/>
                <w:sz w:val="24"/>
                <w:szCs w:val="24"/>
              </w:rPr>
            </w:pPr>
            <w:r>
              <w:rPr>
                <w:rFonts w:ascii="Arial" w:hAnsi="Arial" w:eastAsia="Arial" w:cs="Arial"/>
                <w:sz w:val="24"/>
                <w:szCs w:val="24"/>
              </w:rPr>
              <w:t>TR</w:t>
            </w:r>
          </w:p>
        </w:tc>
        <w:tc>
          <w:tcPr>
            <w:tcW w:w="8895" w:type="dxa"/>
            <w:gridSpan w:val="8"/>
            <w:tcBorders>
              <w:top w:val="single" w:color="000000" w:sz="4" w:space="0"/>
              <w:left w:val="single" w:color="000000" w:sz="4" w:space="0"/>
              <w:bottom w:val="single" w:color="000000" w:sz="4" w:space="0"/>
              <w:right w:val="single" w:color="000000" w:sz="4" w:space="0"/>
            </w:tcBorders>
          </w:tcPr>
          <w:p w14:paraId="7FCF5474">
            <w:pPr>
              <w:widowControl w:val="0"/>
              <w:spacing w:line="360" w:lineRule="auto"/>
              <w:ind w:right="-30"/>
              <w:jc w:val="center"/>
              <w:rPr>
                <w:rFonts w:ascii="Arial" w:hAnsi="Arial" w:eastAsia="Arial" w:cs="Arial"/>
                <w:i/>
                <w:color w:val="FF0000"/>
                <w:sz w:val="24"/>
                <w:szCs w:val="24"/>
              </w:rPr>
            </w:pPr>
            <w:r>
              <w:rPr>
                <w:rFonts w:ascii="Arial" w:hAnsi="Arial" w:eastAsia="Arial" w:cs="Arial"/>
                <w:sz w:val="24"/>
                <w:szCs w:val="24"/>
              </w:rPr>
              <w:t xml:space="preserve">Fornecedor </w:t>
            </w:r>
            <w:r>
              <w:rPr>
                <w:rFonts w:ascii="Arial" w:hAnsi="Arial" w:eastAsia="Arial" w:cs="Arial"/>
                <w:i/>
                <w:color w:val="FF0000"/>
                <w:sz w:val="24"/>
                <w:szCs w:val="24"/>
              </w:rPr>
              <w:t>(razão social, CNPJ/MF, endereço, contatos, representante)</w:t>
            </w:r>
          </w:p>
          <w:p w14:paraId="4FE7E4C5">
            <w:pPr>
              <w:widowControl w:val="0"/>
              <w:spacing w:line="360" w:lineRule="auto"/>
              <w:ind w:right="-30"/>
              <w:jc w:val="center"/>
              <w:rPr>
                <w:rFonts w:ascii="Arial" w:hAnsi="Arial" w:eastAsia="Arial" w:cs="Arial"/>
                <w:sz w:val="24"/>
                <w:szCs w:val="24"/>
              </w:rPr>
            </w:pPr>
          </w:p>
        </w:tc>
      </w:tr>
      <w:tr w14:paraId="5BFE2AE8">
        <w:tblPrEx>
          <w:tblCellMar>
            <w:top w:w="0" w:type="dxa"/>
            <w:left w:w="115" w:type="dxa"/>
            <w:bottom w:w="0" w:type="dxa"/>
            <w:right w:w="115" w:type="dxa"/>
          </w:tblCellMar>
        </w:tblPrEx>
        <w:trPr>
          <w:trHeight w:val="674" w:hRule="atLeast"/>
        </w:trPr>
        <w:tc>
          <w:tcPr>
            <w:tcW w:w="497" w:type="dxa"/>
            <w:tcBorders>
              <w:top w:val="nil"/>
              <w:left w:val="single" w:color="000000" w:sz="4" w:space="0"/>
              <w:bottom w:val="single" w:color="000000" w:sz="4" w:space="0"/>
              <w:right w:val="nil"/>
            </w:tcBorders>
            <w:vAlign w:val="center"/>
          </w:tcPr>
          <w:p w14:paraId="4FDE7001">
            <w:pPr>
              <w:widowControl w:val="0"/>
              <w:spacing w:line="360" w:lineRule="auto"/>
              <w:ind w:right="-30"/>
              <w:jc w:val="center"/>
              <w:rPr>
                <w:rFonts w:ascii="Arial" w:hAnsi="Arial" w:eastAsia="Arial" w:cs="Arial"/>
                <w:sz w:val="24"/>
                <w:szCs w:val="24"/>
              </w:rPr>
            </w:pPr>
            <w:r>
              <w:rPr>
                <w:rFonts w:ascii="Arial" w:hAnsi="Arial" w:eastAsia="Arial" w:cs="Arial"/>
                <w:sz w:val="24"/>
                <w:szCs w:val="24"/>
              </w:rPr>
              <w:t>X</w:t>
            </w:r>
          </w:p>
        </w:tc>
        <w:tc>
          <w:tcPr>
            <w:tcW w:w="1333" w:type="dxa"/>
            <w:tcBorders>
              <w:top w:val="nil"/>
              <w:left w:val="single" w:color="000000" w:sz="4" w:space="0"/>
              <w:bottom w:val="single" w:color="000000" w:sz="4" w:space="0"/>
              <w:right w:val="nil"/>
            </w:tcBorders>
          </w:tcPr>
          <w:p w14:paraId="237BBAD8">
            <w:pPr>
              <w:widowControl w:val="0"/>
              <w:spacing w:line="360" w:lineRule="auto"/>
              <w:ind w:right="-30"/>
              <w:jc w:val="both"/>
              <w:rPr>
                <w:rFonts w:ascii="Arial" w:hAnsi="Arial" w:eastAsia="Arial" w:cs="Arial"/>
                <w:sz w:val="24"/>
                <w:szCs w:val="24"/>
              </w:rPr>
            </w:pPr>
            <w:r>
              <w:rPr>
                <w:rFonts w:ascii="Arial" w:hAnsi="Arial" w:eastAsia="Arial" w:cs="Arial"/>
                <w:sz w:val="24"/>
                <w:szCs w:val="24"/>
              </w:rPr>
              <w:t>Especificação</w:t>
            </w:r>
          </w:p>
        </w:tc>
        <w:tc>
          <w:tcPr>
            <w:tcW w:w="1253" w:type="dxa"/>
            <w:tcBorders>
              <w:top w:val="nil"/>
              <w:left w:val="single" w:color="000000" w:sz="4" w:space="0"/>
              <w:bottom w:val="single" w:color="000000" w:sz="4" w:space="0"/>
              <w:right w:val="nil"/>
            </w:tcBorders>
          </w:tcPr>
          <w:p w14:paraId="5CBBBA32">
            <w:pPr>
              <w:widowControl w:val="0"/>
              <w:spacing w:line="360" w:lineRule="auto"/>
              <w:ind w:right="-30"/>
              <w:jc w:val="center"/>
              <w:rPr>
                <w:rFonts w:ascii="Arial" w:hAnsi="Arial" w:eastAsia="Arial" w:cs="Arial"/>
                <w:i/>
                <w:sz w:val="24"/>
                <w:szCs w:val="24"/>
              </w:rPr>
            </w:pPr>
            <w:r>
              <w:rPr>
                <w:rFonts w:ascii="Arial" w:hAnsi="Arial" w:eastAsia="Arial" w:cs="Arial"/>
                <w:i/>
                <w:sz w:val="24"/>
                <w:szCs w:val="24"/>
              </w:rPr>
              <w:t xml:space="preserve">Marca </w:t>
            </w:r>
          </w:p>
          <w:p w14:paraId="28E3062E">
            <w:pPr>
              <w:widowControl w:val="0"/>
              <w:spacing w:line="360" w:lineRule="auto"/>
              <w:ind w:right="-30"/>
              <w:jc w:val="center"/>
              <w:rPr>
                <w:rFonts w:ascii="Arial" w:hAnsi="Arial" w:eastAsia="Arial" w:cs="Arial"/>
                <w:i/>
                <w:sz w:val="24"/>
                <w:szCs w:val="24"/>
              </w:rPr>
            </w:pPr>
            <w:r>
              <w:rPr>
                <w:rFonts w:ascii="Arial" w:hAnsi="Arial" w:eastAsia="Arial" w:cs="Arial"/>
                <w:i/>
                <w:sz w:val="24"/>
                <w:szCs w:val="24"/>
              </w:rPr>
              <w:t>(se exigida no edital)</w:t>
            </w:r>
          </w:p>
        </w:tc>
        <w:tc>
          <w:tcPr>
            <w:tcW w:w="1541" w:type="dxa"/>
            <w:tcBorders>
              <w:top w:val="nil"/>
              <w:left w:val="single" w:color="000000" w:sz="4" w:space="0"/>
              <w:bottom w:val="single" w:color="000000" w:sz="4" w:space="0"/>
              <w:right w:val="nil"/>
            </w:tcBorders>
          </w:tcPr>
          <w:p w14:paraId="2870C969">
            <w:pPr>
              <w:widowControl w:val="0"/>
              <w:spacing w:line="360" w:lineRule="auto"/>
              <w:ind w:right="-30"/>
              <w:jc w:val="center"/>
              <w:rPr>
                <w:rFonts w:ascii="Arial" w:hAnsi="Arial" w:eastAsia="Arial" w:cs="Arial"/>
                <w:i/>
                <w:sz w:val="24"/>
                <w:szCs w:val="24"/>
              </w:rPr>
            </w:pPr>
            <w:r>
              <w:rPr>
                <w:rFonts w:ascii="Arial" w:hAnsi="Arial" w:eastAsia="Arial" w:cs="Arial"/>
                <w:i/>
                <w:sz w:val="24"/>
                <w:szCs w:val="24"/>
              </w:rPr>
              <w:t>Modelo</w:t>
            </w:r>
          </w:p>
          <w:p w14:paraId="09EB8B8D">
            <w:pPr>
              <w:widowControl w:val="0"/>
              <w:spacing w:line="360" w:lineRule="auto"/>
              <w:ind w:right="-30"/>
              <w:jc w:val="center"/>
              <w:rPr>
                <w:rFonts w:ascii="Arial" w:hAnsi="Arial" w:eastAsia="Arial" w:cs="Arial"/>
                <w:i/>
                <w:sz w:val="24"/>
                <w:szCs w:val="24"/>
              </w:rPr>
            </w:pPr>
            <w:r>
              <w:rPr>
                <w:rFonts w:ascii="Arial" w:hAnsi="Arial" w:eastAsia="Arial" w:cs="Arial"/>
                <w:i/>
                <w:sz w:val="24"/>
                <w:szCs w:val="24"/>
              </w:rPr>
              <w:t>(se exigido no edital)</w:t>
            </w:r>
          </w:p>
        </w:tc>
        <w:tc>
          <w:tcPr>
            <w:tcW w:w="1121" w:type="dxa"/>
            <w:tcBorders>
              <w:top w:val="nil"/>
              <w:left w:val="single" w:color="000000" w:sz="4" w:space="0"/>
              <w:bottom w:val="single" w:color="000000" w:sz="4" w:space="0"/>
              <w:right w:val="nil"/>
            </w:tcBorders>
          </w:tcPr>
          <w:p w14:paraId="2C5561DD">
            <w:pPr>
              <w:widowControl w:val="0"/>
              <w:spacing w:line="360" w:lineRule="auto"/>
              <w:ind w:right="-30"/>
              <w:jc w:val="center"/>
              <w:rPr>
                <w:rFonts w:ascii="Arial" w:hAnsi="Arial" w:eastAsia="Arial" w:cs="Arial"/>
                <w:sz w:val="24"/>
                <w:szCs w:val="24"/>
              </w:rPr>
            </w:pPr>
            <w:r>
              <w:rPr>
                <w:rFonts w:ascii="Arial" w:hAnsi="Arial" w:eastAsia="Arial" w:cs="Arial"/>
                <w:sz w:val="24"/>
                <w:szCs w:val="24"/>
              </w:rPr>
              <w:t>Unidade</w:t>
            </w:r>
          </w:p>
        </w:tc>
        <w:tc>
          <w:tcPr>
            <w:tcW w:w="1121" w:type="dxa"/>
            <w:tcBorders>
              <w:top w:val="nil"/>
              <w:left w:val="single" w:color="000000" w:sz="4" w:space="0"/>
              <w:bottom w:val="single" w:color="000000" w:sz="4" w:space="0"/>
              <w:right w:val="nil"/>
            </w:tcBorders>
          </w:tcPr>
          <w:p w14:paraId="62981341">
            <w:pPr>
              <w:widowControl w:val="0"/>
              <w:spacing w:line="360" w:lineRule="auto"/>
              <w:ind w:right="-30"/>
              <w:jc w:val="center"/>
              <w:rPr>
                <w:rFonts w:ascii="Arial" w:hAnsi="Arial" w:eastAsia="Arial" w:cs="Arial"/>
                <w:sz w:val="24"/>
                <w:szCs w:val="24"/>
              </w:rPr>
            </w:pPr>
            <w:r>
              <w:rPr>
                <w:rFonts w:ascii="Arial" w:hAnsi="Arial" w:eastAsia="Arial" w:cs="Arial"/>
                <w:sz w:val="24"/>
                <w:szCs w:val="24"/>
              </w:rPr>
              <w:t>Quantidade Máxima</w:t>
            </w:r>
          </w:p>
        </w:tc>
        <w:tc>
          <w:tcPr>
            <w:tcW w:w="841" w:type="dxa"/>
            <w:tcBorders>
              <w:top w:val="nil"/>
              <w:left w:val="single" w:color="000000" w:sz="4" w:space="0"/>
              <w:bottom w:val="single" w:color="000000" w:sz="4" w:space="0"/>
              <w:right w:val="single" w:color="000000" w:sz="4" w:space="0"/>
            </w:tcBorders>
          </w:tcPr>
          <w:p w14:paraId="7F2798C0">
            <w:pPr>
              <w:widowControl w:val="0"/>
              <w:spacing w:line="360" w:lineRule="auto"/>
              <w:ind w:right="-30"/>
              <w:jc w:val="center"/>
              <w:rPr>
                <w:rFonts w:ascii="Arial" w:hAnsi="Arial" w:eastAsia="Arial" w:cs="Arial"/>
                <w:sz w:val="24"/>
                <w:szCs w:val="24"/>
              </w:rPr>
            </w:pPr>
            <w:r>
              <w:rPr>
                <w:rFonts w:ascii="Arial" w:hAnsi="Arial" w:eastAsia="Arial" w:cs="Arial"/>
                <w:sz w:val="24"/>
                <w:szCs w:val="24"/>
              </w:rPr>
              <w:t>Quantidade Mínima</w:t>
            </w:r>
          </w:p>
        </w:tc>
        <w:tc>
          <w:tcPr>
            <w:tcW w:w="841" w:type="dxa"/>
            <w:tcBorders>
              <w:top w:val="nil"/>
              <w:left w:val="single" w:color="000000" w:sz="4" w:space="0"/>
              <w:bottom w:val="single" w:color="000000" w:sz="4" w:space="0"/>
              <w:right w:val="nil"/>
            </w:tcBorders>
          </w:tcPr>
          <w:p w14:paraId="2D1BEC6C">
            <w:pPr>
              <w:widowControl w:val="0"/>
              <w:spacing w:line="360" w:lineRule="auto"/>
              <w:ind w:right="-30"/>
              <w:jc w:val="center"/>
              <w:rPr>
                <w:rFonts w:ascii="Arial" w:hAnsi="Arial" w:eastAsia="Arial" w:cs="Arial"/>
                <w:sz w:val="24"/>
                <w:szCs w:val="24"/>
              </w:rPr>
            </w:pPr>
            <w:r>
              <w:rPr>
                <w:rFonts w:ascii="Arial" w:hAnsi="Arial" w:eastAsia="Arial" w:cs="Arial"/>
                <w:sz w:val="24"/>
                <w:szCs w:val="24"/>
              </w:rPr>
              <w:t>Valor Un</w:t>
            </w:r>
          </w:p>
        </w:tc>
        <w:tc>
          <w:tcPr>
            <w:tcW w:w="844" w:type="dxa"/>
            <w:tcBorders>
              <w:top w:val="nil"/>
              <w:left w:val="single" w:color="000000" w:sz="4" w:space="0"/>
              <w:bottom w:val="single" w:color="000000" w:sz="4" w:space="0"/>
              <w:right w:val="single" w:color="000000" w:sz="4" w:space="0"/>
            </w:tcBorders>
          </w:tcPr>
          <w:p w14:paraId="2349A9A7">
            <w:pPr>
              <w:widowControl w:val="0"/>
              <w:spacing w:line="360" w:lineRule="auto"/>
              <w:ind w:right="-30"/>
              <w:jc w:val="center"/>
              <w:rPr>
                <w:rFonts w:ascii="Arial" w:hAnsi="Arial" w:eastAsia="Arial" w:cs="Arial"/>
                <w:sz w:val="24"/>
                <w:szCs w:val="24"/>
              </w:rPr>
            </w:pPr>
            <w:r>
              <w:rPr>
                <w:rFonts w:ascii="Arial" w:hAnsi="Arial" w:eastAsia="Arial" w:cs="Arial"/>
                <w:i/>
                <w:sz w:val="24"/>
                <w:szCs w:val="24"/>
              </w:rPr>
              <w:t>Prazo garantia ou validade</w:t>
            </w:r>
          </w:p>
        </w:tc>
      </w:tr>
      <w:tr w14:paraId="51849D58">
        <w:tblPrEx>
          <w:tblCellMar>
            <w:top w:w="0" w:type="dxa"/>
            <w:left w:w="115" w:type="dxa"/>
            <w:bottom w:w="0" w:type="dxa"/>
            <w:right w:w="115" w:type="dxa"/>
          </w:tblCellMar>
        </w:tblPrEx>
        <w:trPr>
          <w:trHeight w:val="174" w:hRule="atLeast"/>
        </w:trPr>
        <w:tc>
          <w:tcPr>
            <w:tcW w:w="497" w:type="dxa"/>
            <w:tcBorders>
              <w:top w:val="nil"/>
              <w:left w:val="single" w:color="000000" w:sz="4" w:space="0"/>
              <w:bottom w:val="single" w:color="000000" w:sz="4" w:space="0"/>
              <w:right w:val="nil"/>
            </w:tcBorders>
          </w:tcPr>
          <w:p w14:paraId="40C0EBCF">
            <w:pPr>
              <w:widowControl w:val="0"/>
              <w:spacing w:line="360" w:lineRule="auto"/>
              <w:ind w:right="-30"/>
              <w:jc w:val="both"/>
              <w:rPr>
                <w:rFonts w:ascii="Arial" w:hAnsi="Arial" w:eastAsia="Arial" w:cs="Arial"/>
                <w:sz w:val="24"/>
                <w:szCs w:val="24"/>
              </w:rPr>
            </w:pPr>
          </w:p>
        </w:tc>
        <w:tc>
          <w:tcPr>
            <w:tcW w:w="1333" w:type="dxa"/>
            <w:tcBorders>
              <w:top w:val="nil"/>
              <w:left w:val="single" w:color="000000" w:sz="4" w:space="0"/>
              <w:bottom w:val="single" w:color="000000" w:sz="4" w:space="0"/>
              <w:right w:val="nil"/>
            </w:tcBorders>
          </w:tcPr>
          <w:p w14:paraId="442342C2">
            <w:pPr>
              <w:widowControl w:val="0"/>
              <w:spacing w:line="360" w:lineRule="auto"/>
              <w:ind w:right="-30"/>
              <w:jc w:val="both"/>
              <w:rPr>
                <w:rFonts w:ascii="Arial" w:hAnsi="Arial" w:eastAsia="Arial" w:cs="Arial"/>
                <w:sz w:val="24"/>
                <w:szCs w:val="24"/>
              </w:rPr>
            </w:pPr>
          </w:p>
        </w:tc>
        <w:tc>
          <w:tcPr>
            <w:tcW w:w="1253" w:type="dxa"/>
            <w:tcBorders>
              <w:top w:val="nil"/>
              <w:left w:val="single" w:color="000000" w:sz="4" w:space="0"/>
              <w:bottom w:val="single" w:color="000000" w:sz="4" w:space="0"/>
              <w:right w:val="nil"/>
            </w:tcBorders>
          </w:tcPr>
          <w:p w14:paraId="17C4EF29">
            <w:pPr>
              <w:widowControl w:val="0"/>
              <w:spacing w:line="360" w:lineRule="auto"/>
              <w:ind w:right="-30"/>
              <w:jc w:val="both"/>
              <w:rPr>
                <w:rFonts w:ascii="Arial" w:hAnsi="Arial" w:eastAsia="Arial" w:cs="Arial"/>
                <w:sz w:val="24"/>
                <w:szCs w:val="24"/>
              </w:rPr>
            </w:pPr>
          </w:p>
        </w:tc>
        <w:tc>
          <w:tcPr>
            <w:tcW w:w="1541" w:type="dxa"/>
            <w:tcBorders>
              <w:top w:val="nil"/>
              <w:left w:val="single" w:color="000000" w:sz="4" w:space="0"/>
              <w:bottom w:val="single" w:color="000000" w:sz="4" w:space="0"/>
              <w:right w:val="nil"/>
            </w:tcBorders>
          </w:tcPr>
          <w:p w14:paraId="7917B3D6">
            <w:pPr>
              <w:widowControl w:val="0"/>
              <w:spacing w:line="360" w:lineRule="auto"/>
              <w:ind w:right="-30"/>
              <w:jc w:val="both"/>
              <w:rPr>
                <w:rFonts w:ascii="Arial" w:hAnsi="Arial" w:eastAsia="Arial" w:cs="Arial"/>
                <w:sz w:val="24"/>
                <w:szCs w:val="24"/>
              </w:rPr>
            </w:pPr>
          </w:p>
        </w:tc>
        <w:tc>
          <w:tcPr>
            <w:tcW w:w="1121" w:type="dxa"/>
            <w:tcBorders>
              <w:top w:val="nil"/>
              <w:left w:val="single" w:color="000000" w:sz="4" w:space="0"/>
              <w:bottom w:val="single" w:color="000000" w:sz="4" w:space="0"/>
              <w:right w:val="nil"/>
            </w:tcBorders>
          </w:tcPr>
          <w:p w14:paraId="1D5AFE92">
            <w:pPr>
              <w:widowControl w:val="0"/>
              <w:spacing w:line="360" w:lineRule="auto"/>
              <w:ind w:right="-30"/>
              <w:jc w:val="both"/>
              <w:rPr>
                <w:rFonts w:ascii="Arial" w:hAnsi="Arial" w:eastAsia="Arial" w:cs="Arial"/>
                <w:sz w:val="24"/>
                <w:szCs w:val="24"/>
              </w:rPr>
            </w:pPr>
          </w:p>
        </w:tc>
        <w:tc>
          <w:tcPr>
            <w:tcW w:w="1121" w:type="dxa"/>
            <w:tcBorders>
              <w:top w:val="nil"/>
              <w:left w:val="single" w:color="000000" w:sz="4" w:space="0"/>
              <w:bottom w:val="single" w:color="000000" w:sz="4" w:space="0"/>
              <w:right w:val="nil"/>
            </w:tcBorders>
          </w:tcPr>
          <w:p w14:paraId="46E4FB2F">
            <w:pPr>
              <w:widowControl w:val="0"/>
              <w:spacing w:line="360" w:lineRule="auto"/>
              <w:ind w:right="-30"/>
              <w:jc w:val="both"/>
              <w:rPr>
                <w:rFonts w:ascii="Arial" w:hAnsi="Arial" w:eastAsia="Arial" w:cs="Arial"/>
                <w:sz w:val="24"/>
                <w:szCs w:val="24"/>
              </w:rPr>
            </w:pPr>
          </w:p>
        </w:tc>
        <w:tc>
          <w:tcPr>
            <w:tcW w:w="841" w:type="dxa"/>
            <w:tcBorders>
              <w:top w:val="nil"/>
              <w:left w:val="single" w:color="000000" w:sz="4" w:space="0"/>
              <w:bottom w:val="single" w:color="000000" w:sz="4" w:space="0"/>
              <w:right w:val="single" w:color="000000" w:sz="4" w:space="0"/>
            </w:tcBorders>
          </w:tcPr>
          <w:p w14:paraId="5985133D">
            <w:pPr>
              <w:widowControl w:val="0"/>
              <w:spacing w:line="360" w:lineRule="auto"/>
              <w:ind w:right="-30"/>
              <w:jc w:val="both"/>
              <w:rPr>
                <w:rFonts w:ascii="Arial" w:hAnsi="Arial" w:eastAsia="Arial" w:cs="Arial"/>
                <w:sz w:val="24"/>
                <w:szCs w:val="24"/>
              </w:rPr>
            </w:pPr>
          </w:p>
        </w:tc>
        <w:tc>
          <w:tcPr>
            <w:tcW w:w="841" w:type="dxa"/>
            <w:tcBorders>
              <w:top w:val="nil"/>
              <w:left w:val="single" w:color="000000" w:sz="4" w:space="0"/>
              <w:bottom w:val="single" w:color="000000" w:sz="4" w:space="0"/>
              <w:right w:val="nil"/>
            </w:tcBorders>
          </w:tcPr>
          <w:p w14:paraId="613FEAD8">
            <w:pPr>
              <w:widowControl w:val="0"/>
              <w:spacing w:line="360" w:lineRule="auto"/>
              <w:ind w:right="-30"/>
              <w:jc w:val="both"/>
              <w:rPr>
                <w:rFonts w:ascii="Arial" w:hAnsi="Arial" w:eastAsia="Arial" w:cs="Arial"/>
                <w:sz w:val="24"/>
                <w:szCs w:val="24"/>
              </w:rPr>
            </w:pPr>
          </w:p>
        </w:tc>
        <w:tc>
          <w:tcPr>
            <w:tcW w:w="844" w:type="dxa"/>
            <w:tcBorders>
              <w:top w:val="nil"/>
              <w:left w:val="single" w:color="000000" w:sz="4" w:space="0"/>
              <w:bottom w:val="single" w:color="000000" w:sz="4" w:space="0"/>
              <w:right w:val="single" w:color="000000" w:sz="4" w:space="0"/>
            </w:tcBorders>
          </w:tcPr>
          <w:p w14:paraId="6C213895">
            <w:pPr>
              <w:widowControl w:val="0"/>
              <w:spacing w:line="360" w:lineRule="auto"/>
              <w:ind w:right="-30"/>
              <w:jc w:val="both"/>
              <w:rPr>
                <w:rFonts w:ascii="Arial" w:hAnsi="Arial" w:eastAsia="Arial" w:cs="Arial"/>
                <w:sz w:val="24"/>
                <w:szCs w:val="24"/>
              </w:rPr>
            </w:pPr>
          </w:p>
        </w:tc>
      </w:tr>
    </w:tbl>
    <w:p w14:paraId="6795247D">
      <w:pPr>
        <w:spacing w:line="360" w:lineRule="auto"/>
        <w:rPr>
          <w:rFonts w:ascii="Arial" w:hAnsi="Arial" w:eastAsia="Arial" w:cs="Arial"/>
          <w:sz w:val="24"/>
          <w:szCs w:val="24"/>
        </w:rPr>
      </w:pPr>
    </w:p>
    <w:p w14:paraId="5FA5C259">
      <w:pPr>
        <w:keepNext/>
        <w:keepLines/>
        <w:numPr>
          <w:ilvl w:val="0"/>
          <w:numId w:val="8"/>
        </w:numPr>
        <w:pBdr>
          <w:top w:val="none" w:color="auto" w:sz="0" w:space="0"/>
          <w:left w:val="none" w:color="auto" w:sz="0" w:space="0"/>
          <w:bottom w:val="none" w:color="auto" w:sz="0" w:space="0"/>
          <w:right w:val="none" w:color="auto" w:sz="0" w:space="0"/>
          <w:between w:val="none" w:color="auto" w:sz="0" w:space="0"/>
        </w:pBdr>
        <w:tabs>
          <w:tab w:val="left" w:pos="567"/>
        </w:tabs>
        <w:spacing w:after="0"/>
        <w:ind w:left="0" w:firstLine="0"/>
        <w:jc w:val="both"/>
        <w:rPr>
          <w:rFonts w:ascii="Arial" w:hAnsi="Arial" w:eastAsia="Arial" w:cs="Arial"/>
          <w:color w:val="000000"/>
          <w:sz w:val="24"/>
          <w:szCs w:val="24"/>
        </w:rPr>
      </w:pPr>
      <w:r>
        <w:rPr>
          <w:rFonts w:ascii="Arial" w:hAnsi="Arial" w:eastAsia="Arial" w:cs="Arial"/>
          <w:color w:val="000000"/>
          <w:sz w:val="24"/>
          <w:szCs w:val="24"/>
        </w:rPr>
        <w:t>ÓRGÃO(S) GERENCIADOR E PARTICIPANTE(S)</w:t>
      </w:r>
    </w:p>
    <w:p w14:paraId="751DC298">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O órgão gerenciador será o ......(nome do órgão)....</w:t>
      </w:r>
    </w:p>
    <w:p w14:paraId="11BF4180">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i/>
          <w:color w:val="FF0000"/>
          <w:sz w:val="24"/>
          <w:szCs w:val="24"/>
        </w:rPr>
      </w:pPr>
      <w:r>
        <w:rPr>
          <w:rFonts w:ascii="Arial" w:hAnsi="Arial" w:eastAsia="Arial" w:cs="Arial"/>
          <w:i/>
          <w:color w:val="FF0000"/>
          <w:sz w:val="24"/>
          <w:szCs w:val="24"/>
        </w:rPr>
        <w:t>{Além do gerenciador, não há [ou] São} órgãos e entidades públicas participantes do registro de preços:</w:t>
      </w:r>
    </w:p>
    <w:tbl>
      <w:tblPr>
        <w:tblStyle w:val="155"/>
        <w:tblW w:w="897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15" w:type="dxa"/>
          <w:bottom w:w="0" w:type="dxa"/>
          <w:right w:w="115" w:type="dxa"/>
        </w:tblCellMar>
      </w:tblPr>
      <w:tblGrid>
        <w:gridCol w:w="2244"/>
        <w:gridCol w:w="2244"/>
        <w:gridCol w:w="2245"/>
        <w:gridCol w:w="2245"/>
      </w:tblGrid>
      <w:tr w14:paraId="47D1EC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244" w:type="dxa"/>
          </w:tcPr>
          <w:p w14:paraId="71407DC6">
            <w:pPr>
              <w:widowControl w:val="0"/>
              <w:spacing w:line="360" w:lineRule="auto"/>
              <w:ind w:right="-30"/>
              <w:jc w:val="center"/>
              <w:rPr>
                <w:rFonts w:ascii="Arial" w:hAnsi="Arial" w:eastAsia="Arial" w:cs="Arial"/>
                <w:i/>
                <w:color w:val="FF0000"/>
                <w:sz w:val="24"/>
                <w:szCs w:val="24"/>
              </w:rPr>
            </w:pPr>
            <w:r>
              <w:rPr>
                <w:rFonts w:ascii="Arial" w:hAnsi="Arial" w:eastAsia="Arial" w:cs="Arial"/>
                <w:i/>
                <w:color w:val="FF0000"/>
                <w:sz w:val="24"/>
                <w:szCs w:val="24"/>
              </w:rPr>
              <w:t xml:space="preserve">Item nº </w:t>
            </w:r>
          </w:p>
        </w:tc>
        <w:tc>
          <w:tcPr>
            <w:tcW w:w="2244" w:type="dxa"/>
          </w:tcPr>
          <w:p w14:paraId="52261090">
            <w:pPr>
              <w:widowControl w:val="0"/>
              <w:spacing w:line="360" w:lineRule="auto"/>
              <w:ind w:right="-30"/>
              <w:jc w:val="center"/>
              <w:rPr>
                <w:rFonts w:ascii="Arial" w:hAnsi="Arial" w:eastAsia="Arial" w:cs="Arial"/>
                <w:i/>
                <w:color w:val="FF0000"/>
                <w:sz w:val="24"/>
                <w:szCs w:val="24"/>
              </w:rPr>
            </w:pPr>
            <w:r>
              <w:rPr>
                <w:rFonts w:ascii="Arial" w:hAnsi="Arial" w:eastAsia="Arial" w:cs="Arial"/>
                <w:i/>
                <w:color w:val="FF0000"/>
                <w:sz w:val="24"/>
                <w:szCs w:val="24"/>
              </w:rPr>
              <w:t>Órgãos Participantes</w:t>
            </w:r>
          </w:p>
        </w:tc>
        <w:tc>
          <w:tcPr>
            <w:tcW w:w="2245" w:type="dxa"/>
          </w:tcPr>
          <w:p w14:paraId="19563311">
            <w:pPr>
              <w:widowControl w:val="0"/>
              <w:spacing w:line="360" w:lineRule="auto"/>
              <w:ind w:right="-30"/>
              <w:jc w:val="center"/>
              <w:rPr>
                <w:rFonts w:ascii="Arial" w:hAnsi="Arial" w:eastAsia="Arial" w:cs="Arial"/>
                <w:i/>
                <w:color w:val="FF0000"/>
                <w:sz w:val="24"/>
                <w:szCs w:val="24"/>
              </w:rPr>
            </w:pPr>
            <w:r>
              <w:rPr>
                <w:rFonts w:ascii="Arial" w:hAnsi="Arial" w:eastAsia="Arial" w:cs="Arial"/>
                <w:i/>
                <w:color w:val="FF0000"/>
                <w:sz w:val="24"/>
                <w:szCs w:val="24"/>
              </w:rPr>
              <w:t>Unidade</w:t>
            </w:r>
          </w:p>
        </w:tc>
        <w:tc>
          <w:tcPr>
            <w:tcW w:w="2245" w:type="dxa"/>
          </w:tcPr>
          <w:p w14:paraId="1AF1C2FC">
            <w:pPr>
              <w:widowControl w:val="0"/>
              <w:spacing w:line="360" w:lineRule="auto"/>
              <w:ind w:right="-30"/>
              <w:jc w:val="center"/>
              <w:rPr>
                <w:rFonts w:ascii="Arial" w:hAnsi="Arial" w:eastAsia="Arial" w:cs="Arial"/>
                <w:i/>
                <w:color w:val="FF0000"/>
                <w:sz w:val="24"/>
                <w:szCs w:val="24"/>
              </w:rPr>
            </w:pPr>
            <w:r>
              <w:rPr>
                <w:rFonts w:ascii="Arial" w:hAnsi="Arial" w:eastAsia="Arial" w:cs="Arial"/>
                <w:i/>
                <w:color w:val="FF0000"/>
                <w:sz w:val="24"/>
                <w:szCs w:val="24"/>
              </w:rPr>
              <w:t>Quantidade</w:t>
            </w:r>
          </w:p>
        </w:tc>
      </w:tr>
      <w:tr w14:paraId="78A157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244" w:type="dxa"/>
          </w:tcPr>
          <w:p w14:paraId="5B718C5A">
            <w:pPr>
              <w:widowControl w:val="0"/>
              <w:spacing w:line="360" w:lineRule="auto"/>
              <w:ind w:right="-30"/>
              <w:jc w:val="center"/>
              <w:rPr>
                <w:rFonts w:ascii="Arial" w:hAnsi="Arial" w:eastAsia="Arial" w:cs="Arial"/>
                <w:i/>
                <w:color w:val="FF0000"/>
                <w:sz w:val="24"/>
                <w:szCs w:val="24"/>
              </w:rPr>
            </w:pPr>
          </w:p>
        </w:tc>
        <w:tc>
          <w:tcPr>
            <w:tcW w:w="2244" w:type="dxa"/>
          </w:tcPr>
          <w:p w14:paraId="2E223AED">
            <w:pPr>
              <w:widowControl w:val="0"/>
              <w:spacing w:line="360" w:lineRule="auto"/>
              <w:ind w:right="-30"/>
              <w:jc w:val="center"/>
              <w:rPr>
                <w:rFonts w:ascii="Arial" w:hAnsi="Arial" w:eastAsia="Arial" w:cs="Arial"/>
                <w:i/>
                <w:color w:val="FF0000"/>
                <w:sz w:val="24"/>
                <w:szCs w:val="24"/>
              </w:rPr>
            </w:pPr>
          </w:p>
        </w:tc>
        <w:tc>
          <w:tcPr>
            <w:tcW w:w="2245" w:type="dxa"/>
          </w:tcPr>
          <w:p w14:paraId="723B74F4">
            <w:pPr>
              <w:widowControl w:val="0"/>
              <w:spacing w:line="360" w:lineRule="auto"/>
              <w:ind w:right="-30"/>
              <w:jc w:val="center"/>
              <w:rPr>
                <w:rFonts w:ascii="Arial" w:hAnsi="Arial" w:eastAsia="Arial" w:cs="Arial"/>
                <w:i/>
                <w:color w:val="FF0000"/>
                <w:sz w:val="24"/>
                <w:szCs w:val="24"/>
              </w:rPr>
            </w:pPr>
          </w:p>
        </w:tc>
        <w:tc>
          <w:tcPr>
            <w:tcW w:w="2245" w:type="dxa"/>
          </w:tcPr>
          <w:p w14:paraId="6E02B331">
            <w:pPr>
              <w:widowControl w:val="0"/>
              <w:spacing w:line="360" w:lineRule="auto"/>
              <w:ind w:right="-30"/>
              <w:jc w:val="center"/>
              <w:rPr>
                <w:rFonts w:ascii="Arial" w:hAnsi="Arial" w:eastAsia="Arial" w:cs="Arial"/>
                <w:i/>
                <w:color w:val="FF0000"/>
                <w:sz w:val="24"/>
                <w:szCs w:val="24"/>
              </w:rPr>
            </w:pPr>
          </w:p>
        </w:tc>
      </w:tr>
      <w:tr w14:paraId="6FC918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244" w:type="dxa"/>
          </w:tcPr>
          <w:p w14:paraId="6095C8D1">
            <w:pPr>
              <w:widowControl w:val="0"/>
              <w:spacing w:line="360" w:lineRule="auto"/>
              <w:ind w:right="-30"/>
              <w:jc w:val="center"/>
              <w:rPr>
                <w:rFonts w:ascii="Arial" w:hAnsi="Arial" w:eastAsia="Arial" w:cs="Arial"/>
                <w:i/>
                <w:color w:val="FF0000"/>
                <w:sz w:val="24"/>
                <w:szCs w:val="24"/>
              </w:rPr>
            </w:pPr>
          </w:p>
        </w:tc>
        <w:tc>
          <w:tcPr>
            <w:tcW w:w="2244" w:type="dxa"/>
          </w:tcPr>
          <w:p w14:paraId="6D45E931">
            <w:pPr>
              <w:widowControl w:val="0"/>
              <w:spacing w:line="360" w:lineRule="auto"/>
              <w:ind w:right="-30"/>
              <w:jc w:val="center"/>
              <w:rPr>
                <w:rFonts w:ascii="Arial" w:hAnsi="Arial" w:eastAsia="Arial" w:cs="Arial"/>
                <w:i/>
                <w:color w:val="FF0000"/>
                <w:sz w:val="24"/>
                <w:szCs w:val="24"/>
              </w:rPr>
            </w:pPr>
          </w:p>
        </w:tc>
        <w:tc>
          <w:tcPr>
            <w:tcW w:w="2245" w:type="dxa"/>
          </w:tcPr>
          <w:p w14:paraId="2E0FF2E4">
            <w:pPr>
              <w:widowControl w:val="0"/>
              <w:spacing w:line="360" w:lineRule="auto"/>
              <w:ind w:right="-30"/>
              <w:jc w:val="center"/>
              <w:rPr>
                <w:rFonts w:ascii="Arial" w:hAnsi="Arial" w:eastAsia="Arial" w:cs="Arial"/>
                <w:i/>
                <w:color w:val="FF0000"/>
                <w:sz w:val="24"/>
                <w:szCs w:val="24"/>
              </w:rPr>
            </w:pPr>
          </w:p>
        </w:tc>
        <w:tc>
          <w:tcPr>
            <w:tcW w:w="2245" w:type="dxa"/>
          </w:tcPr>
          <w:p w14:paraId="34E5D27F">
            <w:pPr>
              <w:widowControl w:val="0"/>
              <w:spacing w:line="360" w:lineRule="auto"/>
              <w:ind w:right="-30"/>
              <w:jc w:val="center"/>
              <w:rPr>
                <w:rFonts w:ascii="Arial" w:hAnsi="Arial" w:eastAsia="Arial" w:cs="Arial"/>
                <w:i/>
                <w:color w:val="FF0000"/>
                <w:sz w:val="24"/>
                <w:szCs w:val="24"/>
              </w:rPr>
            </w:pPr>
          </w:p>
        </w:tc>
      </w:tr>
      <w:tr w14:paraId="27DB5D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244" w:type="dxa"/>
          </w:tcPr>
          <w:p w14:paraId="10BAA940">
            <w:pPr>
              <w:widowControl w:val="0"/>
              <w:spacing w:line="360" w:lineRule="auto"/>
              <w:ind w:right="-30"/>
              <w:jc w:val="center"/>
              <w:rPr>
                <w:rFonts w:ascii="Arial" w:hAnsi="Arial" w:eastAsia="Arial" w:cs="Arial"/>
                <w:i/>
                <w:color w:val="FF0000"/>
                <w:sz w:val="24"/>
                <w:szCs w:val="24"/>
              </w:rPr>
            </w:pPr>
          </w:p>
        </w:tc>
        <w:tc>
          <w:tcPr>
            <w:tcW w:w="2244" w:type="dxa"/>
          </w:tcPr>
          <w:p w14:paraId="63FBB0C6">
            <w:pPr>
              <w:widowControl w:val="0"/>
              <w:spacing w:line="360" w:lineRule="auto"/>
              <w:ind w:right="-30"/>
              <w:jc w:val="center"/>
              <w:rPr>
                <w:rFonts w:ascii="Arial" w:hAnsi="Arial" w:eastAsia="Arial" w:cs="Arial"/>
                <w:i/>
                <w:color w:val="FF0000"/>
                <w:sz w:val="24"/>
                <w:szCs w:val="24"/>
              </w:rPr>
            </w:pPr>
          </w:p>
        </w:tc>
        <w:tc>
          <w:tcPr>
            <w:tcW w:w="2245" w:type="dxa"/>
          </w:tcPr>
          <w:p w14:paraId="49B9826E">
            <w:pPr>
              <w:widowControl w:val="0"/>
              <w:spacing w:line="360" w:lineRule="auto"/>
              <w:ind w:right="-30"/>
              <w:jc w:val="center"/>
              <w:rPr>
                <w:rFonts w:ascii="Arial" w:hAnsi="Arial" w:eastAsia="Arial" w:cs="Arial"/>
                <w:i/>
                <w:color w:val="FF0000"/>
                <w:sz w:val="24"/>
                <w:szCs w:val="24"/>
              </w:rPr>
            </w:pPr>
          </w:p>
        </w:tc>
        <w:tc>
          <w:tcPr>
            <w:tcW w:w="2245" w:type="dxa"/>
          </w:tcPr>
          <w:p w14:paraId="6CCDA261">
            <w:pPr>
              <w:widowControl w:val="0"/>
              <w:spacing w:line="360" w:lineRule="auto"/>
              <w:ind w:right="-30"/>
              <w:jc w:val="center"/>
              <w:rPr>
                <w:rFonts w:ascii="Arial" w:hAnsi="Arial" w:eastAsia="Arial" w:cs="Arial"/>
                <w:i/>
                <w:color w:val="FF0000"/>
                <w:sz w:val="24"/>
                <w:szCs w:val="24"/>
              </w:rPr>
            </w:pPr>
          </w:p>
        </w:tc>
      </w:tr>
    </w:tbl>
    <w:p w14:paraId="258E62DE">
      <w:pPr>
        <w:keepNext/>
        <w:keepLines/>
        <w:numPr>
          <w:ilvl w:val="0"/>
          <w:numId w:val="8"/>
        </w:numPr>
        <w:pBdr>
          <w:top w:val="none" w:color="auto" w:sz="0" w:space="0"/>
          <w:left w:val="none" w:color="auto" w:sz="0" w:space="0"/>
          <w:bottom w:val="none" w:color="auto" w:sz="0" w:space="0"/>
          <w:right w:val="none" w:color="auto" w:sz="0" w:space="0"/>
          <w:between w:val="none" w:color="auto" w:sz="0" w:space="0"/>
        </w:pBdr>
        <w:tabs>
          <w:tab w:val="left" w:pos="567"/>
        </w:tabs>
        <w:spacing w:after="0"/>
        <w:ind w:left="0" w:firstLine="0"/>
        <w:jc w:val="both"/>
        <w:rPr>
          <w:rFonts w:ascii="Arial" w:hAnsi="Arial" w:eastAsia="Arial" w:cs="Arial"/>
          <w:i/>
          <w:color w:val="FF0000"/>
          <w:sz w:val="24"/>
          <w:szCs w:val="24"/>
        </w:rPr>
      </w:pPr>
      <w:r>
        <w:rPr>
          <w:rFonts w:ascii="Arial" w:hAnsi="Arial" w:eastAsia="Arial" w:cs="Arial"/>
          <w:color w:val="000000"/>
          <w:sz w:val="24"/>
          <w:szCs w:val="24"/>
        </w:rPr>
        <w:t>DA ADESÃO À ATA DE REGISTRO DE PREÇOS</w:t>
      </w:r>
    </w:p>
    <w:p w14:paraId="6273A4A1">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 xml:space="preserve"> Não será admitida a adesão à ata de registro de preços decorrente desta licitação ou desta contratação direta.</w:t>
      </w:r>
    </w:p>
    <w:p w14:paraId="097FA75B">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A adesão à ata de registro de preços por órgãos e entidades da Administração Pública estadual, distrital e municipal poderá ser exigida para fins de transferências voluntárias, não ficando sujeita ao limite de que trata o item 4.7, desde que seja destinada à execução descentralizada de programa ou projeto federal e comprovada a compatibilidade dos preços registrados com os valores praticados no mercado na forma do art. 23 da Lei nº 14.133, de 2021.</w:t>
      </w:r>
    </w:p>
    <w:p w14:paraId="014412FF">
      <w:pPr>
        <w:pBdr>
          <w:top w:val="none" w:color="auto" w:sz="0" w:space="0"/>
          <w:left w:val="none" w:color="auto" w:sz="0" w:space="0"/>
          <w:bottom w:val="none" w:color="auto" w:sz="0" w:space="0"/>
          <w:right w:val="none" w:color="auto" w:sz="0" w:space="0"/>
          <w:between w:val="none" w:color="auto" w:sz="0" w:space="0"/>
        </w:pBdr>
        <w:spacing w:before="240" w:after="120"/>
        <w:jc w:val="both"/>
        <w:rPr>
          <w:rFonts w:ascii="Arial" w:hAnsi="Arial" w:eastAsia="Arial" w:cs="Arial"/>
          <w:b/>
          <w:color w:val="000000"/>
          <w:sz w:val="24"/>
          <w:szCs w:val="24"/>
        </w:rPr>
      </w:pPr>
      <w:r>
        <w:rPr>
          <w:rFonts w:ascii="Arial" w:hAnsi="Arial" w:eastAsia="Arial" w:cs="Arial"/>
          <w:b/>
          <w:color w:val="000000"/>
          <w:sz w:val="24"/>
          <w:szCs w:val="24"/>
        </w:rPr>
        <w:t>Vedação a acréscimo de quantitativos</w:t>
      </w:r>
    </w:p>
    <w:p w14:paraId="2B99784F">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É vedado efetuar acréscimos nos quantitativos fixados na ata de registro de preços.</w:t>
      </w:r>
    </w:p>
    <w:p w14:paraId="39A946F7">
      <w:pPr>
        <w:keepNext/>
        <w:keepLines/>
        <w:numPr>
          <w:ilvl w:val="0"/>
          <w:numId w:val="8"/>
        </w:numPr>
        <w:pBdr>
          <w:top w:val="none" w:color="auto" w:sz="0" w:space="0"/>
          <w:left w:val="none" w:color="auto" w:sz="0" w:space="0"/>
          <w:bottom w:val="none" w:color="auto" w:sz="0" w:space="0"/>
          <w:right w:val="none" w:color="auto" w:sz="0" w:space="0"/>
          <w:between w:val="none" w:color="auto" w:sz="0" w:space="0"/>
        </w:pBdr>
        <w:tabs>
          <w:tab w:val="left" w:pos="567"/>
        </w:tabs>
        <w:spacing w:after="0"/>
        <w:ind w:left="0" w:firstLine="0"/>
        <w:jc w:val="both"/>
        <w:rPr>
          <w:rFonts w:ascii="Arial" w:hAnsi="Arial" w:eastAsia="Arial" w:cs="Arial"/>
          <w:color w:val="000000"/>
          <w:sz w:val="24"/>
          <w:szCs w:val="24"/>
        </w:rPr>
      </w:pPr>
      <w:r>
        <w:rPr>
          <w:rFonts w:ascii="Arial" w:hAnsi="Arial" w:eastAsia="Arial" w:cs="Arial"/>
          <w:color w:val="000000"/>
          <w:sz w:val="24"/>
          <w:szCs w:val="24"/>
        </w:rPr>
        <w:t>VALIDADE, FORMALIZAÇÃO DA ATA DE REGISTRO DE PREÇOS E CADASTRO RESERVA</w:t>
      </w:r>
    </w:p>
    <w:p w14:paraId="2E145606">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A validade da Ata de Registro de Preços será de 1 (um) ano, contado a partir do primeiro dia útil subsequente à data de divulgação no PNCP, podendo ser prorrogada por igual período, mediante a anuência do fornecedor, desde que comprovado o preço vantajoso.</w:t>
      </w:r>
    </w:p>
    <w:p w14:paraId="5D34EFB5">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O contrato decorrente da ata de registro de preços terá sua vigência estabelecida no próprio instrumento contratual e observará no momento da contratação e a cada exercício financeiro a disponibilidade de créditos orçamentários, bem como a previsão no plano plurianual, quando ultrapassar 1 (um) exercício financeiro.</w:t>
      </w:r>
    </w:p>
    <w:p w14:paraId="52DCD030">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Na formalização do contrato ou do instrumento substituto deverá haver a indicação da disponibilidade dos créditos orçamentários respectivos.</w:t>
      </w:r>
    </w:p>
    <w:p w14:paraId="7C2BAEAE">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A contratação com os fornecedores registrados na ata será formalizada pelo órgão ou pela entidade interessada por intermédio de instrumento contratual, emissão de nota de empenho de despesa, autorização de compra ou outro instrumento hábil, conforme o art. 95 da Lei nº 14.133, de 2021.</w:t>
      </w:r>
    </w:p>
    <w:p w14:paraId="32D942F8">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 xml:space="preserve"> O instrumento contratual de que trata o item 5.2. deverá ser assinado no prazo de validade da ata de registro de preços.</w:t>
      </w:r>
    </w:p>
    <w:p w14:paraId="53EB0460">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Os contratos decorrentes do sistema de registro de preços poderão ser alterados, observado o art. 124 da Lei nº 14.133, de 2021.</w:t>
      </w:r>
    </w:p>
    <w:p w14:paraId="7A13C05F">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Após a homologação da licitação ou da contratação direta, deverão ser observadas as seguintes condições para formalização da ata de registro de preços:</w:t>
      </w:r>
    </w:p>
    <w:p w14:paraId="62C7F31F">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Serão registrados na ata os preços e os quantitativos do adjudicatário, devendo ser observada a possibilidade de o licitante oferecer ou não proposta em quantitativo inferior ao máximo previsto no edital</w:t>
      </w:r>
      <w:r>
        <w:rPr>
          <w:rFonts w:ascii="Arial" w:hAnsi="Arial" w:eastAsia="Arial" w:cs="Arial"/>
          <w:color w:val="FF0000"/>
          <w:sz w:val="24"/>
          <w:szCs w:val="24"/>
        </w:rPr>
        <w:t xml:space="preserve"> </w:t>
      </w:r>
      <w:r>
        <w:rPr>
          <w:rFonts w:ascii="Arial" w:hAnsi="Arial" w:eastAsia="Arial" w:cs="Arial"/>
          <w:color w:val="000000"/>
          <w:sz w:val="24"/>
          <w:szCs w:val="24"/>
        </w:rPr>
        <w:t>e se obrigar nos limites dela;</w:t>
      </w:r>
    </w:p>
    <w:p w14:paraId="2BC6DAC8">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Será incluído na ata, na forma de anexo, o registro dos licitantes ou dos fornecedores que:</w:t>
      </w:r>
    </w:p>
    <w:p w14:paraId="06C4016D">
      <w:pPr>
        <w:pBdr>
          <w:top w:val="none" w:color="auto" w:sz="0" w:space="0"/>
          <w:left w:val="none" w:color="auto" w:sz="0" w:space="0"/>
          <w:bottom w:val="none" w:color="auto" w:sz="0" w:space="0"/>
          <w:right w:val="none" w:color="auto" w:sz="0" w:space="0"/>
          <w:between w:val="none" w:color="auto" w:sz="0" w:space="0"/>
        </w:pBdr>
        <w:spacing w:before="120" w:after="120"/>
        <w:ind w:left="567" w:hanging="283"/>
        <w:jc w:val="both"/>
        <w:rPr>
          <w:rFonts w:ascii="Arial" w:hAnsi="Arial" w:eastAsia="Arial" w:cs="Arial"/>
          <w:color w:val="000000"/>
          <w:sz w:val="24"/>
          <w:szCs w:val="24"/>
        </w:rPr>
      </w:pPr>
      <w:r>
        <w:rPr>
          <w:rFonts w:ascii="Arial" w:hAnsi="Arial" w:eastAsia="Arial" w:cs="Arial"/>
          <w:color w:val="000000"/>
          <w:sz w:val="24"/>
          <w:szCs w:val="24"/>
        </w:rPr>
        <w:t xml:space="preserve">Aceitarem cotar os bens, as obras ou os serviços com preços iguais aos do adjudicatário, observada a classificação da licitação; e </w:t>
      </w:r>
    </w:p>
    <w:p w14:paraId="2877731D">
      <w:pPr>
        <w:pBdr>
          <w:top w:val="none" w:color="auto" w:sz="0" w:space="0"/>
          <w:left w:val="none" w:color="auto" w:sz="0" w:space="0"/>
          <w:bottom w:val="none" w:color="auto" w:sz="0" w:space="0"/>
          <w:right w:val="none" w:color="auto" w:sz="0" w:space="0"/>
          <w:between w:val="none" w:color="auto" w:sz="0" w:space="0"/>
        </w:pBdr>
        <w:spacing w:before="120" w:after="120"/>
        <w:ind w:left="567" w:hanging="283"/>
        <w:jc w:val="both"/>
        <w:rPr>
          <w:rFonts w:ascii="Arial" w:hAnsi="Arial" w:eastAsia="Arial" w:cs="Arial"/>
          <w:color w:val="000000"/>
          <w:sz w:val="24"/>
          <w:szCs w:val="24"/>
        </w:rPr>
      </w:pPr>
      <w:r>
        <w:rPr>
          <w:rFonts w:ascii="Arial" w:hAnsi="Arial" w:eastAsia="Arial" w:cs="Arial"/>
          <w:color w:val="000000"/>
          <w:sz w:val="24"/>
          <w:szCs w:val="24"/>
        </w:rPr>
        <w:t xml:space="preserve">Mantiverem sua proposta original. </w:t>
      </w:r>
      <w:bookmarkStart w:id="58" w:name="bookmark=id.1egqt2p" w:colFirst="0" w:colLast="0"/>
      <w:bookmarkEnd w:id="58"/>
    </w:p>
    <w:p w14:paraId="0987E213">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Será respeitada, nas contratações, a ordem de classificação dos licitantes ou dos fornecedores registrados na ata.</w:t>
      </w:r>
    </w:p>
    <w:p w14:paraId="3CF8B1C5">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O registro a que se refere o item 5.4.2</w:t>
      </w:r>
      <w:r>
        <w:rPr>
          <w:rFonts w:ascii="Arial" w:hAnsi="Arial" w:eastAsia="Arial" w:cs="Arial"/>
          <w:b/>
          <w:color w:val="000000"/>
          <w:sz w:val="24"/>
          <w:szCs w:val="24"/>
        </w:rPr>
        <w:t xml:space="preserve"> </w:t>
      </w:r>
      <w:r>
        <w:rPr>
          <w:rFonts w:ascii="Arial" w:hAnsi="Arial" w:eastAsia="Arial" w:cs="Arial"/>
          <w:color w:val="000000"/>
          <w:sz w:val="24"/>
          <w:szCs w:val="24"/>
        </w:rPr>
        <w:t>tem por objetivo a formação de cadastro de reserva para o caso de impossibilidade de atendimento pelo signatário da ata.</w:t>
      </w:r>
    </w:p>
    <w:p w14:paraId="2BC89541">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Para fins da ordem de classificação, os licitantes ou fornecedores que aceitarem reduzir suas propostas para o preço do adjudicatário antecederão aqueles que mantiverem sua proposta original.</w:t>
      </w:r>
    </w:p>
    <w:p w14:paraId="4912AB6A">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A habilitação dos licitantes que comporão o cadastro de reserva a que se refere o item 0 somente será efetuada quando houver necessidade de contratação dos licitantes remanescentes, nas seguintes hipóteses:</w:t>
      </w:r>
      <w:bookmarkStart w:id="59" w:name="bookmark=id.3ygebqi" w:colFirst="0" w:colLast="0"/>
      <w:bookmarkEnd w:id="59"/>
    </w:p>
    <w:p w14:paraId="6C46E250">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Quando o licitante vencedor não assinar a ata de registro de preços, no prazo e nas condições estabelecidos no edital; e</w:t>
      </w:r>
    </w:p>
    <w:p w14:paraId="76650AF9">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Quando houver o cancelamento do registro do licitante ou do registro de preços nas hipóteses previstas no item 23.</w:t>
      </w:r>
    </w:p>
    <w:p w14:paraId="1D62F2A9">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O preço registrado com indicação dos licitantes e fornecedores será divulgado no PNCP e ficará disponibilizado durante a vigência da ata de registro de preços.</w:t>
      </w:r>
    </w:p>
    <w:p w14:paraId="78040F23">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Após a homologação da licitação ou da contratação direta, o licitante mais bem classificado ou o fornecedor, no caso da contratação direta, será convocado para assinar a ata de registro de preços, no prazo e nas condições estabelecidos no edital de licitação ou no aviso de contratação direta, sob pena de decair o direito, sem prejuízo das sanções previstas na Lei nº 14.133, de 2021.</w:t>
      </w:r>
    </w:p>
    <w:p w14:paraId="4EC5B86F">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O prazo de convocação poderá ser prorrogado 1 (uma) vez, por igual período, mediante solicitação do licitante ou fornecedor convocado, desde que apresentada dentro do prazo, devidamente justificada, e que a justificativa seja aceita pela Administração.</w:t>
      </w:r>
    </w:p>
    <w:p w14:paraId="12416AF2">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A ata de registro de preços será assinada por meio de assinatura digital e disponibilizada no Sistema de Registro de Preços.</w:t>
      </w:r>
    </w:p>
    <w:p w14:paraId="72B0799D">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Quando o convocado não assinar a ata de registro de preços no prazo e nas condições estabelecidos no edital ou no aviso de contratação, e observado o disposto no item 19.8, observando o item 5.7 e subitens, fica facultado à Administração convocar os licitantes remanescentes do cadastro de reserva, na ordem de classificação, para fazê-lo em igual prazo e nas condições propostas pelo primeiro classificado.</w:t>
      </w:r>
      <w:bookmarkStart w:id="60" w:name="bookmark=id.2dlolyb" w:colFirst="0" w:colLast="0"/>
      <w:bookmarkEnd w:id="60"/>
    </w:p>
    <w:p w14:paraId="7736629C">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Na hipótese de nenhum dos licitantes que trata o item 5.4.2.1, aceitar a contratação nos termos do item anterior, a Administração, observados o valor estimado e sua eventual atualização nos termos do edital, poderá:</w:t>
      </w:r>
    </w:p>
    <w:p w14:paraId="7C71EE22">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Convocar para negociação os demais licitantes ou fornecedores remanescentes cujos preços foram registrados sem redução, observada a ordem de classificação, com vistas à obtenção de preço melhor, mesmo que acima do preço do adjudicatário; ou</w:t>
      </w:r>
    </w:p>
    <w:p w14:paraId="39C98B1C">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Adjudicar e firmar o contrato nas condições ofertadas pelos licitantes ou fornecedores remanescentes, atendida a ordem classificatória, quando frustrada a negociação de melhor condição.</w:t>
      </w:r>
    </w:p>
    <w:p w14:paraId="03EA7549">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A existência de preços registrados implicará compromisso de fornecimento nas condições estabelecidas, mas não obrigará a Administração a contratar, facultada a realização de licitação específica para a aquisição pretendida, desde que devidamente justificada.</w:t>
      </w:r>
    </w:p>
    <w:p w14:paraId="54A22944">
      <w:pPr>
        <w:keepNext/>
        <w:keepLines/>
        <w:numPr>
          <w:ilvl w:val="0"/>
          <w:numId w:val="8"/>
        </w:numPr>
        <w:pBdr>
          <w:top w:val="none" w:color="auto" w:sz="0" w:space="0"/>
          <w:left w:val="none" w:color="auto" w:sz="0" w:space="0"/>
          <w:bottom w:val="none" w:color="auto" w:sz="0" w:space="0"/>
          <w:right w:val="none" w:color="auto" w:sz="0" w:space="0"/>
          <w:between w:val="none" w:color="auto" w:sz="0" w:space="0"/>
        </w:pBdr>
        <w:tabs>
          <w:tab w:val="left" w:pos="567"/>
        </w:tabs>
        <w:spacing w:after="0"/>
        <w:ind w:left="0" w:firstLine="0"/>
        <w:jc w:val="both"/>
        <w:rPr>
          <w:rFonts w:ascii="Arial" w:hAnsi="Arial" w:eastAsia="Arial" w:cs="Arial"/>
          <w:color w:val="000000"/>
          <w:sz w:val="24"/>
          <w:szCs w:val="24"/>
        </w:rPr>
      </w:pPr>
      <w:r>
        <w:rPr>
          <w:rFonts w:ascii="Arial" w:hAnsi="Arial" w:eastAsia="Arial" w:cs="Arial"/>
          <w:color w:val="000000"/>
          <w:sz w:val="24"/>
          <w:szCs w:val="24"/>
        </w:rPr>
        <w:t>ALTERAÇÃO OU ATUALIZAÇÃO DOS PREÇOS REGISTRADOS</w:t>
      </w:r>
    </w:p>
    <w:p w14:paraId="6C15F4EF">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Os preços registrados poderão ser alterados ou atualizados em decorrência de eventual redução dos preços praticados no mercado ou de fato que eleve o custo dos bens, das obras ou dos serviços registrados, nas seguintes situações:</w:t>
      </w:r>
    </w:p>
    <w:p w14:paraId="21626FDC">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 xml:space="preserve">Em caso de força maior, caso fortuito ou fato do príncipe ou em decorrência de fatos imprevisíveis ou previsíveis de consequências incalculáveis, que inviabilizem a execução da ata tal como pactuada, nos termos da </w:t>
      </w:r>
      <w:r>
        <w:rPr>
          <w:rFonts w:ascii="Arial" w:hAnsi="Arial" w:eastAsia="Arial" w:cs="Arial"/>
          <w:color w:val="0000EF"/>
          <w:sz w:val="24"/>
          <w:szCs w:val="24"/>
        </w:rPr>
        <w:t>alínea “d” do inciso II do caput do art. 124 da Lei nº 14.133, de 2021;</w:t>
      </w:r>
    </w:p>
    <w:p w14:paraId="586A0849">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 xml:space="preserve">Em caso de criação, alteração ou extinção de quaisquer tributos ou encargos legais ou a superveniência de disposições legais, com comprovada repercussão sobre os preços registrados; </w:t>
      </w:r>
    </w:p>
    <w:p w14:paraId="76CCCFA7">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Na hipótese de previsão no edital ou no aviso de contratação direta de cláusula de reajustamento ou repactuação sobre os preços registrados, nos termos da Lei nº 14.133, de 2021.</w:t>
      </w:r>
    </w:p>
    <w:p w14:paraId="2A473287">
      <w:pPr>
        <w:pBdr>
          <w:top w:val="none" w:color="auto" w:sz="0" w:space="0"/>
          <w:left w:val="none" w:color="auto" w:sz="0" w:space="0"/>
          <w:bottom w:val="none" w:color="auto" w:sz="0" w:space="0"/>
          <w:right w:val="none" w:color="auto" w:sz="0" w:space="0"/>
          <w:between w:val="none" w:color="auto" w:sz="0" w:space="0"/>
        </w:pBdr>
        <w:spacing w:before="120" w:after="120"/>
        <w:ind w:left="567" w:hanging="283"/>
        <w:jc w:val="both"/>
        <w:rPr>
          <w:rFonts w:ascii="Arial" w:hAnsi="Arial" w:eastAsia="Arial" w:cs="Arial"/>
          <w:color w:val="000000"/>
          <w:sz w:val="24"/>
          <w:szCs w:val="24"/>
        </w:rPr>
      </w:pPr>
      <w:r>
        <w:rPr>
          <w:rFonts w:ascii="Arial" w:hAnsi="Arial" w:eastAsia="Arial" w:cs="Arial"/>
          <w:color w:val="000000"/>
          <w:sz w:val="24"/>
          <w:szCs w:val="24"/>
        </w:rPr>
        <w:t xml:space="preserve">No caso do reajustamento, deverá ser respeitada a contagem da anualidade e o índice previstos para a contratação;  </w:t>
      </w:r>
    </w:p>
    <w:p w14:paraId="086A3E70">
      <w:pPr>
        <w:pBdr>
          <w:top w:val="none" w:color="auto" w:sz="0" w:space="0"/>
          <w:left w:val="none" w:color="auto" w:sz="0" w:space="0"/>
          <w:bottom w:val="none" w:color="auto" w:sz="0" w:space="0"/>
          <w:right w:val="none" w:color="auto" w:sz="0" w:space="0"/>
          <w:between w:val="none" w:color="auto" w:sz="0" w:space="0"/>
        </w:pBdr>
        <w:spacing w:before="120" w:after="120"/>
        <w:ind w:left="567" w:hanging="283"/>
        <w:jc w:val="both"/>
        <w:rPr>
          <w:rFonts w:ascii="Arial" w:hAnsi="Arial" w:eastAsia="Arial" w:cs="Arial"/>
          <w:color w:val="000000"/>
          <w:sz w:val="24"/>
          <w:szCs w:val="24"/>
        </w:rPr>
      </w:pPr>
      <w:r>
        <w:rPr>
          <w:rFonts w:ascii="Arial" w:hAnsi="Arial" w:eastAsia="Arial" w:cs="Arial"/>
          <w:color w:val="000000"/>
          <w:sz w:val="24"/>
          <w:szCs w:val="24"/>
        </w:rPr>
        <w:t>No caso da repactuação, poderá ser a pedido do interessado, conforme critérios definidos para a contratação.</w:t>
      </w:r>
    </w:p>
    <w:p w14:paraId="6EE9F68C">
      <w:pPr>
        <w:keepNext/>
        <w:keepLines/>
        <w:numPr>
          <w:ilvl w:val="0"/>
          <w:numId w:val="8"/>
        </w:numPr>
        <w:pBdr>
          <w:top w:val="none" w:color="auto" w:sz="0" w:space="0"/>
          <w:left w:val="none" w:color="auto" w:sz="0" w:space="0"/>
          <w:bottom w:val="none" w:color="auto" w:sz="0" w:space="0"/>
          <w:right w:val="none" w:color="auto" w:sz="0" w:space="0"/>
          <w:between w:val="none" w:color="auto" w:sz="0" w:space="0"/>
        </w:pBdr>
        <w:tabs>
          <w:tab w:val="left" w:pos="567"/>
        </w:tabs>
        <w:spacing w:after="0"/>
        <w:ind w:left="0" w:firstLine="0"/>
        <w:jc w:val="both"/>
        <w:rPr>
          <w:rFonts w:ascii="Arial" w:hAnsi="Arial" w:eastAsia="Arial" w:cs="Arial"/>
          <w:color w:val="000000"/>
          <w:sz w:val="24"/>
          <w:szCs w:val="24"/>
        </w:rPr>
      </w:pPr>
      <w:r>
        <w:rPr>
          <w:rFonts w:ascii="Arial" w:hAnsi="Arial" w:eastAsia="Arial" w:cs="Arial"/>
          <w:color w:val="000000"/>
          <w:sz w:val="24"/>
          <w:szCs w:val="24"/>
        </w:rPr>
        <w:t>NEGOCIAÇÃO DE PREÇOS REGISTRADOS</w:t>
      </w:r>
    </w:p>
    <w:p w14:paraId="20A44AFA">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Na hipótese de o preço registrado tornar-se superior ao preço praticado no mercado por motivo superveniente, o órgão ou entidade gerenciadora convocará o fornecedor para negociar a redução do preço registrado.</w:t>
      </w:r>
    </w:p>
    <w:p w14:paraId="59DD24DF">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Caso não aceite reduzir seu preço aos valores praticados pelo mercado, o fornecedor será liberado do compromisso assumido quanto ao item registrado, sem aplicação de penalidades administrativas.</w:t>
      </w:r>
    </w:p>
    <w:p w14:paraId="13DC66DE">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 xml:space="preserve">Na hipótese prevista no item anterior, o gerenciador convocará os fornecedores do cadastro de reserva, na ordem de classificação, para verificar se aceitam reduzir seus preços aos valores de mercado e não convocará os licitantes ou fornecedores que tiveram seu registro cancelado. </w:t>
      </w:r>
    </w:p>
    <w:p w14:paraId="0962FCB0">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Se não obtiver êxito nas negociações, o órgão ou entidade gerenciadora procederá ao cancelamento da ata de registro de preços, adotando as medidas cabíveis para obtenção de contratação mais vantajosa.</w:t>
      </w:r>
      <w:bookmarkStart w:id="61" w:name="bookmark=id.sqyw64" w:colFirst="0" w:colLast="0"/>
      <w:bookmarkEnd w:id="61"/>
    </w:p>
    <w:p w14:paraId="35849B98">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Na hipótese de redução do preço registrado, o gerenciador comunicará aos órgãos e às entidades que tiverem firmado contratos decorrentes da ata de registro de preços para que avaliem a conveniência e a oportunidade de diligenciarem negociação com vistas à alteração contratual, observado o disposto no art. 124 da Lei nº 14.133, de 2021.</w:t>
      </w:r>
    </w:p>
    <w:p w14:paraId="3B51DDC7">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Na hipótese de o preço de mercado tornar-se superior ao preço registrado e o fornecedor não poder cumprir as obrigações estabelecidas na ata, será facultado ao fornecedor requerer ao gerenciador a alteração do preço registrado, mediante comprovação de fato superveniente que supostamente o impossibilite de cumprir o compromisso.</w:t>
      </w:r>
      <w:bookmarkStart w:id="62" w:name="bookmark=id.3cqmetx" w:colFirst="0" w:colLast="0"/>
      <w:bookmarkEnd w:id="62"/>
    </w:p>
    <w:p w14:paraId="4EB5E0AD">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Neste caso, o fornecedor encaminhará, juntamente com o pedido de alteração, a documentação comprobatória ou a planilha de custos que demonstre a inviabilidade do preço registrado em relação às condições inicialmente pactuadas.</w:t>
      </w:r>
      <w:bookmarkStart w:id="63" w:name="bookmark=id.1rvwp1q" w:colFirst="0" w:colLast="0"/>
      <w:bookmarkEnd w:id="63"/>
    </w:p>
    <w:p w14:paraId="32792E55">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Não hipótese de não comprovação da existência de fato superveniente que inviabilize o preço registrado, o pedido será indeferido pelo órgão ou entidade gerenciadora e o fornecedor deverá cumprir as obrigações estabelecidas na ata, sob pena de cancelamento do seu registro, nos termos do item 23.2, sem prejuízo das sanções previstas na Lei nº 14.133, de 2021, e na legislação aplicável.</w:t>
      </w:r>
      <w:bookmarkStart w:id="64" w:name="bookmark=id.4bvk7pj" w:colFirst="0" w:colLast="0"/>
      <w:bookmarkEnd w:id="64"/>
    </w:p>
    <w:p w14:paraId="6DF3326A">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Na hipótese de cancelamento do registro do fornecedor, nos termos do item anterior, o gerenciador convocará os fornecedores do cadastro de reserva, na ordem de classificação, para verificar se aceitam manter seus preços registrados, observado o disposto no item 5.7.</w:t>
      </w:r>
    </w:p>
    <w:p w14:paraId="25E20DE9">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Se não obtiver êxito nas negociações, o órgão ou entidade gerenciadora procederá ao cancelamento da ata de registro de preços, nos termos do item 23.5, e adotará as medidas cabíveis para a obtenção da contratação mais vantajosa.</w:t>
      </w:r>
      <w:bookmarkStart w:id="65" w:name="bookmark=id.2r0uhxc" w:colFirst="0" w:colLast="0"/>
      <w:bookmarkEnd w:id="65"/>
    </w:p>
    <w:p w14:paraId="6C3C71CB">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Na hipótese de comprovação da majoração do preço de mercado que inviabilize o preço registrado, conforme previsto no item 21.3 e no item 21.3.4, o órgão ou entidade gerenciadora atualizará o preço registrado, de acordo com a realidade dos valores praticados pelo mercado.</w:t>
      </w:r>
    </w:p>
    <w:p w14:paraId="65E663E4">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 xml:space="preserve"> O órgão ou entidade gerenciadora comunicará aos órgãos e às entidades que tiverem firmado contratos decorrentes da ata de registro de preços sobre a efetiva alteração do preço registrado, para que avaliem a necessidade de alteração contratual, observado o disposto no art. 124 da Lei nº 14.133, de 2021.</w:t>
      </w:r>
    </w:p>
    <w:p w14:paraId="52931870">
      <w:pPr>
        <w:keepNext/>
        <w:keepLines/>
        <w:numPr>
          <w:ilvl w:val="0"/>
          <w:numId w:val="8"/>
        </w:numPr>
        <w:pBdr>
          <w:top w:val="none" w:color="auto" w:sz="0" w:space="0"/>
          <w:left w:val="none" w:color="auto" w:sz="0" w:space="0"/>
          <w:bottom w:val="none" w:color="auto" w:sz="0" w:space="0"/>
          <w:right w:val="none" w:color="auto" w:sz="0" w:space="0"/>
          <w:between w:val="none" w:color="auto" w:sz="0" w:space="0"/>
        </w:pBdr>
        <w:tabs>
          <w:tab w:val="left" w:pos="567"/>
        </w:tabs>
        <w:spacing w:after="0"/>
        <w:ind w:left="0" w:firstLine="0"/>
        <w:jc w:val="both"/>
        <w:rPr>
          <w:rFonts w:ascii="Arial" w:hAnsi="Arial" w:eastAsia="Arial" w:cs="Arial"/>
          <w:color w:val="000000"/>
          <w:sz w:val="24"/>
          <w:szCs w:val="24"/>
        </w:rPr>
      </w:pPr>
      <w:r>
        <w:rPr>
          <w:rFonts w:ascii="Arial" w:hAnsi="Arial" w:eastAsia="Arial" w:cs="Arial"/>
          <w:color w:val="000000"/>
          <w:sz w:val="24"/>
          <w:szCs w:val="24"/>
        </w:rPr>
        <w:t>REMANEJAMENTO DAS QUANTIDADES REGISTRADAS NA ATA DE REGISTRO DE PREÇOS</w:t>
      </w:r>
    </w:p>
    <w:p w14:paraId="701D6F21">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 xml:space="preserve"> As quantidades previstas para os itens com preços registrados nas atas de registro de preços poderão ser remanejadas pelo órgão ou entidade gerenciadora entre os órgãos ou as entidades participantes e não participantes do registro de preços.</w:t>
      </w:r>
    </w:p>
    <w:p w14:paraId="343D3B27">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 xml:space="preserve"> O remanejamento somente poderá ser feito:</w:t>
      </w:r>
    </w:p>
    <w:p w14:paraId="2C130BE1">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De órgão ou entidade participante para órgão ou entidade participante; ou</w:t>
      </w:r>
    </w:p>
    <w:p w14:paraId="71BB7FDE">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De órgão ou entidade participante para órgão ou entidade não participante.</w:t>
      </w:r>
    </w:p>
    <w:p w14:paraId="41254C47">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O órgão ou entidade gerenciadora que tiver estimado as quantidades que pretende contratar será considerado participante para efeito do remanejamento.</w:t>
      </w:r>
      <w:bookmarkStart w:id="66" w:name="bookmark=id.1664s55" w:colFirst="0" w:colLast="0"/>
      <w:bookmarkEnd w:id="66"/>
    </w:p>
    <w:p w14:paraId="4EEC1789">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Na hipótese de remanejamento de órgão ou entidade participante para órgão ou entidade não participante, serão observados os limites previstos no art. 32 do Decreto nº 11.462, de 2023.</w:t>
      </w:r>
    </w:p>
    <w:p w14:paraId="524FB125">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Competirá ao órgão ou à entidade gerenciadora autorizar o remanejamento solicitado, com a redução do quantitativo inicialmente informado pelo órgão ou pela entidade participante, desde que haja prévia anuência do órgão ou da entidade que sofrer redução dos quantitativos informados.</w:t>
      </w:r>
    </w:p>
    <w:p w14:paraId="564BB221">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Caso o remanejamento seja feito entre órgãos ou entidades dos Estados, do Distrito Federal ou de Municípios distintos, caberá ao fornecedor beneficiário da ata de registro de preços, observadas as condições nela estabelecidas, optar pela aceitação ou não do fornecimento decorrente do remanejamento dos itens.</w:t>
      </w:r>
    </w:p>
    <w:p w14:paraId="30FD8617">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Na hipótese da compra centralizada, não havendo indicação pelo órgão ou pela entidade gerenciadora, dos quantitativos dos participantes da compra centralizada, nos termos do item 22.4, a distribuição das quantidades para a execução descentralizada será por meio do remanejamento.</w:t>
      </w:r>
    </w:p>
    <w:p w14:paraId="090DDBA1">
      <w:pPr>
        <w:keepNext/>
        <w:keepLines/>
        <w:numPr>
          <w:ilvl w:val="0"/>
          <w:numId w:val="8"/>
        </w:numPr>
        <w:pBdr>
          <w:top w:val="none" w:color="auto" w:sz="0" w:space="0"/>
          <w:left w:val="none" w:color="auto" w:sz="0" w:space="0"/>
          <w:bottom w:val="none" w:color="auto" w:sz="0" w:space="0"/>
          <w:right w:val="none" w:color="auto" w:sz="0" w:space="0"/>
          <w:between w:val="none" w:color="auto" w:sz="0" w:space="0"/>
        </w:pBdr>
        <w:tabs>
          <w:tab w:val="left" w:pos="567"/>
        </w:tabs>
        <w:spacing w:after="0"/>
        <w:ind w:left="0" w:firstLine="0"/>
        <w:jc w:val="both"/>
        <w:rPr>
          <w:rFonts w:ascii="Arial" w:hAnsi="Arial" w:eastAsia="Arial" w:cs="Arial"/>
          <w:color w:val="000000"/>
          <w:sz w:val="24"/>
          <w:szCs w:val="24"/>
        </w:rPr>
      </w:pPr>
      <w:r>
        <w:rPr>
          <w:rFonts w:ascii="Arial" w:hAnsi="Arial" w:eastAsia="Arial" w:cs="Arial"/>
          <w:color w:val="000000"/>
          <w:sz w:val="24"/>
          <w:szCs w:val="24"/>
        </w:rPr>
        <w:t>CANCELAMENTO DO REGISTRO DO LICITANTE VENCEDOR E DOS PREÇOS REGISTRADOS</w:t>
      </w:r>
      <w:bookmarkStart w:id="67" w:name="bookmark=id.3q5sasy" w:colFirst="0" w:colLast="0"/>
      <w:bookmarkEnd w:id="67"/>
    </w:p>
    <w:p w14:paraId="73AF5699">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O registro do fornecedor será cancelado pelo gerenciador, quando o fornecedor:</w:t>
      </w:r>
      <w:bookmarkStart w:id="68" w:name="bookmark=id.25b2l0r" w:colFirst="0" w:colLast="0"/>
      <w:bookmarkEnd w:id="68"/>
    </w:p>
    <w:p w14:paraId="289A24BE">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Descumprir as condições da ata de registro de preços, sem motivo justificado;</w:t>
      </w:r>
    </w:p>
    <w:p w14:paraId="3C805BEC">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Não retirar a nota de empenho, ou instrumento equivalente, no prazo estabelecido pela Administração sem justificativa razoável;</w:t>
      </w:r>
    </w:p>
    <w:p w14:paraId="235350D7">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Não aceitar manter seu preço registrado, na hipótese prevista no artigo 27, § 2º, do Decreto nº 11.462, de 2023; ou</w:t>
      </w:r>
    </w:p>
    <w:p w14:paraId="4E51155B">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 xml:space="preserve"> Sofrer sanção prevista nos incisos III ou IV do caput do art. 156 da Lei nº 14.133, de 2021.</w:t>
      </w:r>
    </w:p>
    <w:p w14:paraId="17AD2851">
      <w:pPr>
        <w:pBdr>
          <w:top w:val="none" w:color="auto" w:sz="0" w:space="0"/>
          <w:left w:val="none" w:color="auto" w:sz="0" w:space="0"/>
          <w:bottom w:val="none" w:color="auto" w:sz="0" w:space="0"/>
          <w:right w:val="none" w:color="auto" w:sz="0" w:space="0"/>
          <w:between w:val="none" w:color="auto" w:sz="0" w:space="0"/>
        </w:pBdr>
        <w:spacing w:before="120" w:after="120"/>
        <w:ind w:left="567" w:hanging="283"/>
        <w:jc w:val="both"/>
        <w:rPr>
          <w:rFonts w:ascii="Arial" w:hAnsi="Arial" w:eastAsia="Arial" w:cs="Arial"/>
          <w:color w:val="000000"/>
          <w:sz w:val="24"/>
          <w:szCs w:val="24"/>
        </w:rPr>
      </w:pPr>
      <w:r>
        <w:rPr>
          <w:rFonts w:ascii="Arial" w:hAnsi="Arial" w:eastAsia="Arial" w:cs="Arial"/>
          <w:color w:val="000000"/>
          <w:sz w:val="24"/>
          <w:szCs w:val="24"/>
        </w:rPr>
        <w:t>Na hipótese de aplicação de sanção prevista nos incisos III ou IV do caput do art. 156 da Lei nº 14.133, de 2021, caso a penalidade aplicada ao fornecedor não ultrapasse o prazo de vigência da ata de registro de preços, poderá o órgão ou a entidade gerenciadora poderá, mediante decisão fundamentada, decidir pela manutenção do registro de preços, vedadas contratações derivadas da ata enquanto perdurarem os efeitos da sanção.</w:t>
      </w:r>
    </w:p>
    <w:p w14:paraId="68F06040">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 xml:space="preserve"> O cancelamento de registros nas hipóteses previstas no item 23.2 será formalizado por despacho do órgão ou da entidade gerenciadora, garantidos os princípios do contraditório e da ampla defesa.</w:t>
      </w:r>
    </w:p>
    <w:p w14:paraId="68A95343">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Na hipótese de cancelamento do registro do fornecedor, o órgão ou a entidade gerenciadora poderá convocar os licitantes que compõem o cadastro de reserva, observada a ordem de classificação.</w:t>
      </w:r>
    </w:p>
    <w:p w14:paraId="42EC0D47">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O cancelamento dos preços registrados poderá ser realizado pelo gerenciador, em determinada ata de registro de preços, total ou parcialmente, nas seguintes hipóteses, desde que devidamente comprovadas e justificadas:</w:t>
      </w:r>
      <w:bookmarkStart w:id="69" w:name="bookmark=id.kgcv8k" w:colFirst="0" w:colLast="0"/>
      <w:bookmarkEnd w:id="69"/>
      <w:r>
        <w:rPr>
          <w:rFonts w:ascii="Arial" w:hAnsi="Arial" w:eastAsia="Arial" w:cs="Arial"/>
          <w:color w:val="000000"/>
          <w:sz w:val="24"/>
          <w:szCs w:val="24"/>
        </w:rPr>
        <w:t xml:space="preserve"> </w:t>
      </w:r>
    </w:p>
    <w:p w14:paraId="74C631C2">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Por razão de interesse público;</w:t>
      </w:r>
    </w:p>
    <w:p w14:paraId="726FDEED">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A pedido do fornecedor, decorrente de caso fortuito ou força maior; ou</w:t>
      </w:r>
    </w:p>
    <w:p w14:paraId="48C82940">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 xml:space="preserve">Se não houver êxito nas negociações, nas hipóteses em que o preço de mercado tornar-se superior ou inferior ao preço registrado, nos termos do artigos 26, § 3º e 27, § 4º, ambos do Decreto nº 11.462, de 2023. </w:t>
      </w:r>
    </w:p>
    <w:p w14:paraId="41E35F88">
      <w:pPr>
        <w:keepNext/>
        <w:keepLines/>
        <w:numPr>
          <w:ilvl w:val="0"/>
          <w:numId w:val="8"/>
        </w:numPr>
        <w:pBdr>
          <w:top w:val="none" w:color="auto" w:sz="0" w:space="0"/>
          <w:left w:val="none" w:color="auto" w:sz="0" w:space="0"/>
          <w:bottom w:val="none" w:color="auto" w:sz="0" w:space="0"/>
          <w:right w:val="none" w:color="auto" w:sz="0" w:space="0"/>
          <w:between w:val="none" w:color="auto" w:sz="0" w:space="0"/>
        </w:pBdr>
        <w:tabs>
          <w:tab w:val="left" w:pos="567"/>
        </w:tabs>
        <w:spacing w:after="0"/>
        <w:ind w:left="0" w:firstLine="0"/>
        <w:jc w:val="both"/>
        <w:rPr>
          <w:rFonts w:ascii="Arial" w:hAnsi="Arial" w:eastAsia="Arial" w:cs="Arial"/>
          <w:color w:val="000000"/>
          <w:sz w:val="24"/>
          <w:szCs w:val="24"/>
        </w:rPr>
      </w:pPr>
      <w:r>
        <w:rPr>
          <w:rFonts w:ascii="Arial" w:hAnsi="Arial" w:eastAsia="Arial" w:cs="Arial"/>
          <w:color w:val="000000"/>
          <w:sz w:val="24"/>
          <w:szCs w:val="24"/>
        </w:rPr>
        <w:t>DAS PENALIDADES</w:t>
      </w:r>
    </w:p>
    <w:p w14:paraId="4AD4B1BB">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O descumprimento da Ata de Registro de Preços ensejará aplicação das penalidades estabelecidas no edital.</w:t>
      </w:r>
    </w:p>
    <w:p w14:paraId="5CB33E28">
      <w:pPr>
        <w:numPr>
          <w:ilvl w:val="2"/>
          <w:numId w:val="8"/>
        </w:numPr>
        <w:pBdr>
          <w:top w:val="none" w:color="auto" w:sz="0" w:space="0"/>
          <w:left w:val="none" w:color="auto" w:sz="0" w:space="0"/>
          <w:bottom w:val="none" w:color="auto" w:sz="0" w:space="0"/>
          <w:right w:val="none" w:color="auto" w:sz="0" w:space="0"/>
          <w:between w:val="none" w:color="auto" w:sz="0" w:space="0"/>
        </w:pBdr>
        <w:spacing w:before="120" w:after="120"/>
        <w:ind w:left="284" w:firstLine="0"/>
        <w:jc w:val="both"/>
        <w:rPr>
          <w:rFonts w:ascii="Arial" w:hAnsi="Arial" w:eastAsia="Arial" w:cs="Arial"/>
          <w:color w:val="000000"/>
          <w:sz w:val="24"/>
          <w:szCs w:val="24"/>
        </w:rPr>
      </w:pPr>
      <w:r>
        <w:rPr>
          <w:rFonts w:ascii="Arial" w:hAnsi="Arial" w:eastAsia="Arial" w:cs="Arial"/>
          <w:color w:val="000000"/>
          <w:sz w:val="24"/>
          <w:szCs w:val="24"/>
        </w:rPr>
        <w:t xml:space="preserve">As sanções também se aplicam aos integrantes do cadastro de reserva no registro de preços que, convocados, não honrarem o compromisso assumido injustificadamente após terem assinado a ata. </w:t>
      </w:r>
    </w:p>
    <w:p w14:paraId="63645B99">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É da competência do gerenciador a aplicação das penalidades decorrentes do descumprimento do pactuado nesta ata de registro de preço (art. 7º, inc. XIV, do Decreto nº 11.462, de 2023), exceto nas hipóteses em que o descumprimento disser respeito às contratações dos órgãos ou entidade participante, caso no qual caberá ao respectivo órgão participante a aplicação da penalidade (art. 8º, inc. IX, do Decreto nº 11.462, de 2023).</w:t>
      </w:r>
    </w:p>
    <w:p w14:paraId="1C1AD8F9">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O órgão ou entidade participante deverá comunicar ao órgão gerenciador qualquer das ocorrências previstas no item 9.1, dada a necessidade de instauração de procedimento para cancelamento do registro do fornecedor.</w:t>
      </w:r>
    </w:p>
    <w:p w14:paraId="4D027A82">
      <w:pPr>
        <w:keepNext/>
        <w:keepLines/>
        <w:numPr>
          <w:ilvl w:val="0"/>
          <w:numId w:val="8"/>
        </w:numPr>
        <w:pBdr>
          <w:top w:val="none" w:color="auto" w:sz="0" w:space="0"/>
          <w:left w:val="none" w:color="auto" w:sz="0" w:space="0"/>
          <w:bottom w:val="none" w:color="auto" w:sz="0" w:space="0"/>
          <w:right w:val="none" w:color="auto" w:sz="0" w:space="0"/>
          <w:between w:val="none" w:color="auto" w:sz="0" w:space="0"/>
        </w:pBdr>
        <w:tabs>
          <w:tab w:val="left" w:pos="567"/>
        </w:tabs>
        <w:spacing w:after="0"/>
        <w:ind w:left="0" w:firstLine="0"/>
        <w:jc w:val="both"/>
        <w:rPr>
          <w:rFonts w:ascii="Arial" w:hAnsi="Arial" w:eastAsia="Arial" w:cs="Arial"/>
          <w:color w:val="000000"/>
          <w:sz w:val="24"/>
          <w:szCs w:val="24"/>
        </w:rPr>
      </w:pPr>
      <w:r>
        <w:rPr>
          <w:rFonts w:ascii="Arial" w:hAnsi="Arial" w:eastAsia="Arial" w:cs="Arial"/>
          <w:color w:val="000000"/>
          <w:sz w:val="24"/>
          <w:szCs w:val="24"/>
        </w:rPr>
        <w:t>CONDIÇÕES GERAIS</w:t>
      </w:r>
    </w:p>
    <w:p w14:paraId="7322B3F3">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As condições gerais de execução do objeto, tais como os prazos para entrega e recebimento, as obrigações da Administração e do fornecedor registrado, penalidades e demais condições do ajuste, encontram-se definidos no Termo de Referência, ANEXO AO EDITAL.</w:t>
      </w:r>
    </w:p>
    <w:p w14:paraId="155E729B">
      <w:pPr>
        <w:numPr>
          <w:ilvl w:val="1"/>
          <w:numId w:val="8"/>
        </w:numPr>
        <w:pBdr>
          <w:top w:val="none" w:color="auto" w:sz="0" w:space="0"/>
          <w:left w:val="none" w:color="auto" w:sz="0" w:space="0"/>
          <w:bottom w:val="none" w:color="auto" w:sz="0" w:space="0"/>
          <w:right w:val="none" w:color="auto" w:sz="0" w:space="0"/>
          <w:between w:val="none" w:color="auto" w:sz="0" w:space="0"/>
        </w:pBdr>
        <w:spacing w:before="120" w:after="120"/>
        <w:ind w:left="0" w:firstLine="0"/>
        <w:jc w:val="both"/>
        <w:rPr>
          <w:rFonts w:ascii="Arial" w:hAnsi="Arial" w:eastAsia="Arial" w:cs="Arial"/>
          <w:color w:val="000000"/>
          <w:sz w:val="24"/>
          <w:szCs w:val="24"/>
        </w:rPr>
      </w:pPr>
      <w:r>
        <w:rPr>
          <w:rFonts w:ascii="Arial" w:hAnsi="Arial" w:eastAsia="Arial" w:cs="Arial"/>
          <w:color w:val="000000"/>
          <w:sz w:val="24"/>
          <w:szCs w:val="24"/>
        </w:rPr>
        <w:t>No caso de adjudicação por preço global de grupo de itens, só será admitida a contratação de parte de itens do grupo se houver prévia pesquisa de mercado e demonstração de sua vantagem para o órgão ou a entidade.</w:t>
      </w:r>
    </w:p>
    <w:p w14:paraId="635F6B90">
      <w:pPr>
        <w:widowControl w:val="0"/>
        <w:spacing w:before="120" w:after="120"/>
        <w:jc w:val="both"/>
        <w:rPr>
          <w:rFonts w:ascii="Arial" w:hAnsi="Arial" w:eastAsia="Arial" w:cs="Arial"/>
          <w:i/>
          <w:color w:val="FF0000"/>
          <w:sz w:val="24"/>
          <w:szCs w:val="24"/>
        </w:rPr>
      </w:pPr>
      <w:r>
        <w:rPr>
          <w:rFonts w:ascii="Arial" w:hAnsi="Arial" w:eastAsia="Arial" w:cs="Arial"/>
          <w:sz w:val="24"/>
          <w:szCs w:val="24"/>
        </w:rPr>
        <w:t xml:space="preserve">Para firmeza e validade do pactuado, a presente Ata foi lavrada em </w:t>
      </w:r>
      <w:r>
        <w:rPr>
          <w:rFonts w:ascii="Arial" w:hAnsi="Arial" w:eastAsia="Arial" w:cs="Arial"/>
          <w:color w:val="FF0000"/>
          <w:sz w:val="24"/>
          <w:szCs w:val="24"/>
        </w:rPr>
        <w:t xml:space="preserve">.... </w:t>
      </w:r>
      <w:r>
        <w:rPr>
          <w:rFonts w:ascii="Arial" w:hAnsi="Arial" w:eastAsia="Arial" w:cs="Arial"/>
          <w:sz w:val="24"/>
          <w:szCs w:val="24"/>
        </w:rPr>
        <w:t>(</w:t>
      </w:r>
      <w:r>
        <w:rPr>
          <w:rFonts w:ascii="Arial" w:hAnsi="Arial" w:eastAsia="Arial" w:cs="Arial"/>
          <w:color w:val="FF0000"/>
          <w:sz w:val="24"/>
          <w:szCs w:val="24"/>
        </w:rPr>
        <w:t>....</w:t>
      </w:r>
      <w:r>
        <w:rPr>
          <w:rFonts w:ascii="Arial" w:hAnsi="Arial" w:eastAsia="Arial" w:cs="Arial"/>
          <w:sz w:val="24"/>
          <w:szCs w:val="24"/>
        </w:rPr>
        <w:t xml:space="preserve">) vias de igual teor, que, depois de lida e achada em ordem, vai assinada pelas partes </w:t>
      </w:r>
      <w:r>
        <w:rPr>
          <w:rFonts w:ascii="Arial" w:hAnsi="Arial" w:eastAsia="Arial" w:cs="Arial"/>
          <w:i/>
          <w:color w:val="FF0000"/>
          <w:sz w:val="24"/>
          <w:szCs w:val="24"/>
        </w:rPr>
        <w:t xml:space="preserve">e encaminhada cópia aos demais órgãos participantes (se houver). </w:t>
      </w:r>
    </w:p>
    <w:p w14:paraId="5EAE698C">
      <w:pPr>
        <w:widowControl w:val="0"/>
        <w:spacing w:line="360" w:lineRule="auto"/>
        <w:ind w:right="-30"/>
        <w:jc w:val="center"/>
        <w:rPr>
          <w:rFonts w:ascii="Arial" w:hAnsi="Arial" w:eastAsia="Arial" w:cs="Arial"/>
          <w:sz w:val="24"/>
          <w:szCs w:val="24"/>
        </w:rPr>
      </w:pPr>
    </w:p>
    <w:p w14:paraId="641411D3">
      <w:pPr>
        <w:widowControl w:val="0"/>
        <w:spacing w:line="360" w:lineRule="auto"/>
        <w:ind w:right="-30"/>
        <w:jc w:val="center"/>
        <w:rPr>
          <w:rFonts w:ascii="Arial" w:hAnsi="Arial" w:eastAsia="Arial" w:cs="Arial"/>
          <w:sz w:val="24"/>
          <w:szCs w:val="24"/>
        </w:rPr>
      </w:pPr>
      <w:r>
        <w:rPr>
          <w:rFonts w:ascii="Arial" w:hAnsi="Arial" w:eastAsia="Arial" w:cs="Arial"/>
          <w:sz w:val="24"/>
          <w:szCs w:val="24"/>
        </w:rPr>
        <w:t>Local e data</w:t>
      </w:r>
    </w:p>
    <w:p w14:paraId="70FCB00E">
      <w:pPr>
        <w:widowControl w:val="0"/>
        <w:spacing w:line="360" w:lineRule="auto"/>
        <w:ind w:right="-30"/>
        <w:jc w:val="center"/>
        <w:rPr>
          <w:rFonts w:ascii="Arial" w:hAnsi="Arial" w:eastAsia="Arial" w:cs="Arial"/>
          <w:sz w:val="24"/>
          <w:szCs w:val="24"/>
        </w:rPr>
      </w:pPr>
      <w:r>
        <w:rPr>
          <w:rFonts w:ascii="Arial" w:hAnsi="Arial" w:eastAsia="Arial" w:cs="Arial"/>
          <w:sz w:val="24"/>
          <w:szCs w:val="24"/>
        </w:rPr>
        <w:t>Assinaturas</w:t>
      </w:r>
    </w:p>
    <w:p w14:paraId="28FAF236">
      <w:pPr>
        <w:widowControl w:val="0"/>
        <w:spacing w:line="360" w:lineRule="auto"/>
        <w:ind w:right="-30"/>
        <w:jc w:val="center"/>
        <w:rPr>
          <w:rFonts w:ascii="Arial" w:hAnsi="Arial" w:eastAsia="Arial" w:cs="Arial"/>
          <w:sz w:val="24"/>
          <w:szCs w:val="24"/>
        </w:rPr>
      </w:pPr>
    </w:p>
    <w:p w14:paraId="3E2AD576">
      <w:pPr>
        <w:widowControl w:val="0"/>
        <w:spacing w:line="360" w:lineRule="auto"/>
        <w:ind w:right="-30"/>
        <w:jc w:val="center"/>
        <w:rPr>
          <w:rFonts w:ascii="Arial" w:hAnsi="Arial" w:eastAsia="Arial" w:cs="Arial"/>
          <w:color w:val="000000"/>
          <w:sz w:val="24"/>
          <w:szCs w:val="24"/>
        </w:rPr>
      </w:pPr>
      <w:r>
        <w:rPr>
          <w:rFonts w:ascii="Arial" w:hAnsi="Arial" w:eastAsia="Arial" w:cs="Arial"/>
          <w:sz w:val="24"/>
          <w:szCs w:val="24"/>
        </w:rPr>
        <w:t xml:space="preserve">Representante legal do órgão gerenciador e representante(s) legal(is) do(s) </w:t>
      </w:r>
      <w:r>
        <w:rPr>
          <w:rFonts w:ascii="Arial" w:hAnsi="Arial" w:eastAsia="Arial" w:cs="Arial"/>
          <w:color w:val="000000"/>
          <w:sz w:val="24"/>
          <w:szCs w:val="24"/>
        </w:rPr>
        <w:t>fornecedor(s) registrado(s)</w:t>
      </w:r>
    </w:p>
    <w:p w14:paraId="0C4BF386">
      <w:pPr>
        <w:rPr>
          <w:rFonts w:ascii="Arial" w:hAnsi="Arial" w:eastAsia="Arial" w:cs="Arial"/>
          <w:sz w:val="24"/>
          <w:szCs w:val="24"/>
        </w:rPr>
      </w:pPr>
    </w:p>
    <w:p w14:paraId="58CA257C">
      <w:pPr>
        <w:rPr>
          <w:rFonts w:ascii="Arial" w:hAnsi="Arial" w:eastAsia="Arial" w:cs="Arial"/>
          <w:sz w:val="24"/>
          <w:szCs w:val="24"/>
        </w:rPr>
      </w:pPr>
    </w:p>
    <w:p w14:paraId="5E0CDCAA">
      <w:pPr>
        <w:rPr>
          <w:rFonts w:ascii="Arial" w:hAnsi="Arial" w:eastAsia="Arial" w:cs="Arial"/>
          <w:sz w:val="24"/>
          <w:szCs w:val="24"/>
        </w:rPr>
      </w:pPr>
    </w:p>
    <w:sectPr>
      <w:headerReference r:id="rId5" w:type="default"/>
      <w:footerReference r:id="rId6" w:type="default"/>
      <w:pgSz w:w="11906" w:h="16838"/>
      <w:pgMar w:top="2268" w:right="1134" w:bottom="1134" w:left="1134" w:header="709" w:footer="709"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AFF" w:usb1="C0007843" w:usb2="00000009" w:usb3="00000000" w:csb0="400001FF" w:csb1="FFFF0000"/>
    <w:embedRegular r:id="rId1" w:fontKey="{E8346D16-9BED-484C-86C6-476859C5D845}"/>
  </w:font>
  <w:font w:name="Courier New">
    <w:panose1 w:val="02070309020205020404"/>
    <w:charset w:val="00"/>
    <w:family w:val="modern"/>
    <w:pitch w:val="default"/>
    <w:sig w:usb0="E0002AFF" w:usb1="C0007843" w:usb2="00000009" w:usb3="00000000" w:csb0="400001FF" w:csb1="FFFF0000"/>
    <w:embedRegular r:id="rId2" w:fontKey="{94CF60BD-447F-45B9-A055-8F80C54D0837}"/>
  </w:font>
  <w:font w:name="Symbol">
    <w:panose1 w:val="05050102010706020507"/>
    <w:charset w:val="02"/>
    <w:family w:val="roman"/>
    <w:pitch w:val="default"/>
    <w:sig w:usb0="00000000" w:usb1="00000000" w:usb2="00000000" w:usb3="00000000" w:csb0="80000000" w:csb1="00000000"/>
    <w:embedRegular r:id="rId3" w:fontKey="{44B4D555-FDDD-4701-972E-C282A9940A0F}"/>
  </w:font>
  <w:font w:name="SimHei">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00002FF" w:usb1="4000ACFF" w:usb2="00000001" w:usb3="00000000" w:csb0="2000019F" w:csb1="00000000"/>
    <w:embedRegular r:id="rId4" w:fontKey="{87236B30-BB05-4396-9475-07F8BC06F950}"/>
  </w:font>
  <w:font w:name="Georgia">
    <w:panose1 w:val="02040502050405020303"/>
    <w:charset w:val="00"/>
    <w:family w:val="roman"/>
    <w:pitch w:val="default"/>
    <w:sig w:usb0="00000287" w:usb1="00000000" w:usb2="00000000" w:usb3="00000000" w:csb0="2000009F" w:csb1="00000000"/>
    <w:embedRegular r:id="rId5" w:fontKey="{C267F4AD-D3AA-47B0-97B8-BF9EE57FA6B4}"/>
  </w:font>
  <w:font w:name="Tahoma">
    <w:panose1 w:val="020B0604030504040204"/>
    <w:charset w:val="00"/>
    <w:family w:val="swiss"/>
    <w:pitch w:val="default"/>
    <w:sig w:usb0="E1002EFF" w:usb1="C000605B" w:usb2="00000029" w:usb3="00000000" w:csb0="200101FF" w:csb1="20280000"/>
    <w:embedRegular r:id="rId6" w:fontKey="{1C6399C4-C345-46FE-A580-0F5295B1CEB4}"/>
  </w:font>
  <w:font w:name="Ecofont_Spranq_eco_Sans">
    <w:altName w:val="Segoe Print"/>
    <w:panose1 w:val="00000000000000000000"/>
    <w:charset w:val="00"/>
    <w:family w:val="roman"/>
    <w:pitch w:val="default"/>
    <w:sig w:usb0="00000000" w:usb1="00000000" w:usb2="00000000" w:usb3="00000000" w:csb0="00000000" w:csb1="00000000"/>
  </w:font>
  <w:font w:name="WenQuanYi Micro Hei">
    <w:altName w:val="Segoe Print"/>
    <w:panose1 w:val="00000000000000000000"/>
    <w:charset w:val="00"/>
    <w:family w:val="roman"/>
    <w:pitch w:val="default"/>
    <w:sig w:usb0="00000000" w:usb1="00000000" w:usb2="00000000" w:usb3="00000000" w:csb0="00000000" w:csb1="00000000"/>
  </w:font>
  <w:font w:name="Lohit Hindi">
    <w:altName w:val="Segoe Print"/>
    <w:panose1 w:val="00000000000000000000"/>
    <w:charset w:val="00"/>
    <w:family w:val="roman"/>
    <w:pitch w:val="default"/>
    <w:sig w:usb0="00000000" w:usb1="00000000" w:usb2="00000000" w:usb3="00000000" w:csb0="00000000" w:csb1="00000000"/>
  </w:font>
  <w:font w:name="Liberation Serif">
    <w:panose1 w:val="02020603050405020304"/>
    <w:charset w:val="00"/>
    <w:family w:val="roman"/>
    <w:pitch w:val="default"/>
    <w:sig w:usb0="E0000AFF" w:usb1="500078FF" w:usb2="00000021" w:usb3="00000000" w:csb0="600001BF" w:csb1="DFF70000"/>
    <w:embedRegular r:id="rId7" w:fontKey="{110FBAA2-4B1A-40E6-9F42-3D73F1FEA397}"/>
  </w:font>
  <w:font w:name="NSimSun">
    <w:panose1 w:val="02010609030101010101"/>
    <w:charset w:val="86"/>
    <w:family w:val="modern"/>
    <w:pitch w:val="default"/>
    <w:sig w:usb0="00000003" w:usb1="288F0000" w:usb2="00000006" w:usb3="00000000" w:csb0="00040001" w:csb1="00000000"/>
  </w:font>
  <w:font w:name="Lucida Sans">
    <w:panose1 w:val="020B0602030504020204"/>
    <w:charset w:val="00"/>
    <w:family w:val="swiss"/>
    <w:pitch w:val="default"/>
    <w:sig w:usb0="00000003" w:usb1="00000000" w:usb2="00000000" w:usb3="00000000" w:csb0="20000001" w:csb1="00000000"/>
    <w:embedRegular r:id="rId8" w:fontKey="{26A70C65-87C5-41DA-B615-78BC4BFB5E08}"/>
  </w:font>
  <w:font w:name="Cambria">
    <w:panose1 w:val="02040503050406030204"/>
    <w:charset w:val="00"/>
    <w:family w:val="roman"/>
    <w:pitch w:val="default"/>
    <w:sig w:usb0="E00002FF" w:usb1="400004FF" w:usb2="00000000" w:usb3="00000000" w:csb0="2000019F" w:csb1="00000000"/>
    <w:embedRegular r:id="rId9" w:fontKey="{627C91C7-AD08-4F9A-A4B8-8F2C7B9BCF81}"/>
  </w:font>
  <w:font w:name="Noto Sans Symbols">
    <w:altName w:val="Noto Sans"/>
    <w:panose1 w:val="00000000000000000000"/>
    <w:charset w:val="00"/>
    <w:family w:val="auto"/>
    <w:pitch w:val="default"/>
    <w:sig w:usb0="00000000" w:usb1="00000000" w:usb2="00000000" w:usb3="00000000" w:csb0="00000000" w:csb1="00000000"/>
  </w:font>
  <w:font w:name="Arial Black">
    <w:panose1 w:val="020B0A04020102020204"/>
    <w:charset w:val="00"/>
    <w:family w:val="swiss"/>
    <w:pitch w:val="default"/>
    <w:sig w:usb0="00000287" w:usb1="00000000" w:usb2="00000000" w:usb3="00000000" w:csb0="2000009F" w:csb1="DFD70000"/>
    <w:embedRegular r:id="rId10" w:fontKey="{9FF97307-4A60-43DA-8CD2-101E3F007F45}"/>
  </w:font>
  <w:font w:name="Noto Sans">
    <w:panose1 w:val="020B0502040504020204"/>
    <w:charset w:val="00"/>
    <w:family w:val="auto"/>
    <w:pitch w:val="default"/>
    <w:sig w:usb0="E00002FF" w:usb1="4000001F" w:usb2="08000029" w:usb3="00100000" w:csb0="00000000" w:csb1="00000000"/>
    <w:embedRegular r:id="rId11" w:fontKey="{2A9BAAAC-A3AA-4DB8-B472-A9D572B99A22}"/>
  </w:font>
  <w:font w:name="MS PGothic">
    <w:panose1 w:val="020B0600070205080204"/>
    <w:charset w:val="80"/>
    <w:family w:val="auto"/>
    <w:pitch w:val="default"/>
    <w:sig w:usb0="E00002FF" w:usb1="6AC7FDFB" w:usb2="00000012" w:usb3="00000000" w:csb0="4002009F" w:csb1="DFD70000"/>
  </w:font>
  <w:font w:name="Segoe Print">
    <w:panose1 w:val="02000600000000000000"/>
    <w:charset w:val="00"/>
    <w:family w:val="auto"/>
    <w:pitch w:val="default"/>
    <w:sig w:usb0="0000028F" w:usb1="00000000" w:usb2="00000000" w:usb3="00000000" w:csb0="2000009F" w:csb1="47010000"/>
    <w:embedRegular r:id="rId12" w:fontKey="{668863FE-CDD1-468A-A582-CA192D65C55B}"/>
  </w:font>
  <w:font w:name="Calibri">
    <w:panose1 w:val="020F0502020204030204"/>
    <w:charset w:val="00"/>
    <w:family w:val="auto"/>
    <w:pitch w:val="default"/>
    <w:sig w:usb0="E00002FF" w:usb1="4000ACFF" w:usb2="00000001" w:usb3="00000000" w:csb0="2000019F" w:csb1="00000000"/>
    <w:embedRegular r:id="rId13" w:fontKey="{6B7E257F-4913-473A-AA64-3DE142E86EA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098E4">
    <w:pPr>
      <w:tabs>
        <w:tab w:val="center" w:pos="4252"/>
        <w:tab w:val="right" w:pos="8504"/>
      </w:tabs>
      <w:spacing w:after="0" w:line="240" w:lineRule="auto"/>
      <w:jc w:val="center"/>
      <w:rPr>
        <w:rFonts w:ascii="Arial" w:hAnsi="Arial" w:eastAsia="Arial" w:cs="Arial"/>
        <w:sz w:val="16"/>
        <w:szCs w:val="16"/>
      </w:rPr>
    </w:pPr>
    <w:r>
      <w:rPr>
        <w:rFonts w:ascii="Arial" w:hAnsi="Arial" w:eastAsia="Arial" w:cs="Arial"/>
        <w:sz w:val="16"/>
        <w:szCs w:val="16"/>
      </w:rPr>
      <w:t xml:space="preserve"> </w:t>
    </w:r>
  </w:p>
  <w:p w14:paraId="35265F96">
    <w:pPr>
      <w:tabs>
        <w:tab w:val="center" w:pos="4252"/>
        <w:tab w:val="right" w:pos="8504"/>
      </w:tabs>
      <w:spacing w:after="0" w:line="240" w:lineRule="auto"/>
      <w:jc w:val="center"/>
      <w:rPr>
        <w:rFonts w:ascii="Arial" w:hAnsi="Arial" w:eastAsia="Arial" w:cs="Arial"/>
        <w:sz w:val="16"/>
        <w:szCs w:val="16"/>
      </w:rPr>
    </w:pPr>
    <w:r>
      <w:rPr>
        <w:rFonts w:ascii="Arial" w:hAnsi="Arial" w:eastAsia="Arial" w:cs="Arial"/>
        <w:b/>
        <w:sz w:val="16"/>
        <w:szCs w:val="16"/>
      </w:rPr>
      <w:t>pág.</w:t>
    </w:r>
    <w:r>
      <w:rPr>
        <w:rFonts w:ascii="Arial" w:hAnsi="Arial" w:eastAsia="Arial" w:cs="Arial"/>
        <w:sz w:val="16"/>
        <w:szCs w:val="16"/>
      </w:rPr>
      <w:t xml:space="preserve"> </w:t>
    </w:r>
    <w:r>
      <w:rPr>
        <w:rFonts w:ascii="Arial" w:hAnsi="Arial" w:eastAsia="Arial" w:cs="Arial"/>
        <w:b/>
        <w:color w:val="000000"/>
        <w:sz w:val="16"/>
        <w:szCs w:val="16"/>
      </w:rPr>
      <w:fldChar w:fldCharType="begin"/>
    </w:r>
    <w:r>
      <w:rPr>
        <w:rFonts w:ascii="Arial" w:hAnsi="Arial" w:eastAsia="Arial" w:cs="Arial"/>
        <w:b/>
        <w:color w:val="000000"/>
        <w:sz w:val="16"/>
        <w:szCs w:val="16"/>
      </w:rPr>
      <w:instrText xml:space="preserve">PAGE</w:instrText>
    </w:r>
    <w:r>
      <w:rPr>
        <w:rFonts w:ascii="Arial" w:hAnsi="Arial" w:eastAsia="Arial" w:cs="Arial"/>
        <w:b/>
        <w:color w:val="000000"/>
        <w:sz w:val="16"/>
        <w:szCs w:val="16"/>
      </w:rPr>
      <w:fldChar w:fldCharType="separate"/>
    </w:r>
    <w:r>
      <w:rPr>
        <w:rFonts w:ascii="Arial" w:hAnsi="Arial" w:eastAsia="Arial" w:cs="Arial"/>
        <w:b/>
        <w:color w:val="000000"/>
        <w:sz w:val="16"/>
        <w:szCs w:val="16"/>
      </w:rPr>
      <w:t>1</w:t>
    </w:r>
    <w:r>
      <w:rPr>
        <w:rFonts w:ascii="Arial" w:hAnsi="Arial" w:eastAsia="Arial" w:cs="Arial"/>
        <w:b/>
        <w:color w:val="000000"/>
        <w:sz w:val="16"/>
        <w:szCs w:val="16"/>
      </w:rPr>
      <w:fldChar w:fldCharType="end"/>
    </w:r>
    <w:r>
      <w:rPr>
        <w:rFonts w:ascii="Arial" w:hAnsi="Arial" w:eastAsia="Arial" w:cs="Arial"/>
        <w:b/>
        <w:color w:val="000000"/>
        <w:sz w:val="16"/>
        <w:szCs w:val="16"/>
      </w:rPr>
      <w:t xml:space="preserve"> / </w:t>
    </w:r>
    <w:r>
      <w:rPr>
        <w:rFonts w:ascii="Arial" w:hAnsi="Arial" w:eastAsia="Arial" w:cs="Arial"/>
        <w:b/>
        <w:sz w:val="16"/>
        <w:szCs w:val="16"/>
      </w:rPr>
      <w:fldChar w:fldCharType="begin"/>
    </w:r>
    <w:r>
      <w:rPr>
        <w:rFonts w:ascii="Arial" w:hAnsi="Arial" w:eastAsia="Arial" w:cs="Arial"/>
        <w:b/>
        <w:sz w:val="16"/>
        <w:szCs w:val="16"/>
      </w:rPr>
      <w:instrText xml:space="preserve">NUMPAGES</w:instrText>
    </w:r>
    <w:r>
      <w:rPr>
        <w:rFonts w:ascii="Arial" w:hAnsi="Arial" w:eastAsia="Arial" w:cs="Arial"/>
        <w:b/>
        <w:sz w:val="16"/>
        <w:szCs w:val="16"/>
      </w:rPr>
      <w:fldChar w:fldCharType="separate"/>
    </w:r>
    <w:r>
      <w:rPr>
        <w:rFonts w:ascii="Arial" w:hAnsi="Arial" w:eastAsia="Arial" w:cs="Arial"/>
        <w:b/>
        <w:sz w:val="16"/>
        <w:szCs w:val="16"/>
      </w:rPr>
      <w:t>2</w:t>
    </w:r>
    <w:r>
      <w:rPr>
        <w:rFonts w:ascii="Arial" w:hAnsi="Arial" w:eastAsia="Arial" w:cs="Arial"/>
        <w:b/>
        <w:sz w:val="16"/>
        <w:szCs w:val="16"/>
      </w:rPr>
      <w:fldChar w:fldCharType="end"/>
    </w:r>
    <w:r>
      <w:rPr>
        <w:rFonts w:ascii="Arial" w:hAnsi="Arial" w:eastAsia="Arial" w:cs="Arial"/>
        <w:b/>
        <w:sz w:val="16"/>
        <w:szCs w:val="16"/>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
    <w:p>
      <w:pPr>
        <w:spacing w:before="0" w:after="0" w:line="276" w:lineRule="auto"/>
      </w:pPr>
      <w:r>
        <w:separator/>
      </w:r>
    </w:p>
  </w:footnote>
  <w:footnote w:type="continuationSeparator" w:id="3">
    <w:p>
      <w:pPr>
        <w:spacing w:before="0" w:after="0" w:line="276" w:lineRule="auto"/>
      </w:pPr>
      <w:r>
        <w:continuationSeparator/>
      </w:r>
    </w:p>
  </w:footnote>
  <w:footnote w:id="0">
    <w:p w14:paraId="1E505516">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Times New Roman" w:cs="Times New Roman"/>
          <w:color w:val="000000"/>
          <w:sz w:val="16"/>
          <w:szCs w:val="16"/>
        </w:rPr>
      </w:pPr>
      <w:r>
        <w:rPr>
          <w:vertAlign w:val="superscript"/>
        </w:rPr>
        <w:footnoteRef/>
      </w:r>
      <w:r>
        <w:rPr>
          <w:rFonts w:ascii="Times New Roman" w:hAnsi="Times New Roman" w:eastAsia="Times New Roman" w:cs="Times New Roman"/>
          <w:color w:val="000000"/>
          <w:sz w:val="16"/>
          <w:szCs w:val="16"/>
        </w:rPr>
        <w:t xml:space="preserve"> Observação: em caso afirmativo, assinalar a ressalva acima.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97A4AE">
    <w:pPr>
      <w:widowControl w:val="0"/>
      <w:pBdr>
        <w:top w:val="none" w:color="auto" w:sz="0" w:space="0"/>
        <w:left w:val="none" w:color="auto" w:sz="0" w:space="0"/>
        <w:bottom w:val="none" w:color="auto" w:sz="0" w:space="0"/>
        <w:right w:val="none" w:color="auto" w:sz="0" w:space="0"/>
        <w:between w:val="none" w:color="auto" w:sz="0" w:space="0"/>
      </w:pBdr>
      <w:spacing w:after="0"/>
      <w:rPr>
        <w:rFonts w:ascii="Times New Roman" w:hAnsi="Times New Roman" w:eastAsia="Times New Roman" w:cs="Times New Roman"/>
        <w:color w:val="000000"/>
        <w:sz w:val="16"/>
        <w:szCs w:val="16"/>
      </w:rPr>
    </w:pPr>
  </w:p>
  <w:tbl>
    <w:tblPr>
      <w:tblStyle w:val="156"/>
      <w:tblW w:w="8836" w:type="dxa"/>
      <w:tblInd w:w="802" w:type="dxa"/>
      <w:tblLayout w:type="fixed"/>
      <w:tblCellMar>
        <w:top w:w="0" w:type="dxa"/>
        <w:left w:w="115" w:type="dxa"/>
        <w:bottom w:w="0" w:type="dxa"/>
        <w:right w:w="115" w:type="dxa"/>
      </w:tblCellMar>
    </w:tblPr>
    <w:tblGrid>
      <w:gridCol w:w="8836"/>
    </w:tblGrid>
    <w:tr w14:paraId="78D66DB4">
      <w:tblPrEx>
        <w:tblCellMar>
          <w:top w:w="0" w:type="dxa"/>
          <w:left w:w="115" w:type="dxa"/>
          <w:bottom w:w="0" w:type="dxa"/>
          <w:right w:w="115" w:type="dxa"/>
        </w:tblCellMar>
      </w:tblPrEx>
      <w:trPr>
        <w:trHeight w:val="1562" w:hRule="atLeast"/>
      </w:trPr>
      <w:tc>
        <w:tcPr>
          <w:tcW w:w="8836" w:type="dxa"/>
        </w:tcPr>
        <w:p w14:paraId="42956F84">
          <w:pPr>
            <w:tabs>
              <w:tab w:val="center" w:pos="4320"/>
              <w:tab w:val="right" w:pos="8640"/>
            </w:tabs>
            <w:spacing w:after="0" w:line="240" w:lineRule="auto"/>
            <w:jc w:val="center"/>
            <w:rPr>
              <w:rFonts w:ascii="Times New Roman" w:hAnsi="Times New Roman" w:eastAsia="Times New Roman" w:cs="Times New Roman"/>
              <w:b/>
              <w:sz w:val="28"/>
              <w:szCs w:val="28"/>
            </w:rPr>
          </w:pPr>
          <w:r>
            <w:rPr>
              <w:rFonts w:ascii="Times New Roman" w:hAnsi="Times New Roman" w:eastAsia="Times New Roman" w:cs="Times New Roman"/>
              <w:b/>
              <w:sz w:val="28"/>
              <w:szCs w:val="28"/>
            </w:rPr>
            <w:t xml:space="preserve">PREFEITURA MUNICIPAL DE JATOBÁ </w:t>
          </w:r>
          <w:r>
            <w:drawing>
              <wp:anchor distT="0" distB="0" distL="114300" distR="114300" simplePos="0" relativeHeight="251659264" behindDoc="0" locked="0" layoutInCell="1" allowOverlap="1">
                <wp:simplePos x="0" y="0"/>
                <wp:positionH relativeFrom="column">
                  <wp:posOffset>-1106805</wp:posOffset>
                </wp:positionH>
                <wp:positionV relativeFrom="paragraph">
                  <wp:posOffset>-12065</wp:posOffset>
                </wp:positionV>
                <wp:extent cx="678815" cy="699770"/>
                <wp:effectExtent l="0" t="0" r="0" b="0"/>
                <wp:wrapNone/>
                <wp:docPr id="4" name="image1.png" descr="logo"/>
                <wp:cNvGraphicFramePr/>
                <a:graphic xmlns:a="http://schemas.openxmlformats.org/drawingml/2006/main">
                  <a:graphicData uri="http://schemas.openxmlformats.org/drawingml/2006/picture">
                    <pic:pic xmlns:pic="http://schemas.openxmlformats.org/drawingml/2006/picture">
                      <pic:nvPicPr>
                        <pic:cNvPr id="4" name="image1.png" descr="logo"/>
                        <pic:cNvPicPr preferRelativeResize="0"/>
                      </pic:nvPicPr>
                      <pic:blipFill>
                        <a:blip r:embed="rId1"/>
                        <a:srcRect/>
                        <a:stretch>
                          <a:fillRect/>
                        </a:stretch>
                      </pic:blipFill>
                      <pic:spPr>
                        <a:xfrm>
                          <a:off x="0" y="0"/>
                          <a:ext cx="678815" cy="699770"/>
                        </a:xfrm>
                        <a:prstGeom prst="rect">
                          <a:avLst/>
                        </a:prstGeom>
                      </pic:spPr>
                    </pic:pic>
                  </a:graphicData>
                </a:graphic>
              </wp:anchor>
            </w:drawing>
          </w:r>
        </w:p>
        <w:p w14:paraId="79E3FFA7">
          <w:pPr>
            <w:pBdr>
              <w:top w:val="none" w:color="auto" w:sz="0" w:space="0"/>
              <w:left w:val="none" w:color="auto" w:sz="0" w:space="0"/>
              <w:bottom w:val="none" w:color="auto" w:sz="0" w:space="0"/>
              <w:right w:val="none" w:color="auto" w:sz="0" w:space="0"/>
              <w:between w:val="none" w:color="auto" w:sz="0" w:space="0"/>
            </w:pBdr>
            <w:spacing w:after="0" w:line="240" w:lineRule="auto"/>
            <w:ind w:left="720"/>
            <w:jc w:val="center"/>
            <w:rPr>
              <w:rFonts w:ascii="Times New Roman" w:hAnsi="Times New Roman" w:eastAsia="Times New Roman" w:cs="Times New Roman"/>
              <w:color w:val="000000"/>
              <w:sz w:val="24"/>
              <w:szCs w:val="24"/>
            </w:rPr>
          </w:pPr>
          <w:r>
            <w:rPr>
              <w:rFonts w:ascii="Arial" w:hAnsi="Arial" w:eastAsia="Arial" w:cs="Arial"/>
              <w:color w:val="000000"/>
            </w:rPr>
            <w:t>Rua Bom Jardim, 01, Centro - 56470-000 - Jatobá -  PE</w:t>
          </w:r>
        </w:p>
        <w:p w14:paraId="3AD3AEAB">
          <w:pPr>
            <w:pBdr>
              <w:top w:val="none" w:color="auto" w:sz="0" w:space="0"/>
              <w:left w:val="none" w:color="auto" w:sz="0" w:space="0"/>
              <w:bottom w:val="none" w:color="auto" w:sz="0" w:space="0"/>
              <w:right w:val="none" w:color="auto" w:sz="0" w:space="0"/>
              <w:between w:val="none" w:color="auto" w:sz="0" w:space="0"/>
            </w:pBdr>
            <w:spacing w:after="0" w:line="240" w:lineRule="auto"/>
            <w:ind w:left="720"/>
            <w:jc w:val="center"/>
            <w:rPr>
              <w:rFonts w:ascii="Arial" w:hAnsi="Arial" w:eastAsia="Arial" w:cs="Arial"/>
              <w:color w:val="000000"/>
            </w:rPr>
          </w:pPr>
          <w:r>
            <w:rPr>
              <w:rFonts w:ascii="Arial" w:hAnsi="Arial" w:eastAsia="Arial" w:cs="Arial"/>
              <w:color w:val="000000"/>
            </w:rPr>
            <w:t>CNPJ: 01.614.878/0001-80</w:t>
          </w:r>
        </w:p>
        <w:p w14:paraId="65E0997B">
          <w:pPr>
            <w:tabs>
              <w:tab w:val="center" w:pos="4320"/>
              <w:tab w:val="right" w:pos="8640"/>
            </w:tabs>
            <w:spacing w:after="0" w:line="240" w:lineRule="auto"/>
            <w:rPr>
              <w:rFonts w:ascii="Arial" w:hAnsi="Arial" w:eastAsia="Arial" w:cs="Arial"/>
            </w:rPr>
          </w:pPr>
          <w:r>
            <w:rPr>
              <w:rFonts w:ascii="Arial Black" w:hAnsi="Arial Black" w:eastAsia="Arial Black" w:cs="Arial Black"/>
              <w:b/>
              <w:sz w:val="28"/>
              <w:szCs w:val="28"/>
            </w:rPr>
            <w:t xml:space="preserve">     </w:t>
          </w:r>
        </w:p>
        <w:p w14:paraId="746CE8D5">
          <w:pPr>
            <w:pBdr>
              <w:bottom w:val="single" w:color="000000" w:sz="24" w:space="2"/>
            </w:pBdr>
            <w:tabs>
              <w:tab w:val="left" w:pos="2925"/>
              <w:tab w:val="center" w:pos="4320"/>
              <w:tab w:val="right" w:pos="8640"/>
            </w:tabs>
            <w:spacing w:after="0" w:line="240" w:lineRule="auto"/>
            <w:rPr>
              <w:rFonts w:ascii="Arial" w:hAnsi="Arial" w:eastAsia="Arial" w:cs="Arial"/>
              <w:sz w:val="8"/>
              <w:szCs w:val="8"/>
            </w:rPr>
          </w:pPr>
          <w:r>
            <w:rPr>
              <w:rFonts w:ascii="Arial" w:hAnsi="Arial" w:eastAsia="Arial" w:cs="Arial"/>
              <w:sz w:val="8"/>
              <w:szCs w:val="8"/>
            </w:rPr>
            <w:tab/>
          </w:r>
          <w:r>
            <w:rPr>
              <w:rFonts w:ascii="Arial" w:hAnsi="Arial" w:eastAsia="Arial" w:cs="Arial"/>
              <w:sz w:val="8"/>
              <w:szCs w:val="8"/>
            </w:rPr>
            <w:t xml:space="preserve">             </w:t>
          </w:r>
        </w:p>
        <w:p w14:paraId="112D3BD4">
          <w:pPr>
            <w:tabs>
              <w:tab w:val="center" w:pos="4320"/>
              <w:tab w:val="right" w:pos="8640"/>
            </w:tabs>
            <w:spacing w:after="0" w:line="240" w:lineRule="auto"/>
            <w:rPr>
              <w:rFonts w:ascii="Times New Roman" w:hAnsi="Times New Roman" w:eastAsia="Times New Roman" w:cs="Times New Roman"/>
              <w:sz w:val="8"/>
              <w:szCs w:val="8"/>
            </w:rPr>
          </w:pPr>
        </w:p>
        <w:p w14:paraId="0F5CDEA7">
          <w:pPr>
            <w:spacing w:before="20" w:after="20" w:line="240" w:lineRule="auto"/>
            <w:rPr>
              <w:rFonts w:ascii="Arial" w:hAnsi="Arial" w:eastAsia="Arial" w:cs="Arial"/>
              <w:b/>
              <w:sz w:val="10"/>
              <w:szCs w:val="10"/>
            </w:rPr>
          </w:pPr>
        </w:p>
      </w:tc>
    </w:tr>
  </w:tbl>
  <w:p w14:paraId="553B85B4">
    <w:pPr>
      <w:pBdr>
        <w:top w:val="none" w:color="auto" w:sz="0" w:space="0"/>
        <w:left w:val="none" w:color="auto" w:sz="0" w:space="0"/>
        <w:bottom w:val="none" w:color="auto" w:sz="0" w:space="0"/>
        <w:right w:val="none" w:color="auto" w:sz="0" w:space="0"/>
        <w:between w:val="none" w:color="auto" w:sz="0" w:space="0"/>
      </w:pBdr>
      <w:tabs>
        <w:tab w:val="center" w:pos="4252"/>
        <w:tab w:val="right" w:pos="8504"/>
      </w:tabs>
      <w:spacing w:after="0"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9343996"/>
    <w:multiLevelType w:val="multilevel"/>
    <w:tmpl w:val="09343996"/>
    <w:lvl w:ilvl="0" w:tentative="0">
      <w:start w:val="1"/>
      <w:numFmt w:val="decimal"/>
      <w:lvlText w:val="%1."/>
      <w:lvlJc w:val="left"/>
      <w:pPr>
        <w:ind w:left="390" w:hanging="390"/>
      </w:pPr>
      <w:rPr>
        <w:color w:val="000000"/>
      </w:rPr>
    </w:lvl>
    <w:lvl w:ilvl="1" w:tentative="0">
      <w:start w:val="2"/>
      <w:numFmt w:val="decimal"/>
      <w:lvlText w:val="%1.%2."/>
      <w:lvlJc w:val="left"/>
      <w:pPr>
        <w:ind w:left="1080" w:hanging="720"/>
      </w:pPr>
      <w:rPr>
        <w:color w:val="000000"/>
      </w:rPr>
    </w:lvl>
    <w:lvl w:ilvl="2" w:tentative="0">
      <w:start w:val="1"/>
      <w:numFmt w:val="lowerLetter"/>
      <w:lvlText w:val="%3)"/>
      <w:lvlJc w:val="left"/>
      <w:pPr>
        <w:ind w:left="1080" w:hanging="360"/>
      </w:pPr>
    </w:lvl>
    <w:lvl w:ilvl="3" w:tentative="0">
      <w:start w:val="1"/>
      <w:numFmt w:val="decimal"/>
      <w:lvlText w:val="%1.%2.%3.%4."/>
      <w:lvlJc w:val="left"/>
      <w:pPr>
        <w:ind w:left="2160" w:hanging="1080"/>
      </w:pPr>
      <w:rPr>
        <w:color w:val="000000"/>
      </w:rPr>
    </w:lvl>
    <w:lvl w:ilvl="4" w:tentative="0">
      <w:start w:val="1"/>
      <w:numFmt w:val="decimal"/>
      <w:lvlText w:val="%1.%2.%3.%4.%5."/>
      <w:lvlJc w:val="left"/>
      <w:pPr>
        <w:ind w:left="2520" w:hanging="1080"/>
      </w:pPr>
      <w:rPr>
        <w:color w:val="000000"/>
      </w:rPr>
    </w:lvl>
    <w:lvl w:ilvl="5" w:tentative="0">
      <w:start w:val="1"/>
      <w:numFmt w:val="decimal"/>
      <w:lvlText w:val="%1.%2.%3.%4.%5.%6."/>
      <w:lvlJc w:val="left"/>
      <w:pPr>
        <w:ind w:left="3240" w:hanging="1440"/>
      </w:pPr>
      <w:rPr>
        <w:color w:val="000000"/>
      </w:rPr>
    </w:lvl>
    <w:lvl w:ilvl="6" w:tentative="0">
      <w:start w:val="1"/>
      <w:numFmt w:val="decimal"/>
      <w:lvlText w:val="%1.%2.%3.%4.%5.%6.%7."/>
      <w:lvlJc w:val="left"/>
      <w:pPr>
        <w:ind w:left="3600" w:hanging="1440"/>
      </w:pPr>
      <w:rPr>
        <w:color w:val="000000"/>
      </w:rPr>
    </w:lvl>
    <w:lvl w:ilvl="7" w:tentative="0">
      <w:start w:val="1"/>
      <w:numFmt w:val="decimal"/>
      <w:lvlText w:val="%1.%2.%3.%4.%5.%6.%7.%8."/>
      <w:lvlJc w:val="left"/>
      <w:pPr>
        <w:ind w:left="4320" w:hanging="1800"/>
      </w:pPr>
      <w:rPr>
        <w:color w:val="000000"/>
      </w:rPr>
    </w:lvl>
    <w:lvl w:ilvl="8" w:tentative="0">
      <w:start w:val="1"/>
      <w:numFmt w:val="decimal"/>
      <w:lvlText w:val="%1.%2.%3.%4.%5.%6.%7.%8.%9."/>
      <w:lvlJc w:val="left"/>
      <w:pPr>
        <w:ind w:left="5040" w:hanging="2160"/>
      </w:pPr>
      <w:rPr>
        <w:color w:val="000000"/>
      </w:rPr>
    </w:lvl>
  </w:abstractNum>
  <w:abstractNum w:abstractNumId="1">
    <w:nsid w:val="17AB24C1"/>
    <w:multiLevelType w:val="multilevel"/>
    <w:tmpl w:val="17AB24C1"/>
    <w:lvl w:ilvl="0" w:tentative="0">
      <w:start w:val="1"/>
      <w:numFmt w:val="decimal"/>
      <w:lvlText w:val="%1."/>
      <w:lvlJc w:val="left"/>
      <w:pPr>
        <w:ind w:left="720" w:hanging="360"/>
      </w:pPr>
      <w:rPr>
        <w:b/>
        <w:color w:val="000000"/>
      </w:rPr>
    </w:lvl>
    <w:lvl w:ilvl="1" w:tentative="0">
      <w:start w:val="1"/>
      <w:numFmt w:val="decimal"/>
      <w:lvlText w:val="%1.%2."/>
      <w:lvlJc w:val="left"/>
      <w:pPr>
        <w:ind w:left="1080" w:hanging="720"/>
      </w:pPr>
      <w:rPr>
        <w:b w:val="0"/>
        <w:i w:val="0"/>
        <w:color w:val="000000"/>
      </w:rPr>
    </w:lvl>
    <w:lvl w:ilvl="2" w:tentative="0">
      <w:start w:val="1"/>
      <w:numFmt w:val="decimal"/>
      <w:lvlText w:val="%1.%2.%3."/>
      <w:lvlJc w:val="left"/>
      <w:pPr>
        <w:ind w:left="1080" w:hanging="720"/>
      </w:pPr>
      <w:rPr>
        <w:b w:val="0"/>
        <w:i w:val="0"/>
      </w:rPr>
    </w:lvl>
    <w:lvl w:ilvl="3" w:tentative="0">
      <w:start w:val="1"/>
      <w:numFmt w:val="decimal"/>
      <w:lvlText w:val="%1.%2.%3.%4."/>
      <w:lvlJc w:val="left"/>
      <w:pPr>
        <w:ind w:left="1440" w:hanging="1080"/>
      </w:pPr>
    </w:lvl>
    <w:lvl w:ilvl="4" w:tentative="0">
      <w:start w:val="1"/>
      <w:numFmt w:val="decimal"/>
      <w:lvlText w:val="%1.%2.%3.%4.%5."/>
      <w:lvlJc w:val="left"/>
      <w:pPr>
        <w:ind w:left="1440" w:hanging="1080"/>
      </w:pPr>
    </w:lvl>
    <w:lvl w:ilvl="5" w:tentative="0">
      <w:start w:val="1"/>
      <w:numFmt w:val="decimal"/>
      <w:lvlText w:val="%1.%2.%3.%4.%5.%6."/>
      <w:lvlJc w:val="left"/>
      <w:pPr>
        <w:ind w:left="1800" w:hanging="1440"/>
      </w:pPr>
    </w:lvl>
    <w:lvl w:ilvl="6" w:tentative="0">
      <w:start w:val="1"/>
      <w:numFmt w:val="decimal"/>
      <w:lvlText w:val="%1.%2.%3.%4.%5.%6.%7."/>
      <w:lvlJc w:val="left"/>
      <w:pPr>
        <w:ind w:left="1800" w:hanging="1440"/>
      </w:pPr>
    </w:lvl>
    <w:lvl w:ilvl="7" w:tentative="0">
      <w:start w:val="1"/>
      <w:numFmt w:val="decimal"/>
      <w:lvlText w:val="%1.%2.%3.%4.%5.%6.%7.%8."/>
      <w:lvlJc w:val="left"/>
      <w:pPr>
        <w:ind w:left="2160" w:hanging="1800"/>
      </w:pPr>
    </w:lvl>
    <w:lvl w:ilvl="8" w:tentative="0">
      <w:start w:val="1"/>
      <w:numFmt w:val="decimal"/>
      <w:lvlText w:val="%1.%2.%3.%4.%5.%6.%7.%8.%9."/>
      <w:lvlJc w:val="left"/>
      <w:pPr>
        <w:ind w:left="2520" w:hanging="2160"/>
      </w:pPr>
    </w:lvl>
  </w:abstractNum>
  <w:abstractNum w:abstractNumId="2">
    <w:nsid w:val="1A112A0C"/>
    <w:multiLevelType w:val="multilevel"/>
    <w:tmpl w:val="1A112A0C"/>
    <w:lvl w:ilvl="0" w:tentative="0">
      <w:start w:val="1"/>
      <w:numFmt w:val="lowerLetter"/>
      <w:lvlText w:val="%1)"/>
      <w:lvlJc w:val="left"/>
      <w:pPr>
        <w:ind w:left="644" w:hanging="359"/>
      </w:pPr>
    </w:lvl>
    <w:lvl w:ilvl="1" w:tentative="0">
      <w:start w:val="1"/>
      <w:numFmt w:val="lowerLetter"/>
      <w:lvlText w:val="%2."/>
      <w:lvlJc w:val="left"/>
      <w:pPr>
        <w:ind w:left="1364" w:hanging="360"/>
      </w:pPr>
    </w:lvl>
    <w:lvl w:ilvl="2" w:tentative="0">
      <w:start w:val="1"/>
      <w:numFmt w:val="lowerRoman"/>
      <w:lvlText w:val="%3."/>
      <w:lvlJc w:val="right"/>
      <w:pPr>
        <w:ind w:left="2084" w:hanging="180"/>
      </w:pPr>
    </w:lvl>
    <w:lvl w:ilvl="3" w:tentative="0">
      <w:start w:val="1"/>
      <w:numFmt w:val="decimal"/>
      <w:lvlText w:val="%4."/>
      <w:lvlJc w:val="left"/>
      <w:pPr>
        <w:ind w:left="2804" w:hanging="360"/>
      </w:pPr>
    </w:lvl>
    <w:lvl w:ilvl="4" w:tentative="0">
      <w:start w:val="1"/>
      <w:numFmt w:val="lowerLetter"/>
      <w:lvlText w:val="%5."/>
      <w:lvlJc w:val="left"/>
      <w:pPr>
        <w:ind w:left="3524" w:hanging="360"/>
      </w:pPr>
    </w:lvl>
    <w:lvl w:ilvl="5" w:tentative="0">
      <w:start w:val="1"/>
      <w:numFmt w:val="lowerRoman"/>
      <w:lvlText w:val="%6."/>
      <w:lvlJc w:val="right"/>
      <w:pPr>
        <w:ind w:left="4244" w:hanging="180"/>
      </w:pPr>
    </w:lvl>
    <w:lvl w:ilvl="6" w:tentative="0">
      <w:start w:val="1"/>
      <w:numFmt w:val="decimal"/>
      <w:lvlText w:val="%7."/>
      <w:lvlJc w:val="left"/>
      <w:pPr>
        <w:ind w:left="4964" w:hanging="360"/>
      </w:pPr>
    </w:lvl>
    <w:lvl w:ilvl="7" w:tentative="0">
      <w:start w:val="1"/>
      <w:numFmt w:val="lowerLetter"/>
      <w:lvlText w:val="%8."/>
      <w:lvlJc w:val="left"/>
      <w:pPr>
        <w:ind w:left="5684" w:hanging="360"/>
      </w:pPr>
    </w:lvl>
    <w:lvl w:ilvl="8" w:tentative="0">
      <w:start w:val="1"/>
      <w:numFmt w:val="lowerRoman"/>
      <w:lvlText w:val="%9."/>
      <w:lvlJc w:val="right"/>
      <w:pPr>
        <w:ind w:left="6404" w:hanging="180"/>
      </w:pPr>
    </w:lvl>
  </w:abstractNum>
  <w:abstractNum w:abstractNumId="3">
    <w:nsid w:val="20FB6408"/>
    <w:multiLevelType w:val="multilevel"/>
    <w:tmpl w:val="20FB6408"/>
    <w:lvl w:ilvl="0" w:tentative="0">
      <w:start w:val="1"/>
      <w:numFmt w:val="lowerLetter"/>
      <w:lvlText w:val="%1)"/>
      <w:lvlJc w:val="left"/>
      <w:pPr>
        <w:ind w:left="927" w:hanging="360"/>
      </w:pPr>
    </w:lvl>
    <w:lvl w:ilvl="1" w:tentative="0">
      <w:start w:val="1"/>
      <w:numFmt w:val="lowerLetter"/>
      <w:lvlText w:val="%2."/>
      <w:lvlJc w:val="left"/>
      <w:pPr>
        <w:ind w:left="1647" w:hanging="360"/>
      </w:pPr>
    </w:lvl>
    <w:lvl w:ilvl="2" w:tentative="0">
      <w:start w:val="1"/>
      <w:numFmt w:val="lowerRoman"/>
      <w:lvlText w:val="%3."/>
      <w:lvlJc w:val="right"/>
      <w:pPr>
        <w:ind w:left="2367" w:hanging="180"/>
      </w:pPr>
    </w:lvl>
    <w:lvl w:ilvl="3" w:tentative="0">
      <w:start w:val="1"/>
      <w:numFmt w:val="decimal"/>
      <w:lvlText w:val="%4."/>
      <w:lvlJc w:val="left"/>
      <w:pPr>
        <w:ind w:left="3087" w:hanging="360"/>
      </w:pPr>
    </w:lvl>
    <w:lvl w:ilvl="4" w:tentative="0">
      <w:start w:val="1"/>
      <w:numFmt w:val="lowerLetter"/>
      <w:lvlText w:val="%5."/>
      <w:lvlJc w:val="left"/>
      <w:pPr>
        <w:ind w:left="3807" w:hanging="360"/>
      </w:pPr>
    </w:lvl>
    <w:lvl w:ilvl="5" w:tentative="0">
      <w:start w:val="1"/>
      <w:numFmt w:val="lowerRoman"/>
      <w:lvlText w:val="%6."/>
      <w:lvlJc w:val="right"/>
      <w:pPr>
        <w:ind w:left="4527" w:hanging="180"/>
      </w:pPr>
    </w:lvl>
    <w:lvl w:ilvl="6" w:tentative="0">
      <w:start w:val="1"/>
      <w:numFmt w:val="decimal"/>
      <w:lvlText w:val="%7."/>
      <w:lvlJc w:val="left"/>
      <w:pPr>
        <w:ind w:left="5247" w:hanging="360"/>
      </w:pPr>
    </w:lvl>
    <w:lvl w:ilvl="7" w:tentative="0">
      <w:start w:val="1"/>
      <w:numFmt w:val="lowerLetter"/>
      <w:lvlText w:val="%8."/>
      <w:lvlJc w:val="left"/>
      <w:pPr>
        <w:ind w:left="5967" w:hanging="360"/>
      </w:pPr>
    </w:lvl>
    <w:lvl w:ilvl="8" w:tentative="0">
      <w:start w:val="1"/>
      <w:numFmt w:val="lowerRoman"/>
      <w:lvlText w:val="%9."/>
      <w:lvlJc w:val="right"/>
      <w:pPr>
        <w:ind w:left="6687" w:hanging="180"/>
      </w:pPr>
    </w:lvl>
  </w:abstractNum>
  <w:abstractNum w:abstractNumId="4">
    <w:nsid w:val="24BC0464"/>
    <w:multiLevelType w:val="multilevel"/>
    <w:tmpl w:val="24BC0464"/>
    <w:lvl w:ilvl="0" w:tentative="0">
      <w:start w:val="1"/>
      <w:numFmt w:val="decimal"/>
      <w:pStyle w:val="18"/>
      <w:lvlText w:val="%1."/>
      <w:lvlJc w:val="left"/>
      <w:pPr>
        <w:ind w:left="390" w:hanging="390"/>
      </w:pPr>
      <w:rPr>
        <w:color w:val="000000"/>
      </w:rPr>
    </w:lvl>
    <w:lvl w:ilvl="1" w:tentative="0">
      <w:start w:val="2"/>
      <w:numFmt w:val="decimal"/>
      <w:lvlText w:val="%1.%2."/>
      <w:lvlJc w:val="left"/>
      <w:pPr>
        <w:ind w:left="1080" w:hanging="720"/>
      </w:pPr>
      <w:rPr>
        <w:color w:val="000000"/>
      </w:rPr>
    </w:lvl>
    <w:lvl w:ilvl="2" w:tentative="0">
      <w:start w:val="1"/>
      <w:numFmt w:val="decimal"/>
      <w:lvlText w:val="%1.%2.%3."/>
      <w:lvlJc w:val="left"/>
      <w:pPr>
        <w:ind w:left="1440" w:hanging="720"/>
      </w:pPr>
      <w:rPr>
        <w:color w:val="000000"/>
      </w:rPr>
    </w:lvl>
    <w:lvl w:ilvl="3" w:tentative="0">
      <w:start w:val="1"/>
      <w:numFmt w:val="decimal"/>
      <w:lvlText w:val="%1.%2.%3.%4."/>
      <w:lvlJc w:val="left"/>
      <w:pPr>
        <w:ind w:left="2160" w:hanging="1080"/>
      </w:pPr>
      <w:rPr>
        <w:color w:val="000000"/>
      </w:rPr>
    </w:lvl>
    <w:lvl w:ilvl="4" w:tentative="0">
      <w:start w:val="1"/>
      <w:numFmt w:val="decimal"/>
      <w:lvlText w:val="%1.%2.%3.%4.%5."/>
      <w:lvlJc w:val="left"/>
      <w:pPr>
        <w:ind w:left="2520" w:hanging="1080"/>
      </w:pPr>
      <w:rPr>
        <w:color w:val="000000"/>
      </w:rPr>
    </w:lvl>
    <w:lvl w:ilvl="5" w:tentative="0">
      <w:start w:val="1"/>
      <w:numFmt w:val="decimal"/>
      <w:lvlText w:val="%1.%2.%3.%4.%5.%6."/>
      <w:lvlJc w:val="left"/>
      <w:pPr>
        <w:ind w:left="3240" w:hanging="1440"/>
      </w:pPr>
      <w:rPr>
        <w:color w:val="000000"/>
      </w:rPr>
    </w:lvl>
    <w:lvl w:ilvl="6" w:tentative="0">
      <w:start w:val="1"/>
      <w:numFmt w:val="decimal"/>
      <w:lvlText w:val="%1.%2.%3.%4.%5.%6.%7."/>
      <w:lvlJc w:val="left"/>
      <w:pPr>
        <w:ind w:left="3600" w:hanging="1440"/>
      </w:pPr>
      <w:rPr>
        <w:color w:val="000000"/>
      </w:rPr>
    </w:lvl>
    <w:lvl w:ilvl="7" w:tentative="0">
      <w:start w:val="1"/>
      <w:numFmt w:val="decimal"/>
      <w:lvlText w:val="%1.%2.%3.%4.%5.%6.%7.%8."/>
      <w:lvlJc w:val="left"/>
      <w:pPr>
        <w:ind w:left="4320" w:hanging="1800"/>
      </w:pPr>
      <w:rPr>
        <w:color w:val="000000"/>
      </w:rPr>
    </w:lvl>
    <w:lvl w:ilvl="8" w:tentative="0">
      <w:start w:val="1"/>
      <w:numFmt w:val="decimal"/>
      <w:lvlText w:val="%1.%2.%3.%4.%5.%6.%7.%8.%9."/>
      <w:lvlJc w:val="left"/>
      <w:pPr>
        <w:ind w:left="5040" w:hanging="2160"/>
      </w:pPr>
      <w:rPr>
        <w:color w:val="000000"/>
      </w:rPr>
    </w:lvl>
  </w:abstractNum>
  <w:abstractNum w:abstractNumId="5">
    <w:nsid w:val="2B034C63"/>
    <w:multiLevelType w:val="multilevel"/>
    <w:tmpl w:val="2B034C63"/>
    <w:lvl w:ilvl="0" w:tentative="0">
      <w:start w:val="1"/>
      <w:numFmt w:val="decimal"/>
      <w:lvlText w:val="%1."/>
      <w:lvlJc w:val="right"/>
      <w:pPr>
        <w:ind w:left="809" w:hanging="357"/>
      </w:pPr>
    </w:lvl>
    <w:lvl w:ilvl="1" w:tentative="0">
      <w:start w:val="1"/>
      <w:numFmt w:val="lowerLetter"/>
      <w:lvlText w:val="%2."/>
      <w:lvlJc w:val="left"/>
      <w:pPr>
        <w:ind w:left="1529" w:hanging="360"/>
      </w:pPr>
    </w:lvl>
    <w:lvl w:ilvl="2" w:tentative="0">
      <w:start w:val="1"/>
      <w:numFmt w:val="lowerRoman"/>
      <w:lvlText w:val="%3."/>
      <w:lvlJc w:val="right"/>
      <w:pPr>
        <w:ind w:left="2249" w:hanging="180"/>
      </w:pPr>
    </w:lvl>
    <w:lvl w:ilvl="3" w:tentative="0">
      <w:start w:val="1"/>
      <w:numFmt w:val="decimal"/>
      <w:lvlText w:val="%4."/>
      <w:lvlJc w:val="left"/>
      <w:pPr>
        <w:ind w:left="2969" w:hanging="360"/>
      </w:pPr>
    </w:lvl>
    <w:lvl w:ilvl="4" w:tentative="0">
      <w:start w:val="1"/>
      <w:numFmt w:val="lowerLetter"/>
      <w:lvlText w:val="%5."/>
      <w:lvlJc w:val="left"/>
      <w:pPr>
        <w:ind w:left="3689" w:hanging="360"/>
      </w:pPr>
    </w:lvl>
    <w:lvl w:ilvl="5" w:tentative="0">
      <w:start w:val="1"/>
      <w:numFmt w:val="lowerRoman"/>
      <w:lvlText w:val="%6."/>
      <w:lvlJc w:val="right"/>
      <w:pPr>
        <w:ind w:left="4409" w:hanging="180"/>
      </w:pPr>
    </w:lvl>
    <w:lvl w:ilvl="6" w:tentative="0">
      <w:start w:val="1"/>
      <w:numFmt w:val="decimal"/>
      <w:lvlText w:val="%7."/>
      <w:lvlJc w:val="left"/>
      <w:pPr>
        <w:ind w:left="5129" w:hanging="360"/>
      </w:pPr>
    </w:lvl>
    <w:lvl w:ilvl="7" w:tentative="0">
      <w:start w:val="1"/>
      <w:numFmt w:val="lowerLetter"/>
      <w:lvlText w:val="%8."/>
      <w:lvlJc w:val="left"/>
      <w:pPr>
        <w:ind w:left="5849" w:hanging="360"/>
      </w:pPr>
    </w:lvl>
    <w:lvl w:ilvl="8" w:tentative="0">
      <w:start w:val="1"/>
      <w:numFmt w:val="lowerRoman"/>
      <w:lvlText w:val="%9."/>
      <w:lvlJc w:val="right"/>
      <w:pPr>
        <w:ind w:left="6569" w:hanging="180"/>
      </w:pPr>
    </w:lvl>
  </w:abstractNum>
  <w:abstractNum w:abstractNumId="6">
    <w:nsid w:val="32441E3A"/>
    <w:multiLevelType w:val="multilevel"/>
    <w:tmpl w:val="32441E3A"/>
    <w:lvl w:ilvl="0" w:tentative="0">
      <w:start w:val="1"/>
      <w:numFmt w:val="decimal"/>
      <w:lvlText w:val="%1."/>
      <w:lvlJc w:val="left"/>
      <w:pPr>
        <w:ind w:left="390" w:hanging="390"/>
      </w:pPr>
      <w:rPr>
        <w:color w:val="000000"/>
      </w:rPr>
    </w:lvl>
    <w:lvl w:ilvl="1" w:tentative="0">
      <w:start w:val="2"/>
      <w:numFmt w:val="decimal"/>
      <w:lvlText w:val="%1.%2."/>
      <w:lvlJc w:val="left"/>
      <w:pPr>
        <w:ind w:left="1080" w:hanging="720"/>
      </w:pPr>
      <w:rPr>
        <w:color w:val="000000"/>
      </w:rPr>
    </w:lvl>
    <w:lvl w:ilvl="2" w:tentative="0">
      <w:start w:val="1"/>
      <w:numFmt w:val="lowerLetter"/>
      <w:lvlText w:val="%3)"/>
      <w:lvlJc w:val="left"/>
      <w:pPr>
        <w:ind w:left="1080" w:hanging="360"/>
      </w:pPr>
    </w:lvl>
    <w:lvl w:ilvl="3" w:tentative="0">
      <w:start w:val="1"/>
      <w:numFmt w:val="decimal"/>
      <w:lvlText w:val="%1.%2.%3.%4."/>
      <w:lvlJc w:val="left"/>
      <w:pPr>
        <w:ind w:left="2160" w:hanging="1080"/>
      </w:pPr>
      <w:rPr>
        <w:color w:val="000000"/>
      </w:rPr>
    </w:lvl>
    <w:lvl w:ilvl="4" w:tentative="0">
      <w:start w:val="1"/>
      <w:numFmt w:val="decimal"/>
      <w:lvlText w:val="%1.%2.%3.%4.%5."/>
      <w:lvlJc w:val="left"/>
      <w:pPr>
        <w:ind w:left="2520" w:hanging="1080"/>
      </w:pPr>
      <w:rPr>
        <w:color w:val="000000"/>
      </w:rPr>
    </w:lvl>
    <w:lvl w:ilvl="5" w:tentative="0">
      <w:start w:val="1"/>
      <w:numFmt w:val="decimal"/>
      <w:lvlText w:val="%1.%2.%3.%4.%5.%6."/>
      <w:lvlJc w:val="left"/>
      <w:pPr>
        <w:ind w:left="3240" w:hanging="1440"/>
      </w:pPr>
      <w:rPr>
        <w:color w:val="000000"/>
      </w:rPr>
    </w:lvl>
    <w:lvl w:ilvl="6" w:tentative="0">
      <w:start w:val="1"/>
      <w:numFmt w:val="decimal"/>
      <w:lvlText w:val="%1.%2.%3.%4.%5.%6.%7."/>
      <w:lvlJc w:val="left"/>
      <w:pPr>
        <w:ind w:left="3600" w:hanging="1440"/>
      </w:pPr>
      <w:rPr>
        <w:color w:val="000000"/>
      </w:rPr>
    </w:lvl>
    <w:lvl w:ilvl="7" w:tentative="0">
      <w:start w:val="1"/>
      <w:numFmt w:val="decimal"/>
      <w:lvlText w:val="%1.%2.%3.%4.%5.%6.%7.%8."/>
      <w:lvlJc w:val="left"/>
      <w:pPr>
        <w:ind w:left="4320" w:hanging="1800"/>
      </w:pPr>
      <w:rPr>
        <w:color w:val="000000"/>
      </w:rPr>
    </w:lvl>
    <w:lvl w:ilvl="8" w:tentative="0">
      <w:start w:val="1"/>
      <w:numFmt w:val="decimal"/>
      <w:lvlText w:val="%1.%2.%3.%4.%5.%6.%7.%8.%9."/>
      <w:lvlJc w:val="left"/>
      <w:pPr>
        <w:ind w:left="5040" w:hanging="2160"/>
      </w:pPr>
      <w:rPr>
        <w:color w:val="000000"/>
      </w:rPr>
    </w:lvl>
  </w:abstractNum>
  <w:abstractNum w:abstractNumId="7">
    <w:nsid w:val="38A97D07"/>
    <w:multiLevelType w:val="multilevel"/>
    <w:tmpl w:val="38A97D07"/>
    <w:lvl w:ilvl="0" w:tentative="0">
      <w:start w:val="1"/>
      <w:numFmt w:val="decimal"/>
      <w:lvlText w:val="%1"/>
      <w:lvlJc w:val="center"/>
      <w:pPr>
        <w:ind w:left="360" w:hanging="360"/>
      </w:pPr>
      <w:rPr>
        <w:b/>
      </w:r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8">
    <w:nsid w:val="3BDC3183"/>
    <w:multiLevelType w:val="multilevel"/>
    <w:tmpl w:val="3BDC3183"/>
    <w:lvl w:ilvl="0" w:tentative="0">
      <w:start w:val="8"/>
      <w:numFmt w:val="decimal"/>
      <w:lvlText w:val="%1."/>
      <w:lvlJc w:val="left"/>
      <w:pPr>
        <w:ind w:left="585" w:hanging="585"/>
      </w:pPr>
    </w:lvl>
    <w:lvl w:ilvl="1" w:tentative="0">
      <w:start w:val="2"/>
      <w:numFmt w:val="decimal"/>
      <w:lvlText w:val="%1.%2."/>
      <w:lvlJc w:val="left"/>
      <w:pPr>
        <w:ind w:left="1440" w:hanging="720"/>
      </w:pPr>
    </w:lvl>
    <w:lvl w:ilvl="2" w:tentative="0">
      <w:start w:val="1"/>
      <w:numFmt w:val="lowerLetter"/>
      <w:lvlText w:val="%3)"/>
      <w:lvlJc w:val="left"/>
      <w:pPr>
        <w:ind w:left="1800" w:hanging="360"/>
      </w:pPr>
    </w:lvl>
    <w:lvl w:ilvl="3" w:tentative="0">
      <w:start w:val="1"/>
      <w:numFmt w:val="decimal"/>
      <w:lvlText w:val="%1.%2.%3.%4."/>
      <w:lvlJc w:val="left"/>
      <w:pPr>
        <w:ind w:left="3240" w:hanging="1080"/>
      </w:pPr>
    </w:lvl>
    <w:lvl w:ilvl="4" w:tentative="0">
      <w:start w:val="1"/>
      <w:numFmt w:val="decimal"/>
      <w:lvlText w:val="%1.%2.%3.%4.%5."/>
      <w:lvlJc w:val="left"/>
      <w:pPr>
        <w:ind w:left="3960" w:hanging="1080"/>
      </w:pPr>
    </w:lvl>
    <w:lvl w:ilvl="5" w:tentative="0">
      <w:start w:val="1"/>
      <w:numFmt w:val="decimal"/>
      <w:lvlText w:val="%1.%2.%3.%4.%5.%6."/>
      <w:lvlJc w:val="left"/>
      <w:pPr>
        <w:ind w:left="5040" w:hanging="1440"/>
      </w:pPr>
    </w:lvl>
    <w:lvl w:ilvl="6" w:tentative="0">
      <w:start w:val="1"/>
      <w:numFmt w:val="decimal"/>
      <w:lvlText w:val="%1.%2.%3.%4.%5.%6.%7."/>
      <w:lvlJc w:val="left"/>
      <w:pPr>
        <w:ind w:left="5760" w:hanging="1440"/>
      </w:pPr>
    </w:lvl>
    <w:lvl w:ilvl="7" w:tentative="0">
      <w:start w:val="1"/>
      <w:numFmt w:val="decimal"/>
      <w:lvlText w:val="%1.%2.%3.%4.%5.%6.%7.%8."/>
      <w:lvlJc w:val="left"/>
      <w:pPr>
        <w:ind w:left="6840" w:hanging="1800"/>
      </w:pPr>
    </w:lvl>
    <w:lvl w:ilvl="8" w:tentative="0">
      <w:start w:val="1"/>
      <w:numFmt w:val="decimal"/>
      <w:lvlText w:val="%1.%2.%3.%4.%5.%6.%7.%8.%9."/>
      <w:lvlJc w:val="left"/>
      <w:pPr>
        <w:ind w:left="7920" w:hanging="2160"/>
      </w:pPr>
    </w:lvl>
  </w:abstractNum>
  <w:abstractNum w:abstractNumId="9">
    <w:nsid w:val="48B0410B"/>
    <w:multiLevelType w:val="multilevel"/>
    <w:tmpl w:val="48B0410B"/>
    <w:lvl w:ilvl="0" w:tentative="0">
      <w:start w:val="1"/>
      <w:numFmt w:val="bullet"/>
      <w:lvlText w:val="●"/>
      <w:lvlJc w:val="left"/>
      <w:pPr>
        <w:ind w:left="72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10">
    <w:nsid w:val="490F7C5B"/>
    <w:multiLevelType w:val="multilevel"/>
    <w:tmpl w:val="490F7C5B"/>
    <w:lvl w:ilvl="0" w:tentative="0">
      <w:start w:val="8"/>
      <w:numFmt w:val="decimal"/>
      <w:lvlText w:val="%1."/>
      <w:lvlJc w:val="left"/>
      <w:pPr>
        <w:ind w:left="585" w:hanging="585"/>
      </w:pPr>
    </w:lvl>
    <w:lvl w:ilvl="1" w:tentative="0">
      <w:start w:val="2"/>
      <w:numFmt w:val="decimal"/>
      <w:lvlText w:val="%1.%2."/>
      <w:lvlJc w:val="left"/>
      <w:pPr>
        <w:ind w:left="1440" w:hanging="720"/>
      </w:pPr>
    </w:lvl>
    <w:lvl w:ilvl="2" w:tentative="0">
      <w:start w:val="4"/>
      <w:numFmt w:val="decimal"/>
      <w:lvlText w:val="%1.%2.%3."/>
      <w:lvlJc w:val="left"/>
      <w:pPr>
        <w:ind w:left="2160" w:hanging="720"/>
      </w:pPr>
    </w:lvl>
    <w:lvl w:ilvl="3" w:tentative="0">
      <w:start w:val="1"/>
      <w:numFmt w:val="decimal"/>
      <w:lvlText w:val="%1.%2.%3.%4."/>
      <w:lvlJc w:val="left"/>
      <w:pPr>
        <w:ind w:left="3240" w:hanging="1080"/>
      </w:pPr>
    </w:lvl>
    <w:lvl w:ilvl="4" w:tentative="0">
      <w:start w:val="1"/>
      <w:numFmt w:val="decimal"/>
      <w:lvlText w:val="%1.%2.%3.%4.%5."/>
      <w:lvlJc w:val="left"/>
      <w:pPr>
        <w:ind w:left="3960" w:hanging="1080"/>
      </w:pPr>
    </w:lvl>
    <w:lvl w:ilvl="5" w:tentative="0">
      <w:start w:val="1"/>
      <w:numFmt w:val="decimal"/>
      <w:lvlText w:val="%1.%2.%3.%4.%5.%6."/>
      <w:lvlJc w:val="left"/>
      <w:pPr>
        <w:ind w:left="5040" w:hanging="1440"/>
      </w:pPr>
    </w:lvl>
    <w:lvl w:ilvl="6" w:tentative="0">
      <w:start w:val="1"/>
      <w:numFmt w:val="decimal"/>
      <w:lvlText w:val="%1.%2.%3.%4.%5.%6.%7."/>
      <w:lvlJc w:val="left"/>
      <w:pPr>
        <w:ind w:left="5760" w:hanging="1440"/>
      </w:pPr>
    </w:lvl>
    <w:lvl w:ilvl="7" w:tentative="0">
      <w:start w:val="1"/>
      <w:numFmt w:val="decimal"/>
      <w:lvlText w:val="%1.%2.%3.%4.%5.%6.%7.%8."/>
      <w:lvlJc w:val="left"/>
      <w:pPr>
        <w:ind w:left="6840" w:hanging="1800"/>
      </w:pPr>
    </w:lvl>
    <w:lvl w:ilvl="8" w:tentative="0">
      <w:start w:val="1"/>
      <w:numFmt w:val="decimal"/>
      <w:lvlText w:val="%1.%2.%3.%4.%5.%6.%7.%8.%9."/>
      <w:lvlJc w:val="left"/>
      <w:pPr>
        <w:ind w:left="7920" w:hanging="2160"/>
      </w:pPr>
    </w:lvl>
  </w:abstractNum>
  <w:abstractNum w:abstractNumId="11">
    <w:nsid w:val="50620E38"/>
    <w:multiLevelType w:val="multilevel"/>
    <w:tmpl w:val="50620E38"/>
    <w:lvl w:ilvl="0" w:tentative="0">
      <w:start w:val="1"/>
      <w:numFmt w:val="lowerLetter"/>
      <w:lvlText w:val="%1)"/>
      <w:lvlJc w:val="left"/>
      <w:pPr>
        <w:ind w:left="1440" w:hanging="360"/>
      </w:p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12">
    <w:nsid w:val="69703DEB"/>
    <w:multiLevelType w:val="multilevel"/>
    <w:tmpl w:val="69703DEB"/>
    <w:lvl w:ilvl="0" w:tentative="0">
      <w:start w:val="1"/>
      <w:numFmt w:val="lowerLetter"/>
      <w:lvlText w:val="%1)"/>
      <w:lvlJc w:val="left"/>
      <w:pPr>
        <w:ind w:left="644" w:hanging="359"/>
      </w:pPr>
    </w:lvl>
    <w:lvl w:ilvl="1" w:tentative="0">
      <w:start w:val="1"/>
      <w:numFmt w:val="lowerLetter"/>
      <w:lvlText w:val="%2."/>
      <w:lvlJc w:val="left"/>
      <w:pPr>
        <w:ind w:left="1364" w:hanging="360"/>
      </w:pPr>
    </w:lvl>
    <w:lvl w:ilvl="2" w:tentative="0">
      <w:start w:val="1"/>
      <w:numFmt w:val="lowerRoman"/>
      <w:lvlText w:val="%3."/>
      <w:lvlJc w:val="right"/>
      <w:pPr>
        <w:ind w:left="2084" w:hanging="180"/>
      </w:pPr>
    </w:lvl>
    <w:lvl w:ilvl="3" w:tentative="0">
      <w:start w:val="1"/>
      <w:numFmt w:val="decimal"/>
      <w:lvlText w:val="%4."/>
      <w:lvlJc w:val="left"/>
      <w:pPr>
        <w:ind w:left="2804" w:hanging="360"/>
      </w:pPr>
    </w:lvl>
    <w:lvl w:ilvl="4" w:tentative="0">
      <w:start w:val="1"/>
      <w:numFmt w:val="lowerLetter"/>
      <w:lvlText w:val="%5."/>
      <w:lvlJc w:val="left"/>
      <w:pPr>
        <w:ind w:left="3524" w:hanging="360"/>
      </w:pPr>
    </w:lvl>
    <w:lvl w:ilvl="5" w:tentative="0">
      <w:start w:val="1"/>
      <w:numFmt w:val="lowerRoman"/>
      <w:lvlText w:val="%6."/>
      <w:lvlJc w:val="right"/>
      <w:pPr>
        <w:ind w:left="4244" w:hanging="180"/>
      </w:pPr>
    </w:lvl>
    <w:lvl w:ilvl="6" w:tentative="0">
      <w:start w:val="1"/>
      <w:numFmt w:val="decimal"/>
      <w:lvlText w:val="%7."/>
      <w:lvlJc w:val="left"/>
      <w:pPr>
        <w:ind w:left="4964" w:hanging="360"/>
      </w:pPr>
    </w:lvl>
    <w:lvl w:ilvl="7" w:tentative="0">
      <w:start w:val="1"/>
      <w:numFmt w:val="lowerLetter"/>
      <w:lvlText w:val="%8."/>
      <w:lvlJc w:val="left"/>
      <w:pPr>
        <w:ind w:left="5684" w:hanging="360"/>
      </w:pPr>
    </w:lvl>
    <w:lvl w:ilvl="8" w:tentative="0">
      <w:start w:val="1"/>
      <w:numFmt w:val="lowerRoman"/>
      <w:lvlText w:val="%9."/>
      <w:lvlJc w:val="right"/>
      <w:pPr>
        <w:ind w:left="6404" w:hanging="180"/>
      </w:pPr>
    </w:lvl>
  </w:abstractNum>
  <w:abstractNum w:abstractNumId="13">
    <w:nsid w:val="6C6D52AC"/>
    <w:multiLevelType w:val="multilevel"/>
    <w:tmpl w:val="6C6D52AC"/>
    <w:lvl w:ilvl="0" w:tentative="0">
      <w:start w:val="1"/>
      <w:numFmt w:val="lowerLetter"/>
      <w:lvlText w:val="%1)"/>
      <w:lvlJc w:val="left"/>
      <w:pPr>
        <w:ind w:left="644" w:hanging="359"/>
      </w:pPr>
    </w:lvl>
    <w:lvl w:ilvl="1" w:tentative="0">
      <w:start w:val="1"/>
      <w:numFmt w:val="lowerLetter"/>
      <w:lvlText w:val="%2."/>
      <w:lvlJc w:val="left"/>
      <w:pPr>
        <w:ind w:left="1364" w:hanging="360"/>
      </w:pPr>
    </w:lvl>
    <w:lvl w:ilvl="2" w:tentative="0">
      <w:start w:val="1"/>
      <w:numFmt w:val="lowerRoman"/>
      <w:lvlText w:val="%3."/>
      <w:lvlJc w:val="right"/>
      <w:pPr>
        <w:ind w:left="2084" w:hanging="180"/>
      </w:pPr>
    </w:lvl>
    <w:lvl w:ilvl="3" w:tentative="0">
      <w:start w:val="1"/>
      <w:numFmt w:val="decimal"/>
      <w:lvlText w:val="%4."/>
      <w:lvlJc w:val="left"/>
      <w:pPr>
        <w:ind w:left="2804" w:hanging="360"/>
      </w:pPr>
    </w:lvl>
    <w:lvl w:ilvl="4" w:tentative="0">
      <w:start w:val="1"/>
      <w:numFmt w:val="lowerLetter"/>
      <w:lvlText w:val="%5."/>
      <w:lvlJc w:val="left"/>
      <w:pPr>
        <w:ind w:left="3524" w:hanging="360"/>
      </w:pPr>
    </w:lvl>
    <w:lvl w:ilvl="5" w:tentative="0">
      <w:start w:val="1"/>
      <w:numFmt w:val="lowerRoman"/>
      <w:lvlText w:val="%6."/>
      <w:lvlJc w:val="right"/>
      <w:pPr>
        <w:ind w:left="4244" w:hanging="180"/>
      </w:pPr>
    </w:lvl>
    <w:lvl w:ilvl="6" w:tentative="0">
      <w:start w:val="1"/>
      <w:numFmt w:val="decimal"/>
      <w:lvlText w:val="%7."/>
      <w:lvlJc w:val="left"/>
      <w:pPr>
        <w:ind w:left="4964" w:hanging="360"/>
      </w:pPr>
    </w:lvl>
    <w:lvl w:ilvl="7" w:tentative="0">
      <w:start w:val="1"/>
      <w:numFmt w:val="lowerLetter"/>
      <w:lvlText w:val="%8."/>
      <w:lvlJc w:val="left"/>
      <w:pPr>
        <w:ind w:left="5684" w:hanging="360"/>
      </w:pPr>
    </w:lvl>
    <w:lvl w:ilvl="8" w:tentative="0">
      <w:start w:val="1"/>
      <w:numFmt w:val="lowerRoman"/>
      <w:lvlText w:val="%9."/>
      <w:lvlJc w:val="right"/>
      <w:pPr>
        <w:ind w:left="6404" w:hanging="180"/>
      </w:pPr>
    </w:lvl>
  </w:abstractNum>
  <w:abstractNum w:abstractNumId="14">
    <w:nsid w:val="6EA27F0C"/>
    <w:multiLevelType w:val="multilevel"/>
    <w:tmpl w:val="6EA27F0C"/>
    <w:lvl w:ilvl="0" w:tentative="0">
      <w:start w:val="1"/>
      <w:numFmt w:val="decimal"/>
      <w:lvlText w:val="%1."/>
      <w:lvlJc w:val="left"/>
      <w:pPr>
        <w:ind w:left="390" w:hanging="390"/>
      </w:pPr>
      <w:rPr>
        <w:color w:val="000000"/>
      </w:rPr>
    </w:lvl>
    <w:lvl w:ilvl="1" w:tentative="0">
      <w:start w:val="2"/>
      <w:numFmt w:val="decimal"/>
      <w:lvlText w:val="%1.%2."/>
      <w:lvlJc w:val="left"/>
      <w:pPr>
        <w:ind w:left="1080" w:hanging="720"/>
      </w:pPr>
      <w:rPr>
        <w:color w:val="000000"/>
      </w:rPr>
    </w:lvl>
    <w:lvl w:ilvl="2" w:tentative="0">
      <w:start w:val="1"/>
      <w:numFmt w:val="lowerLetter"/>
      <w:lvlText w:val="%3)"/>
      <w:lvlJc w:val="left"/>
      <w:pPr>
        <w:ind w:left="1080" w:hanging="360"/>
      </w:pPr>
    </w:lvl>
    <w:lvl w:ilvl="3" w:tentative="0">
      <w:start w:val="1"/>
      <w:numFmt w:val="decimal"/>
      <w:lvlText w:val="%1.%2.%3.%4."/>
      <w:lvlJc w:val="left"/>
      <w:pPr>
        <w:ind w:left="2160" w:hanging="1080"/>
      </w:pPr>
      <w:rPr>
        <w:color w:val="000000"/>
      </w:rPr>
    </w:lvl>
    <w:lvl w:ilvl="4" w:tentative="0">
      <w:start w:val="1"/>
      <w:numFmt w:val="decimal"/>
      <w:lvlText w:val="%1.%2.%3.%4.%5."/>
      <w:lvlJc w:val="left"/>
      <w:pPr>
        <w:ind w:left="2520" w:hanging="1080"/>
      </w:pPr>
      <w:rPr>
        <w:color w:val="000000"/>
      </w:rPr>
    </w:lvl>
    <w:lvl w:ilvl="5" w:tentative="0">
      <w:start w:val="1"/>
      <w:numFmt w:val="decimal"/>
      <w:lvlText w:val="%1.%2.%3.%4.%5.%6."/>
      <w:lvlJc w:val="left"/>
      <w:pPr>
        <w:ind w:left="3240" w:hanging="1440"/>
      </w:pPr>
      <w:rPr>
        <w:color w:val="000000"/>
      </w:rPr>
    </w:lvl>
    <w:lvl w:ilvl="6" w:tentative="0">
      <w:start w:val="1"/>
      <w:numFmt w:val="decimal"/>
      <w:lvlText w:val="%1.%2.%3.%4.%5.%6.%7."/>
      <w:lvlJc w:val="left"/>
      <w:pPr>
        <w:ind w:left="3600" w:hanging="1440"/>
      </w:pPr>
      <w:rPr>
        <w:color w:val="000000"/>
      </w:rPr>
    </w:lvl>
    <w:lvl w:ilvl="7" w:tentative="0">
      <w:start w:val="1"/>
      <w:numFmt w:val="decimal"/>
      <w:lvlText w:val="%1.%2.%3.%4.%5.%6.%7.%8."/>
      <w:lvlJc w:val="left"/>
      <w:pPr>
        <w:ind w:left="4320" w:hanging="1800"/>
      </w:pPr>
      <w:rPr>
        <w:color w:val="000000"/>
      </w:rPr>
    </w:lvl>
    <w:lvl w:ilvl="8" w:tentative="0">
      <w:start w:val="1"/>
      <w:numFmt w:val="decimal"/>
      <w:lvlText w:val="%1.%2.%3.%4.%5.%6.%7.%8.%9."/>
      <w:lvlJc w:val="left"/>
      <w:pPr>
        <w:ind w:left="5040" w:hanging="2160"/>
      </w:pPr>
      <w:rPr>
        <w:color w:val="000000"/>
      </w:rPr>
    </w:lvl>
  </w:abstractNum>
  <w:abstractNum w:abstractNumId="15">
    <w:nsid w:val="74441395"/>
    <w:multiLevelType w:val="multilevel"/>
    <w:tmpl w:val="74441395"/>
    <w:lvl w:ilvl="0" w:tentative="0">
      <w:start w:val="1"/>
      <w:numFmt w:val="lowerLetter"/>
      <w:pStyle w:val="55"/>
      <w:lvlText w:val="%1)"/>
      <w:lvlJc w:val="left"/>
      <w:pPr>
        <w:ind w:left="644" w:hanging="359"/>
      </w:pPr>
    </w:lvl>
    <w:lvl w:ilvl="1" w:tentative="0">
      <w:start w:val="1"/>
      <w:numFmt w:val="lowerLetter"/>
      <w:pStyle w:val="71"/>
      <w:lvlText w:val="%2."/>
      <w:lvlJc w:val="left"/>
      <w:pPr>
        <w:ind w:left="1364" w:hanging="360"/>
      </w:pPr>
    </w:lvl>
    <w:lvl w:ilvl="2" w:tentative="0">
      <w:start w:val="1"/>
      <w:numFmt w:val="lowerRoman"/>
      <w:pStyle w:val="73"/>
      <w:lvlText w:val="%3."/>
      <w:lvlJc w:val="right"/>
      <w:pPr>
        <w:ind w:left="2084" w:hanging="180"/>
      </w:pPr>
    </w:lvl>
    <w:lvl w:ilvl="3" w:tentative="0">
      <w:start w:val="1"/>
      <w:numFmt w:val="decimal"/>
      <w:pStyle w:val="74"/>
      <w:lvlText w:val="%4."/>
      <w:lvlJc w:val="left"/>
      <w:pPr>
        <w:ind w:left="2804" w:hanging="360"/>
      </w:pPr>
    </w:lvl>
    <w:lvl w:ilvl="4" w:tentative="0">
      <w:start w:val="1"/>
      <w:numFmt w:val="lowerLetter"/>
      <w:pStyle w:val="75"/>
      <w:lvlText w:val="%5."/>
      <w:lvlJc w:val="left"/>
      <w:pPr>
        <w:ind w:left="3524" w:hanging="360"/>
      </w:pPr>
    </w:lvl>
    <w:lvl w:ilvl="5" w:tentative="0">
      <w:start w:val="1"/>
      <w:numFmt w:val="lowerRoman"/>
      <w:lvlText w:val="%6."/>
      <w:lvlJc w:val="right"/>
      <w:pPr>
        <w:ind w:left="4244" w:hanging="180"/>
      </w:pPr>
    </w:lvl>
    <w:lvl w:ilvl="6" w:tentative="0">
      <w:start w:val="1"/>
      <w:numFmt w:val="decimal"/>
      <w:lvlText w:val="%7."/>
      <w:lvlJc w:val="left"/>
      <w:pPr>
        <w:ind w:left="4964" w:hanging="360"/>
      </w:pPr>
    </w:lvl>
    <w:lvl w:ilvl="7" w:tentative="0">
      <w:start w:val="1"/>
      <w:numFmt w:val="lowerLetter"/>
      <w:lvlText w:val="%8."/>
      <w:lvlJc w:val="left"/>
      <w:pPr>
        <w:ind w:left="5684" w:hanging="360"/>
      </w:pPr>
    </w:lvl>
    <w:lvl w:ilvl="8" w:tentative="0">
      <w:start w:val="1"/>
      <w:numFmt w:val="lowerRoman"/>
      <w:lvlText w:val="%9."/>
      <w:lvlJc w:val="right"/>
      <w:pPr>
        <w:ind w:left="6404" w:hanging="180"/>
      </w:pPr>
    </w:lvl>
  </w:abstractNum>
  <w:num w:numId="1">
    <w:abstractNumId w:val="4"/>
  </w:num>
  <w:num w:numId="2">
    <w:abstractNumId w:val="15"/>
  </w:num>
  <w:num w:numId="3">
    <w:abstractNumId w:val="1"/>
  </w:num>
  <w:num w:numId="4">
    <w:abstractNumId w:val="13"/>
  </w:num>
  <w:num w:numId="5">
    <w:abstractNumId w:val="14"/>
  </w:num>
  <w:num w:numId="6">
    <w:abstractNumId w:val="6"/>
  </w:num>
  <w:num w:numId="7">
    <w:abstractNumId w:val="0"/>
  </w:num>
  <w:num w:numId="8">
    <w:abstractNumId w:val="10"/>
  </w:num>
  <w:num w:numId="9">
    <w:abstractNumId w:val="8"/>
  </w:num>
  <w:num w:numId="10">
    <w:abstractNumId w:val="11"/>
  </w:num>
  <w:num w:numId="11">
    <w:abstractNumId w:val="3"/>
  </w:num>
  <w:num w:numId="12">
    <w:abstractNumId w:val="12"/>
  </w:num>
  <w:num w:numId="13">
    <w:abstractNumId w:val="2"/>
  </w:num>
  <w:num w:numId="14">
    <w:abstractNumId w:val="5"/>
  </w:num>
  <w:num w:numId="15">
    <w:abstractNumId w:val="7"/>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documentProtection w:enforcement="0"/>
  <w:defaultTabStop w:val="720"/>
  <w:hyphenationZone w:val="425"/>
  <w:characterSpacingControl w:val="doNotCompress"/>
  <w:footnotePr>
    <w:footnote w:id="2"/>
    <w:footnote w:id="3"/>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40A7"/>
    <w:rsid w:val="0020330D"/>
    <w:rsid w:val="004A3763"/>
    <w:rsid w:val="005B7715"/>
    <w:rsid w:val="00723685"/>
    <w:rsid w:val="00886731"/>
    <w:rsid w:val="00890661"/>
    <w:rsid w:val="00AF6D9A"/>
    <w:rsid w:val="00C83D3D"/>
    <w:rsid w:val="00F740A7"/>
    <w:rsid w:val="0C274F4F"/>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0" w:semiHidden="0" w:name="annotation text"/>
    <w:lsdException w:qFormat="1" w:uiPriority="0"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qFormat="1" w:unhideWhenUsed="0" w:uiPriority="0" w:semiHidden="0"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qFormat="1" w:uiPriority="0" w:name="FollowedHyperlink"/>
    <w:lsdException w:qFormat="1" w:unhideWhenUsed="0" w:uiPriority="22" w:semiHidden="0" w:name="Strong"/>
    <w:lsdException w:qFormat="1" w:unhideWhenUsed="0" w:uiPriority="0" w:semiHidden="0" w:name="Emphasis"/>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qFormat="1" w:unhideWhenUsed="0" w:uiPriority="0" w:semiHidden="0" w:name="Table Grid"/>
    <w:lsdException w:uiPriority="99" w:name="Table Theme"/>
    <w:lsdException w:qFormat="1" w:unhideWhenUsed="0" w:uiPriority="67" w:name="Placeholder Text"/>
    <w:lsdException w:qFormat="1" w:unhideWhenUsed="0" w:uiPriority="34" w:semiHidden="0" w:name="List Paragraph"/>
    <w:lsdException w:qFormat="1" w:unhideWhenUsed="0" w:uiPriority="0" w:semiHidden="0" w:name="Quote"/>
  </w:latentStyles>
  <w:style w:type="paragraph" w:default="1" w:styleId="1">
    <w:name w:val="Normal"/>
    <w:qFormat/>
    <w:uiPriority w:val="0"/>
    <w:pPr>
      <w:spacing w:after="200" w:line="276" w:lineRule="auto"/>
    </w:pPr>
    <w:rPr>
      <w:rFonts w:ascii="Calibri" w:hAnsi="Calibri" w:eastAsia="Calibri" w:cs="Calibri"/>
      <w:sz w:val="22"/>
      <w:szCs w:val="22"/>
      <w:lang w:val="pt-BR" w:eastAsia="pt-BR" w:bidi="ar-SA"/>
    </w:rPr>
  </w:style>
  <w:style w:type="paragraph" w:styleId="2">
    <w:name w:val="heading 1"/>
    <w:basedOn w:val="1"/>
    <w:next w:val="1"/>
    <w:link w:val="40"/>
    <w:qFormat/>
    <w:uiPriority w:val="9"/>
    <w:pPr>
      <w:keepNext/>
      <w:keepLines/>
      <w:spacing w:before="480" w:after="120"/>
      <w:outlineLvl w:val="0"/>
    </w:pPr>
    <w:rPr>
      <w:b/>
      <w:sz w:val="48"/>
      <w:szCs w:val="48"/>
    </w:rPr>
  </w:style>
  <w:style w:type="paragraph" w:styleId="3">
    <w:name w:val="heading 2"/>
    <w:basedOn w:val="1"/>
    <w:next w:val="1"/>
    <w:link w:val="41"/>
    <w:semiHidden/>
    <w:unhideWhenUsed/>
    <w:qFormat/>
    <w:uiPriority w:val="9"/>
    <w:pPr>
      <w:keepNext/>
      <w:keepLines/>
      <w:spacing w:before="360" w:after="80"/>
      <w:outlineLvl w:val="1"/>
    </w:pPr>
    <w:rPr>
      <w:b/>
      <w:sz w:val="36"/>
      <w:szCs w:val="36"/>
    </w:rPr>
  </w:style>
  <w:style w:type="paragraph" w:styleId="4">
    <w:name w:val="heading 3"/>
    <w:basedOn w:val="1"/>
    <w:next w:val="1"/>
    <w:link w:val="42"/>
    <w:semiHidden/>
    <w:unhideWhenUsed/>
    <w:qFormat/>
    <w:uiPriority w:val="9"/>
    <w:pPr>
      <w:keepNext/>
      <w:keepLines/>
      <w:spacing w:before="280" w:after="80"/>
      <w:outlineLvl w:val="2"/>
    </w:pPr>
    <w:rPr>
      <w:b/>
      <w:sz w:val="28"/>
      <w:szCs w:val="28"/>
    </w:rPr>
  </w:style>
  <w:style w:type="paragraph" w:styleId="5">
    <w:name w:val="heading 4"/>
    <w:basedOn w:val="1"/>
    <w:next w:val="1"/>
    <w:link w:val="43"/>
    <w:semiHidden/>
    <w:unhideWhenUsed/>
    <w:qFormat/>
    <w:uiPriority w:val="9"/>
    <w:pPr>
      <w:keepNext/>
      <w:keepLines/>
      <w:spacing w:before="240" w:after="40"/>
      <w:outlineLvl w:val="3"/>
    </w:pPr>
    <w:rPr>
      <w:b/>
      <w:sz w:val="24"/>
      <w:szCs w:val="24"/>
    </w:rPr>
  </w:style>
  <w:style w:type="paragraph" w:styleId="6">
    <w:name w:val="heading 5"/>
    <w:basedOn w:val="1"/>
    <w:next w:val="1"/>
    <w:semiHidden/>
    <w:unhideWhenUsed/>
    <w:qFormat/>
    <w:uiPriority w:val="9"/>
    <w:pPr>
      <w:keepNext/>
      <w:keepLines/>
      <w:spacing w:before="220" w:after="40"/>
      <w:outlineLvl w:val="4"/>
    </w:pPr>
    <w:rPr>
      <w:b/>
    </w:rPr>
  </w:style>
  <w:style w:type="paragraph" w:styleId="7">
    <w:name w:val="heading 6"/>
    <w:basedOn w:val="1"/>
    <w:next w:val="1"/>
    <w:link w:val="44"/>
    <w:semiHidden/>
    <w:unhideWhenUsed/>
    <w:qFormat/>
    <w:uiPriority w:val="9"/>
    <w:pPr>
      <w:keepNext/>
      <w:keepLines/>
      <w:spacing w:before="200" w:after="40"/>
      <w:outlineLvl w:val="5"/>
    </w:pPr>
    <w:rPr>
      <w:b/>
      <w:sz w:val="20"/>
      <w:szCs w:val="20"/>
    </w:rPr>
  </w:style>
  <w:style w:type="character" w:default="1" w:styleId="8">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character" w:styleId="10">
    <w:name w:val="Strong"/>
    <w:basedOn w:val="8"/>
    <w:qFormat/>
    <w:uiPriority w:val="22"/>
    <w:rPr>
      <w:b/>
      <w:bCs/>
    </w:rPr>
  </w:style>
  <w:style w:type="character" w:styleId="11">
    <w:name w:val="annotation reference"/>
    <w:basedOn w:val="8"/>
    <w:unhideWhenUsed/>
    <w:qFormat/>
    <w:uiPriority w:val="0"/>
    <w:rPr>
      <w:sz w:val="16"/>
      <w:szCs w:val="16"/>
    </w:rPr>
  </w:style>
  <w:style w:type="character" w:styleId="12">
    <w:name w:val="FollowedHyperlink"/>
    <w:basedOn w:val="8"/>
    <w:semiHidden/>
    <w:unhideWhenUsed/>
    <w:qFormat/>
    <w:uiPriority w:val="0"/>
    <w:rPr>
      <w:color w:val="800080" w:themeColor="followedHyperlink"/>
      <w:u w:val="single"/>
      <w14:textFill>
        <w14:solidFill>
          <w14:schemeClr w14:val="folHlink"/>
        </w14:solidFill>
      </w14:textFill>
    </w:rPr>
  </w:style>
  <w:style w:type="character" w:styleId="13">
    <w:name w:val="Emphasis"/>
    <w:basedOn w:val="8"/>
    <w:qFormat/>
    <w:uiPriority w:val="0"/>
    <w:rPr>
      <w:i/>
      <w:iCs/>
    </w:rPr>
  </w:style>
  <w:style w:type="character" w:styleId="14">
    <w:name w:val="Hyperlink"/>
    <w:qFormat/>
    <w:uiPriority w:val="0"/>
    <w:rPr>
      <w:color w:val="000080"/>
      <w:u w:val="single"/>
    </w:rPr>
  </w:style>
  <w:style w:type="paragraph" w:styleId="15">
    <w:name w:val="Body Text"/>
    <w:basedOn w:val="1"/>
    <w:link w:val="67"/>
    <w:unhideWhenUsed/>
    <w:qFormat/>
    <w:uiPriority w:val="0"/>
    <w:pPr>
      <w:spacing w:before="100" w:beforeAutospacing="1" w:after="100" w:afterAutospacing="1" w:line="240" w:lineRule="auto"/>
    </w:pPr>
    <w:rPr>
      <w:rFonts w:ascii="Times New Roman" w:hAnsi="Times New Roman" w:eastAsia="Times New Roman" w:cs="Times New Roman"/>
      <w:sz w:val="24"/>
      <w:szCs w:val="24"/>
    </w:rPr>
  </w:style>
  <w:style w:type="paragraph" w:styleId="16">
    <w:name w:val="annotation text"/>
    <w:basedOn w:val="1"/>
    <w:link w:val="53"/>
    <w:unhideWhenUsed/>
    <w:qFormat/>
    <w:uiPriority w:val="0"/>
    <w:pPr>
      <w:spacing w:after="0" w:line="240" w:lineRule="auto"/>
    </w:pPr>
    <w:rPr>
      <w:rFonts w:ascii="Ecofont_Spranq_eco_Sans" w:hAnsi="Ecofont_Spranq_eco_Sans" w:cs="Tahoma" w:eastAsiaTheme="minorEastAsia"/>
      <w:sz w:val="20"/>
      <w:szCs w:val="20"/>
    </w:rPr>
  </w:style>
  <w:style w:type="paragraph" w:styleId="17">
    <w:name w:val="Title"/>
    <w:basedOn w:val="1"/>
    <w:next w:val="1"/>
    <w:link w:val="57"/>
    <w:qFormat/>
    <w:uiPriority w:val="10"/>
    <w:pPr>
      <w:keepNext/>
      <w:keepLines/>
      <w:spacing w:before="480" w:after="120"/>
    </w:pPr>
    <w:rPr>
      <w:b/>
      <w:sz w:val="72"/>
      <w:szCs w:val="72"/>
    </w:rPr>
  </w:style>
  <w:style w:type="paragraph" w:styleId="18">
    <w:name w:val="List Bullet 5"/>
    <w:basedOn w:val="1"/>
    <w:qFormat/>
    <w:uiPriority w:val="0"/>
    <w:pPr>
      <w:numPr>
        <w:ilvl w:val="0"/>
        <w:numId w:val="1"/>
      </w:numPr>
      <w:spacing w:after="0" w:line="240" w:lineRule="auto"/>
      <w:contextualSpacing/>
    </w:pPr>
    <w:rPr>
      <w:rFonts w:ascii="Ecofont_Spranq_eco_Sans" w:hAnsi="Ecofont_Spranq_eco_Sans" w:cs="Tahoma" w:eastAsiaTheme="minorEastAsia"/>
      <w:sz w:val="24"/>
      <w:szCs w:val="24"/>
    </w:rPr>
  </w:style>
  <w:style w:type="paragraph" w:styleId="19">
    <w:name w:val="Normal (Web)"/>
    <w:basedOn w:val="1"/>
    <w:qFormat/>
    <w:uiPriority w:val="99"/>
    <w:pPr>
      <w:spacing w:before="100" w:beforeAutospacing="1" w:after="100" w:afterAutospacing="1" w:line="240" w:lineRule="auto"/>
    </w:pPr>
    <w:rPr>
      <w:rFonts w:ascii="Times New Roman" w:hAnsi="Times New Roman" w:cs="Times New Roman" w:eastAsiaTheme="minorEastAsia"/>
      <w:sz w:val="24"/>
      <w:szCs w:val="24"/>
    </w:rPr>
  </w:style>
  <w:style w:type="paragraph" w:styleId="20">
    <w:name w:val="header"/>
    <w:basedOn w:val="1"/>
    <w:link w:val="37"/>
    <w:unhideWhenUsed/>
    <w:qFormat/>
    <w:uiPriority w:val="0"/>
    <w:pPr>
      <w:tabs>
        <w:tab w:val="center" w:pos="4252"/>
        <w:tab w:val="right" w:pos="8504"/>
      </w:tabs>
      <w:spacing w:after="0" w:line="240" w:lineRule="auto"/>
    </w:pPr>
  </w:style>
  <w:style w:type="paragraph" w:styleId="21">
    <w:name w:val="annotation subject"/>
    <w:basedOn w:val="16"/>
    <w:next w:val="16"/>
    <w:link w:val="54"/>
    <w:semiHidden/>
    <w:unhideWhenUsed/>
    <w:qFormat/>
    <w:uiPriority w:val="0"/>
    <w:rPr>
      <w:b/>
      <w:bCs/>
    </w:rPr>
  </w:style>
  <w:style w:type="paragraph" w:styleId="22">
    <w:name w:val="footer"/>
    <w:basedOn w:val="1"/>
    <w:link w:val="38"/>
    <w:unhideWhenUsed/>
    <w:qFormat/>
    <w:uiPriority w:val="99"/>
    <w:pPr>
      <w:tabs>
        <w:tab w:val="center" w:pos="4252"/>
        <w:tab w:val="right" w:pos="8504"/>
      </w:tabs>
      <w:spacing w:after="0" w:line="240" w:lineRule="auto"/>
    </w:pPr>
  </w:style>
  <w:style w:type="paragraph" w:styleId="23">
    <w:name w:val="Balloon Text"/>
    <w:basedOn w:val="1"/>
    <w:link w:val="45"/>
    <w:qFormat/>
    <w:uiPriority w:val="99"/>
    <w:pPr>
      <w:spacing w:after="0" w:line="240" w:lineRule="auto"/>
    </w:pPr>
    <w:rPr>
      <w:rFonts w:ascii="Tahoma" w:hAnsi="Tahoma" w:cs="Tahoma" w:eastAsiaTheme="minorEastAsia"/>
      <w:sz w:val="16"/>
      <w:szCs w:val="16"/>
    </w:rPr>
  </w:style>
  <w:style w:type="paragraph" w:styleId="24">
    <w:name w:val="Subtitle"/>
    <w:basedOn w:val="1"/>
    <w:next w:val="1"/>
    <w:qFormat/>
    <w:uiPriority w:val="11"/>
    <w:pPr>
      <w:keepNext/>
      <w:keepLines/>
      <w:spacing w:before="360" w:after="80"/>
    </w:pPr>
    <w:rPr>
      <w:rFonts w:ascii="Georgia" w:hAnsi="Georgia" w:eastAsia="Georgia" w:cs="Georgia"/>
      <w:i/>
      <w:color w:val="666666"/>
      <w:sz w:val="48"/>
      <w:szCs w:val="48"/>
    </w:rPr>
  </w:style>
  <w:style w:type="paragraph" w:styleId="25">
    <w:name w:val="toc 1"/>
    <w:basedOn w:val="1"/>
    <w:next w:val="1"/>
    <w:autoRedefine/>
    <w:unhideWhenUsed/>
    <w:qFormat/>
    <w:uiPriority w:val="39"/>
    <w:pPr>
      <w:tabs>
        <w:tab w:val="left" w:pos="426"/>
        <w:tab w:val="right" w:leader="dot" w:pos="9628"/>
      </w:tabs>
      <w:spacing w:after="100" w:line="240" w:lineRule="auto"/>
    </w:pPr>
    <w:rPr>
      <w:rFonts w:ascii="Arial" w:hAnsi="Arial" w:eastAsia="Times New Roman" w:cs="Tahoma"/>
      <w:sz w:val="20"/>
      <w:szCs w:val="24"/>
    </w:rPr>
  </w:style>
  <w:style w:type="table" w:styleId="26">
    <w:name w:val="Table Grid"/>
    <w:basedOn w:val="9"/>
    <w:qFormat/>
    <w:uiPriority w:val="0"/>
    <w:pPr>
      <w:spacing w:after="0" w:line="240" w:lineRule="auto"/>
    </w:pPr>
    <w:rPr>
      <w:rFonts w:ascii="Times New Roman" w:hAnsi="Times New Roman" w:cs="Times New Roman" w:eastAsiaTheme="minorEastAsia"/>
      <w:sz w:val="20"/>
      <w:szCs w:val="20"/>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
    <w:name w:val="Table Normal"/>
    <w:qFormat/>
    <w:uiPriority w:val="0"/>
    <w:tblPr>
      <w:tblCellMar>
        <w:top w:w="0" w:type="dxa"/>
        <w:left w:w="0" w:type="dxa"/>
        <w:bottom w:w="0" w:type="dxa"/>
        <w:right w:w="0" w:type="dxa"/>
      </w:tblCellMar>
    </w:tblPr>
  </w:style>
  <w:style w:type="table" w:customStyle="1" w:styleId="28">
    <w:name w:val="9"/>
    <w:basedOn w:val="27"/>
    <w:qFormat/>
    <w:uiPriority w:val="0"/>
    <w:tblPr>
      <w:tblCellMar>
        <w:left w:w="70" w:type="dxa"/>
        <w:right w:w="70" w:type="dxa"/>
      </w:tblCellMar>
    </w:tblPr>
  </w:style>
  <w:style w:type="table" w:customStyle="1" w:styleId="29">
    <w:name w:val="8"/>
    <w:basedOn w:val="27"/>
    <w:qFormat/>
    <w:uiPriority w:val="0"/>
    <w:tblPr>
      <w:tblCellMar>
        <w:left w:w="108" w:type="dxa"/>
        <w:right w:w="108" w:type="dxa"/>
      </w:tblCellMar>
    </w:tblPr>
  </w:style>
  <w:style w:type="table" w:customStyle="1" w:styleId="30">
    <w:name w:val="7"/>
    <w:basedOn w:val="27"/>
    <w:qFormat/>
    <w:uiPriority w:val="0"/>
    <w:tblPr>
      <w:tblCellMar>
        <w:left w:w="108" w:type="dxa"/>
        <w:right w:w="108" w:type="dxa"/>
      </w:tblCellMar>
    </w:tblPr>
  </w:style>
  <w:style w:type="table" w:customStyle="1" w:styleId="31">
    <w:name w:val="6"/>
    <w:basedOn w:val="27"/>
    <w:qFormat/>
    <w:uiPriority w:val="0"/>
    <w:tblPr>
      <w:tblCellMar>
        <w:left w:w="108" w:type="dxa"/>
        <w:right w:w="108" w:type="dxa"/>
      </w:tblCellMar>
    </w:tblPr>
  </w:style>
  <w:style w:type="table" w:customStyle="1" w:styleId="32">
    <w:name w:val="5"/>
    <w:basedOn w:val="27"/>
    <w:qFormat/>
    <w:uiPriority w:val="0"/>
    <w:tblPr>
      <w:tblCellMar>
        <w:left w:w="70" w:type="dxa"/>
        <w:right w:w="70" w:type="dxa"/>
      </w:tblCellMar>
    </w:tblPr>
  </w:style>
  <w:style w:type="table" w:customStyle="1" w:styleId="33">
    <w:name w:val="4"/>
    <w:basedOn w:val="27"/>
    <w:qFormat/>
    <w:uiPriority w:val="0"/>
    <w:tblPr>
      <w:tblCellMar>
        <w:left w:w="70" w:type="dxa"/>
        <w:right w:w="70" w:type="dxa"/>
      </w:tblCellMar>
    </w:tblPr>
  </w:style>
  <w:style w:type="table" w:customStyle="1" w:styleId="34">
    <w:name w:val="3"/>
    <w:basedOn w:val="27"/>
    <w:qFormat/>
    <w:uiPriority w:val="0"/>
    <w:tblPr>
      <w:tblCellMar>
        <w:left w:w="70" w:type="dxa"/>
        <w:right w:w="70" w:type="dxa"/>
      </w:tblCellMar>
    </w:tblPr>
  </w:style>
  <w:style w:type="table" w:customStyle="1" w:styleId="35">
    <w:name w:val="2"/>
    <w:basedOn w:val="27"/>
    <w:qFormat/>
    <w:uiPriority w:val="0"/>
    <w:tblPr>
      <w:tblCellMar>
        <w:left w:w="70" w:type="dxa"/>
        <w:right w:w="70" w:type="dxa"/>
      </w:tblCellMar>
    </w:tblPr>
  </w:style>
  <w:style w:type="table" w:customStyle="1" w:styleId="36">
    <w:name w:val="1"/>
    <w:basedOn w:val="27"/>
    <w:qFormat/>
    <w:uiPriority w:val="0"/>
    <w:tblPr>
      <w:tblCellMar>
        <w:left w:w="70" w:type="dxa"/>
        <w:right w:w="70" w:type="dxa"/>
      </w:tblCellMar>
    </w:tblPr>
  </w:style>
  <w:style w:type="character" w:customStyle="1" w:styleId="37">
    <w:name w:val="Cabeçalho Char"/>
    <w:basedOn w:val="8"/>
    <w:link w:val="20"/>
    <w:qFormat/>
    <w:uiPriority w:val="0"/>
  </w:style>
  <w:style w:type="character" w:customStyle="1" w:styleId="38">
    <w:name w:val="Rodapé Char"/>
    <w:basedOn w:val="8"/>
    <w:link w:val="22"/>
    <w:qFormat/>
    <w:uiPriority w:val="99"/>
  </w:style>
  <w:style w:type="paragraph" w:styleId="39">
    <w:name w:val="List Paragraph"/>
    <w:basedOn w:val="1"/>
    <w:link w:val="102"/>
    <w:qFormat/>
    <w:uiPriority w:val="34"/>
    <w:pPr>
      <w:ind w:left="720"/>
      <w:contextualSpacing/>
    </w:pPr>
  </w:style>
  <w:style w:type="character" w:customStyle="1" w:styleId="40">
    <w:name w:val="Título 1 Char"/>
    <w:basedOn w:val="8"/>
    <w:link w:val="2"/>
    <w:uiPriority w:val="0"/>
    <w:rPr>
      <w:b/>
      <w:sz w:val="48"/>
      <w:szCs w:val="48"/>
    </w:rPr>
  </w:style>
  <w:style w:type="character" w:customStyle="1" w:styleId="41">
    <w:name w:val="Título 2 Char"/>
    <w:basedOn w:val="8"/>
    <w:link w:val="3"/>
    <w:qFormat/>
    <w:uiPriority w:val="0"/>
    <w:rPr>
      <w:b/>
      <w:sz w:val="36"/>
      <w:szCs w:val="36"/>
    </w:rPr>
  </w:style>
  <w:style w:type="character" w:customStyle="1" w:styleId="42">
    <w:name w:val="Título 3 Char"/>
    <w:basedOn w:val="8"/>
    <w:link w:val="4"/>
    <w:semiHidden/>
    <w:qFormat/>
    <w:uiPriority w:val="9"/>
    <w:rPr>
      <w:b/>
      <w:sz w:val="28"/>
      <w:szCs w:val="28"/>
    </w:rPr>
  </w:style>
  <w:style w:type="character" w:customStyle="1" w:styleId="43">
    <w:name w:val="Título 4 Char"/>
    <w:basedOn w:val="8"/>
    <w:link w:val="5"/>
    <w:semiHidden/>
    <w:qFormat/>
    <w:uiPriority w:val="0"/>
    <w:rPr>
      <w:b/>
      <w:sz w:val="24"/>
      <w:szCs w:val="24"/>
    </w:rPr>
  </w:style>
  <w:style w:type="character" w:customStyle="1" w:styleId="44">
    <w:name w:val="Título 6 Char"/>
    <w:basedOn w:val="8"/>
    <w:link w:val="7"/>
    <w:semiHidden/>
    <w:qFormat/>
    <w:uiPriority w:val="9"/>
    <w:rPr>
      <w:b/>
      <w:sz w:val="20"/>
      <w:szCs w:val="20"/>
    </w:rPr>
  </w:style>
  <w:style w:type="character" w:customStyle="1" w:styleId="45">
    <w:name w:val="Texto de balão Char"/>
    <w:basedOn w:val="8"/>
    <w:link w:val="23"/>
    <w:qFormat/>
    <w:uiPriority w:val="99"/>
    <w:rPr>
      <w:rFonts w:ascii="Tahoma" w:hAnsi="Tahoma" w:cs="Tahoma" w:eastAsiaTheme="minorEastAsia"/>
      <w:sz w:val="16"/>
      <w:szCs w:val="16"/>
    </w:rPr>
  </w:style>
  <w:style w:type="paragraph" w:customStyle="1" w:styleId="46">
    <w:name w:val="Nível 2"/>
    <w:basedOn w:val="1"/>
    <w:next w:val="1"/>
    <w:qFormat/>
    <w:uiPriority w:val="0"/>
    <w:pPr>
      <w:spacing w:after="120" w:line="240" w:lineRule="auto"/>
      <w:jc w:val="both"/>
    </w:pPr>
    <w:rPr>
      <w:rFonts w:ascii="Arial" w:hAnsi="Arial" w:cs="Times New Roman" w:eastAsiaTheme="minorEastAsia"/>
      <w:b/>
      <w:sz w:val="24"/>
      <w:szCs w:val="20"/>
    </w:rPr>
  </w:style>
  <w:style w:type="character" w:customStyle="1" w:styleId="47">
    <w:name w:val="normal__char1"/>
    <w:qFormat/>
    <w:uiPriority w:val="0"/>
    <w:rPr>
      <w:rFonts w:hint="default" w:ascii="Arial" w:hAnsi="Arial" w:cs="Arial"/>
      <w:sz w:val="24"/>
      <w:szCs w:val="24"/>
      <w:u w:val="none"/>
    </w:rPr>
  </w:style>
  <w:style w:type="character" w:customStyle="1" w:styleId="48">
    <w:name w:val="apple-style-span"/>
    <w:basedOn w:val="8"/>
    <w:qFormat/>
    <w:uiPriority w:val="0"/>
  </w:style>
  <w:style w:type="paragraph" w:styleId="49">
    <w:name w:val="Quote"/>
    <w:basedOn w:val="1"/>
    <w:next w:val="1"/>
    <w:link w:val="50"/>
    <w:qFormat/>
    <w:uiPriority w:val="0"/>
    <w:pPr>
      <w:pBdr>
        <w:top w:val="single" w:color="1F497D" w:sz="4" w:space="1"/>
        <w:left w:val="single" w:color="1F497D" w:sz="4" w:space="4"/>
        <w:bottom w:val="single" w:color="1F497D" w:sz="4" w:space="1"/>
        <w:right w:val="single" w:color="1F497D" w:sz="4" w:space="4"/>
      </w:pBdr>
      <w:shd w:val="clear" w:color="auto" w:fill="FFFFCC"/>
      <w:spacing w:before="120" w:after="0" w:line="240" w:lineRule="auto"/>
      <w:jc w:val="both"/>
    </w:pPr>
    <w:rPr>
      <w:rFonts w:ascii="Arial" w:hAnsi="Arial" w:cs="Tahoma"/>
      <w:i/>
      <w:iCs/>
      <w:color w:val="000000"/>
      <w:sz w:val="20"/>
      <w:szCs w:val="24"/>
      <w:lang w:eastAsia="en-US"/>
    </w:rPr>
  </w:style>
  <w:style w:type="character" w:customStyle="1" w:styleId="50">
    <w:name w:val="Citação Char"/>
    <w:basedOn w:val="8"/>
    <w:link w:val="49"/>
    <w:qFormat/>
    <w:uiPriority w:val="0"/>
    <w:rPr>
      <w:rFonts w:ascii="Arial" w:hAnsi="Arial" w:cs="Tahoma"/>
      <w:i/>
      <w:iCs/>
      <w:color w:val="000000"/>
      <w:sz w:val="20"/>
      <w:szCs w:val="24"/>
      <w:shd w:val="clear" w:color="auto" w:fill="FFFFCC"/>
      <w:lang w:eastAsia="en-US"/>
    </w:rPr>
  </w:style>
  <w:style w:type="paragraph" w:customStyle="1" w:styleId="51">
    <w:name w:val="Nota explicativa"/>
    <w:basedOn w:val="49"/>
    <w:link w:val="52"/>
    <w:qFormat/>
    <w:uiPriority w:val="0"/>
  </w:style>
  <w:style w:type="character" w:customStyle="1" w:styleId="52">
    <w:name w:val="Nota explicativa Char"/>
    <w:basedOn w:val="50"/>
    <w:link w:val="51"/>
    <w:qFormat/>
    <w:uiPriority w:val="0"/>
    <w:rPr>
      <w:rFonts w:ascii="Arial" w:hAnsi="Arial" w:cs="Tahoma"/>
      <w:color w:val="000000"/>
      <w:sz w:val="20"/>
      <w:szCs w:val="24"/>
      <w:shd w:val="clear" w:color="auto" w:fill="FFFFCC"/>
      <w:lang w:eastAsia="en-US"/>
    </w:rPr>
  </w:style>
  <w:style w:type="character" w:customStyle="1" w:styleId="53">
    <w:name w:val="Texto de comentário Char"/>
    <w:basedOn w:val="8"/>
    <w:link w:val="16"/>
    <w:qFormat/>
    <w:uiPriority w:val="0"/>
    <w:rPr>
      <w:rFonts w:ascii="Ecofont_Spranq_eco_Sans" w:hAnsi="Ecofont_Spranq_eco_Sans" w:cs="Tahoma" w:eastAsiaTheme="minorEastAsia"/>
      <w:sz w:val="20"/>
      <w:szCs w:val="20"/>
    </w:rPr>
  </w:style>
  <w:style w:type="character" w:customStyle="1" w:styleId="54">
    <w:name w:val="Assunto do comentário Char"/>
    <w:basedOn w:val="53"/>
    <w:link w:val="21"/>
    <w:semiHidden/>
    <w:qFormat/>
    <w:uiPriority w:val="0"/>
    <w:rPr>
      <w:rFonts w:ascii="Ecofont_Spranq_eco_Sans" w:hAnsi="Ecofont_Spranq_eco_Sans" w:cs="Tahoma" w:eastAsiaTheme="minorEastAsia"/>
      <w:b/>
      <w:bCs/>
      <w:sz w:val="20"/>
      <w:szCs w:val="20"/>
    </w:rPr>
  </w:style>
  <w:style w:type="paragraph" w:customStyle="1" w:styleId="55">
    <w:name w:val="Nivel 01"/>
    <w:basedOn w:val="2"/>
    <w:next w:val="1"/>
    <w:link w:val="58"/>
    <w:autoRedefine/>
    <w:qFormat/>
    <w:uiPriority w:val="0"/>
    <w:pPr>
      <w:numPr>
        <w:ilvl w:val="0"/>
        <w:numId w:val="2"/>
      </w:numPr>
      <w:tabs>
        <w:tab w:val="left" w:pos="567"/>
      </w:tabs>
      <w:spacing w:before="288" w:beforeLines="120" w:after="288" w:afterLines="120" w:line="312" w:lineRule="auto"/>
      <w:jc w:val="both"/>
    </w:pPr>
    <w:rPr>
      <w:rFonts w:ascii="Arial" w:hAnsi="Arial" w:cs="Arial"/>
      <w:b w:val="0"/>
      <w:bCs/>
      <w:sz w:val="72"/>
      <w:szCs w:val="72"/>
    </w:rPr>
  </w:style>
  <w:style w:type="paragraph" w:customStyle="1" w:styleId="56">
    <w:name w:val="Nivel_01_Titulo"/>
    <w:basedOn w:val="55"/>
    <w:link w:val="59"/>
    <w:qFormat/>
    <w:uiPriority w:val="0"/>
    <w:pPr>
      <w:jc w:val="left"/>
    </w:pPr>
    <w:rPr>
      <w:rFonts w:cstheme="majorBidi"/>
      <w:color w:val="000000" w:themeColor="text1"/>
      <w14:textFill>
        <w14:solidFill>
          <w14:schemeClr w14:val="tx1"/>
        </w14:solidFill>
      </w14:textFill>
    </w:rPr>
  </w:style>
  <w:style w:type="character" w:customStyle="1" w:styleId="57">
    <w:name w:val="Título Char"/>
    <w:basedOn w:val="8"/>
    <w:link w:val="17"/>
    <w:qFormat/>
    <w:uiPriority w:val="0"/>
    <w:rPr>
      <w:b/>
      <w:sz w:val="72"/>
      <w:szCs w:val="72"/>
    </w:rPr>
  </w:style>
  <w:style w:type="character" w:customStyle="1" w:styleId="58">
    <w:name w:val="Nivel 01 Char"/>
    <w:basedOn w:val="57"/>
    <w:link w:val="55"/>
    <w:qFormat/>
    <w:uiPriority w:val="0"/>
    <w:rPr>
      <w:rFonts w:ascii="Arial" w:hAnsi="Arial" w:cs="Arial"/>
      <w:b w:val="0"/>
      <w:bCs/>
      <w:sz w:val="72"/>
      <w:szCs w:val="72"/>
    </w:rPr>
  </w:style>
  <w:style w:type="character" w:customStyle="1" w:styleId="59">
    <w:name w:val="Nivel_01_Titulo Char"/>
    <w:basedOn w:val="58"/>
    <w:link w:val="56"/>
    <w:qFormat/>
    <w:uiPriority w:val="0"/>
    <w:rPr>
      <w:rFonts w:ascii="Arial" w:hAnsi="Arial" w:cstheme="majorBidi"/>
      <w:color w:val="000000" w:themeColor="text1"/>
      <w:sz w:val="72"/>
      <w:szCs w:val="72"/>
      <w14:textFill>
        <w14:solidFill>
          <w14:schemeClr w14:val="tx1"/>
        </w14:solidFill>
      </w14:textFill>
    </w:rPr>
  </w:style>
  <w:style w:type="paragraph" w:customStyle="1" w:styleId="60">
    <w:name w:val="PADRÃO"/>
    <w:qFormat/>
    <w:uiPriority w:val="0"/>
    <w:pPr>
      <w:keepNext/>
      <w:widowControl w:val="0"/>
      <w:shd w:val="clear" w:color="auto" w:fill="FFFFFF"/>
      <w:spacing w:before="119" w:after="119" w:line="276" w:lineRule="auto"/>
      <w:ind w:firstLine="567"/>
      <w:jc w:val="both"/>
      <w:textAlignment w:val="baseline"/>
    </w:pPr>
    <w:rPr>
      <w:rFonts w:ascii="Ecofont_Spranq_eco_Sans" w:hAnsi="Ecofont_Spranq_eco_Sans" w:eastAsia="WenQuanYi Micro Hei" w:cs="Lohit Hindi"/>
      <w:sz w:val="20"/>
      <w:szCs w:val="24"/>
      <w:lang w:val="pt-BR" w:eastAsia="zh-CN" w:bidi="hi-IN"/>
    </w:rPr>
  </w:style>
  <w:style w:type="character" w:customStyle="1" w:styleId="61">
    <w:name w:val="Quote Char"/>
    <w:basedOn w:val="8"/>
    <w:link w:val="62"/>
    <w:qFormat/>
    <w:uiPriority w:val="0"/>
    <w:rPr>
      <w:rFonts w:ascii="Ecofont_Spranq_eco_Sans" w:hAnsi="Ecofont_Spranq_eco_Sans" w:cs="Tahoma"/>
      <w:i/>
      <w:iCs/>
      <w:color w:val="000000"/>
      <w:shd w:val="clear" w:color="auto" w:fill="FFFFCC"/>
    </w:rPr>
  </w:style>
  <w:style w:type="paragraph" w:customStyle="1" w:styleId="62">
    <w:name w:val="Citação1"/>
    <w:basedOn w:val="1"/>
    <w:next w:val="1"/>
    <w:link w:val="61"/>
    <w:qFormat/>
    <w:uiPriority w:val="0"/>
    <w:pPr>
      <w:pBdr>
        <w:top w:val="single" w:color="1F497D" w:sz="4" w:space="1"/>
        <w:left w:val="single" w:color="1F497D" w:sz="4" w:space="4"/>
        <w:bottom w:val="single" w:color="1F497D" w:sz="4" w:space="1"/>
        <w:right w:val="single" w:color="1F497D" w:sz="4" w:space="4"/>
      </w:pBdr>
      <w:shd w:val="clear" w:color="auto" w:fill="FFFFCC"/>
      <w:spacing w:before="120" w:after="0" w:line="240" w:lineRule="auto"/>
      <w:jc w:val="both"/>
    </w:pPr>
    <w:rPr>
      <w:rFonts w:ascii="Ecofont_Spranq_eco_Sans" w:hAnsi="Ecofont_Spranq_eco_Sans" w:cs="Tahoma"/>
      <w:i/>
      <w:iCs/>
      <w:color w:val="000000"/>
    </w:rPr>
  </w:style>
  <w:style w:type="paragraph" w:customStyle="1" w:styleId="63">
    <w:name w:val="paragraph"/>
    <w:basedOn w:val="1"/>
    <w:qFormat/>
    <w:uiPriority w:val="0"/>
    <w:pPr>
      <w:spacing w:before="100" w:beforeAutospacing="1" w:after="100" w:afterAutospacing="1" w:line="240" w:lineRule="auto"/>
    </w:pPr>
    <w:rPr>
      <w:rFonts w:ascii="Times New Roman" w:hAnsi="Times New Roman" w:eastAsia="Times New Roman" w:cs="Times New Roman"/>
      <w:sz w:val="24"/>
      <w:szCs w:val="24"/>
    </w:rPr>
  </w:style>
  <w:style w:type="character" w:customStyle="1" w:styleId="64">
    <w:name w:val="normaltextrun"/>
    <w:basedOn w:val="8"/>
    <w:qFormat/>
    <w:uiPriority w:val="0"/>
  </w:style>
  <w:style w:type="character" w:customStyle="1" w:styleId="65">
    <w:name w:val="eop"/>
    <w:basedOn w:val="8"/>
    <w:qFormat/>
    <w:uiPriority w:val="0"/>
  </w:style>
  <w:style w:type="character" w:customStyle="1" w:styleId="66">
    <w:name w:val="spellingerror"/>
    <w:basedOn w:val="8"/>
    <w:qFormat/>
    <w:uiPriority w:val="0"/>
  </w:style>
  <w:style w:type="character" w:customStyle="1" w:styleId="67">
    <w:name w:val="Corpo de texto Char"/>
    <w:basedOn w:val="8"/>
    <w:link w:val="15"/>
    <w:qFormat/>
    <w:uiPriority w:val="0"/>
    <w:rPr>
      <w:rFonts w:ascii="Times New Roman" w:hAnsi="Times New Roman" w:eastAsia="Times New Roman" w:cs="Times New Roman"/>
      <w:sz w:val="24"/>
      <w:szCs w:val="24"/>
    </w:rPr>
  </w:style>
  <w:style w:type="paragraph" w:customStyle="1" w:styleId="68">
    <w:name w:val="Nivel1"/>
    <w:basedOn w:val="2"/>
    <w:link w:val="69"/>
    <w:qFormat/>
    <w:uiPriority w:val="0"/>
    <w:pPr>
      <w:spacing w:after="0"/>
      <w:ind w:left="357" w:hanging="357"/>
      <w:jc w:val="both"/>
    </w:pPr>
    <w:rPr>
      <w:rFonts w:ascii="Arial" w:hAnsi="Arial" w:cs="Arial" w:eastAsiaTheme="majorEastAsia"/>
      <w:color w:val="000000"/>
      <w:sz w:val="28"/>
      <w:szCs w:val="28"/>
    </w:rPr>
  </w:style>
  <w:style w:type="character" w:customStyle="1" w:styleId="69">
    <w:name w:val="Nivel1 Char"/>
    <w:basedOn w:val="40"/>
    <w:link w:val="68"/>
    <w:qFormat/>
    <w:uiPriority w:val="0"/>
    <w:rPr>
      <w:rFonts w:ascii="Arial" w:hAnsi="Arial" w:cs="Arial" w:eastAsiaTheme="majorEastAsia"/>
      <w:color w:val="000000"/>
      <w:sz w:val="28"/>
      <w:szCs w:val="28"/>
    </w:rPr>
  </w:style>
  <w:style w:type="paragraph" w:customStyle="1" w:styleId="70">
    <w:name w:val="Parágrafo da Lista1"/>
    <w:basedOn w:val="1"/>
    <w:qFormat/>
    <w:uiPriority w:val="0"/>
    <w:pPr>
      <w:spacing w:after="0" w:line="240" w:lineRule="auto"/>
      <w:ind w:left="720"/>
    </w:pPr>
    <w:rPr>
      <w:rFonts w:ascii="Ecofont_Spranq_eco_Sans" w:hAnsi="Ecofont_Spranq_eco_Sans" w:eastAsia="Times New Roman" w:cs="Ecofont_Spranq_eco_Sans"/>
      <w:sz w:val="24"/>
      <w:szCs w:val="24"/>
    </w:rPr>
  </w:style>
  <w:style w:type="paragraph" w:customStyle="1" w:styleId="71">
    <w:name w:val="Nivel 2"/>
    <w:basedOn w:val="1"/>
    <w:link w:val="96"/>
    <w:qFormat/>
    <w:uiPriority w:val="0"/>
    <w:pPr>
      <w:numPr>
        <w:ilvl w:val="1"/>
        <w:numId w:val="2"/>
      </w:numPr>
      <w:spacing w:before="120" w:after="120"/>
      <w:ind w:left="0" w:firstLine="0"/>
      <w:jc w:val="both"/>
    </w:pPr>
    <w:rPr>
      <w:rFonts w:ascii="Arial" w:hAnsi="Arial" w:cs="Arial" w:eastAsiaTheme="minorEastAsia"/>
      <w:color w:val="000000"/>
      <w:sz w:val="20"/>
      <w:szCs w:val="20"/>
    </w:rPr>
  </w:style>
  <w:style w:type="paragraph" w:customStyle="1" w:styleId="72">
    <w:name w:val="Nivel 1"/>
    <w:basedOn w:val="71"/>
    <w:next w:val="71"/>
    <w:qFormat/>
    <w:uiPriority w:val="0"/>
    <w:pPr>
      <w:numPr>
        <w:ilvl w:val="0"/>
        <w:numId w:val="0"/>
      </w:numPr>
      <w:ind w:left="360" w:hanging="360"/>
    </w:pPr>
    <w:rPr>
      <w:b/>
    </w:rPr>
  </w:style>
  <w:style w:type="paragraph" w:customStyle="1" w:styleId="73">
    <w:name w:val="Nivel 3"/>
    <w:basedOn w:val="1"/>
    <w:link w:val="120"/>
    <w:qFormat/>
    <w:uiPriority w:val="0"/>
    <w:pPr>
      <w:numPr>
        <w:ilvl w:val="2"/>
        <w:numId w:val="2"/>
      </w:numPr>
      <w:spacing w:before="120" w:after="120"/>
      <w:ind w:left="284" w:firstLine="0"/>
      <w:jc w:val="both"/>
    </w:pPr>
    <w:rPr>
      <w:rFonts w:ascii="Arial" w:hAnsi="Arial" w:cs="Arial" w:eastAsiaTheme="minorEastAsia"/>
      <w:color w:val="000000"/>
      <w:sz w:val="20"/>
      <w:szCs w:val="20"/>
    </w:rPr>
  </w:style>
  <w:style w:type="paragraph" w:customStyle="1" w:styleId="74">
    <w:name w:val="Nivel 4"/>
    <w:basedOn w:val="73"/>
    <w:link w:val="76"/>
    <w:qFormat/>
    <w:uiPriority w:val="0"/>
    <w:pPr>
      <w:numPr>
        <w:ilvl w:val="3"/>
      </w:numPr>
      <w:ind w:left="567" w:firstLine="0"/>
    </w:pPr>
    <w:rPr>
      <w:color w:val="auto"/>
    </w:rPr>
  </w:style>
  <w:style w:type="paragraph" w:customStyle="1" w:styleId="75">
    <w:name w:val="Nivel 5"/>
    <w:basedOn w:val="74"/>
    <w:qFormat/>
    <w:uiPriority w:val="0"/>
    <w:pPr>
      <w:numPr>
        <w:ilvl w:val="4"/>
      </w:numPr>
      <w:ind w:left="851" w:firstLine="0"/>
    </w:pPr>
  </w:style>
  <w:style w:type="character" w:customStyle="1" w:styleId="76">
    <w:name w:val="Nivel 4 Char"/>
    <w:basedOn w:val="8"/>
    <w:link w:val="74"/>
    <w:qFormat/>
    <w:uiPriority w:val="0"/>
    <w:rPr>
      <w:rFonts w:ascii="Arial" w:hAnsi="Arial" w:cs="Arial" w:eastAsiaTheme="minorEastAsia"/>
      <w:sz w:val="20"/>
      <w:szCs w:val="20"/>
    </w:rPr>
  </w:style>
  <w:style w:type="paragraph" w:customStyle="1" w:styleId="77">
    <w:name w:val="textbody"/>
    <w:basedOn w:val="1"/>
    <w:qFormat/>
    <w:uiPriority w:val="0"/>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78">
    <w:name w:val="em_0020ementa"/>
    <w:basedOn w:val="1"/>
    <w:qFormat/>
    <w:uiPriority w:val="0"/>
    <w:pPr>
      <w:spacing w:after="0" w:line="240" w:lineRule="auto"/>
      <w:ind w:left="4160"/>
      <w:jc w:val="both"/>
    </w:pPr>
    <w:rPr>
      <w:rFonts w:ascii="Times New Roman" w:hAnsi="Times New Roman" w:eastAsia="Times New Roman" w:cs="Times New Roman"/>
      <w:sz w:val="28"/>
      <w:szCs w:val="28"/>
    </w:rPr>
  </w:style>
  <w:style w:type="character" w:customStyle="1" w:styleId="79">
    <w:name w:val="cp_0020corpodespacho__char1"/>
    <w:qFormat/>
    <w:uiPriority w:val="0"/>
    <w:rPr>
      <w:rFonts w:hint="default" w:ascii="Times New Roman" w:hAnsi="Times New Roman" w:cs="Times New Roman"/>
      <w:sz w:val="26"/>
      <w:szCs w:val="26"/>
      <w:u w:val="none"/>
    </w:rPr>
  </w:style>
  <w:style w:type="character" w:customStyle="1" w:styleId="80">
    <w:name w:val="em_0020ementa__char1"/>
    <w:qFormat/>
    <w:uiPriority w:val="0"/>
    <w:rPr>
      <w:rFonts w:hint="default" w:ascii="Times New Roman" w:hAnsi="Times New Roman" w:cs="Times New Roman"/>
      <w:sz w:val="28"/>
      <w:szCs w:val="28"/>
      <w:u w:val="none"/>
    </w:rPr>
  </w:style>
  <w:style w:type="paragraph" w:customStyle="1" w:styleId="81">
    <w:name w:val="Revision"/>
    <w:hidden/>
    <w:semiHidden/>
    <w:qFormat/>
    <w:uiPriority w:val="99"/>
    <w:pPr>
      <w:spacing w:after="0" w:line="240" w:lineRule="auto"/>
    </w:pPr>
    <w:rPr>
      <w:rFonts w:ascii="Ecofont_Spranq_eco_Sans" w:hAnsi="Ecofont_Spranq_eco_Sans" w:eastAsia="Times New Roman" w:cs="Tahoma"/>
      <w:sz w:val="24"/>
      <w:szCs w:val="24"/>
      <w:lang w:val="pt-BR" w:eastAsia="pt-BR" w:bidi="ar-SA"/>
    </w:rPr>
  </w:style>
  <w:style w:type="character" w:customStyle="1" w:styleId="82">
    <w:name w:val="Manoel"/>
    <w:qFormat/>
    <w:uiPriority w:val="0"/>
    <w:rPr>
      <w:rFonts w:ascii="Arial" w:hAnsi="Arial" w:cs="Arial"/>
      <w:color w:val="7030A0"/>
      <w:sz w:val="20"/>
    </w:rPr>
  </w:style>
  <w:style w:type="character" w:customStyle="1" w:styleId="83">
    <w:name w:val="ListLabel 12"/>
    <w:qFormat/>
    <w:uiPriority w:val="0"/>
    <w:rPr>
      <w:b/>
    </w:rPr>
  </w:style>
  <w:style w:type="paragraph" w:customStyle="1" w:styleId="84">
    <w:name w:val="texto1"/>
    <w:basedOn w:val="1"/>
    <w:qFormat/>
    <w:uiPriority w:val="0"/>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85">
    <w:name w:val="Grade Colorida - Ênfase 11"/>
    <w:basedOn w:val="1"/>
    <w:next w:val="1"/>
    <w:link w:val="86"/>
    <w:qFormat/>
    <w:uiPriority w:val="29"/>
    <w:pPr>
      <w:pBdr>
        <w:top w:val="single" w:color="1F497D" w:sz="4" w:space="1"/>
        <w:left w:val="single" w:color="1F497D" w:sz="4" w:space="4"/>
        <w:bottom w:val="single" w:color="1F497D" w:sz="4" w:space="1"/>
        <w:right w:val="single" w:color="1F497D" w:sz="4" w:space="4"/>
      </w:pBdr>
      <w:shd w:val="clear" w:color="auto" w:fill="FFFFCC"/>
      <w:spacing w:before="120" w:after="0" w:line="240" w:lineRule="auto"/>
      <w:jc w:val="both"/>
    </w:pPr>
    <w:rPr>
      <w:rFonts w:ascii="Arial" w:hAnsi="Arial" w:cs="Times New Roman"/>
      <w:i/>
      <w:iCs/>
      <w:color w:val="000000"/>
      <w:sz w:val="20"/>
      <w:szCs w:val="24"/>
      <w:lang w:eastAsia="en-US"/>
    </w:rPr>
  </w:style>
  <w:style w:type="character" w:customStyle="1" w:styleId="86">
    <w:name w:val="Grade Colorida - Ênfase 1 Char"/>
    <w:link w:val="85"/>
    <w:qFormat/>
    <w:uiPriority w:val="29"/>
    <w:rPr>
      <w:rFonts w:ascii="Arial" w:hAnsi="Arial" w:cs="Times New Roman"/>
      <w:i/>
      <w:iCs/>
      <w:color w:val="000000"/>
      <w:sz w:val="20"/>
      <w:szCs w:val="24"/>
      <w:shd w:val="clear" w:color="auto" w:fill="FFFFCC"/>
      <w:lang w:eastAsia="en-US"/>
    </w:rPr>
  </w:style>
  <w:style w:type="paragraph" w:customStyle="1" w:styleId="87">
    <w:name w:val="x_western"/>
    <w:basedOn w:val="1"/>
    <w:qFormat/>
    <w:uiPriority w:val="0"/>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88">
    <w:name w:val="TCU - Ac - item 9 - §§_0"/>
    <w:basedOn w:val="1"/>
    <w:qFormat/>
    <w:uiPriority w:val="0"/>
    <w:pPr>
      <w:spacing w:after="0" w:line="240" w:lineRule="auto"/>
      <w:ind w:firstLine="1134"/>
      <w:jc w:val="both"/>
    </w:pPr>
    <w:rPr>
      <w:rFonts w:ascii="Times New Roman" w:hAnsi="Times New Roman" w:eastAsia="Times New Roman" w:cs="Times New Roman"/>
      <w:sz w:val="24"/>
      <w:lang w:eastAsia="en-US"/>
    </w:rPr>
  </w:style>
  <w:style w:type="paragraph" w:customStyle="1" w:styleId="89">
    <w:name w:val="Normal_1"/>
    <w:qFormat/>
    <w:uiPriority w:val="0"/>
    <w:pPr>
      <w:spacing w:after="0" w:line="240" w:lineRule="auto"/>
    </w:pPr>
    <w:rPr>
      <w:rFonts w:ascii="Times New Roman" w:hAnsi="Times New Roman" w:eastAsia="Times New Roman" w:cs="Times New Roman"/>
      <w:sz w:val="24"/>
      <w:szCs w:val="22"/>
      <w:lang w:val="pt-BR" w:eastAsia="en-US" w:bidi="ar-SA"/>
    </w:rPr>
  </w:style>
  <w:style w:type="paragraph" w:customStyle="1" w:styleId="90">
    <w:name w:val="tcu_-__ac_-_item_9_-_1ª_linha"/>
    <w:basedOn w:val="1"/>
    <w:qFormat/>
    <w:uiPriority w:val="0"/>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91">
    <w:name w:val="texto_justificado_recuo_primeira_linha"/>
    <w:basedOn w:val="1"/>
    <w:qFormat/>
    <w:uiPriority w:val="0"/>
    <w:pPr>
      <w:spacing w:before="100" w:beforeAutospacing="1" w:after="100" w:afterAutospacing="1" w:line="240" w:lineRule="auto"/>
    </w:pPr>
    <w:rPr>
      <w:rFonts w:ascii="Times New Roman" w:hAnsi="Times New Roman" w:eastAsia="Times New Roman" w:cs="Times New Roman"/>
      <w:sz w:val="24"/>
      <w:szCs w:val="24"/>
    </w:rPr>
  </w:style>
  <w:style w:type="character" w:customStyle="1" w:styleId="92">
    <w:name w:val="highlight"/>
    <w:basedOn w:val="8"/>
    <w:qFormat/>
    <w:uiPriority w:val="0"/>
  </w:style>
  <w:style w:type="paragraph" w:customStyle="1" w:styleId="93">
    <w:name w:val="texto_justificado"/>
    <w:basedOn w:val="1"/>
    <w:qFormat/>
    <w:uiPriority w:val="0"/>
    <w:pPr>
      <w:spacing w:before="100" w:beforeAutospacing="1" w:after="100" w:afterAutospacing="1" w:line="240" w:lineRule="auto"/>
    </w:pPr>
    <w:rPr>
      <w:rFonts w:ascii="Times New Roman" w:hAnsi="Times New Roman" w:eastAsia="Times New Roman" w:cs="Times New Roman"/>
      <w:sz w:val="24"/>
      <w:szCs w:val="24"/>
    </w:rPr>
  </w:style>
  <w:style w:type="character" w:customStyle="1" w:styleId="94">
    <w:name w:val="Menção Pendente1"/>
    <w:basedOn w:val="8"/>
    <w:semiHidden/>
    <w:unhideWhenUsed/>
    <w:qFormat/>
    <w:uiPriority w:val="99"/>
    <w:rPr>
      <w:color w:val="605E5C"/>
      <w:shd w:val="clear" w:color="auto" w:fill="E1DFDD"/>
    </w:rPr>
  </w:style>
  <w:style w:type="character" w:customStyle="1" w:styleId="95">
    <w:name w:val="Menção Pendente2"/>
    <w:basedOn w:val="8"/>
    <w:semiHidden/>
    <w:unhideWhenUsed/>
    <w:qFormat/>
    <w:uiPriority w:val="99"/>
    <w:rPr>
      <w:color w:val="605E5C"/>
      <w:shd w:val="clear" w:color="auto" w:fill="E1DFDD"/>
    </w:rPr>
  </w:style>
  <w:style w:type="character" w:customStyle="1" w:styleId="96">
    <w:name w:val="Nivel 2 Char"/>
    <w:basedOn w:val="8"/>
    <w:link w:val="71"/>
    <w:qFormat/>
    <w:locked/>
    <w:uiPriority w:val="0"/>
    <w:rPr>
      <w:rFonts w:ascii="Arial" w:hAnsi="Arial" w:cs="Arial" w:eastAsiaTheme="minorEastAsia"/>
      <w:color w:val="000000"/>
      <w:sz w:val="20"/>
      <w:szCs w:val="20"/>
    </w:rPr>
  </w:style>
  <w:style w:type="paragraph" w:customStyle="1" w:styleId="97">
    <w:name w:val="Nível 2 Opcional"/>
    <w:basedOn w:val="71"/>
    <w:link w:val="99"/>
    <w:qFormat/>
    <w:uiPriority w:val="0"/>
    <w:pPr>
      <w:numPr>
        <w:ilvl w:val="0"/>
        <w:numId w:val="0"/>
      </w:numPr>
      <w:ind w:left="432" w:hanging="432"/>
    </w:pPr>
    <w:rPr>
      <w:rFonts w:eastAsia="Times New Roman"/>
      <w:i/>
      <w:color w:val="FF0000"/>
    </w:rPr>
  </w:style>
  <w:style w:type="paragraph" w:customStyle="1" w:styleId="98">
    <w:name w:val="Nível 3 Opcional"/>
    <w:basedOn w:val="73"/>
    <w:link w:val="100"/>
    <w:qFormat/>
    <w:uiPriority w:val="0"/>
    <w:pPr>
      <w:numPr>
        <w:ilvl w:val="0"/>
        <w:numId w:val="0"/>
      </w:numPr>
      <w:ind w:left="1072" w:hanging="504"/>
    </w:pPr>
    <w:rPr>
      <w:rFonts w:eastAsia="Times New Roman"/>
      <w:i/>
      <w:iCs/>
      <w:color w:val="FF0000"/>
    </w:rPr>
  </w:style>
  <w:style w:type="character" w:customStyle="1" w:styleId="99">
    <w:name w:val="Nível 2 Opcional Char"/>
    <w:basedOn w:val="8"/>
    <w:link w:val="97"/>
    <w:qFormat/>
    <w:uiPriority w:val="0"/>
    <w:rPr>
      <w:rFonts w:ascii="Arial" w:hAnsi="Arial" w:eastAsia="Times New Roman" w:cs="Arial"/>
      <w:i/>
      <w:color w:val="FF0000"/>
      <w:sz w:val="20"/>
      <w:szCs w:val="20"/>
    </w:rPr>
  </w:style>
  <w:style w:type="character" w:customStyle="1" w:styleId="100">
    <w:name w:val="Nível 3 Opcional Char"/>
    <w:basedOn w:val="8"/>
    <w:link w:val="98"/>
    <w:qFormat/>
    <w:uiPriority w:val="0"/>
    <w:rPr>
      <w:rFonts w:ascii="Arial" w:hAnsi="Arial" w:eastAsia="Times New Roman" w:cs="Arial"/>
      <w:i/>
      <w:iCs/>
      <w:color w:val="FF0000"/>
      <w:sz w:val="20"/>
      <w:szCs w:val="20"/>
    </w:rPr>
  </w:style>
  <w:style w:type="character" w:styleId="101">
    <w:name w:val="Placeholder Text"/>
    <w:basedOn w:val="8"/>
    <w:semiHidden/>
    <w:qFormat/>
    <w:uiPriority w:val="67"/>
    <w:rPr>
      <w:color w:val="808080"/>
    </w:rPr>
  </w:style>
  <w:style w:type="character" w:customStyle="1" w:styleId="102">
    <w:name w:val="Parágrafo da Lista Char"/>
    <w:basedOn w:val="8"/>
    <w:link w:val="39"/>
    <w:qFormat/>
    <w:uiPriority w:val="34"/>
  </w:style>
  <w:style w:type="paragraph" w:customStyle="1" w:styleId="103">
    <w:name w:val="Sombreamento Médio 1 - Ênfase 31"/>
    <w:basedOn w:val="1"/>
    <w:next w:val="1"/>
    <w:qFormat/>
    <w:uiPriority w:val="0"/>
    <w:pPr>
      <w:pBdr>
        <w:top w:val="single" w:color="000080" w:sz="4" w:space="1"/>
        <w:left w:val="single" w:color="000080" w:sz="4" w:space="4"/>
        <w:bottom w:val="single" w:color="000080" w:sz="4" w:space="1"/>
        <w:right w:val="single" w:color="000080" w:sz="4" w:space="4"/>
      </w:pBdr>
      <w:shd w:val="clear" w:color="auto" w:fill="FFFFCC"/>
      <w:suppressAutoHyphens/>
      <w:spacing w:before="120" w:after="0" w:line="240" w:lineRule="auto"/>
      <w:jc w:val="both"/>
    </w:pPr>
    <w:rPr>
      <w:rFonts w:ascii="Ecofont_Spranq_eco_Sans" w:hAnsi="Ecofont_Spranq_eco_Sans" w:cs="Tahoma"/>
      <w:i/>
      <w:iCs/>
      <w:color w:val="000000"/>
      <w:sz w:val="20"/>
      <w:szCs w:val="24"/>
      <w:lang w:eastAsia="zh-CN"/>
    </w:rPr>
  </w:style>
  <w:style w:type="paragraph" w:customStyle="1" w:styleId="104">
    <w:name w:val="corpo"/>
    <w:basedOn w:val="1"/>
    <w:qFormat/>
    <w:uiPriority w:val="0"/>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105">
    <w:name w:val="item_nivel2"/>
    <w:basedOn w:val="1"/>
    <w:qFormat/>
    <w:uiPriority w:val="0"/>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106">
    <w:name w:val="item_nivel1"/>
    <w:basedOn w:val="1"/>
    <w:qFormat/>
    <w:uiPriority w:val="0"/>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107">
    <w:name w:val="item_alinea_letra"/>
    <w:basedOn w:val="1"/>
    <w:qFormat/>
    <w:uiPriority w:val="0"/>
    <w:pPr>
      <w:spacing w:before="100" w:beforeAutospacing="1" w:after="100" w:afterAutospacing="1" w:line="240" w:lineRule="auto"/>
    </w:pPr>
    <w:rPr>
      <w:rFonts w:ascii="Times New Roman" w:hAnsi="Times New Roman" w:eastAsia="Times New Roman" w:cs="Times New Roman"/>
      <w:sz w:val="24"/>
      <w:szCs w:val="24"/>
    </w:rPr>
  </w:style>
  <w:style w:type="character" w:customStyle="1" w:styleId="108">
    <w:name w:val="markedcontent"/>
    <w:basedOn w:val="8"/>
    <w:qFormat/>
    <w:uiPriority w:val="0"/>
  </w:style>
  <w:style w:type="paragraph" w:customStyle="1" w:styleId="109">
    <w:name w:val="Standard"/>
    <w:qFormat/>
    <w:uiPriority w:val="0"/>
    <w:pPr>
      <w:suppressAutoHyphens/>
      <w:autoSpaceDN w:val="0"/>
      <w:spacing w:after="0" w:line="240" w:lineRule="auto"/>
    </w:pPr>
    <w:rPr>
      <w:rFonts w:ascii="Liberation Serif" w:hAnsi="Liberation Serif" w:eastAsia="NSimSun" w:cs="Lucida Sans"/>
      <w:kern w:val="3"/>
      <w:sz w:val="24"/>
      <w:szCs w:val="24"/>
      <w:lang w:val="pt-BR" w:eastAsia="zh-CN" w:bidi="hi-IN"/>
    </w:rPr>
  </w:style>
  <w:style w:type="paragraph" w:customStyle="1" w:styleId="110">
    <w:name w:val="Text body"/>
    <w:basedOn w:val="109"/>
    <w:qFormat/>
    <w:uiPriority w:val="0"/>
    <w:pPr>
      <w:spacing w:after="140" w:line="276" w:lineRule="auto"/>
    </w:pPr>
  </w:style>
  <w:style w:type="character" w:customStyle="1" w:styleId="111">
    <w:name w:val="Menção Pendente3"/>
    <w:basedOn w:val="8"/>
    <w:semiHidden/>
    <w:unhideWhenUsed/>
    <w:qFormat/>
    <w:uiPriority w:val="99"/>
    <w:rPr>
      <w:color w:val="605E5C"/>
      <w:shd w:val="clear" w:color="auto" w:fill="E1DFDD"/>
    </w:rPr>
  </w:style>
  <w:style w:type="character" w:customStyle="1" w:styleId="112">
    <w:name w:val="Menção Pendente4"/>
    <w:basedOn w:val="8"/>
    <w:semiHidden/>
    <w:unhideWhenUsed/>
    <w:qFormat/>
    <w:uiPriority w:val="99"/>
    <w:rPr>
      <w:color w:val="605E5C"/>
      <w:shd w:val="clear" w:color="auto" w:fill="E1DFDD"/>
    </w:rPr>
  </w:style>
  <w:style w:type="paragraph" w:customStyle="1" w:styleId="113">
    <w:name w:val="ou"/>
    <w:basedOn w:val="39"/>
    <w:link w:val="114"/>
    <w:qFormat/>
    <w:uiPriority w:val="0"/>
    <w:pPr>
      <w:spacing w:before="60" w:after="60" w:line="259" w:lineRule="auto"/>
      <w:ind w:left="0"/>
      <w:contextualSpacing w:val="0"/>
      <w:jc w:val="center"/>
    </w:pPr>
    <w:rPr>
      <w:rFonts w:ascii="Arial" w:hAnsi="Arial" w:cs="Arial" w:eastAsiaTheme="minorHAnsi"/>
      <w:b/>
      <w:bCs/>
      <w:i/>
      <w:iCs/>
      <w:color w:val="FF0000"/>
      <w:sz w:val="24"/>
      <w:szCs w:val="24"/>
      <w:u w:val="single"/>
    </w:rPr>
  </w:style>
  <w:style w:type="character" w:customStyle="1" w:styleId="114">
    <w:name w:val="ou Char"/>
    <w:basedOn w:val="102"/>
    <w:link w:val="113"/>
    <w:qFormat/>
    <w:uiPriority w:val="0"/>
    <w:rPr>
      <w:rFonts w:ascii="Arial" w:hAnsi="Arial" w:cs="Arial" w:eastAsiaTheme="minorHAnsi"/>
      <w:b/>
      <w:bCs/>
      <w:i/>
      <w:iCs/>
      <w:color w:val="FF0000"/>
      <w:sz w:val="24"/>
      <w:szCs w:val="24"/>
      <w:u w:val="single"/>
    </w:rPr>
  </w:style>
  <w:style w:type="paragraph" w:customStyle="1" w:styleId="115">
    <w:name w:val="dou-paragraph"/>
    <w:basedOn w:val="1"/>
    <w:qFormat/>
    <w:uiPriority w:val="0"/>
    <w:pPr>
      <w:spacing w:before="100" w:beforeAutospacing="1" w:after="100" w:afterAutospacing="1" w:line="240" w:lineRule="auto"/>
    </w:pPr>
    <w:rPr>
      <w:rFonts w:ascii="Times New Roman" w:hAnsi="Times New Roman" w:eastAsia="Times New Roman" w:cs="Times New Roman"/>
      <w:sz w:val="24"/>
      <w:szCs w:val="24"/>
    </w:rPr>
  </w:style>
  <w:style w:type="paragraph" w:customStyle="1" w:styleId="116">
    <w:name w:val="Nível 2 -Red"/>
    <w:basedOn w:val="71"/>
    <w:link w:val="118"/>
    <w:qFormat/>
    <w:uiPriority w:val="0"/>
    <w:rPr>
      <w:i/>
      <w:iCs/>
      <w:color w:val="FF0000"/>
    </w:rPr>
  </w:style>
  <w:style w:type="paragraph" w:customStyle="1" w:styleId="117">
    <w:name w:val="Nível 3-R"/>
    <w:basedOn w:val="73"/>
    <w:link w:val="121"/>
    <w:qFormat/>
    <w:uiPriority w:val="0"/>
    <w:rPr>
      <w:i/>
      <w:iCs/>
      <w:color w:val="FF0000"/>
    </w:rPr>
  </w:style>
  <w:style w:type="character" w:customStyle="1" w:styleId="118">
    <w:name w:val="Nível 2 -Red Char"/>
    <w:basedOn w:val="96"/>
    <w:link w:val="116"/>
    <w:qFormat/>
    <w:uiPriority w:val="0"/>
    <w:rPr>
      <w:rFonts w:ascii="Arial" w:hAnsi="Arial" w:cs="Arial" w:eastAsiaTheme="minorEastAsia"/>
      <w:i/>
      <w:iCs/>
      <w:color w:val="FF0000"/>
      <w:sz w:val="20"/>
      <w:szCs w:val="20"/>
    </w:rPr>
  </w:style>
  <w:style w:type="paragraph" w:customStyle="1" w:styleId="119">
    <w:name w:val="Nível 4-R"/>
    <w:basedOn w:val="74"/>
    <w:link w:val="123"/>
    <w:qFormat/>
    <w:uiPriority w:val="0"/>
    <w:rPr>
      <w:i/>
      <w:iCs/>
      <w:color w:val="FF0000"/>
    </w:rPr>
  </w:style>
  <w:style w:type="character" w:customStyle="1" w:styleId="120">
    <w:name w:val="Nivel 3 Char"/>
    <w:basedOn w:val="8"/>
    <w:link w:val="73"/>
    <w:qFormat/>
    <w:uiPriority w:val="0"/>
    <w:rPr>
      <w:rFonts w:ascii="Arial" w:hAnsi="Arial" w:cs="Arial" w:eastAsiaTheme="minorEastAsia"/>
      <w:color w:val="000000"/>
      <w:sz w:val="20"/>
      <w:szCs w:val="20"/>
    </w:rPr>
  </w:style>
  <w:style w:type="character" w:customStyle="1" w:styleId="121">
    <w:name w:val="Nível 3-R Char"/>
    <w:basedOn w:val="120"/>
    <w:link w:val="117"/>
    <w:qFormat/>
    <w:uiPriority w:val="0"/>
    <w:rPr>
      <w:rFonts w:ascii="Arial" w:hAnsi="Arial" w:cs="Arial" w:eastAsiaTheme="minorEastAsia"/>
      <w:i/>
      <w:iCs/>
      <w:color w:val="FF0000"/>
      <w:sz w:val="20"/>
      <w:szCs w:val="20"/>
    </w:rPr>
  </w:style>
  <w:style w:type="paragraph" w:customStyle="1" w:styleId="122">
    <w:name w:val="Nível 1-Sem Num"/>
    <w:basedOn w:val="55"/>
    <w:link w:val="125"/>
    <w:qFormat/>
    <w:uiPriority w:val="0"/>
    <w:pPr>
      <w:numPr>
        <w:numId w:val="0"/>
      </w:numPr>
      <w:outlineLvl w:val="1"/>
    </w:pPr>
    <w:rPr>
      <w:color w:val="FF0000"/>
    </w:rPr>
  </w:style>
  <w:style w:type="character" w:customStyle="1" w:styleId="123">
    <w:name w:val="Nível 4-R Char"/>
    <w:basedOn w:val="76"/>
    <w:link w:val="119"/>
    <w:qFormat/>
    <w:uiPriority w:val="0"/>
    <w:rPr>
      <w:rFonts w:ascii="Arial" w:hAnsi="Arial" w:cs="Arial" w:eastAsiaTheme="minorEastAsia"/>
      <w:i/>
      <w:iCs/>
      <w:color w:val="FF0000"/>
      <w:sz w:val="20"/>
      <w:szCs w:val="20"/>
    </w:rPr>
  </w:style>
  <w:style w:type="character" w:customStyle="1" w:styleId="124">
    <w:name w:val="Link da Internet"/>
    <w:basedOn w:val="8"/>
    <w:unhideWhenUsed/>
    <w:qFormat/>
    <w:uiPriority w:val="99"/>
    <w:rPr>
      <w:color w:val="0000FF" w:themeColor="hyperlink"/>
      <w:u w:val="single"/>
      <w14:textFill>
        <w14:solidFill>
          <w14:schemeClr w14:val="hlink"/>
        </w14:solidFill>
      </w14:textFill>
    </w:rPr>
  </w:style>
  <w:style w:type="character" w:customStyle="1" w:styleId="125">
    <w:name w:val="Nível 1-Sem Num Char"/>
    <w:basedOn w:val="58"/>
    <w:link w:val="122"/>
    <w:qFormat/>
    <w:uiPriority w:val="0"/>
    <w:rPr>
      <w:rFonts w:ascii="Arial" w:hAnsi="Arial" w:cs="Arial"/>
      <w:color w:val="FF0000"/>
      <w:sz w:val="72"/>
      <w:szCs w:val="72"/>
    </w:rPr>
  </w:style>
  <w:style w:type="paragraph" w:customStyle="1" w:styleId="126">
    <w:name w:val="citação 2"/>
    <w:basedOn w:val="49"/>
    <w:link w:val="130"/>
    <w:qFormat/>
    <w:uiPriority w:val="0"/>
    <w:pPr>
      <w:overflowPunct w:val="0"/>
    </w:pPr>
  </w:style>
  <w:style w:type="paragraph" w:customStyle="1" w:styleId="127">
    <w:name w:val="Preâmbulo"/>
    <w:basedOn w:val="1"/>
    <w:link w:val="128"/>
    <w:qFormat/>
    <w:uiPriority w:val="0"/>
    <w:pPr>
      <w:spacing w:before="480" w:after="120" w:line="360" w:lineRule="auto"/>
      <w:ind w:left="4253" w:right="-17"/>
      <w:jc w:val="both"/>
    </w:pPr>
    <w:rPr>
      <w:rFonts w:ascii="Arial" w:hAnsi="Arial" w:eastAsia="Arial" w:cs="Arial"/>
      <w:bCs/>
      <w:sz w:val="20"/>
      <w:szCs w:val="20"/>
    </w:rPr>
  </w:style>
  <w:style w:type="character" w:customStyle="1" w:styleId="128">
    <w:name w:val="Preâmbulo Char"/>
    <w:basedOn w:val="8"/>
    <w:link w:val="127"/>
    <w:qFormat/>
    <w:uiPriority w:val="0"/>
    <w:rPr>
      <w:rFonts w:ascii="Arial" w:hAnsi="Arial" w:eastAsia="Arial" w:cs="Arial"/>
      <w:bCs/>
      <w:sz w:val="20"/>
      <w:szCs w:val="20"/>
    </w:rPr>
  </w:style>
  <w:style w:type="character" w:customStyle="1" w:styleId="129">
    <w:name w:val="Menção Pendente5"/>
    <w:basedOn w:val="8"/>
    <w:semiHidden/>
    <w:unhideWhenUsed/>
    <w:qFormat/>
    <w:uiPriority w:val="99"/>
    <w:rPr>
      <w:color w:val="605E5C"/>
      <w:shd w:val="clear" w:color="auto" w:fill="E1DFDD"/>
    </w:rPr>
  </w:style>
  <w:style w:type="character" w:customStyle="1" w:styleId="130">
    <w:name w:val="citação 2 Char"/>
    <w:basedOn w:val="50"/>
    <w:link w:val="126"/>
    <w:qFormat/>
    <w:uiPriority w:val="0"/>
    <w:rPr>
      <w:rFonts w:ascii="Arial" w:hAnsi="Arial" w:cs="Tahoma"/>
      <w:color w:val="000000"/>
      <w:sz w:val="20"/>
      <w:szCs w:val="24"/>
      <w:shd w:val="clear" w:color="auto" w:fill="FFFFCC"/>
      <w:lang w:eastAsia="en-US"/>
    </w:rPr>
  </w:style>
  <w:style w:type="paragraph" w:customStyle="1" w:styleId="131">
    <w:name w:val="TOC Heading"/>
    <w:basedOn w:val="2"/>
    <w:next w:val="1"/>
    <w:unhideWhenUsed/>
    <w:qFormat/>
    <w:uiPriority w:val="39"/>
    <w:pPr>
      <w:spacing w:before="240" w:after="0" w:line="259" w:lineRule="auto"/>
      <w:outlineLvl w:val="9"/>
    </w:pPr>
    <w:rPr>
      <w:rFonts w:asciiTheme="majorHAnsi" w:hAnsiTheme="majorHAnsi" w:eastAsiaTheme="majorEastAsia" w:cstheme="majorBidi"/>
      <w:b w:val="0"/>
      <w:color w:val="376092" w:themeColor="accent1" w:themeShade="BF"/>
      <w:sz w:val="32"/>
      <w:szCs w:val="32"/>
    </w:rPr>
  </w:style>
  <w:style w:type="character" w:customStyle="1" w:styleId="132">
    <w:name w:val="Menção Pendente6"/>
    <w:basedOn w:val="8"/>
    <w:semiHidden/>
    <w:unhideWhenUsed/>
    <w:qFormat/>
    <w:uiPriority w:val="99"/>
    <w:rPr>
      <w:color w:val="605E5C"/>
      <w:shd w:val="clear" w:color="auto" w:fill="E1DFDD"/>
    </w:rPr>
  </w:style>
  <w:style w:type="character" w:customStyle="1" w:styleId="133">
    <w:name w:val="Mention non résolue1"/>
    <w:basedOn w:val="8"/>
    <w:semiHidden/>
    <w:unhideWhenUsed/>
    <w:qFormat/>
    <w:uiPriority w:val="99"/>
    <w:rPr>
      <w:color w:val="605E5C"/>
      <w:shd w:val="clear" w:color="auto" w:fill="E1DFDD"/>
    </w:rPr>
  </w:style>
  <w:style w:type="character" w:customStyle="1" w:styleId="134">
    <w:name w:val="Unresolved Mention"/>
    <w:basedOn w:val="8"/>
    <w:semiHidden/>
    <w:unhideWhenUsed/>
    <w:qFormat/>
    <w:uiPriority w:val="99"/>
    <w:rPr>
      <w:color w:val="605E5C"/>
      <w:shd w:val="clear" w:color="auto" w:fill="E1DFDD"/>
    </w:rPr>
  </w:style>
  <w:style w:type="paragraph" w:customStyle="1" w:styleId="135">
    <w:name w:val="Nível 3"/>
    <w:basedOn w:val="117"/>
    <w:link w:val="137"/>
    <w:qFormat/>
    <w:uiPriority w:val="0"/>
    <w:rPr>
      <w:rFonts w:eastAsia="Times New Roman"/>
      <w:i w:val="0"/>
      <w:iCs w:val="0"/>
      <w:color w:val="auto"/>
    </w:rPr>
  </w:style>
  <w:style w:type="paragraph" w:customStyle="1" w:styleId="136">
    <w:name w:val="Nível 4"/>
    <w:basedOn w:val="135"/>
    <w:link w:val="139"/>
    <w:qFormat/>
    <w:uiPriority w:val="0"/>
    <w:pPr>
      <w:numPr>
        <w:ilvl w:val="0"/>
        <w:numId w:val="0"/>
      </w:numPr>
      <w:ind w:left="567"/>
    </w:pPr>
  </w:style>
  <w:style w:type="character" w:customStyle="1" w:styleId="137">
    <w:name w:val="Nível 3 Char"/>
    <w:basedOn w:val="8"/>
    <w:link w:val="135"/>
    <w:qFormat/>
    <w:uiPriority w:val="0"/>
    <w:rPr>
      <w:rFonts w:ascii="Arial" w:hAnsi="Arial" w:eastAsia="Times New Roman" w:cs="Arial"/>
      <w:sz w:val="20"/>
      <w:szCs w:val="20"/>
    </w:rPr>
  </w:style>
  <w:style w:type="paragraph" w:customStyle="1" w:styleId="138">
    <w:name w:val="SubTitNN"/>
    <w:basedOn w:val="1"/>
    <w:link w:val="140"/>
    <w:qFormat/>
    <w:uiPriority w:val="0"/>
    <w:pPr>
      <w:spacing w:before="240" w:after="120"/>
      <w:jc w:val="both"/>
    </w:pPr>
    <w:rPr>
      <w:rFonts w:ascii="Arial" w:hAnsi="Arial" w:eastAsia="Times New Roman" w:cs="Arial"/>
      <w:b/>
      <w:bCs/>
      <w:iCs/>
      <w:sz w:val="20"/>
      <w:szCs w:val="20"/>
    </w:rPr>
  </w:style>
  <w:style w:type="character" w:customStyle="1" w:styleId="139">
    <w:name w:val="Nível 4 Char"/>
    <w:basedOn w:val="137"/>
    <w:link w:val="136"/>
    <w:qFormat/>
    <w:uiPriority w:val="0"/>
    <w:rPr>
      <w:rFonts w:ascii="Arial" w:hAnsi="Arial" w:eastAsia="Times New Roman" w:cs="Arial"/>
      <w:sz w:val="20"/>
      <w:szCs w:val="20"/>
    </w:rPr>
  </w:style>
  <w:style w:type="character" w:customStyle="1" w:styleId="140">
    <w:name w:val="SubTitNN Char"/>
    <w:basedOn w:val="8"/>
    <w:link w:val="138"/>
    <w:qFormat/>
    <w:uiPriority w:val="0"/>
    <w:rPr>
      <w:rFonts w:ascii="Arial" w:hAnsi="Arial" w:eastAsia="Times New Roman" w:cs="Arial"/>
      <w:b/>
      <w:bCs/>
      <w:iCs/>
      <w:sz w:val="20"/>
      <w:szCs w:val="20"/>
    </w:rPr>
  </w:style>
  <w:style w:type="table" w:customStyle="1" w:styleId="141">
    <w:name w:val="_Style 142"/>
    <w:basedOn w:val="27"/>
    <w:qFormat/>
    <w:uiPriority w:val="0"/>
    <w:tblPr>
      <w:tblCellMar>
        <w:left w:w="115" w:type="dxa"/>
        <w:right w:w="115" w:type="dxa"/>
      </w:tblCellMar>
    </w:tblPr>
  </w:style>
  <w:style w:type="table" w:customStyle="1" w:styleId="142">
    <w:name w:val="_Style 143"/>
    <w:basedOn w:val="27"/>
    <w:qFormat/>
    <w:uiPriority w:val="0"/>
    <w:tblPr>
      <w:tblCellMar>
        <w:left w:w="115" w:type="dxa"/>
        <w:right w:w="115" w:type="dxa"/>
      </w:tblCellMar>
    </w:tblPr>
  </w:style>
  <w:style w:type="table" w:customStyle="1" w:styleId="143">
    <w:name w:val="_Style 144"/>
    <w:basedOn w:val="27"/>
    <w:qFormat/>
    <w:uiPriority w:val="0"/>
    <w:tblPr>
      <w:tblCellMar>
        <w:left w:w="115" w:type="dxa"/>
        <w:right w:w="115" w:type="dxa"/>
      </w:tblCellMar>
    </w:tblPr>
  </w:style>
  <w:style w:type="table" w:customStyle="1" w:styleId="144">
    <w:name w:val="_Style 145"/>
    <w:basedOn w:val="27"/>
    <w:qFormat/>
    <w:uiPriority w:val="0"/>
    <w:tblPr>
      <w:tblCellMar>
        <w:left w:w="115" w:type="dxa"/>
        <w:right w:w="115" w:type="dxa"/>
      </w:tblCellMar>
    </w:tblPr>
  </w:style>
  <w:style w:type="table" w:customStyle="1" w:styleId="145">
    <w:name w:val="_Style 146"/>
    <w:basedOn w:val="27"/>
    <w:qFormat/>
    <w:uiPriority w:val="0"/>
    <w:tblPr>
      <w:tblCellMar>
        <w:left w:w="115" w:type="dxa"/>
        <w:right w:w="115" w:type="dxa"/>
      </w:tblCellMar>
    </w:tblPr>
  </w:style>
  <w:style w:type="table" w:customStyle="1" w:styleId="146">
    <w:name w:val="_Style 147"/>
    <w:basedOn w:val="27"/>
    <w:qFormat/>
    <w:uiPriority w:val="0"/>
    <w:tblPr>
      <w:tblCellMar>
        <w:left w:w="10" w:type="dxa"/>
        <w:right w:w="10" w:type="dxa"/>
      </w:tblCellMar>
    </w:tblPr>
  </w:style>
  <w:style w:type="table" w:customStyle="1" w:styleId="147">
    <w:name w:val="_Style 148"/>
    <w:basedOn w:val="27"/>
    <w:qFormat/>
    <w:uiPriority w:val="0"/>
    <w:tblPr>
      <w:tblCellMar>
        <w:left w:w="115" w:type="dxa"/>
        <w:right w:w="115" w:type="dxa"/>
      </w:tblCellMar>
    </w:tblPr>
  </w:style>
  <w:style w:type="table" w:customStyle="1" w:styleId="148">
    <w:name w:val="_Style 149"/>
    <w:basedOn w:val="27"/>
    <w:qFormat/>
    <w:uiPriority w:val="0"/>
    <w:tblPr>
      <w:tblCellMar>
        <w:left w:w="115" w:type="dxa"/>
        <w:right w:w="115" w:type="dxa"/>
      </w:tblCellMar>
    </w:tblPr>
  </w:style>
  <w:style w:type="table" w:customStyle="1" w:styleId="149">
    <w:name w:val="_Style 150"/>
    <w:basedOn w:val="27"/>
    <w:qFormat/>
    <w:uiPriority w:val="0"/>
    <w:tblPr>
      <w:tblCellMar>
        <w:left w:w="115" w:type="dxa"/>
        <w:right w:w="115" w:type="dxa"/>
      </w:tblCellMar>
    </w:tblPr>
  </w:style>
  <w:style w:type="table" w:customStyle="1" w:styleId="150">
    <w:name w:val="_Style 151"/>
    <w:basedOn w:val="27"/>
    <w:qFormat/>
    <w:uiPriority w:val="0"/>
    <w:tblPr>
      <w:tblCellMar>
        <w:left w:w="115" w:type="dxa"/>
        <w:right w:w="115" w:type="dxa"/>
      </w:tblCellMar>
    </w:tblPr>
  </w:style>
  <w:style w:type="table" w:customStyle="1" w:styleId="151">
    <w:name w:val="_Style 152"/>
    <w:basedOn w:val="27"/>
    <w:qFormat/>
    <w:uiPriority w:val="0"/>
    <w:tblPr>
      <w:tblCellMar>
        <w:left w:w="115" w:type="dxa"/>
        <w:right w:w="115" w:type="dxa"/>
      </w:tblCellMar>
    </w:tblPr>
  </w:style>
  <w:style w:type="table" w:customStyle="1" w:styleId="152">
    <w:name w:val="_Style 153"/>
    <w:basedOn w:val="27"/>
    <w:qFormat/>
    <w:uiPriority w:val="0"/>
    <w:tblPr>
      <w:tblCellMar>
        <w:left w:w="115" w:type="dxa"/>
        <w:right w:w="115" w:type="dxa"/>
      </w:tblCellMar>
    </w:tblPr>
  </w:style>
  <w:style w:type="table" w:customStyle="1" w:styleId="153">
    <w:name w:val="_Style 154"/>
    <w:basedOn w:val="27"/>
    <w:qFormat/>
    <w:uiPriority w:val="0"/>
    <w:tblPr>
      <w:tblCellMar>
        <w:left w:w="115" w:type="dxa"/>
        <w:right w:w="115" w:type="dxa"/>
      </w:tblCellMar>
    </w:tblPr>
  </w:style>
  <w:style w:type="table" w:customStyle="1" w:styleId="154">
    <w:name w:val="_Style 155"/>
    <w:basedOn w:val="27"/>
    <w:qFormat/>
    <w:uiPriority w:val="0"/>
    <w:tblPr>
      <w:tblCellMar>
        <w:left w:w="115" w:type="dxa"/>
        <w:right w:w="115" w:type="dxa"/>
      </w:tblCellMar>
    </w:tblPr>
  </w:style>
  <w:style w:type="table" w:customStyle="1" w:styleId="155">
    <w:name w:val="_Style 156"/>
    <w:basedOn w:val="27"/>
    <w:qFormat/>
    <w:uiPriority w:val="0"/>
    <w:tblPr>
      <w:tblCellMar>
        <w:left w:w="115" w:type="dxa"/>
        <w:right w:w="115" w:type="dxa"/>
      </w:tblCellMar>
    </w:tblPr>
  </w:style>
  <w:style w:type="table" w:customStyle="1" w:styleId="156">
    <w:name w:val="_Style 157"/>
    <w:basedOn w:val="27"/>
    <w:qFormat/>
    <w:uiPriority w:val="0"/>
    <w:tblPr>
      <w:tblCellMar>
        <w:left w:w="115" w:type="dxa"/>
        <w:right w:w="115" w:type="dxa"/>
      </w:tblCellMar>
    </w:tbl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numbering" Target="numbering.xml"/><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zkwImOflYUSX1Wd1cKuBWzy7thA==">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</go:docsCustomData>
</go:gDocsCustomXmlDataStorage>
</file>

<file path=customXml/itemProps1.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emplate>Normal</Template>
  <Pages>49</Pages>
  <Words>14625</Words>
  <Characters>78981</Characters>
  <Lines>658</Lines>
  <Paragraphs>186</Paragraphs>
  <TotalTime>8</TotalTime>
  <ScaleCrop>false</ScaleCrop>
  <LinksUpToDate>false</LinksUpToDate>
  <CharactersWithSpaces>93420</CharactersWithSpaces>
  <Application>WPS Office_12.2.0.17119_F1E327BC-269C-435d-A152-05C5408002CA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2024-04-12T17:50:00Z</dcterms:created>
  <dc:creator>Social03</dc:creator>
  <cp:lastModifiedBy>darllyson.henrique</cp:lastModifiedBy>
  <dcterms:modified xsi:type="dcterms:W3CDTF">2024-07-17T14:47:02Z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1046-12.2.0.17119</vt:lpwstr>
  </property>
  <property fmtid="{D5CDD505-2E9C-101B-9397-08002B2CF9AE}" pid="3" name="ICV">
    <vt:lpwstr>2715A7CCB91F477AA50816867BA70178_13</vt:lpwstr>
  </property>
</Properties>
</file>