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C1D2B">
      <w:pPr>
        <w:ind w:firstLine="1701"/>
        <w:jc w:val="both"/>
        <w:rPr>
          <w:rFonts w:ascii="Book Antiqua" w:hAnsi="Book Antiqua"/>
          <w:b/>
          <w:sz w:val="20"/>
          <w:szCs w:val="20"/>
        </w:rPr>
      </w:pPr>
      <w:bookmarkStart w:id="28" w:name="_GoBack"/>
      <w:bookmarkEnd w:id="28"/>
      <w:r>
        <w:rPr>
          <w:rFonts w:ascii="Book Antiqua" w:hAnsi="Book Antiqua"/>
          <w:sz w:val="20"/>
          <w:szCs w:val="20"/>
        </w:rPr>
        <w:t xml:space="preserve">O Município de </w:t>
      </w:r>
      <w:r>
        <w:rPr>
          <w:rFonts w:ascii="Book Antiqua" w:hAnsi="Book Antiqua"/>
          <w:color w:val="000000" w:themeColor="text1"/>
          <w:sz w:val="20"/>
          <w:szCs w:val="20"/>
          <w14:textFill>
            <w14:solidFill>
              <w14:schemeClr w14:val="tx1"/>
            </w14:solidFill>
          </w14:textFill>
        </w:rPr>
        <w:t xml:space="preserve">São José de Mipibu/RN, </w:t>
      </w:r>
      <w:r>
        <w:rPr>
          <w:rFonts w:ascii="Book Antiqua" w:hAnsi="Book Antiqua"/>
          <w:sz w:val="20"/>
          <w:szCs w:val="20"/>
        </w:rPr>
        <w:t xml:space="preserve">por intermédio da Prefeitura Municipal, através do seu Agente de Contratação designado pela </w:t>
      </w:r>
      <w:r>
        <w:rPr>
          <w:rFonts w:ascii="Book Antiqua" w:hAnsi="Book Antiqua" w:eastAsia="Book Antiqua" w:cs="Book Antiqua"/>
          <w:sz w:val="20"/>
          <w:szCs w:val="20"/>
        </w:rPr>
        <w:t xml:space="preserve">Portaria nº </w:t>
      </w:r>
      <w:r>
        <w:rPr>
          <w:rFonts w:ascii="Book Antiqua" w:hAnsi="Book Antiqua" w:cs="Gisha"/>
          <w:sz w:val="20"/>
          <w:szCs w:val="20"/>
        </w:rPr>
        <w:t>381/2025</w:t>
      </w:r>
      <w:r>
        <w:rPr>
          <w:rFonts w:ascii="Book Antiqua" w:hAnsi="Book Antiqua"/>
          <w:sz w:val="20"/>
          <w:szCs w:val="20"/>
        </w:rPr>
        <w:t xml:space="preserve">, torna público para conhecimento dos interessados fará realizar licitação na modalidade </w:t>
      </w:r>
      <w:r>
        <w:rPr>
          <w:rFonts w:ascii="Book Antiqua" w:hAnsi="Book Antiqua"/>
          <w:b/>
          <w:bCs/>
          <w:sz w:val="20"/>
          <w:szCs w:val="20"/>
        </w:rPr>
        <w:t xml:space="preserve">PREGÃO, </w:t>
      </w:r>
      <w:r>
        <w:rPr>
          <w:rFonts w:ascii="Book Antiqua" w:hAnsi="Book Antiqua"/>
          <w:sz w:val="20"/>
          <w:szCs w:val="20"/>
        </w:rPr>
        <w:t xml:space="preserve">na forma </w:t>
      </w:r>
      <w:r>
        <w:rPr>
          <w:rFonts w:ascii="Book Antiqua" w:hAnsi="Book Antiqua"/>
          <w:b/>
          <w:bCs/>
          <w:sz w:val="20"/>
          <w:szCs w:val="20"/>
        </w:rPr>
        <w:t>ELETRÔNICA</w:t>
      </w:r>
      <w:r>
        <w:rPr>
          <w:rFonts w:ascii="Book Antiqua" w:hAnsi="Book Antiqua"/>
          <w:sz w:val="20"/>
          <w:szCs w:val="20"/>
        </w:rPr>
        <w:t>,</w:t>
      </w:r>
      <w:r>
        <w:rPr>
          <w:rFonts w:ascii="Book Antiqua" w:hAnsi="Book Antiqua"/>
          <w:b/>
          <w:bCs/>
          <w:sz w:val="20"/>
          <w:szCs w:val="20"/>
        </w:rPr>
        <w:t xml:space="preserve"> PARA REGISTRO DE PREÇOS</w:t>
      </w:r>
      <w:r>
        <w:rPr>
          <w:rFonts w:ascii="Book Antiqua" w:hAnsi="Book Antiqua"/>
          <w:sz w:val="20"/>
          <w:szCs w:val="20"/>
        </w:rPr>
        <w:t xml:space="preserve"> do tipo </w:t>
      </w:r>
      <w:r>
        <w:rPr>
          <w:rFonts w:ascii="Book Antiqua" w:hAnsi="Book Antiqua"/>
          <w:b/>
          <w:sz w:val="20"/>
          <w:szCs w:val="20"/>
          <w:highlight w:val="yellow"/>
        </w:rPr>
        <w:t>MENOR PREÇO POR ITEM</w:t>
      </w:r>
      <w:r>
        <w:rPr>
          <w:rFonts w:ascii="Book Antiqua" w:hAnsi="Book Antiqua"/>
          <w:b/>
          <w:sz w:val="20"/>
          <w:szCs w:val="20"/>
        </w:rPr>
        <w:t xml:space="preserve">, </w:t>
      </w:r>
      <w:r>
        <w:rPr>
          <w:rFonts w:ascii="Book Antiqua" w:hAnsi="Book Antiqua"/>
          <w:sz w:val="20"/>
          <w:szCs w:val="20"/>
        </w:rPr>
        <w:t xml:space="preserve">conforme descrição contida neste Edital e seus Anexos. O procedimento licitatório obedecerá à Lei Federal nº 14.133, de 01 de abril de </w:t>
      </w:r>
      <w:r>
        <w:rPr>
          <w:rFonts w:ascii="Book Antiqua" w:hAnsi="Book Antiqua"/>
          <w:color w:val="000000" w:themeColor="text1"/>
          <w:sz w:val="20"/>
          <w:szCs w:val="20"/>
          <w14:textFill>
            <w14:solidFill>
              <w14:schemeClr w14:val="tx1"/>
            </w14:solidFill>
          </w14:textFill>
        </w:rPr>
        <w:t xml:space="preserve">2021; Decreto Municipal nº 008, de 05 de fevereiro de 2024; Instrução Normativa SEGES/ME nº 073/2022; </w:t>
      </w:r>
      <w:r>
        <w:rPr>
          <w:rFonts w:ascii="Book Antiqua" w:hAnsi="Book Antiqua"/>
          <w:sz w:val="20"/>
          <w:szCs w:val="20"/>
        </w:rPr>
        <w:t>à Lei nº 8.078/1990 - Código de Defesa do Consumidor; à Lei Complementar nº 123/2006 e suas alterações.</w:t>
      </w:r>
    </w:p>
    <w:p w14:paraId="4DE7BC1C">
      <w:pPr>
        <w:shd w:val="clear" w:color="auto" w:fill="FFFFFF"/>
        <w:tabs>
          <w:tab w:val="center" w:pos="4320"/>
          <w:tab w:val="right" w:pos="8640"/>
        </w:tabs>
        <w:ind w:firstLine="1701"/>
        <w:rPr>
          <w:rFonts w:ascii="Book Antiqua" w:hAnsi="Book Antiqua"/>
          <w:sz w:val="20"/>
          <w:szCs w:val="20"/>
        </w:rPr>
      </w:pPr>
    </w:p>
    <w:p w14:paraId="4E284E92">
      <w:pPr>
        <w:ind w:firstLine="1701"/>
        <w:jc w:val="both"/>
        <w:rPr>
          <w:rFonts w:ascii="Book Antiqua" w:hAnsi="Book Antiqua" w:cs="Courier New"/>
          <w:b/>
          <w:bCs/>
          <w:sz w:val="20"/>
          <w:szCs w:val="20"/>
        </w:rPr>
      </w:pPr>
      <w:r>
        <w:rPr>
          <w:rFonts w:ascii="Book Antiqua" w:hAnsi="Book Antiqua" w:cs="Courier New"/>
          <w:sz w:val="20"/>
          <w:szCs w:val="20"/>
        </w:rPr>
        <w:t xml:space="preserve">O </w:t>
      </w:r>
      <w:r>
        <w:rPr>
          <w:rFonts w:ascii="Book Antiqua" w:hAnsi="Book Antiqua" w:cs="Courier New"/>
          <w:b/>
          <w:sz w:val="20"/>
          <w:szCs w:val="20"/>
        </w:rPr>
        <w:t>PREGÃO ELETRÔNICO</w:t>
      </w:r>
      <w:r>
        <w:rPr>
          <w:rFonts w:ascii="Book Antiqua" w:hAnsi="Book Antiqua" w:cs="Courier New"/>
          <w:sz w:val="20"/>
          <w:szCs w:val="20"/>
        </w:rPr>
        <w:t xml:space="preserve"> será realizado em sessão pública, por meio da INTERNET, mediante condições de segurança - criptografia e autenticação em todas as suas fases. Os trabalhos serão conduzidos pelo Pregoeiro, mediante a inserção e monitoramento de dados gerados ou transferidos para o aplicativo, constante da página eletrônica: </w:t>
      </w:r>
      <w:r>
        <w:fldChar w:fldCharType="begin"/>
      </w:r>
      <w:r>
        <w:instrText xml:space="preserve"> HYPERLINK "http://www.portaldecompraspublicas.com.br" </w:instrText>
      </w:r>
      <w:r>
        <w:fldChar w:fldCharType="separate"/>
      </w:r>
      <w:r>
        <w:rPr>
          <w:rStyle w:val="20"/>
          <w:rFonts w:ascii="Book Antiqua" w:hAnsi="Book Antiqua" w:cs="Courier New"/>
          <w:b/>
          <w:bCs/>
          <w:sz w:val="20"/>
          <w:szCs w:val="20"/>
        </w:rPr>
        <w:t>www.portaldecompraspublicas.com.br</w:t>
      </w:r>
      <w:r>
        <w:rPr>
          <w:rStyle w:val="20"/>
          <w:rFonts w:ascii="Book Antiqua" w:hAnsi="Book Antiqua" w:cs="Courier New"/>
          <w:b/>
          <w:bCs/>
          <w:sz w:val="20"/>
          <w:szCs w:val="20"/>
        </w:rPr>
        <w:fldChar w:fldCharType="end"/>
      </w:r>
      <w:r>
        <w:rPr>
          <w:rFonts w:ascii="Book Antiqua" w:hAnsi="Book Antiqua" w:cs="Courier New"/>
          <w:b/>
          <w:bCs/>
          <w:sz w:val="20"/>
          <w:szCs w:val="20"/>
        </w:rPr>
        <w:t xml:space="preserve">. </w:t>
      </w:r>
    </w:p>
    <w:p w14:paraId="7B5B0D0E">
      <w:pPr>
        <w:shd w:val="clear" w:color="auto" w:fill="FFFFFF"/>
        <w:tabs>
          <w:tab w:val="center" w:pos="4320"/>
          <w:tab w:val="right" w:pos="8640"/>
        </w:tabs>
        <w:rPr>
          <w:rFonts w:ascii="Book Antiqua" w:hAnsi="Book Antiqua"/>
          <w:sz w:val="20"/>
          <w:szCs w:val="20"/>
        </w:rPr>
      </w:pPr>
    </w:p>
    <w:p w14:paraId="6F10C001">
      <w:pPr>
        <w:tabs>
          <w:tab w:val="center" w:pos="4320"/>
          <w:tab w:val="right" w:pos="8640"/>
        </w:tabs>
        <w:rPr>
          <w:rFonts w:ascii="Book Antiqua" w:hAnsi="Book Antiqua"/>
          <w:sz w:val="20"/>
          <w:szCs w:val="20"/>
        </w:rPr>
      </w:pPr>
      <w:r>
        <w:rPr>
          <w:rFonts w:ascii="Book Antiqua" w:hAnsi="Book Antiqua"/>
          <w:b/>
          <w:sz w:val="20"/>
          <w:szCs w:val="20"/>
        </w:rPr>
        <w:t>Data da abertura da sessão pública:</w:t>
      </w:r>
      <w:r>
        <w:rPr>
          <w:rFonts w:ascii="Book Antiqua" w:hAnsi="Book Antiqua"/>
          <w:sz w:val="20"/>
          <w:szCs w:val="20"/>
        </w:rPr>
        <w:t xml:space="preserve"> 13 novembro de 2025</w:t>
      </w:r>
    </w:p>
    <w:p w14:paraId="70A2D22F">
      <w:pPr>
        <w:tabs>
          <w:tab w:val="center" w:pos="4320"/>
          <w:tab w:val="right" w:pos="8640"/>
        </w:tabs>
        <w:rPr>
          <w:rFonts w:ascii="Book Antiqua" w:hAnsi="Book Antiqua"/>
          <w:sz w:val="20"/>
          <w:szCs w:val="20"/>
        </w:rPr>
      </w:pPr>
      <w:r>
        <w:rPr>
          <w:rFonts w:ascii="Book Antiqua" w:hAnsi="Book Antiqua"/>
          <w:b/>
          <w:sz w:val="20"/>
          <w:szCs w:val="20"/>
        </w:rPr>
        <w:t>Horário:</w:t>
      </w:r>
      <w:r>
        <w:rPr>
          <w:rFonts w:ascii="Book Antiqua" w:hAnsi="Book Antiqua"/>
          <w:sz w:val="20"/>
          <w:szCs w:val="20"/>
        </w:rPr>
        <w:t xml:space="preserve"> 10h00min</w:t>
      </w:r>
    </w:p>
    <w:p w14:paraId="3A55FF68">
      <w:pPr>
        <w:jc w:val="both"/>
        <w:rPr>
          <w:rFonts w:ascii="Book Antiqua" w:hAnsi="Book Antiqua" w:cs="Courier New"/>
          <w:sz w:val="20"/>
          <w:szCs w:val="20"/>
        </w:rPr>
      </w:pPr>
      <w:r>
        <w:rPr>
          <w:rFonts w:ascii="Book Antiqua" w:hAnsi="Book Antiqua" w:cs="Courier New"/>
          <w:sz w:val="20"/>
          <w:szCs w:val="20"/>
        </w:rPr>
        <w:t xml:space="preserve">Todas as referências de tempo no Edital, no Aviso e durante a Sessão Pública observarão obrigatoriamente o Horário de Brasília/DF e, dessa forma, serão registradas no sistema eletrônico e na documentação relativa ao certame. O número da Licitação no site do </w:t>
      </w:r>
      <w:r>
        <w:rPr>
          <w:rFonts w:ascii="Book Antiqua" w:hAnsi="Book Antiqua" w:cs="Courier New"/>
          <w:b/>
          <w:sz w:val="20"/>
          <w:szCs w:val="20"/>
        </w:rPr>
        <w:t>Portal de Compras Públicas</w:t>
      </w:r>
      <w:r>
        <w:rPr>
          <w:rFonts w:ascii="Book Antiqua" w:hAnsi="Book Antiqua" w:cs="Courier New"/>
          <w:sz w:val="20"/>
          <w:szCs w:val="20"/>
        </w:rPr>
        <w:t xml:space="preserve"> é o </w:t>
      </w:r>
      <w:r>
        <w:rPr>
          <w:rFonts w:ascii="Book Antiqua" w:hAnsi="Book Antiqua" w:cs="Courier New"/>
          <w:b/>
          <w:sz w:val="20"/>
          <w:szCs w:val="20"/>
        </w:rPr>
        <w:t xml:space="preserve">PREGÃO ELETRÔNICO Nº 024/2025 e PROCESSO Nº 6358/2025 </w:t>
      </w:r>
      <w:r>
        <w:rPr>
          <w:rFonts w:ascii="Book Antiqua" w:hAnsi="Book Antiqua" w:cs="Courier New"/>
          <w:sz w:val="20"/>
          <w:szCs w:val="20"/>
        </w:rPr>
        <w:t xml:space="preserve">e nome utilizado é </w:t>
      </w:r>
      <w:r>
        <w:rPr>
          <w:rFonts w:ascii="Book Antiqua" w:hAnsi="Book Antiqua" w:cs="Courier New"/>
          <w:b/>
          <w:bCs/>
          <w:sz w:val="20"/>
          <w:szCs w:val="20"/>
        </w:rPr>
        <w:t>Prefeitura Municipal de São José de Mipibu/RN</w:t>
      </w:r>
      <w:r>
        <w:rPr>
          <w:rFonts w:ascii="Book Antiqua" w:hAnsi="Book Antiqua" w:cs="Courier New"/>
          <w:sz w:val="20"/>
          <w:szCs w:val="20"/>
        </w:rPr>
        <w:t xml:space="preserve"> </w:t>
      </w:r>
    </w:p>
    <w:p w14:paraId="64296845">
      <w:pPr>
        <w:jc w:val="both"/>
        <w:rPr>
          <w:rFonts w:ascii="Book Antiqua" w:hAnsi="Book Antiqua" w:cs="Courier New"/>
          <w:sz w:val="20"/>
          <w:szCs w:val="20"/>
        </w:rPr>
      </w:pPr>
    </w:p>
    <w:p w14:paraId="3964C7CE">
      <w:pPr>
        <w:numPr>
          <w:ilvl w:val="0"/>
          <w:numId w:val="2"/>
        </w:numPr>
        <w:ind w:left="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DO OBJETO</w:t>
      </w:r>
    </w:p>
    <w:p w14:paraId="6A51F643">
      <w:pPr>
        <w:numPr>
          <w:ilvl w:val="1"/>
          <w:numId w:val="2"/>
        </w:numPr>
        <w:ind w:left="0"/>
        <w:jc w:val="both"/>
        <w:rPr>
          <w:rFonts w:ascii="Book Antiqua" w:hAnsi="Book Antiqua"/>
          <w:sz w:val="20"/>
          <w:szCs w:val="20"/>
        </w:rPr>
      </w:pPr>
      <w:r>
        <w:rPr>
          <w:rFonts w:ascii="Book Antiqua" w:hAnsi="Book Antiqua"/>
          <w:sz w:val="20"/>
          <w:szCs w:val="20"/>
        </w:rPr>
        <w:t xml:space="preserve">O objeto desta licitação é o registro de </w:t>
      </w:r>
      <w:r>
        <w:rPr>
          <w:rFonts w:ascii="Book Antiqua" w:hAnsi="Book Antiqua"/>
          <w:color w:val="000000" w:themeColor="text1"/>
          <w:sz w:val="20"/>
          <w:szCs w:val="20"/>
          <w14:textFill>
            <w14:solidFill>
              <w14:schemeClr w14:val="tx1"/>
            </w14:solidFill>
          </w14:textFill>
        </w:rPr>
        <w:t xml:space="preserve">preços para </w:t>
      </w:r>
      <w:bookmarkStart w:id="0" w:name="_Hlk208916773"/>
      <w:r>
        <w:rPr>
          <w:rFonts w:ascii="Book Antiqua" w:hAnsi="Book Antiqua"/>
          <w:b/>
          <w:bCs/>
          <w:color w:val="000000" w:themeColor="text1"/>
          <w:sz w:val="20"/>
          <w:szCs w:val="20"/>
          <w14:textFill>
            <w14:solidFill>
              <w14:schemeClr w14:val="tx1"/>
            </w14:solidFill>
          </w14:textFill>
        </w:rPr>
        <w:t xml:space="preserve">futura </w:t>
      </w:r>
      <w:bookmarkStart w:id="1" w:name="_Hlk164378022"/>
      <w:bookmarkStart w:id="2" w:name="_Hlk186536074"/>
      <w:r>
        <w:rPr>
          <w:rFonts w:ascii="Book Antiqua" w:hAnsi="Book Antiqua"/>
          <w:b/>
          <w:bCs/>
          <w:color w:val="000000" w:themeColor="text1"/>
          <w:sz w:val="20"/>
          <w:szCs w:val="20"/>
          <w14:textFill>
            <w14:solidFill>
              <w14:schemeClr w14:val="tx1"/>
            </w14:solidFill>
          </w14:textFill>
        </w:rPr>
        <w:t xml:space="preserve">contratação </w:t>
      </w:r>
      <w:bookmarkEnd w:id="1"/>
      <w:bookmarkEnd w:id="2"/>
      <w:bookmarkStart w:id="3" w:name="_Hlk211956416"/>
      <w:bookmarkStart w:id="4" w:name="_Hlk186798142"/>
      <w:r>
        <w:rPr>
          <w:rFonts w:ascii="Book Antiqua" w:hAnsi="Book Antiqua"/>
          <w:b/>
          <w:bCs/>
          <w:color w:val="000000" w:themeColor="text1"/>
          <w:sz w:val="20"/>
          <w:szCs w:val="20"/>
          <w14:textFill>
            <w14:solidFill>
              <w14:schemeClr w14:val="tx1"/>
            </w14:solidFill>
          </w14:textFill>
        </w:rPr>
        <w:t>de Pessoa Jurídica para o fornecimento de Medicamentos Anti-Hipertensivos</w:t>
      </w:r>
      <w:r>
        <w:rPr>
          <w:rFonts w:ascii="Book Antiqua" w:hAnsi="Book Antiqua"/>
          <w:b/>
          <w:bCs/>
          <w:sz w:val="20"/>
          <w:szCs w:val="20"/>
        </w:rPr>
        <w:t xml:space="preserve">, destinados às Unidades de Saúde e aos seus usuários, </w:t>
      </w:r>
      <w:r>
        <w:rPr>
          <w:rFonts w:ascii="Book Antiqua" w:hAnsi="Book Antiqua"/>
          <w:b/>
          <w:bCs/>
          <w:color w:val="000000" w:themeColor="text1"/>
          <w:sz w:val="20"/>
          <w:szCs w:val="20"/>
          <w14:textFill>
            <w14:solidFill>
              <w14:schemeClr w14:val="tx1"/>
            </w14:solidFill>
          </w14:textFill>
        </w:rPr>
        <w:t>pertencentes à Secretaria Municipal de Saúde de São José de Mipibu/RN</w:t>
      </w:r>
      <w:bookmarkEnd w:id="0"/>
      <w:bookmarkEnd w:id="3"/>
      <w:r>
        <w:rPr>
          <w:rFonts w:ascii="Book Antiqua" w:hAnsi="Book Antiqua"/>
          <w:b/>
          <w:sz w:val="20"/>
          <w:szCs w:val="20"/>
        </w:rPr>
        <w:t xml:space="preserve">, </w:t>
      </w:r>
      <w:bookmarkEnd w:id="4"/>
      <w:r>
        <w:rPr>
          <w:rFonts w:ascii="Book Antiqua" w:hAnsi="Book Antiqua" w:cs="Gisha"/>
          <w:sz w:val="20"/>
          <w:szCs w:val="20"/>
        </w:rPr>
        <w:t xml:space="preserve"> conforme </w:t>
      </w:r>
      <w:r>
        <w:rPr>
          <w:rFonts w:ascii="Book Antiqua" w:hAnsi="Book Antiqua" w:cs="Gisha"/>
          <w:b/>
          <w:sz w:val="20"/>
          <w:szCs w:val="20"/>
        </w:rPr>
        <w:t>ANEXO I – TERMO DE REFERÊNCIA,</w:t>
      </w:r>
      <w:r>
        <w:rPr>
          <w:rFonts w:ascii="Book Antiqua" w:hAnsi="Book Antiqua" w:cs="Gisha"/>
          <w:sz w:val="20"/>
          <w:szCs w:val="20"/>
        </w:rPr>
        <w:t xml:space="preserve"> que passa a fazer parte integrante deste Edital, independente de transcrição, cujas especificações, nele, encontram-se detalhadas </w:t>
      </w:r>
      <w:r>
        <w:rPr>
          <w:rFonts w:ascii="Book Antiqua" w:hAnsi="Book Antiqua"/>
          <w:sz w:val="20"/>
          <w:szCs w:val="20"/>
        </w:rPr>
        <w:t>conforme especificações e quantidades nele estabelecidas.</w:t>
      </w:r>
    </w:p>
    <w:p w14:paraId="65614CAB">
      <w:pPr>
        <w:numPr>
          <w:ilvl w:val="1"/>
          <w:numId w:val="2"/>
        </w:numPr>
        <w:ind w:left="0"/>
        <w:jc w:val="both"/>
        <w:rPr>
          <w:rFonts w:ascii="Book Antiqua" w:hAnsi="Book Antiqua"/>
          <w:sz w:val="20"/>
          <w:szCs w:val="20"/>
        </w:rPr>
      </w:pPr>
      <w:r>
        <w:rPr>
          <w:rFonts w:ascii="Book Antiqua" w:hAnsi="Book Antiqua"/>
          <w:sz w:val="20"/>
          <w:szCs w:val="20"/>
        </w:rPr>
        <w:t xml:space="preserve">A licitação será subdivida em itens, conforme tabela constante do Termo de Referência, assim os licitantes </w:t>
      </w:r>
      <w:r>
        <w:rPr>
          <w:rFonts w:ascii="Book Antiqua" w:hAnsi="Book Antiqua"/>
          <w:b/>
          <w:bCs/>
          <w:sz w:val="20"/>
          <w:szCs w:val="20"/>
          <w:highlight w:val="yellow"/>
        </w:rPr>
        <w:t>NÃO</w:t>
      </w:r>
      <w:r>
        <w:rPr>
          <w:rFonts w:ascii="Book Antiqua" w:hAnsi="Book Antiqua"/>
          <w:sz w:val="20"/>
          <w:szCs w:val="20"/>
          <w:highlight w:val="yellow"/>
        </w:rPr>
        <w:t xml:space="preserve"> </w:t>
      </w:r>
      <w:r>
        <w:rPr>
          <w:rFonts w:ascii="Book Antiqua" w:hAnsi="Book Antiqua"/>
          <w:b/>
          <w:sz w:val="20"/>
          <w:szCs w:val="20"/>
          <w:highlight w:val="yellow"/>
        </w:rPr>
        <w:t>ESTÃO OBRIGADOS</w:t>
      </w:r>
      <w:r>
        <w:rPr>
          <w:rFonts w:ascii="Book Antiqua" w:hAnsi="Book Antiqua"/>
          <w:sz w:val="20"/>
          <w:szCs w:val="20"/>
        </w:rPr>
        <w:t xml:space="preserve"> a cotar todos os ITENS constantes no Termo de Referência.</w:t>
      </w:r>
    </w:p>
    <w:p w14:paraId="60C71E47">
      <w:pPr>
        <w:numPr>
          <w:ilvl w:val="1"/>
          <w:numId w:val="2"/>
        </w:numPr>
        <w:ind w:left="0"/>
        <w:jc w:val="both"/>
        <w:rPr>
          <w:rFonts w:ascii="Book Antiqua" w:hAnsi="Book Antiqua"/>
          <w:sz w:val="20"/>
          <w:szCs w:val="20"/>
        </w:rPr>
      </w:pPr>
      <w:r>
        <w:rPr>
          <w:rFonts w:ascii="Book Antiqua" w:hAnsi="Book Antiqua"/>
          <w:sz w:val="20"/>
          <w:szCs w:val="20"/>
        </w:rPr>
        <w:t xml:space="preserve">O critério de julgamento adotado será o </w:t>
      </w:r>
      <w:r>
        <w:rPr>
          <w:rFonts w:ascii="Book Antiqua" w:hAnsi="Book Antiqua"/>
          <w:b/>
          <w:sz w:val="20"/>
          <w:szCs w:val="20"/>
          <w:highlight w:val="yellow"/>
        </w:rPr>
        <w:t>MENOR PREÇO POR ITEM</w:t>
      </w:r>
      <w:r>
        <w:rPr>
          <w:rFonts w:ascii="Book Antiqua" w:hAnsi="Book Antiqua"/>
          <w:sz w:val="20"/>
          <w:szCs w:val="20"/>
        </w:rPr>
        <w:t>, observadas as exigências contidas neste Edital e seus Anexos quanto às especificações do objeto.</w:t>
      </w:r>
    </w:p>
    <w:p w14:paraId="51E161AF">
      <w:pPr>
        <w:numPr>
          <w:ilvl w:val="1"/>
          <w:numId w:val="2"/>
        </w:numPr>
        <w:ind w:left="0"/>
        <w:jc w:val="both"/>
        <w:rPr>
          <w:rFonts w:ascii="Book Antiqua" w:hAnsi="Book Antiqua"/>
          <w:sz w:val="20"/>
          <w:szCs w:val="20"/>
        </w:rPr>
      </w:pPr>
      <w:r>
        <w:rPr>
          <w:rFonts w:ascii="Book Antiqua" w:hAnsi="Book Antiqua"/>
          <w:sz w:val="20"/>
          <w:szCs w:val="20"/>
        </w:rPr>
        <w:t>Integram este Edital, para todos os fins e efeitos, os seguintes anexos:</w:t>
      </w:r>
    </w:p>
    <w:p w14:paraId="4E6D52E3">
      <w:pPr>
        <w:numPr>
          <w:ilvl w:val="2"/>
          <w:numId w:val="2"/>
        </w:numPr>
        <w:ind w:left="0"/>
        <w:jc w:val="both"/>
        <w:rPr>
          <w:rFonts w:ascii="Book Antiqua" w:hAnsi="Book Antiqua"/>
          <w:sz w:val="20"/>
          <w:szCs w:val="20"/>
        </w:rPr>
      </w:pPr>
      <w:r>
        <w:rPr>
          <w:rFonts w:ascii="Book Antiqua" w:hAnsi="Book Antiqua"/>
          <w:sz w:val="20"/>
          <w:szCs w:val="20"/>
        </w:rPr>
        <w:t xml:space="preserve">ANEXO </w:t>
      </w:r>
      <w:r>
        <w:rPr>
          <w:rFonts w:ascii="Book Antiqua" w:hAnsi="Book Antiqua"/>
          <w:b/>
          <w:bCs/>
          <w:sz w:val="20"/>
          <w:szCs w:val="20"/>
        </w:rPr>
        <w:t>I</w:t>
      </w:r>
      <w:r>
        <w:rPr>
          <w:rFonts w:ascii="Book Antiqua" w:hAnsi="Book Antiqua"/>
          <w:sz w:val="20"/>
          <w:szCs w:val="20"/>
        </w:rPr>
        <w:t xml:space="preserve"> - Termo de Referência</w:t>
      </w:r>
    </w:p>
    <w:p w14:paraId="4294C7B2">
      <w:pPr>
        <w:numPr>
          <w:ilvl w:val="2"/>
          <w:numId w:val="2"/>
        </w:numPr>
        <w:ind w:left="0"/>
        <w:jc w:val="both"/>
        <w:rPr>
          <w:rFonts w:ascii="Book Antiqua" w:hAnsi="Book Antiqua"/>
          <w:sz w:val="20"/>
          <w:szCs w:val="20"/>
        </w:rPr>
      </w:pPr>
      <w:r>
        <w:rPr>
          <w:rFonts w:ascii="Book Antiqua" w:hAnsi="Book Antiqua"/>
          <w:sz w:val="20"/>
          <w:szCs w:val="20"/>
        </w:rPr>
        <w:t xml:space="preserve">ANEXO </w:t>
      </w:r>
      <w:r>
        <w:rPr>
          <w:rFonts w:ascii="Book Antiqua" w:hAnsi="Book Antiqua"/>
          <w:b/>
          <w:sz w:val="20"/>
          <w:szCs w:val="20"/>
        </w:rPr>
        <w:t>II</w:t>
      </w:r>
      <w:r>
        <w:rPr>
          <w:rFonts w:ascii="Book Antiqua" w:hAnsi="Book Antiqua"/>
          <w:sz w:val="20"/>
          <w:szCs w:val="20"/>
        </w:rPr>
        <w:t xml:space="preserve"> - Minuta de Ata de Registro de Preços</w:t>
      </w:r>
    </w:p>
    <w:p w14:paraId="60BDC690">
      <w:pPr>
        <w:numPr>
          <w:ilvl w:val="2"/>
          <w:numId w:val="2"/>
        </w:numPr>
        <w:ind w:left="0"/>
        <w:jc w:val="both"/>
        <w:rPr>
          <w:rFonts w:ascii="Book Antiqua" w:hAnsi="Book Antiqua"/>
          <w:sz w:val="20"/>
          <w:szCs w:val="20"/>
        </w:rPr>
      </w:pPr>
      <w:r>
        <w:rPr>
          <w:rFonts w:ascii="Book Antiqua" w:hAnsi="Book Antiqua"/>
          <w:sz w:val="20"/>
          <w:szCs w:val="20"/>
        </w:rPr>
        <w:t xml:space="preserve">ANEXO </w:t>
      </w:r>
      <w:r>
        <w:rPr>
          <w:rFonts w:ascii="Book Antiqua" w:hAnsi="Book Antiqua"/>
          <w:b/>
          <w:sz w:val="20"/>
          <w:szCs w:val="20"/>
        </w:rPr>
        <w:t>III</w:t>
      </w:r>
      <w:r>
        <w:rPr>
          <w:rFonts w:ascii="Book Antiqua" w:hAnsi="Book Antiqua"/>
          <w:sz w:val="20"/>
          <w:szCs w:val="20"/>
        </w:rPr>
        <w:t xml:space="preserve"> - Minuta do Contrato (se houver)</w:t>
      </w:r>
    </w:p>
    <w:p w14:paraId="5EA0E41F">
      <w:pPr>
        <w:numPr>
          <w:ilvl w:val="0"/>
          <w:numId w:val="2"/>
        </w:numPr>
        <w:ind w:left="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DO SISTEMA DE REGISTRO DE PREÇOS</w:t>
      </w:r>
    </w:p>
    <w:p w14:paraId="5D5C5D97">
      <w:pPr>
        <w:numPr>
          <w:ilvl w:val="1"/>
          <w:numId w:val="2"/>
        </w:numPr>
        <w:ind w:left="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 xml:space="preserve">O órgão gerenciador será a </w:t>
      </w:r>
      <w:r>
        <w:rPr>
          <w:rFonts w:ascii="Book Antiqua" w:hAnsi="Book Antiqua"/>
          <w:b/>
          <w:color w:val="000000" w:themeColor="text1"/>
          <w:sz w:val="20"/>
          <w:szCs w:val="20"/>
          <w14:textFill>
            <w14:solidFill>
              <w14:schemeClr w14:val="tx1"/>
            </w14:solidFill>
          </w14:textFill>
        </w:rPr>
        <w:t>PREFEITURA MUNICIPAL DE SÃO JOSÉ DE MIPIBU/RN</w:t>
      </w:r>
      <w:r>
        <w:rPr>
          <w:rFonts w:ascii="Book Antiqua" w:hAnsi="Book Antiqua"/>
          <w:color w:val="000000" w:themeColor="text1"/>
          <w:sz w:val="20"/>
          <w:szCs w:val="20"/>
          <w14:textFill>
            <w14:solidFill>
              <w14:schemeClr w14:val="tx1"/>
            </w14:solidFill>
          </w14:textFill>
        </w:rPr>
        <w:t>.</w:t>
      </w:r>
    </w:p>
    <w:p w14:paraId="3B7F4C03">
      <w:pPr>
        <w:numPr>
          <w:ilvl w:val="1"/>
          <w:numId w:val="2"/>
        </w:numPr>
        <w:ind w:left="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São participantes os seguintes órgãos:</w:t>
      </w:r>
    </w:p>
    <w:p w14:paraId="1D93E6FC">
      <w:pPr>
        <w:numPr>
          <w:ilvl w:val="2"/>
          <w:numId w:val="2"/>
        </w:numPr>
        <w:ind w:left="0"/>
        <w:jc w:val="both"/>
        <w:rPr>
          <w:rFonts w:ascii="Book Antiqua" w:hAnsi="Book Antiqua"/>
          <w:b/>
          <w:color w:val="000000" w:themeColor="text1"/>
          <w:sz w:val="20"/>
          <w:szCs w:val="20"/>
          <w14:textFill>
            <w14:solidFill>
              <w14:schemeClr w14:val="tx1"/>
            </w14:solidFill>
          </w14:textFill>
        </w:rPr>
      </w:pPr>
      <w:r>
        <w:rPr>
          <w:rFonts w:ascii="Book Antiqua" w:hAnsi="Book Antiqua"/>
          <w:b/>
          <w:color w:val="000000" w:themeColor="text1"/>
          <w:sz w:val="20"/>
          <w:szCs w:val="20"/>
          <w14:textFill>
            <w14:solidFill>
              <w14:schemeClr w14:val="tx1"/>
            </w14:solidFill>
          </w14:textFill>
        </w:rPr>
        <w:t>FUNDO MUNICIPAL DE SAÚDE DE SÃO JOSÉ DE MIPIBU/RN;</w:t>
      </w:r>
    </w:p>
    <w:p w14:paraId="4E11077F">
      <w:pPr>
        <w:numPr>
          <w:ilvl w:val="1"/>
          <w:numId w:val="2"/>
        </w:numPr>
        <w:ind w:left="0"/>
        <w:jc w:val="both"/>
        <w:rPr>
          <w:rFonts w:ascii="Book Antiqua" w:hAnsi="Book Antiqua"/>
          <w:color w:val="000000" w:themeColor="text1"/>
          <w:sz w:val="20"/>
          <w:szCs w:val="20"/>
          <w14:textFill>
            <w14:solidFill>
              <w14:schemeClr w14:val="tx1"/>
            </w14:solidFill>
          </w14:textFill>
        </w:rPr>
      </w:pPr>
      <w:r>
        <w:rPr>
          <w:rFonts w:ascii="Book Antiqua" w:hAnsi="Book Antiqua"/>
          <w:sz w:val="20"/>
          <w:szCs w:val="20"/>
        </w:rPr>
        <w:t xml:space="preserve">Poderá utilizar-se da Ata de Registro de Preços, ainda, qualquer órgão ou entidade da Administração que não tenha participado </w:t>
      </w:r>
      <w:r>
        <w:rPr>
          <w:rFonts w:ascii="Book Antiqua" w:hAnsi="Book Antiqua"/>
          <w:color w:val="000000" w:themeColor="text1"/>
          <w:sz w:val="20"/>
          <w:szCs w:val="20"/>
          <w14:textFill>
            <w14:solidFill>
              <w14:schemeClr w14:val="tx1"/>
            </w14:solidFill>
          </w14:textFill>
        </w:rPr>
        <w:t>do certame, mediante prévia consulta ao órgão gerenciador, desde que devidamente comprovada à vantagem e respeitadas as regras estabelecidas na Lei Federal 14.133/2021 e no Decreto Municipal 008/2024.</w:t>
      </w:r>
    </w:p>
    <w:p w14:paraId="7E596495">
      <w:pPr>
        <w:numPr>
          <w:ilvl w:val="2"/>
          <w:numId w:val="2"/>
        </w:numPr>
        <w:ind w:left="0"/>
        <w:jc w:val="both"/>
        <w:rPr>
          <w:rFonts w:ascii="Book Antiqua" w:hAnsi="Book Antiqua"/>
          <w:sz w:val="20"/>
          <w:szCs w:val="20"/>
        </w:rPr>
      </w:pPr>
      <w:r>
        <w:rPr>
          <w:rFonts w:ascii="Book Antiqua" w:hAnsi="Book Antiqua"/>
          <w:sz w:val="20"/>
          <w:szCs w:val="20"/>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467492FA">
      <w:pPr>
        <w:numPr>
          <w:ilvl w:val="2"/>
          <w:numId w:val="2"/>
        </w:numPr>
        <w:ind w:left="0"/>
        <w:jc w:val="both"/>
        <w:rPr>
          <w:rFonts w:ascii="Book Antiqua" w:hAnsi="Book Antiqua"/>
          <w:sz w:val="20"/>
          <w:szCs w:val="20"/>
        </w:rPr>
      </w:pPr>
      <w:r>
        <w:rPr>
          <w:rFonts w:ascii="Book Antiqua" w:hAnsi="Book Antiqua"/>
          <w:sz w:val="20"/>
          <w:szCs w:val="20"/>
        </w:rPr>
        <w:t>As aquisições ou contratações adicionais a que se refere este item não poderão exceder, por órgão ou entidade, a 50% (cinquenta por cento) dos quantitativos registrados na Ata de Registro de Preços.</w:t>
      </w:r>
    </w:p>
    <w:p w14:paraId="01375B90">
      <w:pPr>
        <w:numPr>
          <w:ilvl w:val="2"/>
          <w:numId w:val="2"/>
        </w:numPr>
        <w:ind w:left="0"/>
        <w:jc w:val="both"/>
        <w:rPr>
          <w:rFonts w:ascii="Book Antiqua" w:hAnsi="Book Antiqua"/>
          <w:sz w:val="20"/>
          <w:szCs w:val="20"/>
        </w:rPr>
      </w:pPr>
      <w:r>
        <w:rPr>
          <w:rFonts w:ascii="Book Antiqua" w:hAnsi="Book Antiqua"/>
          <w:sz w:val="20"/>
          <w:szCs w:val="20"/>
        </w:rPr>
        <w:t>Em caso de eventual inadimplemento contratual, caberá ao órgão aderente a responsabilidade pela imposição de penalidade ao fornecedor faltoso, comunicando o fato ao órgão gerenciador.</w:t>
      </w:r>
    </w:p>
    <w:p w14:paraId="43C05584">
      <w:pPr>
        <w:numPr>
          <w:ilvl w:val="1"/>
          <w:numId w:val="2"/>
        </w:numPr>
        <w:ind w:left="0"/>
        <w:jc w:val="both"/>
        <w:rPr>
          <w:rFonts w:ascii="Book Antiqua" w:hAnsi="Book Antiqua"/>
          <w:sz w:val="20"/>
          <w:szCs w:val="20"/>
        </w:rPr>
      </w:pPr>
      <w:r>
        <w:rPr>
          <w:rFonts w:ascii="Book Antiqua" w:hAnsi="Book Antiqua"/>
          <w:sz w:val="20"/>
          <w:szCs w:val="20"/>
        </w:rPr>
        <w:t>Todo órgão, antes de contratar com o fornecedor registrado, deve assegurar-se que a contratação atende a seus interesses, sobretudo quanto aos valores praticados.</w:t>
      </w:r>
    </w:p>
    <w:p w14:paraId="67F4D6CC">
      <w:pPr>
        <w:numPr>
          <w:ilvl w:val="0"/>
          <w:numId w:val="2"/>
        </w:numPr>
        <w:ind w:left="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DAS CONDIÇÕES DE PARTICIPAÇÃO</w:t>
      </w:r>
    </w:p>
    <w:p w14:paraId="36E13650">
      <w:pPr>
        <w:numPr>
          <w:ilvl w:val="1"/>
          <w:numId w:val="2"/>
        </w:numPr>
        <w:ind w:left="0"/>
        <w:jc w:val="both"/>
        <w:rPr>
          <w:rFonts w:ascii="Book Antiqua" w:hAnsi="Book Antiqua"/>
          <w:sz w:val="20"/>
          <w:szCs w:val="20"/>
        </w:rPr>
      </w:pPr>
      <w:r>
        <w:rPr>
          <w:rFonts w:ascii="Book Antiqua" w:hAnsi="Book Antiqua"/>
          <w:sz w:val="20"/>
          <w:szCs w:val="20"/>
        </w:rPr>
        <w:t>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w:t>
      </w:r>
    </w:p>
    <w:p w14:paraId="78ED6B9B">
      <w:pPr>
        <w:numPr>
          <w:ilvl w:val="1"/>
          <w:numId w:val="2"/>
        </w:numPr>
        <w:ind w:left="0"/>
        <w:jc w:val="both"/>
        <w:rPr>
          <w:rFonts w:ascii="Book Antiqua" w:hAnsi="Book Antiqua"/>
          <w:sz w:val="20"/>
          <w:szCs w:val="20"/>
        </w:rPr>
      </w:pPr>
      <w:r>
        <w:rPr>
          <w:rFonts w:ascii="Book Antiqua" w:hAnsi="Book Antiqua"/>
          <w:sz w:val="20"/>
          <w:szCs w:val="20"/>
        </w:rPr>
        <w:t>Não será admitida nesta licitação a participação de pessoas físicas:</w:t>
      </w:r>
    </w:p>
    <w:p w14:paraId="474623A0">
      <w:pPr>
        <w:numPr>
          <w:ilvl w:val="2"/>
          <w:numId w:val="2"/>
        </w:numPr>
        <w:ind w:left="0"/>
        <w:jc w:val="both"/>
        <w:rPr>
          <w:rFonts w:ascii="Book Antiqua" w:hAnsi="Book Antiqua"/>
          <w:sz w:val="20"/>
          <w:szCs w:val="20"/>
        </w:rPr>
      </w:pPr>
      <w:r>
        <w:rPr>
          <w:rFonts w:ascii="Book Antiqua" w:hAnsi="Book Antiqua"/>
          <w:sz w:val="20"/>
          <w:szCs w:val="20"/>
        </w:rPr>
        <w:t>Com falência, recuperação judicial, concordata ou insolvência, judicialmente decretada, ou em processo de recuperação extrajudicial;</w:t>
      </w:r>
    </w:p>
    <w:p w14:paraId="68D196F3">
      <w:pPr>
        <w:numPr>
          <w:ilvl w:val="2"/>
          <w:numId w:val="2"/>
        </w:numPr>
        <w:ind w:left="0"/>
        <w:jc w:val="both"/>
        <w:rPr>
          <w:rFonts w:ascii="Book Antiqua" w:hAnsi="Book Antiqua"/>
          <w:sz w:val="20"/>
          <w:szCs w:val="20"/>
        </w:rPr>
      </w:pPr>
      <w:r>
        <w:rPr>
          <w:rFonts w:ascii="Book Antiqua" w:hAnsi="Book Antiqua"/>
          <w:sz w:val="20"/>
          <w:szCs w:val="20"/>
        </w:rPr>
        <w:t xml:space="preserve">Em dissolução ou em liquidação; </w:t>
      </w:r>
    </w:p>
    <w:p w14:paraId="4B98E2B6">
      <w:pPr>
        <w:numPr>
          <w:ilvl w:val="2"/>
          <w:numId w:val="2"/>
        </w:numPr>
        <w:ind w:left="0"/>
        <w:jc w:val="both"/>
        <w:rPr>
          <w:rFonts w:ascii="Book Antiqua" w:hAnsi="Book Antiqua"/>
          <w:sz w:val="20"/>
          <w:szCs w:val="20"/>
        </w:rPr>
      </w:pPr>
      <w:r>
        <w:rPr>
          <w:rFonts w:ascii="Book Antiqua" w:hAnsi="Book Antiqua"/>
          <w:sz w:val="20"/>
          <w:szCs w:val="20"/>
        </w:rPr>
        <w:t>Que estejam suspensas de licitar e impedidas de contratar com qualquer órgão ou entidade da Administração Pública, seja na esfera federal, estadual, do Distrito Federal ou municipal;</w:t>
      </w:r>
    </w:p>
    <w:p w14:paraId="441D0ADE">
      <w:pPr>
        <w:numPr>
          <w:ilvl w:val="2"/>
          <w:numId w:val="2"/>
        </w:numPr>
        <w:ind w:left="0"/>
        <w:jc w:val="both"/>
        <w:rPr>
          <w:rFonts w:ascii="Book Antiqua" w:hAnsi="Book Antiqua"/>
          <w:sz w:val="20"/>
          <w:szCs w:val="20"/>
        </w:rPr>
      </w:pPr>
      <w:r>
        <w:rPr>
          <w:rFonts w:ascii="Book Antiqua" w:hAnsi="Book Antiqua"/>
          <w:sz w:val="20"/>
          <w:szCs w:val="20"/>
        </w:rPr>
        <w:t>Que estejam proibidas de contratar com a Administração Pública, em razão de sanção restritiva de direito decorrente de infração administrativa ambiental, nos termos do artigo 72, § 8°, inciso V, da Lei n° 9.605, de 1998;</w:t>
      </w:r>
    </w:p>
    <w:p w14:paraId="3432D0B4">
      <w:pPr>
        <w:numPr>
          <w:ilvl w:val="2"/>
          <w:numId w:val="2"/>
        </w:numPr>
        <w:ind w:left="0"/>
        <w:jc w:val="both"/>
        <w:rPr>
          <w:rFonts w:ascii="Book Antiqua" w:hAnsi="Book Antiqua"/>
          <w:sz w:val="20"/>
          <w:szCs w:val="20"/>
        </w:rPr>
      </w:pPr>
      <w:r>
        <w:rPr>
          <w:rFonts w:ascii="Book Antiqua" w:hAnsi="Book Antiqua"/>
          <w:sz w:val="20"/>
          <w:szCs w:val="20"/>
        </w:rPr>
        <w:t>Que tenham sido declaradas inidôneas para licitar ou contratar com a Administração Pública;</w:t>
      </w:r>
    </w:p>
    <w:p w14:paraId="1C7D6315">
      <w:pPr>
        <w:numPr>
          <w:ilvl w:val="2"/>
          <w:numId w:val="2"/>
        </w:numPr>
        <w:suppressAutoHyphens/>
        <w:ind w:left="0"/>
        <w:jc w:val="both"/>
        <w:rPr>
          <w:rFonts w:ascii="Book Antiqua" w:hAnsi="Book Antiqua" w:eastAsia="Arial Unicode MS"/>
          <w:sz w:val="20"/>
          <w:szCs w:val="20"/>
        </w:rPr>
      </w:pPr>
      <w:r>
        <w:rPr>
          <w:rFonts w:ascii="Book Antiqua" w:hAnsi="Book Antiqua" w:eastAsia="Arial Unicode MS"/>
          <w:sz w:val="20"/>
          <w:szCs w:val="20"/>
        </w:rPr>
        <w:t>Que estejam reunidas em consórcio;</w:t>
      </w:r>
    </w:p>
    <w:p w14:paraId="114EE05E">
      <w:pPr>
        <w:numPr>
          <w:ilvl w:val="2"/>
          <w:numId w:val="2"/>
        </w:numPr>
        <w:suppressAutoHyphens/>
        <w:ind w:left="0"/>
        <w:jc w:val="both"/>
        <w:rPr>
          <w:rFonts w:ascii="Book Antiqua" w:hAnsi="Book Antiqua" w:eastAsia="Arial Unicode MS"/>
          <w:sz w:val="20"/>
          <w:szCs w:val="20"/>
        </w:rPr>
      </w:pPr>
      <w:r>
        <w:rPr>
          <w:rFonts w:ascii="Book Antiqua" w:hAnsi="Book Antiqua" w:eastAsia="Arial Unicode MS"/>
          <w:sz w:val="20"/>
          <w:szCs w:val="20"/>
        </w:rPr>
        <w:t>Que sejam controladoras, coligadas ou subsidiárias entre si;</w:t>
      </w:r>
    </w:p>
    <w:p w14:paraId="1A02316B">
      <w:pPr>
        <w:numPr>
          <w:ilvl w:val="2"/>
          <w:numId w:val="2"/>
        </w:numPr>
        <w:ind w:left="0"/>
        <w:jc w:val="both"/>
        <w:rPr>
          <w:rFonts w:ascii="Book Antiqua" w:hAnsi="Book Antiqua"/>
          <w:sz w:val="20"/>
          <w:szCs w:val="20"/>
        </w:rPr>
      </w:pPr>
      <w:r>
        <w:rPr>
          <w:rFonts w:ascii="Book Antiqua" w:hAnsi="Book Antiqua"/>
          <w:sz w:val="20"/>
          <w:szCs w:val="20"/>
        </w:rPr>
        <w:t>Estrangeiras que não funcionem no País;</w:t>
      </w:r>
    </w:p>
    <w:p w14:paraId="3957F5AA">
      <w:pPr>
        <w:pStyle w:val="66"/>
        <w:numPr>
          <w:ilvl w:val="2"/>
          <w:numId w:val="2"/>
        </w:numPr>
        <w:spacing w:after="0" w:line="240" w:lineRule="auto"/>
        <w:ind w:left="0"/>
        <w:jc w:val="both"/>
        <w:rPr>
          <w:rFonts w:ascii="Book Antiqua" w:hAnsi="Book Antiqua"/>
          <w:sz w:val="20"/>
          <w:szCs w:val="20"/>
        </w:rPr>
      </w:pPr>
      <w:r>
        <w:rPr>
          <w:rFonts w:ascii="Book Antiqua" w:hAnsi="Book Antiqua"/>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09F83EA">
      <w:pPr>
        <w:numPr>
          <w:ilvl w:val="2"/>
          <w:numId w:val="2"/>
        </w:numPr>
        <w:ind w:left="0"/>
        <w:jc w:val="both"/>
        <w:rPr>
          <w:rFonts w:ascii="Book Antiqua" w:hAnsi="Book Antiqua"/>
          <w:sz w:val="20"/>
          <w:szCs w:val="20"/>
        </w:rPr>
      </w:pPr>
      <w:r>
        <w:rPr>
          <w:rFonts w:ascii="Book Antiqua" w:hAnsi="Book Antiqua"/>
          <w:sz w:val="20"/>
          <w:szCs w:val="20"/>
        </w:rPr>
        <w:t>Organizações da Sociedade Civil de Interesse Público - OSCIP, atuando nessa condição;</w:t>
      </w:r>
    </w:p>
    <w:p w14:paraId="447AFC13">
      <w:pPr>
        <w:numPr>
          <w:ilvl w:val="2"/>
          <w:numId w:val="2"/>
        </w:numPr>
        <w:ind w:left="0"/>
        <w:jc w:val="both"/>
        <w:rPr>
          <w:rFonts w:ascii="Book Antiqua" w:hAnsi="Book Antiqua"/>
          <w:sz w:val="20"/>
          <w:szCs w:val="20"/>
        </w:rPr>
      </w:pPr>
      <w:r>
        <w:rPr>
          <w:rFonts w:ascii="Book Antiqua" w:hAnsi="Book Antiqua"/>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Pr>
          <w:rFonts w:ascii="Book Antiqua" w:hAnsi="Book Antiqua"/>
          <w:color w:val="000000" w:themeColor="text1"/>
          <w:sz w:val="20"/>
          <w:szCs w:val="20"/>
          <w14:textFill>
            <w14:solidFill>
              <w14:schemeClr w14:val="tx1"/>
            </w14:solidFill>
          </w14:textFill>
        </w:rPr>
        <w:t>§ 1º do art. 9º da Lei nº 14.133, de 2021</w:t>
      </w:r>
      <w:r>
        <w:rPr>
          <w:rFonts w:ascii="Book Antiqua" w:hAnsi="Book Antiqua"/>
          <w:sz w:val="20"/>
          <w:szCs w:val="20"/>
        </w:rPr>
        <w:t>.</w:t>
      </w:r>
    </w:p>
    <w:p w14:paraId="553D6020">
      <w:pPr>
        <w:numPr>
          <w:ilvl w:val="1"/>
          <w:numId w:val="2"/>
        </w:numPr>
        <w:ind w:left="0"/>
        <w:jc w:val="both"/>
        <w:rPr>
          <w:rFonts w:ascii="Book Antiqua" w:hAnsi="Book Antiqua"/>
          <w:sz w:val="20"/>
          <w:szCs w:val="20"/>
        </w:rPr>
      </w:pPr>
      <w:r>
        <w:rPr>
          <w:rFonts w:ascii="Book Antiqua" w:hAnsi="Book Antiqua" w:cs="Courier New"/>
          <w:sz w:val="20"/>
          <w:szCs w:val="20"/>
        </w:rPr>
        <w:t xml:space="preserve">A participação no certame se dará por meio da digitação da senha pessoal e intransferível do representante credenciado e subsequente encaminhamento da proposta de preços, exclusivamente, por meio do sistema eletrônico, no site: </w:t>
      </w:r>
      <w:r>
        <w:fldChar w:fldCharType="begin"/>
      </w:r>
      <w:r>
        <w:instrText xml:space="preserve"> HYPERLINK "http://www.portaldecompraspublicas.com.br" </w:instrText>
      </w:r>
      <w:r>
        <w:fldChar w:fldCharType="separate"/>
      </w:r>
      <w:r>
        <w:rPr>
          <w:rStyle w:val="20"/>
          <w:rFonts w:ascii="Book Antiqua" w:hAnsi="Book Antiqua" w:cs="Courier New"/>
          <w:b/>
          <w:bCs/>
          <w:color w:val="0000CC"/>
          <w:sz w:val="20"/>
          <w:szCs w:val="20"/>
        </w:rPr>
        <w:t>www.portaldecompraspublicas.com.br</w:t>
      </w:r>
      <w:r>
        <w:rPr>
          <w:rStyle w:val="20"/>
          <w:rFonts w:ascii="Book Antiqua" w:hAnsi="Book Antiqua" w:cs="Courier New"/>
          <w:b/>
          <w:bCs/>
          <w:color w:val="0000CC"/>
          <w:sz w:val="20"/>
          <w:szCs w:val="20"/>
        </w:rPr>
        <w:fldChar w:fldCharType="end"/>
      </w:r>
      <w:r>
        <w:rPr>
          <w:rFonts w:ascii="Book Antiqua" w:hAnsi="Book Antiqua" w:cs="Courier New"/>
          <w:sz w:val="20"/>
          <w:szCs w:val="20"/>
        </w:rPr>
        <w:t xml:space="preserve"> observadas data e horário limite estabelecido neste edital. </w:t>
      </w:r>
    </w:p>
    <w:p w14:paraId="2E9DA0D0">
      <w:pPr>
        <w:numPr>
          <w:ilvl w:val="2"/>
          <w:numId w:val="2"/>
        </w:numPr>
        <w:ind w:left="0"/>
        <w:jc w:val="both"/>
        <w:rPr>
          <w:rFonts w:ascii="Book Antiqua" w:hAnsi="Book Antiqua"/>
          <w:sz w:val="20"/>
          <w:szCs w:val="20"/>
        </w:rPr>
      </w:pPr>
      <w:r>
        <w:rPr>
          <w:rFonts w:ascii="Book Antiqua" w:hAnsi="Book Antiqua" w:cs="Courier New"/>
          <w:sz w:val="20"/>
          <w:szCs w:val="20"/>
        </w:rPr>
        <w:t xml:space="preserve">O licitante arcará integralmente com todos os custos de preparação e apresentação de sua proposta, independente do resultado do procedimento licitatório. </w:t>
      </w:r>
    </w:p>
    <w:p w14:paraId="702F28B2">
      <w:pPr>
        <w:numPr>
          <w:ilvl w:val="2"/>
          <w:numId w:val="2"/>
        </w:numPr>
        <w:ind w:left="0"/>
        <w:jc w:val="both"/>
        <w:rPr>
          <w:rFonts w:ascii="Book Antiqua" w:hAnsi="Book Antiqua"/>
          <w:sz w:val="20"/>
          <w:szCs w:val="20"/>
        </w:rPr>
      </w:pPr>
      <w:r>
        <w:rPr>
          <w:rFonts w:ascii="Book Antiqua" w:hAnsi="Book Antiqua" w:cs="Courier New"/>
          <w:sz w:val="20"/>
          <w:szCs w:val="20"/>
        </w:rPr>
        <w:t xml:space="preserve">Caberá ao proponente acompanhar as operações no sistema eletrônico durante a sessão pública do pregão, ficando responsável pelo ônus decorrente da perda de negócios diante da inobservância de quaisquer mensagens emitidas pelo sistema ou de sua desconexão. </w:t>
      </w:r>
    </w:p>
    <w:p w14:paraId="5C392C66">
      <w:pPr>
        <w:numPr>
          <w:ilvl w:val="2"/>
          <w:numId w:val="2"/>
        </w:numPr>
        <w:ind w:left="0"/>
        <w:jc w:val="both"/>
        <w:rPr>
          <w:rFonts w:ascii="Book Antiqua" w:hAnsi="Book Antiqua"/>
          <w:sz w:val="20"/>
          <w:szCs w:val="20"/>
        </w:rPr>
      </w:pPr>
      <w:r>
        <w:rPr>
          <w:rFonts w:ascii="Book Antiqua" w:hAnsi="Book Antiqua" w:cs="Courier New"/>
          <w:sz w:val="20"/>
          <w:szCs w:val="20"/>
        </w:rPr>
        <w:t xml:space="preserve">No caso de desconexão com o Pregoeiro no decorrer da etapa competitiva do pregão, o sistema eletrônico poderá permanecer acessível aos licitantes para a recepção dos lances, retornando o Pregoeiro, quando possível, sua atuação no certame, sem prejuízo dos atos realizados. </w:t>
      </w:r>
    </w:p>
    <w:p w14:paraId="18692916">
      <w:pPr>
        <w:numPr>
          <w:ilvl w:val="2"/>
          <w:numId w:val="2"/>
        </w:numPr>
        <w:ind w:left="0"/>
        <w:jc w:val="both"/>
        <w:rPr>
          <w:rFonts w:ascii="Book Antiqua" w:hAnsi="Book Antiqua"/>
          <w:sz w:val="20"/>
          <w:szCs w:val="20"/>
        </w:rPr>
      </w:pPr>
      <w:r>
        <w:rPr>
          <w:rFonts w:ascii="Book Antiqua" w:hAnsi="Book Antiqua" w:cs="Courier New"/>
          <w:sz w:val="20"/>
          <w:szCs w:val="20"/>
        </w:rPr>
        <w:t xml:space="preserve">Quando a desconexão persistir por tempo superior a 10 (dez) minutos, a sessão do pregão será suspensa e terá reinício somente após comunicação expressa aos participantes. </w:t>
      </w:r>
    </w:p>
    <w:p w14:paraId="63A759A6">
      <w:pPr>
        <w:numPr>
          <w:ilvl w:val="0"/>
          <w:numId w:val="2"/>
        </w:numPr>
        <w:ind w:left="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DA ABERTURA DA SESSÃO E DO CREDENCIAMENTO</w:t>
      </w:r>
    </w:p>
    <w:p w14:paraId="262714D7">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Para participação da licitação ou simples acompanhamento da mesma, o interessado deverá acessar, na internet, a página </w:t>
      </w:r>
      <w:r>
        <w:fldChar w:fldCharType="begin"/>
      </w:r>
      <w:r>
        <w:instrText xml:space="preserve"> HYPERLINK "http://www.portaldecompraspublicas.com.br" </w:instrText>
      </w:r>
      <w:r>
        <w:fldChar w:fldCharType="separate"/>
      </w:r>
      <w:r>
        <w:rPr>
          <w:rStyle w:val="20"/>
          <w:rFonts w:ascii="Book Antiqua" w:hAnsi="Book Antiqua" w:cs="Courier New"/>
          <w:b/>
          <w:bCs/>
          <w:sz w:val="20"/>
          <w:szCs w:val="20"/>
        </w:rPr>
        <w:t>www.portaldecompraspublicas.com.br</w:t>
      </w:r>
      <w:r>
        <w:rPr>
          <w:rStyle w:val="20"/>
          <w:rFonts w:ascii="Book Antiqua" w:hAnsi="Book Antiqua" w:cs="Courier New"/>
          <w:b/>
          <w:bCs/>
          <w:sz w:val="20"/>
          <w:szCs w:val="20"/>
        </w:rPr>
        <w:fldChar w:fldCharType="end"/>
      </w:r>
      <w:r>
        <w:rPr>
          <w:rFonts w:ascii="Book Antiqua" w:hAnsi="Book Antiqua" w:cs="Courier New"/>
          <w:sz w:val="20"/>
          <w:szCs w:val="20"/>
        </w:rPr>
        <w:t xml:space="preserve">, no link “Processos” para acompanhar, ou cadastrar-se no link “Adesão”, para participar; </w:t>
      </w:r>
    </w:p>
    <w:p w14:paraId="44574649">
      <w:pPr>
        <w:numPr>
          <w:ilvl w:val="1"/>
          <w:numId w:val="2"/>
        </w:numPr>
        <w:ind w:left="0"/>
        <w:jc w:val="both"/>
        <w:rPr>
          <w:rFonts w:ascii="Book Antiqua" w:hAnsi="Book Antiqua"/>
          <w:sz w:val="20"/>
          <w:szCs w:val="20"/>
          <w:u w:val="single"/>
          <w:shd w:val="clear" w:color="auto" w:fill="B3B3B3"/>
        </w:rPr>
      </w:pPr>
      <w:r>
        <w:rPr>
          <w:rFonts w:ascii="Book Antiqua" w:hAnsi="Book Antiqua" w:cs="Courier New"/>
          <w:b/>
          <w:bCs/>
          <w:sz w:val="20"/>
          <w:szCs w:val="20"/>
        </w:rPr>
        <w:t xml:space="preserve">As propostas comerciais serão recebidas a partir das 10h:00m do dia 03/11/2025 até as 10h:00m do dia 13/11/2025, por meio do endereço </w:t>
      </w:r>
      <w:r>
        <w:fldChar w:fldCharType="begin"/>
      </w:r>
      <w:r>
        <w:instrText xml:space="preserve"> HYPERLINK "http://www.portaldecompraspublicas.com.br" </w:instrText>
      </w:r>
      <w:r>
        <w:fldChar w:fldCharType="separate"/>
      </w:r>
      <w:r>
        <w:rPr>
          <w:rStyle w:val="20"/>
          <w:rFonts w:ascii="Book Antiqua" w:hAnsi="Book Antiqua" w:cs="Courier New"/>
          <w:b/>
          <w:bCs/>
          <w:sz w:val="20"/>
          <w:szCs w:val="20"/>
        </w:rPr>
        <w:t>www.portaldecompraspublicas.com.br</w:t>
      </w:r>
      <w:r>
        <w:rPr>
          <w:rStyle w:val="20"/>
          <w:rFonts w:ascii="Book Antiqua" w:hAnsi="Book Antiqua" w:cs="Courier New"/>
          <w:b/>
          <w:bCs/>
          <w:sz w:val="20"/>
          <w:szCs w:val="20"/>
        </w:rPr>
        <w:fldChar w:fldCharType="end"/>
      </w:r>
      <w:r>
        <w:rPr>
          <w:rFonts w:ascii="Book Antiqua" w:hAnsi="Book Antiqua" w:cs="Courier New"/>
          <w:b/>
          <w:bCs/>
          <w:sz w:val="20"/>
          <w:szCs w:val="20"/>
        </w:rPr>
        <w:t>, onde se encontra o link “</w:t>
      </w:r>
      <w:r>
        <w:rPr>
          <w:rFonts w:ascii="Book Antiqua" w:hAnsi="Book Antiqua" w:cs="Courier New"/>
          <w:sz w:val="20"/>
          <w:szCs w:val="20"/>
        </w:rPr>
        <w:t xml:space="preserve">registro de proposta”, podendo os interessados cadastrar ou substituir propostas no sistema eletrônico; </w:t>
      </w:r>
    </w:p>
    <w:p w14:paraId="6330319D">
      <w:pPr>
        <w:numPr>
          <w:ilvl w:val="1"/>
          <w:numId w:val="2"/>
        </w:numPr>
        <w:ind w:left="0"/>
        <w:jc w:val="both"/>
        <w:rPr>
          <w:rFonts w:ascii="Book Antiqua" w:hAnsi="Book Antiqua"/>
          <w:b/>
          <w:bCs/>
          <w:sz w:val="20"/>
          <w:szCs w:val="20"/>
          <w:u w:val="single"/>
          <w:shd w:val="clear" w:color="auto" w:fill="B3B3B3"/>
        </w:rPr>
      </w:pPr>
      <w:r>
        <w:rPr>
          <w:rFonts w:ascii="Book Antiqua" w:hAnsi="Book Antiqua" w:cs="Courier New"/>
          <w:b/>
          <w:bCs/>
          <w:sz w:val="20"/>
          <w:szCs w:val="20"/>
        </w:rPr>
        <w:t xml:space="preserve">As propostas serão abertas às 10h:01m do dia </w:t>
      </w:r>
      <w:bookmarkStart w:id="5" w:name="_Hlk186462507"/>
      <w:r>
        <w:rPr>
          <w:rFonts w:ascii="Book Antiqua" w:hAnsi="Book Antiqua" w:cs="Courier New"/>
          <w:b/>
          <w:bCs/>
          <w:sz w:val="20"/>
          <w:szCs w:val="20"/>
        </w:rPr>
        <w:t>13/11/2025</w:t>
      </w:r>
      <w:bookmarkEnd w:id="5"/>
      <w:r>
        <w:rPr>
          <w:rFonts w:ascii="Book Antiqua" w:hAnsi="Book Antiqua" w:cs="Courier New"/>
          <w:b/>
          <w:bCs/>
          <w:sz w:val="20"/>
          <w:szCs w:val="20"/>
        </w:rPr>
        <w:t xml:space="preserve">(horário de Brasília). </w:t>
      </w:r>
    </w:p>
    <w:p w14:paraId="4AEC3EBC">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O início da sessão de disputa de preços ocorrerá às </w:t>
      </w:r>
      <w:r>
        <w:rPr>
          <w:rFonts w:ascii="Book Antiqua" w:hAnsi="Book Antiqua" w:cs="Courier New"/>
          <w:b/>
          <w:sz w:val="20"/>
          <w:szCs w:val="20"/>
        </w:rPr>
        <w:t>10h:10m</w:t>
      </w:r>
      <w:r>
        <w:rPr>
          <w:rFonts w:ascii="Book Antiqua" w:hAnsi="Book Antiqua" w:cs="Courier New"/>
          <w:sz w:val="20"/>
          <w:szCs w:val="20"/>
        </w:rPr>
        <w:t xml:space="preserve"> do dia </w:t>
      </w:r>
      <w:r>
        <w:rPr>
          <w:rFonts w:ascii="Book Antiqua" w:hAnsi="Book Antiqua" w:cs="Courier New"/>
          <w:b/>
          <w:bCs/>
          <w:sz w:val="20"/>
          <w:szCs w:val="20"/>
        </w:rPr>
        <w:t>13/11/2025</w:t>
      </w:r>
      <w:r>
        <w:rPr>
          <w:rFonts w:ascii="Book Antiqua" w:hAnsi="Book Antiqua" w:cs="Courier New"/>
          <w:sz w:val="20"/>
          <w:szCs w:val="20"/>
        </w:rPr>
        <w:t xml:space="preserve"> (horário de Brasília).</w:t>
      </w:r>
    </w:p>
    <w:p w14:paraId="642F7EF2">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Para ter acesso ao sistema eletrônico, os interessados em participar do Pregão deverão fazer o prévio cadastramento do usuário, da senha pessoal que é intransferível, através do site: </w:t>
      </w:r>
      <w:r>
        <w:fldChar w:fldCharType="begin"/>
      </w:r>
      <w:r>
        <w:instrText xml:space="preserve"> HYPERLINK "http://www.portaldecompraspublicas.com.br" </w:instrText>
      </w:r>
      <w:r>
        <w:fldChar w:fldCharType="separate"/>
      </w:r>
      <w:r>
        <w:rPr>
          <w:rStyle w:val="20"/>
          <w:rFonts w:ascii="Book Antiqua" w:hAnsi="Book Antiqua" w:cs="Courier New"/>
          <w:sz w:val="20"/>
          <w:szCs w:val="20"/>
        </w:rPr>
        <w:t>www.portaldecompraspublicas.com.br</w:t>
      </w:r>
      <w:r>
        <w:rPr>
          <w:rStyle w:val="20"/>
          <w:rFonts w:ascii="Book Antiqua" w:hAnsi="Book Antiqua" w:cs="Courier New"/>
          <w:sz w:val="20"/>
          <w:szCs w:val="20"/>
        </w:rPr>
        <w:fldChar w:fldCharType="end"/>
      </w:r>
      <w:r>
        <w:rPr>
          <w:rFonts w:ascii="Book Antiqua" w:hAnsi="Book Antiqua" w:cs="Courier New"/>
          <w:sz w:val="20"/>
          <w:szCs w:val="20"/>
        </w:rPr>
        <w:t xml:space="preserve">. </w:t>
      </w:r>
    </w:p>
    <w:p w14:paraId="0D260327">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Eventuais dúvidas para obtenção da senha deverão ser solicitadas pelo telefone (61) 3120-3737 (Portal de Compras Públicas).</w:t>
      </w:r>
    </w:p>
    <w:p w14:paraId="06539E9A">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A senha poderá ser utilizada em qualquer pregão eletrônico, salvo quando canceladas por solicitação do credenciado ou por iniciativa do Portal de Compras Públicas, devidamente justificado. </w:t>
      </w:r>
    </w:p>
    <w:p w14:paraId="50F82C99">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É de exclusiva responsabilidade do usuário o sigilo da senha, bem como seu uso em qualquer transação efetuada diretamente ou por seu representante, não cabendo à </w:t>
      </w:r>
      <w:r>
        <w:rPr>
          <w:rFonts w:ascii="Book Antiqua" w:hAnsi="Book Antiqua" w:cs="Courier New"/>
          <w:b/>
          <w:bCs/>
          <w:sz w:val="20"/>
          <w:szCs w:val="20"/>
        </w:rPr>
        <w:t>Prefeitura Municipal de São José de Mipibu/RN</w:t>
      </w:r>
      <w:r>
        <w:rPr>
          <w:rFonts w:ascii="Book Antiqua" w:hAnsi="Book Antiqua" w:cs="Courier New"/>
          <w:sz w:val="20"/>
          <w:szCs w:val="20"/>
        </w:rPr>
        <w:t xml:space="preserve"> e</w:t>
      </w:r>
      <w:r>
        <w:rPr>
          <w:rFonts w:ascii="Book Antiqua" w:hAnsi="Book Antiqua" w:cs="Courier New"/>
          <w:b/>
          <w:bCs/>
          <w:sz w:val="20"/>
          <w:szCs w:val="20"/>
        </w:rPr>
        <w:t>/ou Portal de Compras Públicas</w:t>
      </w:r>
      <w:r>
        <w:rPr>
          <w:rFonts w:ascii="Book Antiqua" w:hAnsi="Book Antiqua" w:cs="Courier New"/>
          <w:sz w:val="20"/>
          <w:szCs w:val="20"/>
        </w:rPr>
        <w:t xml:space="preserve">, a responsabilidade por eventuais danos decorrentes de uso indevido da senha, ainda que por terceiros. </w:t>
      </w:r>
    </w:p>
    <w:p w14:paraId="5BD3BB54">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O credenciamento do fornecedor e de seu representante legal junto ao sistema eletrônico implica a responsabilidade legal pelos atos praticados e a presunção de capacidade técnica para realização das transações inerentes ao pregão eletrônico. </w:t>
      </w:r>
    </w:p>
    <w:p w14:paraId="64C665DF">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Em se tratando de microempresa e empresa de pequeno porte, nos termos da Lei Complementar nº 123/2006 e suas alterações, para que essa possa gozar dos benefícios previstos no capítulo V da referida Lei, é necessário, à época do credenciamento acrescentar as expressões “Microempresa” ou “Empresa de Pequeno Porte” ou suas respectivas abreviações, “ME” ou “EPP”, à sua firma ou denominação conforme o caso. </w:t>
      </w:r>
    </w:p>
    <w:p w14:paraId="2A3F0C7B">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 xml:space="preserve">Caso o PROPONENTE já esteja cadastrado no Sistema e não constem os dados acima em sua firma ou denominação, deverá providenciar a alteração de seu cadastro no Sistema. Para tanto, deverá dirigir-se ao </w:t>
      </w:r>
      <w:r>
        <w:rPr>
          <w:rFonts w:ascii="Book Antiqua" w:hAnsi="Book Antiqua" w:cs="Courier New"/>
          <w:b/>
          <w:sz w:val="20"/>
          <w:szCs w:val="20"/>
        </w:rPr>
        <w:t xml:space="preserve">Portal de Compras Públicas. </w:t>
      </w:r>
    </w:p>
    <w:p w14:paraId="4FCE96CF">
      <w:pPr>
        <w:numPr>
          <w:ilvl w:val="1"/>
          <w:numId w:val="2"/>
        </w:numPr>
        <w:ind w:left="0"/>
        <w:jc w:val="both"/>
        <w:rPr>
          <w:rFonts w:ascii="Book Antiqua" w:hAnsi="Book Antiqua"/>
          <w:sz w:val="20"/>
          <w:szCs w:val="20"/>
          <w:u w:val="single"/>
          <w:shd w:val="clear" w:color="auto" w:fill="B3B3B3"/>
        </w:rPr>
      </w:pPr>
      <w:r>
        <w:rPr>
          <w:rFonts w:ascii="Book Antiqua" w:hAnsi="Book Antiqua" w:cs="Courier New"/>
          <w:sz w:val="20"/>
          <w:szCs w:val="20"/>
        </w:rPr>
        <w:t>É vedado a qualquer credenciado representar mais de uma empresa proponente, salvo, nos casos de representação para itens distintos.</w:t>
      </w:r>
    </w:p>
    <w:p w14:paraId="182EF619">
      <w:pPr>
        <w:numPr>
          <w:ilvl w:val="0"/>
          <w:numId w:val="2"/>
        </w:numPr>
        <w:ind w:left="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DO CADASTRAMENTO DA PROPOSTA DE PREÇOS</w:t>
      </w:r>
    </w:p>
    <w:p w14:paraId="3C17272F">
      <w:pPr>
        <w:numPr>
          <w:ilvl w:val="1"/>
          <w:numId w:val="2"/>
        </w:numPr>
        <w:ind w:left="0"/>
        <w:jc w:val="both"/>
        <w:rPr>
          <w:rFonts w:ascii="Book Antiqua" w:hAnsi="Book Antiqua"/>
          <w:sz w:val="20"/>
          <w:szCs w:val="20"/>
        </w:rPr>
      </w:pPr>
      <w:r>
        <w:rPr>
          <w:rFonts w:ascii="Book Antiqua" w:hAnsi="Book Antiqua" w:cs="Courier New"/>
          <w:sz w:val="20"/>
          <w:szCs w:val="20"/>
        </w:rPr>
        <w:t xml:space="preserve">As propostas serão encaminhadas via sistema eletrônico e o envio da proposta pressupõe o pleno conhecimento e atendimento às exigências de habilitação previstas no Edital e seus Anexos. </w:t>
      </w:r>
    </w:p>
    <w:p w14:paraId="2592B54B">
      <w:pPr>
        <w:jc w:val="both"/>
        <w:rPr>
          <w:rFonts w:ascii="Book Antiqua" w:hAnsi="Book Antiqua" w:cs="Gisha"/>
          <w:b/>
          <w:bCs/>
          <w:sz w:val="20"/>
          <w:szCs w:val="20"/>
        </w:rPr>
      </w:pPr>
      <w:r>
        <w:rPr>
          <w:rFonts w:ascii="Book Antiqua" w:hAnsi="Book Antiqua" w:cs="Gisha"/>
          <w:b/>
          <w:bCs/>
          <w:sz w:val="20"/>
          <w:szCs w:val="20"/>
        </w:rPr>
        <w:t>5.2 - DA GARANTIA DA PROPOSTA</w:t>
      </w:r>
    </w:p>
    <w:p w14:paraId="0841D76A">
      <w:pPr>
        <w:jc w:val="both"/>
        <w:rPr>
          <w:rFonts w:ascii="Book Antiqua" w:hAnsi="Book Antiqua" w:cs="Gisha"/>
          <w:bCs/>
          <w:sz w:val="20"/>
          <w:szCs w:val="20"/>
        </w:rPr>
      </w:pPr>
      <w:r>
        <w:rPr>
          <w:rFonts w:ascii="Book Antiqua" w:hAnsi="Book Antiqua" w:cs="Gisha"/>
          <w:b/>
          <w:bCs/>
          <w:sz w:val="20"/>
          <w:szCs w:val="20"/>
        </w:rPr>
        <w:t xml:space="preserve">  5.2.1 -</w:t>
      </w:r>
      <w:r>
        <w:rPr>
          <w:rFonts w:ascii="Book Antiqua" w:hAnsi="Book Antiqua" w:cs="Gisha"/>
          <w:bCs/>
          <w:sz w:val="20"/>
          <w:szCs w:val="20"/>
        </w:rPr>
        <w:t xml:space="preserve"> </w:t>
      </w:r>
      <w:r>
        <w:rPr>
          <w:rFonts w:ascii="Book Antiqua" w:hAnsi="Book Antiqua" w:eastAsia="Book Antiqua" w:cs="Book Antiqua"/>
          <w:sz w:val="20"/>
          <w:szCs w:val="20"/>
        </w:rPr>
        <w:t xml:space="preserve">No momento da apresentação DA PROPOSTA, será exigida a </w:t>
      </w:r>
      <w:r>
        <w:rPr>
          <w:rFonts w:ascii="Book Antiqua" w:hAnsi="Book Antiqua" w:eastAsia="Book Antiqua" w:cs="Book Antiqua"/>
          <w:b/>
          <w:bCs/>
          <w:sz w:val="20"/>
          <w:szCs w:val="20"/>
        </w:rPr>
        <w:t>PRESTAÇÃO de GARANTIA</w:t>
      </w:r>
      <w:r>
        <w:rPr>
          <w:rFonts w:ascii="Book Antiqua" w:hAnsi="Book Antiqua" w:eastAsia="Book Antiqua" w:cs="Book Antiqua"/>
          <w:sz w:val="20"/>
          <w:szCs w:val="20"/>
        </w:rPr>
        <w:t xml:space="preserve"> na forma do artigo 58, da Lei nº 14.133/2021, como requisito de pré-habilitação, no patamar de 1,0% (um por cento) do valor estimado da contratação</w:t>
      </w:r>
      <w:r>
        <w:rPr>
          <w:rFonts w:ascii="Book Antiqua" w:hAnsi="Book Antiqua" w:cs="Gisha"/>
          <w:bCs/>
          <w:sz w:val="20"/>
          <w:szCs w:val="20"/>
        </w:rPr>
        <w:t xml:space="preserve">, cabendo nos termos do </w:t>
      </w:r>
      <w:r>
        <w:rPr>
          <w:rFonts w:ascii="Book Antiqua" w:hAnsi="Book Antiqua" w:eastAsia="Book Antiqua" w:cs="Book Antiqua"/>
          <w:color w:val="000000"/>
          <w:sz w:val="20"/>
          <w:szCs w:val="20"/>
        </w:rPr>
        <w:t xml:space="preserve">Art. 96 Lei Federal 14.133/2021, </w:t>
      </w:r>
      <w:r>
        <w:rPr>
          <w:rFonts w:ascii="Book Antiqua" w:hAnsi="Book Antiqua" w:cs="Gisha"/>
          <w:bCs/>
          <w:sz w:val="20"/>
          <w:szCs w:val="20"/>
        </w:rPr>
        <w:t xml:space="preserve">à mesma optar por uma das seguintes modalidades de garantia: </w:t>
      </w:r>
    </w:p>
    <w:p w14:paraId="60F1B6D4">
      <w:pPr>
        <w:pBdr>
          <w:top w:val="none" w:color="auto" w:sz="0" w:space="0"/>
          <w:left w:val="none" w:color="auto" w:sz="0" w:space="0"/>
          <w:bottom w:val="none" w:color="auto" w:sz="0" w:space="0"/>
          <w:right w:val="none" w:color="auto" w:sz="0" w:space="0"/>
          <w:between w:val="none" w:color="auto" w:sz="0" w:space="0"/>
        </w:pBdr>
        <w:ind w:firstLine="142"/>
        <w:jc w:val="both"/>
        <w:rPr>
          <w:rFonts w:ascii="Book Antiqua" w:hAnsi="Book Antiqua" w:eastAsia="Book Antiqua" w:cs="Book Antiqua"/>
          <w:color w:val="000000"/>
          <w:sz w:val="20"/>
          <w:szCs w:val="20"/>
        </w:rPr>
      </w:pPr>
      <w:r>
        <w:rPr>
          <w:rFonts w:ascii="Book Antiqua" w:hAnsi="Book Antiqua" w:cs="Gisha"/>
          <w:b/>
          <w:bCs/>
          <w:sz w:val="20"/>
          <w:szCs w:val="20"/>
        </w:rPr>
        <w:t>I -</w:t>
      </w:r>
      <w:r>
        <w:rPr>
          <w:rFonts w:ascii="Book Antiqua" w:hAnsi="Book Antiqua" w:cs="Gisha"/>
          <w:bCs/>
          <w:sz w:val="20"/>
          <w:szCs w:val="20"/>
        </w:rPr>
        <w:t xml:space="preserve"> </w:t>
      </w:r>
      <w:r>
        <w:rPr>
          <w:rFonts w:ascii="Book Antiqua" w:hAnsi="Book Antiqua" w:cs="Gisha"/>
          <w:b/>
          <w:sz w:val="20"/>
          <w:szCs w:val="20"/>
        </w:rPr>
        <w:t>Caução em dinheiro ou títulos da dívida pública</w:t>
      </w:r>
      <w:r>
        <w:rPr>
          <w:rFonts w:ascii="Book Antiqua" w:hAnsi="Book Antiqua" w:cs="Gisha"/>
          <w:bCs/>
          <w:sz w:val="20"/>
          <w:szCs w:val="20"/>
        </w:rPr>
        <w:t xml:space="preserve">, </w:t>
      </w:r>
      <w:r>
        <w:rPr>
          <w:rFonts w:ascii="Book Antiqua" w:hAnsi="Book Antiqua" w:eastAsia="Book Antiqua" w:cs="Book Antiqua"/>
          <w:color w:val="000000"/>
          <w:sz w:val="20"/>
          <w:szCs w:val="20"/>
        </w:rPr>
        <w:t>emitidos sob a forma escritural, mediante registro em sistema centralizado de liquidação e de custódia autorizado pelo Banco Central do Brasil, e avaliados por seus valores econômicos, conforme definido pelo Ministério da Economia.</w:t>
      </w:r>
    </w:p>
    <w:p w14:paraId="33FFBB22">
      <w:pPr>
        <w:pBdr>
          <w:top w:val="none" w:color="auto" w:sz="0" w:space="0"/>
          <w:left w:val="none" w:color="auto" w:sz="0" w:space="0"/>
          <w:bottom w:val="none" w:color="auto" w:sz="0" w:space="0"/>
          <w:right w:val="none" w:color="auto" w:sz="0" w:space="0"/>
          <w:between w:val="none" w:color="auto" w:sz="0" w:space="0"/>
        </w:pBdr>
        <w:ind w:firstLine="142"/>
        <w:jc w:val="both"/>
        <w:rPr>
          <w:rFonts w:ascii="Book Antiqua" w:hAnsi="Book Antiqua" w:eastAsia="Book Antiqua" w:cs="Book Antiqua"/>
          <w:color w:val="000000"/>
          <w:sz w:val="20"/>
          <w:szCs w:val="20"/>
        </w:rPr>
      </w:pPr>
      <w:r>
        <w:rPr>
          <w:rFonts w:ascii="Book Antiqua" w:hAnsi="Book Antiqua" w:eastAsia="Book Antiqua" w:cs="Book Antiqua"/>
          <w:color w:val="000000"/>
          <w:sz w:val="20"/>
          <w:szCs w:val="20"/>
        </w:rPr>
        <w:t xml:space="preserve"> a)</w:t>
      </w:r>
      <w:r>
        <w:rPr>
          <w:rFonts w:ascii="Book Antiqua" w:hAnsi="Book Antiqua" w:cs="Gisha"/>
          <w:bCs/>
          <w:sz w:val="20"/>
          <w:szCs w:val="20"/>
        </w:rPr>
        <w:t xml:space="preserve"> Quando se tratar de caução em dinheiro, a adjudicatária fará o devido recolhimento em entidade bancária e conta indicadas pela contratante, </w:t>
      </w:r>
      <w:r>
        <w:rPr>
          <w:rFonts w:ascii="Book Antiqua" w:hAnsi="Book Antiqua" w:cs="Gisha"/>
          <w:bCs/>
          <w:color w:val="000000"/>
          <w:sz w:val="20"/>
          <w:szCs w:val="20"/>
        </w:rPr>
        <w:t>e com o comprovante pegar o recibo na Tesouraria da prefeitura. A garantia feita nesta modalidade não sofrerá nenhum processo de atualização</w:t>
      </w:r>
      <w:r>
        <w:rPr>
          <w:rFonts w:ascii="Book Antiqua" w:hAnsi="Book Antiqua" w:cs="Gisha"/>
          <w:bCs/>
          <w:sz w:val="20"/>
          <w:szCs w:val="20"/>
        </w:rPr>
        <w:t>.</w:t>
      </w:r>
    </w:p>
    <w:p w14:paraId="74BAD234">
      <w:pPr>
        <w:pBdr>
          <w:top w:val="none" w:color="auto" w:sz="0" w:space="0"/>
          <w:left w:val="none" w:color="auto" w:sz="0" w:space="0"/>
          <w:bottom w:val="none" w:color="auto" w:sz="0" w:space="0"/>
          <w:right w:val="none" w:color="auto" w:sz="0" w:space="0"/>
          <w:between w:val="none" w:color="auto" w:sz="0" w:space="0"/>
        </w:pBdr>
        <w:ind w:firstLine="142"/>
        <w:jc w:val="both"/>
        <w:rPr>
          <w:rFonts w:ascii="Book Antiqua" w:hAnsi="Book Antiqua" w:eastAsia="Book Antiqua" w:cs="Book Antiqua"/>
          <w:color w:val="000000"/>
          <w:sz w:val="20"/>
          <w:szCs w:val="20"/>
        </w:rPr>
      </w:pPr>
      <w:r>
        <w:rPr>
          <w:rFonts w:ascii="Book Antiqua" w:hAnsi="Book Antiqua" w:eastAsia="Book Antiqua" w:cs="Book Antiqua"/>
          <w:color w:val="000000"/>
          <w:sz w:val="20"/>
          <w:szCs w:val="20"/>
        </w:rPr>
        <w:t>Conta Caução:</w:t>
      </w:r>
    </w:p>
    <w:p w14:paraId="3E1F0057">
      <w:pPr>
        <w:pBdr>
          <w:top w:val="none" w:color="auto" w:sz="0" w:space="0"/>
          <w:left w:val="none" w:color="auto" w:sz="0" w:space="0"/>
          <w:bottom w:val="none" w:color="auto" w:sz="0" w:space="0"/>
          <w:right w:val="none" w:color="auto" w:sz="0" w:space="0"/>
          <w:between w:val="none" w:color="auto" w:sz="0" w:space="0"/>
        </w:pBdr>
        <w:tabs>
          <w:tab w:val="left" w:pos="284"/>
        </w:tabs>
        <w:jc w:val="both"/>
        <w:rPr>
          <w:rFonts w:ascii="Book Antiqua" w:hAnsi="Book Antiqua" w:eastAsia="Book Antiqua" w:cs="Book Antiqua"/>
          <w:color w:val="000000"/>
          <w:sz w:val="20"/>
          <w:szCs w:val="20"/>
        </w:rPr>
      </w:pPr>
      <w:r>
        <w:rPr>
          <w:rFonts w:ascii="Book Antiqua" w:hAnsi="Book Antiqua" w:eastAsia="Book Antiqua" w:cs="Book Antiqua"/>
          <w:color w:val="000000"/>
          <w:sz w:val="20"/>
          <w:szCs w:val="20"/>
        </w:rPr>
        <w:t>NOME: xxxx</w:t>
      </w:r>
    </w:p>
    <w:p w14:paraId="465CCF5D">
      <w:pPr>
        <w:pBdr>
          <w:top w:val="none" w:color="auto" w:sz="0" w:space="0"/>
          <w:left w:val="none" w:color="auto" w:sz="0" w:space="0"/>
          <w:bottom w:val="none" w:color="auto" w:sz="0" w:space="0"/>
          <w:right w:val="none" w:color="auto" w:sz="0" w:space="0"/>
          <w:between w:val="none" w:color="auto" w:sz="0" w:space="0"/>
        </w:pBdr>
        <w:tabs>
          <w:tab w:val="left" w:pos="284"/>
        </w:tabs>
        <w:jc w:val="both"/>
        <w:rPr>
          <w:rFonts w:ascii="Book Antiqua" w:hAnsi="Book Antiqua" w:eastAsia="Book Antiqua" w:cs="Book Antiqua"/>
          <w:color w:val="000000"/>
          <w:sz w:val="20"/>
          <w:szCs w:val="20"/>
        </w:rPr>
      </w:pPr>
      <w:r>
        <w:rPr>
          <w:rFonts w:ascii="Book Antiqua" w:hAnsi="Book Antiqua" w:eastAsia="Book Antiqua" w:cs="Book Antiqua"/>
          <w:color w:val="000000"/>
          <w:sz w:val="20"/>
          <w:szCs w:val="20"/>
        </w:rPr>
        <w:t>CNPJ:  xxxx</w:t>
      </w:r>
    </w:p>
    <w:p w14:paraId="718C00BE">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color w:val="000000"/>
          <w:sz w:val="20"/>
          <w:szCs w:val="20"/>
        </w:rPr>
        <w:t>Banco Agência: xxxx</w:t>
      </w:r>
    </w:p>
    <w:p w14:paraId="230570B0">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color w:val="000000"/>
          <w:sz w:val="20"/>
          <w:szCs w:val="20"/>
        </w:rPr>
        <w:t>Conta: xxxx</w:t>
      </w:r>
    </w:p>
    <w:p w14:paraId="22C0C690">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color w:val="000000"/>
          <w:sz w:val="20"/>
          <w:szCs w:val="20"/>
        </w:rPr>
        <w:t>b)</w:t>
      </w:r>
      <w:r>
        <w:rPr>
          <w:rFonts w:ascii="Book Antiqua" w:hAnsi="Book Antiqua" w:cs="Gisha"/>
          <w:bCs/>
          <w:sz w:val="20"/>
          <w:szCs w:val="20"/>
        </w:rPr>
        <w:t xml:space="preserve"> Quando a caução for oferecida por título da dívida pública, este deverá ter seus valores devidamente atualizados por órgão competente, datado nos últimos 30 (trinta) dias</w:t>
      </w:r>
      <w:r>
        <w:rPr>
          <w:rFonts w:ascii="Book Antiqua" w:hAnsi="Book Antiqua" w:cs="Gisha"/>
          <w:bCs/>
          <w:color w:val="000000"/>
          <w:sz w:val="20"/>
          <w:szCs w:val="20"/>
        </w:rPr>
        <w:t>, a mesma somente será considerada válida mediante comprovação do registro, da validade e liquidez do título junto ao Banco Central do Brasil.</w:t>
      </w:r>
    </w:p>
    <w:p w14:paraId="588E45BF">
      <w:pPr>
        <w:ind w:firstLine="142"/>
        <w:jc w:val="both"/>
        <w:rPr>
          <w:rFonts w:ascii="Book Antiqua" w:hAnsi="Book Antiqua" w:cs="Gisha"/>
          <w:bCs/>
          <w:sz w:val="20"/>
          <w:szCs w:val="20"/>
        </w:rPr>
      </w:pPr>
      <w:r>
        <w:rPr>
          <w:rFonts w:ascii="Book Antiqua" w:hAnsi="Book Antiqua" w:cs="Gisha"/>
          <w:b/>
          <w:bCs/>
          <w:sz w:val="20"/>
          <w:szCs w:val="20"/>
        </w:rPr>
        <w:t>II -</w:t>
      </w:r>
      <w:r>
        <w:rPr>
          <w:rFonts w:ascii="Book Antiqua" w:hAnsi="Book Antiqua" w:cs="Gisha"/>
          <w:bCs/>
          <w:sz w:val="20"/>
          <w:szCs w:val="20"/>
        </w:rPr>
        <w:t xml:space="preserve"> </w:t>
      </w:r>
      <w:r>
        <w:rPr>
          <w:rFonts w:ascii="Book Antiqua" w:hAnsi="Book Antiqua" w:cs="Gisha"/>
          <w:b/>
          <w:sz w:val="20"/>
          <w:szCs w:val="20"/>
        </w:rPr>
        <w:t>Fiança bancária</w:t>
      </w:r>
      <w:r>
        <w:rPr>
          <w:rFonts w:ascii="Book Antiqua" w:hAnsi="Book Antiqua" w:cs="Gisha"/>
          <w:bCs/>
          <w:sz w:val="20"/>
          <w:szCs w:val="20"/>
        </w:rPr>
        <w:t>.</w:t>
      </w:r>
    </w:p>
    <w:p w14:paraId="65169C82">
      <w:pPr>
        <w:ind w:firstLine="142"/>
        <w:jc w:val="both"/>
        <w:rPr>
          <w:rFonts w:ascii="Book Antiqua" w:hAnsi="Book Antiqua" w:cs="Gisha"/>
          <w:bCs/>
          <w:sz w:val="20"/>
          <w:szCs w:val="20"/>
        </w:rPr>
      </w:pPr>
      <w:r>
        <w:rPr>
          <w:rFonts w:ascii="Book Antiqua" w:hAnsi="Book Antiqua" w:cs="Gisha"/>
          <w:b/>
          <w:sz w:val="20"/>
          <w:szCs w:val="20"/>
        </w:rPr>
        <w:t>a)</w:t>
      </w:r>
      <w:r>
        <w:rPr>
          <w:rFonts w:ascii="Book Antiqua" w:hAnsi="Book Antiqua" w:cs="Gisha"/>
          <w:bCs/>
          <w:sz w:val="20"/>
          <w:szCs w:val="20"/>
        </w:rPr>
        <w:t xml:space="preserve"> Tratando-se de fiança bancária deverá constar do instrumento a renúncia expressa pelo fiador dos benefícios previstos nos Arts. 1.491 e 1.500 do Código Civil</w:t>
      </w:r>
    </w:p>
    <w:p w14:paraId="2F7F0530">
      <w:pPr>
        <w:ind w:firstLine="142"/>
        <w:jc w:val="both"/>
        <w:rPr>
          <w:rFonts w:ascii="Book Antiqua" w:hAnsi="Book Antiqua" w:cs="Gisha"/>
          <w:bCs/>
          <w:sz w:val="20"/>
          <w:szCs w:val="20"/>
        </w:rPr>
      </w:pPr>
      <w:r>
        <w:rPr>
          <w:rFonts w:ascii="Book Antiqua" w:hAnsi="Book Antiqua" w:cs="Gisha"/>
          <w:b/>
          <w:bCs/>
          <w:sz w:val="20"/>
          <w:szCs w:val="20"/>
        </w:rPr>
        <w:t>III -</w:t>
      </w:r>
      <w:r>
        <w:rPr>
          <w:rFonts w:ascii="Book Antiqua" w:hAnsi="Book Antiqua" w:cs="Gisha"/>
          <w:bCs/>
          <w:sz w:val="20"/>
          <w:szCs w:val="20"/>
        </w:rPr>
        <w:t xml:space="preserve"> </w:t>
      </w:r>
      <w:r>
        <w:rPr>
          <w:rFonts w:ascii="Book Antiqua" w:hAnsi="Book Antiqua" w:cs="Gisha"/>
          <w:b/>
          <w:sz w:val="20"/>
          <w:szCs w:val="20"/>
        </w:rPr>
        <w:t>Seguro-garantia</w:t>
      </w:r>
      <w:r>
        <w:rPr>
          <w:rFonts w:ascii="Book Antiqua" w:hAnsi="Book Antiqua" w:cs="Gisha"/>
          <w:bCs/>
          <w:sz w:val="20"/>
          <w:szCs w:val="20"/>
        </w:rPr>
        <w:t xml:space="preserve">. </w:t>
      </w:r>
    </w:p>
    <w:p w14:paraId="36F6D3BC">
      <w:pPr>
        <w:ind w:firstLine="142"/>
        <w:jc w:val="both"/>
        <w:rPr>
          <w:rFonts w:ascii="Book Antiqua" w:hAnsi="Book Antiqua" w:cs="Gisha"/>
          <w:bCs/>
          <w:sz w:val="20"/>
          <w:szCs w:val="20"/>
        </w:rPr>
      </w:pPr>
      <w:r>
        <w:rPr>
          <w:rFonts w:ascii="Book Antiqua" w:hAnsi="Book Antiqua" w:cs="Gisha"/>
          <w:b/>
          <w:bCs/>
          <w:sz w:val="20"/>
          <w:szCs w:val="20"/>
        </w:rPr>
        <w:t>a)</w:t>
      </w:r>
      <w:r>
        <w:rPr>
          <w:rFonts w:ascii="Book Antiqua" w:hAnsi="Book Antiqua" w:cs="Gisha"/>
          <w:bCs/>
          <w:sz w:val="20"/>
          <w:szCs w:val="20"/>
        </w:rPr>
        <w:t xml:space="preserve"> No caso de opção pela garantia de participação do tipo “Seguro garantia”, o mesmo deverá ser feito mediante entrega da competente apólice emitida por entidade em funcionamento no país, em nome da Prefeitura Municipal de São José de Mipibu/RN.</w:t>
      </w:r>
    </w:p>
    <w:p w14:paraId="3625B035">
      <w:pPr>
        <w:jc w:val="both"/>
        <w:rPr>
          <w:rFonts w:ascii="Book Antiqua" w:hAnsi="Book Antiqua" w:cs="Gisha"/>
          <w:bCs/>
          <w:sz w:val="20"/>
          <w:szCs w:val="20"/>
        </w:rPr>
      </w:pPr>
      <w:r>
        <w:rPr>
          <w:rFonts w:ascii="Book Antiqua" w:hAnsi="Book Antiqua" w:cs="Gisha"/>
          <w:bCs/>
          <w:sz w:val="20"/>
          <w:szCs w:val="20"/>
        </w:rPr>
        <w:t xml:space="preserve"> </w:t>
      </w:r>
      <w:r>
        <w:rPr>
          <w:rFonts w:ascii="Book Antiqua" w:hAnsi="Book Antiqua" w:cs="Gisha"/>
          <w:b/>
          <w:bCs/>
          <w:sz w:val="20"/>
          <w:szCs w:val="20"/>
        </w:rPr>
        <w:t xml:space="preserve">b) </w:t>
      </w:r>
      <w:r>
        <w:rPr>
          <w:rFonts w:ascii="Book Antiqua" w:hAnsi="Book Antiqua" w:cs="Gisha"/>
          <w:bCs/>
          <w:sz w:val="20"/>
          <w:szCs w:val="20"/>
        </w:rPr>
        <w:t>O Seguro garantia deverá ter o prazo de validade de 90 (noventa) dias superior ao prazo de validade da proposta</w:t>
      </w:r>
    </w:p>
    <w:p w14:paraId="5EE5C415">
      <w:pPr>
        <w:jc w:val="both"/>
        <w:rPr>
          <w:rFonts w:ascii="Book Antiqua" w:hAnsi="Book Antiqua" w:cs="Gisha"/>
          <w:bCs/>
          <w:sz w:val="20"/>
          <w:szCs w:val="20"/>
        </w:rPr>
      </w:pPr>
      <w:r>
        <w:rPr>
          <w:rFonts w:ascii="Book Antiqua" w:hAnsi="Book Antiqua" w:cs="Gisha"/>
          <w:b/>
          <w:bCs/>
          <w:sz w:val="20"/>
          <w:szCs w:val="20"/>
        </w:rPr>
        <w:t xml:space="preserve">  5.2.2 -</w:t>
      </w:r>
      <w:r>
        <w:rPr>
          <w:rFonts w:ascii="Book Antiqua" w:hAnsi="Book Antiqua" w:cs="Gisha"/>
          <w:bCs/>
          <w:sz w:val="20"/>
          <w:szCs w:val="20"/>
        </w:rPr>
        <w:t xml:space="preserve"> As Garantias prestadas, em quaisquer das modalidades DEVERÃO ser apresentadas quando do envio da Proposta inicial.</w:t>
      </w:r>
    </w:p>
    <w:p w14:paraId="2FA049DF">
      <w:pPr>
        <w:jc w:val="both"/>
        <w:rPr>
          <w:rFonts w:ascii="Book Antiqua" w:hAnsi="Book Antiqua" w:cs="Gisha"/>
          <w:b/>
          <w:bCs/>
          <w:sz w:val="20"/>
          <w:szCs w:val="20"/>
        </w:rPr>
      </w:pPr>
      <w:r>
        <w:rPr>
          <w:rFonts w:ascii="Book Antiqua" w:hAnsi="Book Antiqua" w:cs="Gisha"/>
          <w:b/>
          <w:bCs/>
          <w:sz w:val="20"/>
          <w:szCs w:val="20"/>
        </w:rPr>
        <w:t xml:space="preserve">  5.2.3 -</w:t>
      </w:r>
      <w:r>
        <w:rPr>
          <w:rFonts w:ascii="Book Antiqua" w:hAnsi="Book Antiqua" w:cs="Gisha"/>
          <w:bCs/>
          <w:sz w:val="20"/>
          <w:szCs w:val="20"/>
        </w:rPr>
        <w:t xml:space="preserve"> </w:t>
      </w:r>
      <w:r>
        <w:rPr>
          <w:rFonts w:ascii="Book Antiqua" w:hAnsi="Book Antiqua" w:cs="Gisha"/>
          <w:b/>
          <w:bCs/>
          <w:sz w:val="20"/>
          <w:szCs w:val="20"/>
        </w:rPr>
        <w:t xml:space="preserve">Toda proposta desacompanhada de uma </w:t>
      </w:r>
      <w:r>
        <w:rPr>
          <w:rFonts w:ascii="Book Antiqua" w:hAnsi="Book Antiqua" w:cs="Gisha"/>
          <w:b/>
          <w:bCs/>
          <w:sz w:val="20"/>
          <w:szCs w:val="20"/>
          <w:u w:val="single"/>
        </w:rPr>
        <w:t>Garantia de Proposta,</w:t>
      </w:r>
      <w:r>
        <w:rPr>
          <w:rFonts w:ascii="Book Antiqua" w:hAnsi="Book Antiqua" w:cs="Gisha"/>
          <w:b/>
          <w:bCs/>
          <w:sz w:val="20"/>
          <w:szCs w:val="20"/>
        </w:rPr>
        <w:t xml:space="preserve"> aceitável pela contratante, será automaticamente DESCLASSIFICADA.</w:t>
      </w:r>
    </w:p>
    <w:p w14:paraId="333ECD99">
      <w:pPr>
        <w:jc w:val="both"/>
        <w:rPr>
          <w:rFonts w:ascii="Book Antiqua" w:hAnsi="Book Antiqua" w:cs="Gisha"/>
          <w:bCs/>
          <w:sz w:val="20"/>
          <w:szCs w:val="20"/>
        </w:rPr>
      </w:pPr>
      <w:r>
        <w:rPr>
          <w:rFonts w:ascii="Book Antiqua" w:hAnsi="Book Antiqua" w:cs="Gisha"/>
          <w:b/>
          <w:bCs/>
          <w:sz w:val="20"/>
          <w:szCs w:val="20"/>
        </w:rPr>
        <w:t xml:space="preserve">  5.2.4 -</w:t>
      </w:r>
      <w:r>
        <w:rPr>
          <w:rFonts w:ascii="Book Antiqua" w:hAnsi="Book Antiqua" w:cs="Gisha"/>
          <w:bCs/>
          <w:sz w:val="20"/>
          <w:szCs w:val="20"/>
        </w:rPr>
        <w:t xml:space="preserve"> A garantia da proposta será devolvida às licitantes após a publicação do resultado da vencedora desta licitação na Imprensa Oficial.</w:t>
      </w:r>
    </w:p>
    <w:p w14:paraId="17AFA650">
      <w:pPr>
        <w:jc w:val="both"/>
        <w:rPr>
          <w:rFonts w:ascii="Book Antiqua" w:hAnsi="Book Antiqua"/>
          <w:sz w:val="20"/>
          <w:szCs w:val="20"/>
        </w:rPr>
      </w:pPr>
      <w:r>
        <w:rPr>
          <w:rFonts w:ascii="Book Antiqua" w:hAnsi="Book Antiqua" w:cs="Gisha"/>
          <w:b/>
          <w:bCs/>
          <w:sz w:val="20"/>
          <w:szCs w:val="20"/>
        </w:rPr>
        <w:t xml:space="preserve">  5.2.5 -</w:t>
      </w:r>
      <w:r>
        <w:rPr>
          <w:rFonts w:ascii="Book Antiqua" w:hAnsi="Book Antiqua" w:cs="Gisha"/>
          <w:bCs/>
          <w:sz w:val="20"/>
          <w:szCs w:val="20"/>
        </w:rPr>
        <w:t xml:space="preserve"> A Garantia de proposta será restituída e constituirá receita da Prefeitura Municipal de São José de Mipibu, que aplicará nos serviços objeto deste edital, se o licitante retirar sua proposta durante o período de validade da mesma, ou se no caso do licitante vencedor, dentro do limite do tempo especificado não assinar o Contrato</w:t>
      </w:r>
    </w:p>
    <w:p w14:paraId="5CA3CD1C">
      <w:pPr>
        <w:pStyle w:val="66"/>
        <w:numPr>
          <w:ilvl w:val="1"/>
          <w:numId w:val="3"/>
        </w:numPr>
        <w:tabs>
          <w:tab w:val="left" w:pos="426"/>
        </w:tabs>
        <w:spacing w:after="0" w:line="240" w:lineRule="auto"/>
        <w:ind w:left="0" w:firstLine="0"/>
        <w:jc w:val="both"/>
        <w:rPr>
          <w:rFonts w:ascii="Book Antiqua" w:hAnsi="Book Antiqua"/>
          <w:sz w:val="20"/>
          <w:szCs w:val="20"/>
        </w:rPr>
      </w:pPr>
      <w:r>
        <w:rPr>
          <w:rFonts w:ascii="Book Antiqua" w:hAnsi="Book Antiqua" w:cs="Courier New"/>
          <w:sz w:val="20"/>
          <w:szCs w:val="20"/>
        </w:rPr>
        <w:t>O fornecedor será responsável por todas as transações que forem efetuadas em seu nome no sistema eletrônico, assumindo como firmes e verdadeiras suas propostas e lances.</w:t>
      </w:r>
    </w:p>
    <w:p w14:paraId="13009593">
      <w:pPr>
        <w:numPr>
          <w:ilvl w:val="1"/>
          <w:numId w:val="3"/>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As propostas deverão ser cadastradas no sistema, item por item, já com valores líquidos com os devidos descontos, e a disputa será pelo </w:t>
      </w:r>
      <w:r>
        <w:rPr>
          <w:rFonts w:ascii="Book Antiqua" w:hAnsi="Book Antiqua" w:cs="Courier New"/>
          <w:b/>
          <w:bCs/>
          <w:sz w:val="20"/>
          <w:szCs w:val="20"/>
          <w:highlight w:val="yellow"/>
        </w:rPr>
        <w:t>VALOR UNITÁRIO POR ITEM</w:t>
      </w:r>
      <w:r>
        <w:rPr>
          <w:rFonts w:ascii="Book Antiqua" w:hAnsi="Book Antiqua" w:cs="Courier New"/>
          <w:sz w:val="20"/>
          <w:szCs w:val="20"/>
        </w:rPr>
        <w:t xml:space="preserve">; </w:t>
      </w:r>
    </w:p>
    <w:p w14:paraId="2C465F4D">
      <w:pPr>
        <w:numPr>
          <w:ilvl w:val="1"/>
          <w:numId w:val="3"/>
        </w:numPr>
        <w:tabs>
          <w:tab w:val="left" w:pos="142"/>
          <w:tab w:val="left" w:pos="426"/>
        </w:tabs>
        <w:ind w:left="0" w:firstLine="0"/>
        <w:jc w:val="both"/>
        <w:rPr>
          <w:rFonts w:ascii="Book Antiqua" w:hAnsi="Book Antiqua"/>
          <w:sz w:val="20"/>
          <w:szCs w:val="20"/>
        </w:rPr>
      </w:pPr>
      <w:r>
        <w:rPr>
          <w:rFonts w:ascii="Book Antiqua" w:hAnsi="Book Antiqua"/>
          <w:sz w:val="20"/>
          <w:szCs w:val="20"/>
        </w:rPr>
        <w:t>No cadastramento da proposta inicial, o licitante declarará, em campo próprio do sistema, que:</w:t>
      </w:r>
    </w:p>
    <w:p w14:paraId="53B71271">
      <w:pPr>
        <w:numPr>
          <w:ilvl w:val="2"/>
          <w:numId w:val="3"/>
        </w:numPr>
        <w:ind w:left="0" w:firstLine="142"/>
        <w:jc w:val="both"/>
        <w:rPr>
          <w:rFonts w:ascii="Book Antiqua" w:hAnsi="Book Antiqua"/>
          <w:sz w:val="20"/>
          <w:szCs w:val="20"/>
        </w:rPr>
      </w:pPr>
      <w:r>
        <w:rPr>
          <w:rFonts w:ascii="Book Antiqua" w:hAnsi="Book Antiqua"/>
          <w:sz w:val="20"/>
          <w:szCs w:val="20"/>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9E5489E">
      <w:pPr>
        <w:numPr>
          <w:ilvl w:val="2"/>
          <w:numId w:val="3"/>
        </w:numPr>
        <w:ind w:left="0" w:firstLine="142"/>
        <w:jc w:val="both"/>
        <w:rPr>
          <w:rFonts w:ascii="Book Antiqua" w:hAnsi="Book Antiqua"/>
          <w:sz w:val="20"/>
          <w:szCs w:val="20"/>
        </w:rPr>
      </w:pPr>
      <w:r>
        <w:rPr>
          <w:rFonts w:ascii="Book Antiqua" w:hAnsi="Book Antiqua"/>
          <w:sz w:val="20"/>
          <w:szCs w:val="20"/>
        </w:rPr>
        <w:t>não emprega menor de 18 anos em trabalho noturno, perigoso ou insalubre e não emprega menor de 16 anos, salvo menor, a partir de 14 anos, na condição de aprendiz, nos termos do artigo 7°, XXXIII, da Constituição;</w:t>
      </w:r>
    </w:p>
    <w:p w14:paraId="12235EF7">
      <w:pPr>
        <w:numPr>
          <w:ilvl w:val="2"/>
          <w:numId w:val="3"/>
        </w:numPr>
        <w:ind w:left="0" w:firstLine="142"/>
        <w:jc w:val="both"/>
        <w:rPr>
          <w:rFonts w:ascii="Book Antiqua" w:hAnsi="Book Antiqua"/>
          <w:sz w:val="20"/>
          <w:szCs w:val="20"/>
        </w:rPr>
      </w:pPr>
      <w:r>
        <w:rPr>
          <w:rFonts w:ascii="Book Antiqua" w:hAnsi="Book Antiqua"/>
          <w:sz w:val="20"/>
          <w:szCs w:val="20"/>
        </w:rPr>
        <w:t>não possui empregados executando trabalho degradante ou forçado, observando o disposto nos incisos III e IV do art. 1º e no inciso III do art. 5º da Constituição Federal;</w:t>
      </w:r>
    </w:p>
    <w:p w14:paraId="41FF4186">
      <w:pPr>
        <w:numPr>
          <w:ilvl w:val="2"/>
          <w:numId w:val="3"/>
        </w:numPr>
        <w:ind w:left="0" w:firstLine="142"/>
        <w:jc w:val="both"/>
        <w:rPr>
          <w:rFonts w:ascii="Book Antiqua" w:hAnsi="Book Antiqua"/>
          <w:sz w:val="20"/>
          <w:szCs w:val="20"/>
        </w:rPr>
      </w:pPr>
      <w:r>
        <w:rPr>
          <w:rFonts w:ascii="Book Antiqua" w:hAnsi="Book Antiqua"/>
          <w:sz w:val="20"/>
          <w:szCs w:val="20"/>
        </w:rPr>
        <w:t>cumpre as exigências de reserva de cargos para pessoa com deficiência e para reabilitado da Previdência Social, previstas em lei e em outras normas específicas.</w:t>
      </w:r>
    </w:p>
    <w:p w14:paraId="1876D92F">
      <w:pPr>
        <w:numPr>
          <w:ilvl w:val="1"/>
          <w:numId w:val="3"/>
        </w:numPr>
        <w:tabs>
          <w:tab w:val="left" w:pos="426"/>
          <w:tab w:val="left" w:pos="993"/>
        </w:tabs>
        <w:ind w:left="0" w:firstLine="0"/>
        <w:jc w:val="both"/>
        <w:rPr>
          <w:rFonts w:ascii="Book Antiqua" w:hAnsi="Book Antiqua"/>
          <w:sz w:val="20"/>
          <w:szCs w:val="20"/>
        </w:rPr>
      </w:pPr>
      <w:r>
        <w:rPr>
          <w:rFonts w:ascii="Book Antiqua" w:hAnsi="Book Antiqua" w:cs="Courier New"/>
          <w:color w:val="000000" w:themeColor="text1"/>
          <w:sz w:val="20"/>
          <w:szCs w:val="20"/>
          <w14:textFill>
            <w14:solidFill>
              <w14:schemeClr w14:val="tx1"/>
            </w14:solidFill>
          </w14:textFill>
        </w:rPr>
        <w:t xml:space="preserve">Qualquer problema com o cadastramento das propostas, o licitante deverá entrar em contato com o </w:t>
      </w:r>
      <w:r>
        <w:rPr>
          <w:rFonts w:ascii="Book Antiqua" w:hAnsi="Book Antiqua" w:cs="Courier New"/>
          <w:b/>
          <w:color w:val="000000" w:themeColor="text1"/>
          <w:sz w:val="20"/>
          <w:szCs w:val="20"/>
          <w14:textFill>
            <w14:solidFill>
              <w14:schemeClr w14:val="tx1"/>
            </w14:solidFill>
          </w14:textFill>
        </w:rPr>
        <w:t>Portal de Compras Públicas</w:t>
      </w:r>
      <w:r>
        <w:rPr>
          <w:rFonts w:ascii="Book Antiqua" w:hAnsi="Book Antiqua" w:cs="Courier New"/>
          <w:color w:val="000000" w:themeColor="text1"/>
          <w:sz w:val="20"/>
          <w:szCs w:val="20"/>
          <w14:textFill>
            <w14:solidFill>
              <w14:schemeClr w14:val="tx1"/>
            </w14:solidFill>
          </w14:textFill>
        </w:rPr>
        <w:t xml:space="preserve">, pois é de inteira responsabilidade dela em sanar problemas relacionados com o sistema; </w:t>
      </w:r>
    </w:p>
    <w:p w14:paraId="7BFF07B1">
      <w:pPr>
        <w:numPr>
          <w:ilvl w:val="1"/>
          <w:numId w:val="3"/>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Após a realização da sessão pública a licitante deverá encaminhar, caso haja necessidade, a Proposta de Preços Readequada em uma via digitada e impressa, redigida com clareza em língua portuguesa, salvo quanto a expressões técnicas de uso corrente, sem alternativas, emendas, rasuras ou entrelinhas devidamente datadas e assinadas na última folha e rubricadas nas demais pelo representante legal da licitante. </w:t>
      </w:r>
    </w:p>
    <w:p w14:paraId="5B122B88">
      <w:pPr>
        <w:numPr>
          <w:ilvl w:val="1"/>
          <w:numId w:val="3"/>
        </w:numPr>
        <w:tabs>
          <w:tab w:val="left" w:pos="284"/>
          <w:tab w:val="left" w:pos="426"/>
        </w:tabs>
        <w:ind w:left="0" w:firstLine="0"/>
        <w:jc w:val="both"/>
        <w:rPr>
          <w:rFonts w:ascii="Book Antiqua" w:hAnsi="Book Antiqua"/>
          <w:b/>
          <w:sz w:val="20"/>
          <w:szCs w:val="20"/>
        </w:rPr>
      </w:pPr>
      <w:r>
        <w:rPr>
          <w:rFonts w:ascii="Book Antiqua" w:hAnsi="Book Antiqua"/>
          <w:b/>
          <w:sz w:val="20"/>
          <w:szCs w:val="20"/>
        </w:rPr>
        <w:t>A PROPOSTA DE PREÇOS DEVERA CONTER:</w:t>
      </w:r>
    </w:p>
    <w:p w14:paraId="631CD586">
      <w:pPr>
        <w:numPr>
          <w:ilvl w:val="2"/>
          <w:numId w:val="3"/>
        </w:numPr>
        <w:ind w:left="0" w:firstLine="142"/>
        <w:jc w:val="both"/>
        <w:rPr>
          <w:rFonts w:ascii="Book Antiqua" w:hAnsi="Book Antiqua"/>
          <w:sz w:val="20"/>
          <w:szCs w:val="20"/>
        </w:rPr>
      </w:pPr>
      <w:r>
        <w:rPr>
          <w:rFonts w:ascii="Book Antiqua" w:hAnsi="Book Antiqua"/>
          <w:sz w:val="20"/>
          <w:szCs w:val="20"/>
        </w:rPr>
        <w:t xml:space="preserve">As características do objeto de forma clara e precisa, indicando as </w:t>
      </w:r>
      <w:r>
        <w:rPr>
          <w:rFonts w:ascii="Book Antiqua" w:hAnsi="Book Antiqua"/>
          <w:sz w:val="20"/>
          <w:szCs w:val="20"/>
          <w:highlight w:val="yellow"/>
        </w:rPr>
        <w:t>MARCAS</w:t>
      </w:r>
      <w:r>
        <w:rPr>
          <w:rFonts w:ascii="Book Antiqua" w:hAnsi="Book Antiqua"/>
          <w:sz w:val="20"/>
          <w:szCs w:val="20"/>
        </w:rPr>
        <w:t xml:space="preserve"> dos produtos ofertados, observadas as especificações constantes do Termo de Referência.</w:t>
      </w:r>
    </w:p>
    <w:p w14:paraId="64385CB4">
      <w:pPr>
        <w:numPr>
          <w:ilvl w:val="2"/>
          <w:numId w:val="3"/>
        </w:numPr>
        <w:ind w:left="0" w:firstLine="142"/>
        <w:jc w:val="both"/>
        <w:rPr>
          <w:rFonts w:ascii="Book Antiqua" w:hAnsi="Book Antiqua"/>
          <w:sz w:val="20"/>
          <w:szCs w:val="20"/>
        </w:rPr>
      </w:pPr>
      <w:r>
        <w:rPr>
          <w:rFonts w:ascii="Book Antiqua" w:hAnsi="Book Antiqua"/>
          <w:b/>
          <w:sz w:val="20"/>
          <w:szCs w:val="20"/>
        </w:rPr>
        <w:t>VALOR TOTAL POR ITEM E TOTAL GLOBAL</w:t>
      </w:r>
      <w:r>
        <w:rPr>
          <w:rFonts w:ascii="Book Antiqua" w:hAnsi="Book Antiqua"/>
          <w:sz w:val="20"/>
          <w:szCs w:val="20"/>
        </w:rPr>
        <w:t>, em algarismo e de preferência por extenso, expresso em moeda corrente nacional (real), de acordo com os preços praticados no mercado, considerando as quantidades constantes do Termo de Referência.</w:t>
      </w:r>
    </w:p>
    <w:p w14:paraId="61495C3A">
      <w:pPr>
        <w:numPr>
          <w:ilvl w:val="3"/>
          <w:numId w:val="3"/>
        </w:numPr>
        <w:tabs>
          <w:tab w:val="left" w:pos="709"/>
          <w:tab w:val="left" w:pos="1134"/>
        </w:tabs>
        <w:ind w:left="0" w:firstLine="284"/>
        <w:jc w:val="both"/>
        <w:rPr>
          <w:rFonts w:ascii="Book Antiqua" w:hAnsi="Book Antiqua"/>
          <w:sz w:val="20"/>
          <w:szCs w:val="20"/>
        </w:rPr>
      </w:pPr>
      <w:r>
        <w:rPr>
          <w:rFonts w:ascii="Book Antiqua" w:hAnsi="Book Antiqua"/>
          <w:sz w:val="20"/>
          <w:szCs w:val="20"/>
        </w:rPr>
        <w:t xml:space="preserve">Que nos preços cotados deverão estar incluídos todos os insumos que o compõem, tais como as despesas com impostos, taxas, frete, seguros e quaisquer outros que incidam na contratação do objeto. </w:t>
      </w:r>
    </w:p>
    <w:p w14:paraId="5663FA0E">
      <w:pPr>
        <w:numPr>
          <w:ilvl w:val="2"/>
          <w:numId w:val="3"/>
        </w:numPr>
        <w:ind w:left="0" w:firstLine="142"/>
        <w:jc w:val="both"/>
        <w:rPr>
          <w:rFonts w:ascii="Book Antiqua" w:hAnsi="Book Antiqua"/>
          <w:i/>
          <w:iCs/>
          <w:sz w:val="20"/>
          <w:szCs w:val="20"/>
          <w:shd w:val="clear" w:color="auto" w:fill="C0C0C0"/>
        </w:rPr>
      </w:pPr>
      <w:r>
        <w:rPr>
          <w:rFonts w:ascii="Book Antiqua" w:hAnsi="Book Antiqua"/>
          <w:sz w:val="20"/>
          <w:szCs w:val="20"/>
        </w:rPr>
        <w:t>Prazo de entrega, conforme parâmetro máximo do Termo de Referência.</w:t>
      </w:r>
    </w:p>
    <w:p w14:paraId="547CD4E2">
      <w:pPr>
        <w:numPr>
          <w:ilvl w:val="2"/>
          <w:numId w:val="3"/>
        </w:numPr>
        <w:ind w:left="0" w:firstLine="142"/>
        <w:jc w:val="both"/>
        <w:rPr>
          <w:rFonts w:ascii="Book Antiqua" w:hAnsi="Book Antiqua"/>
          <w:i/>
          <w:iCs/>
          <w:sz w:val="20"/>
          <w:szCs w:val="20"/>
          <w:shd w:val="clear" w:color="auto" w:fill="C0C0C0"/>
        </w:rPr>
      </w:pPr>
      <w:r>
        <w:rPr>
          <w:rFonts w:ascii="Book Antiqua" w:hAnsi="Book Antiqua"/>
          <w:sz w:val="20"/>
          <w:szCs w:val="20"/>
        </w:rPr>
        <w:t>Prazo de garantia do produto, conforme parâmetro mínimo do Termo de Referência.</w:t>
      </w:r>
    </w:p>
    <w:p w14:paraId="53FFCE39">
      <w:pPr>
        <w:numPr>
          <w:ilvl w:val="2"/>
          <w:numId w:val="3"/>
        </w:numPr>
        <w:ind w:left="0" w:firstLine="142"/>
        <w:jc w:val="both"/>
        <w:rPr>
          <w:rFonts w:ascii="Book Antiqua" w:hAnsi="Book Antiqua"/>
          <w:sz w:val="20"/>
          <w:szCs w:val="20"/>
        </w:rPr>
      </w:pPr>
      <w:r>
        <w:rPr>
          <w:rFonts w:ascii="Book Antiqua" w:hAnsi="Book Antiqua"/>
          <w:sz w:val="20"/>
          <w:szCs w:val="20"/>
        </w:rPr>
        <w:t>Prazo de validade da proposta não inferior a 60 (sessenta) dias corridos, a contar da data da sua apresentação.</w:t>
      </w:r>
    </w:p>
    <w:p w14:paraId="78A7FB7C">
      <w:pPr>
        <w:numPr>
          <w:ilvl w:val="0"/>
          <w:numId w:val="3"/>
        </w:numPr>
        <w:tabs>
          <w:tab w:val="left" w:pos="284"/>
        </w:tabs>
        <w:ind w:left="0" w:firstLine="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DA ANÁLISE DAS PROPOSTAS DE PREÇOS E LANCES NA SESSÃO PÚBLICA</w:t>
      </w:r>
    </w:p>
    <w:p w14:paraId="5F67B44A">
      <w:pPr>
        <w:pStyle w:val="66"/>
        <w:numPr>
          <w:ilvl w:val="1"/>
          <w:numId w:val="4"/>
        </w:numPr>
        <w:tabs>
          <w:tab w:val="left" w:pos="426"/>
        </w:tabs>
        <w:spacing w:after="0" w:line="240" w:lineRule="auto"/>
        <w:ind w:left="0" w:firstLine="0"/>
        <w:jc w:val="both"/>
        <w:rPr>
          <w:rFonts w:ascii="Book Antiqua" w:hAnsi="Book Antiqua"/>
          <w:sz w:val="20"/>
          <w:szCs w:val="20"/>
        </w:rPr>
      </w:pPr>
      <w:r>
        <w:rPr>
          <w:rFonts w:ascii="Book Antiqua" w:hAnsi="Book Antiqua" w:cs="Courier New"/>
          <w:sz w:val="20"/>
          <w:szCs w:val="20"/>
        </w:rPr>
        <w:t>A partir do horário previsto neste Edital terão início à sessão pública do pregão eletrônico, passando o Pregoeiro a aceitabilidade das propostas e logo em seguida a sua divulgação.</w:t>
      </w:r>
    </w:p>
    <w:p w14:paraId="287C589F">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O Pregoeiro analisará as propostas de preços eletronicamente encaminhadas, desclassificando aquelas que não estiverem em consonância com o estabelecido pelo instrumento convocatório. </w:t>
      </w:r>
    </w:p>
    <w:p w14:paraId="45608827">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A decisão sobre classificação de propostas comerciais será disponibilizada no sistema eletrônico para acompanhamento em tempo real pelas empresas. </w:t>
      </w:r>
    </w:p>
    <w:p w14:paraId="23542972">
      <w:pPr>
        <w:numPr>
          <w:ilvl w:val="1"/>
          <w:numId w:val="4"/>
        </w:numPr>
        <w:tabs>
          <w:tab w:val="left" w:pos="284"/>
          <w:tab w:val="left" w:pos="426"/>
        </w:tabs>
        <w:ind w:left="0" w:firstLine="0"/>
        <w:jc w:val="both"/>
        <w:rPr>
          <w:rFonts w:ascii="Book Antiqua" w:hAnsi="Book Antiqua"/>
          <w:sz w:val="20"/>
          <w:szCs w:val="20"/>
        </w:rPr>
      </w:pPr>
      <w:r>
        <w:rPr>
          <w:rFonts w:ascii="Book Antiqua" w:hAnsi="Book Antiqua" w:cs="Courier New"/>
          <w:sz w:val="20"/>
          <w:szCs w:val="20"/>
        </w:rPr>
        <w:t xml:space="preserve">Classificadas as propostas, iniciar-se-á a fase de lances, na qual os autores das propostas classificadas poderão oferecer lances, obrigatoriamente por meio do sistema eletrônico, sem restrições de quantidade de lances ou de qualquer ordem classificatória ou cronológica específica, mas sempre inferior ao seu último lance ofertado. </w:t>
      </w:r>
    </w:p>
    <w:p w14:paraId="6EC6B5C1">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A cada lance ofertado, o participante conectado será imediatamente informado de seu recebimento com seu respectivo horário de registro e valor.</w:t>
      </w:r>
    </w:p>
    <w:p w14:paraId="5837A7EB">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Os lances apresentados deverão referir-se em cima do </w:t>
      </w:r>
      <w:r>
        <w:rPr>
          <w:rFonts w:ascii="Book Antiqua" w:hAnsi="Book Antiqua" w:cs="Courier New"/>
          <w:sz w:val="20"/>
          <w:szCs w:val="20"/>
          <w:highlight w:val="yellow"/>
        </w:rPr>
        <w:t>VALOR POR ITEM</w:t>
      </w:r>
      <w:r>
        <w:rPr>
          <w:rFonts w:ascii="Book Antiqua" w:hAnsi="Book Antiqua" w:cs="Courier New"/>
          <w:sz w:val="20"/>
          <w:szCs w:val="20"/>
        </w:rPr>
        <w:t xml:space="preserve">; </w:t>
      </w:r>
    </w:p>
    <w:p w14:paraId="6A31D77B">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Não serão aceitas cotações com valores unitários e totais com mais de duas casas decimais. Caso ocorra o valor deverá ser arredondado para menor. </w:t>
      </w:r>
    </w:p>
    <w:p w14:paraId="15248638">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Quando houver um único licitante ou uma única proposta válida, caberá ao Pregoeiro verificar a aceitabilidade do valor ofertado. </w:t>
      </w:r>
    </w:p>
    <w:p w14:paraId="353DC17A">
      <w:pPr>
        <w:numPr>
          <w:ilvl w:val="1"/>
          <w:numId w:val="4"/>
        </w:numPr>
        <w:tabs>
          <w:tab w:val="left" w:pos="284"/>
          <w:tab w:val="left" w:pos="426"/>
        </w:tabs>
        <w:ind w:left="0" w:firstLine="0"/>
        <w:jc w:val="both"/>
        <w:rPr>
          <w:rFonts w:ascii="Book Antiqua" w:hAnsi="Book Antiqua"/>
          <w:sz w:val="20"/>
          <w:szCs w:val="20"/>
        </w:rPr>
      </w:pPr>
      <w:r>
        <w:rPr>
          <w:rFonts w:ascii="Book Antiqua" w:hAnsi="Book Antiqua" w:cs="Courier New"/>
          <w:sz w:val="20"/>
          <w:szCs w:val="20"/>
        </w:rPr>
        <w:t xml:space="preserve">Na hipótese de haver lances ou propostas iguais prevalecerão como de menor valor o lance que tiver sido primeiramente registrado. </w:t>
      </w:r>
    </w:p>
    <w:p w14:paraId="1D342277">
      <w:pPr>
        <w:numPr>
          <w:ilvl w:val="1"/>
          <w:numId w:val="4"/>
        </w:numPr>
        <w:tabs>
          <w:tab w:val="left" w:pos="567"/>
          <w:tab w:val="left" w:pos="709"/>
          <w:tab w:val="left" w:pos="851"/>
        </w:tabs>
        <w:ind w:left="0" w:firstLine="0"/>
        <w:jc w:val="both"/>
        <w:rPr>
          <w:rFonts w:ascii="Book Antiqua" w:hAnsi="Book Antiqua"/>
          <w:sz w:val="20"/>
          <w:szCs w:val="20"/>
        </w:rPr>
      </w:pPr>
      <w:r>
        <w:rPr>
          <w:rFonts w:ascii="Book Antiqua" w:hAnsi="Book Antiqua" w:cs="Courier New"/>
          <w:sz w:val="20"/>
          <w:szCs w:val="20"/>
        </w:rPr>
        <w:t xml:space="preserve">Em caso de não haver lances prevalecerá o descrito no item anterior. </w:t>
      </w:r>
    </w:p>
    <w:p w14:paraId="741AEB18">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Os licitantes poderão oferecer lances sucessivos, observado o horário fixado e as regras de aceitação, inclusive quanto a intervalo de tempo e de valor entre os lances constantes no sistema eletrônico, que este último será de </w:t>
      </w:r>
      <w:r>
        <w:rPr>
          <w:rFonts w:ascii="Book Antiqua" w:hAnsi="Book Antiqua" w:cs="Courier New"/>
          <w:sz w:val="20"/>
          <w:szCs w:val="20"/>
          <w:highlight w:val="yellow"/>
        </w:rPr>
        <w:t>0,01 (um centavo).</w:t>
      </w:r>
    </w:p>
    <w:p w14:paraId="47B9FCF1">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Durante o transcurso da sessão de lances, os participantes serão informados em tempo real, do valor do menor lance registrado. </w:t>
      </w:r>
    </w:p>
    <w:p w14:paraId="452981E4">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O sistema não identificará os autores dos lances aos demais participantes. </w:t>
      </w:r>
    </w:p>
    <w:p w14:paraId="131AC59C">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A disputa de lances será realizada no </w:t>
      </w:r>
      <w:r>
        <w:rPr>
          <w:rFonts w:ascii="Book Antiqua" w:hAnsi="Book Antiqua" w:cs="Courier New"/>
          <w:b/>
          <w:bCs/>
          <w:color w:val="000099"/>
          <w:sz w:val="20"/>
          <w:szCs w:val="20"/>
        </w:rPr>
        <w:t>MODO ABERTO</w:t>
      </w:r>
      <w:r>
        <w:rPr>
          <w:rFonts w:ascii="Book Antiqua" w:hAnsi="Book Antiqua" w:cs="Courier New"/>
          <w:color w:val="FF0000"/>
          <w:sz w:val="20"/>
          <w:szCs w:val="20"/>
        </w:rPr>
        <w:t xml:space="preserve"> </w:t>
      </w:r>
      <w:r>
        <w:rPr>
          <w:rFonts w:ascii="Book Antiqua" w:hAnsi="Book Antiqua" w:cs="Courier New"/>
          <w:sz w:val="20"/>
          <w:szCs w:val="20"/>
        </w:rPr>
        <w:t xml:space="preserve">onde </w:t>
      </w:r>
      <w:r>
        <w:rPr>
          <w:rFonts w:ascii="Book Antiqua" w:hAnsi="Book Antiqua" w:cs="Arial"/>
          <w:color w:val="000000"/>
          <w:sz w:val="20"/>
          <w:szCs w:val="20"/>
        </w:rPr>
        <w:t>os licitantes apresentarão lances públicos e sucessivos, com prorrogações, até obter o menor preço.</w:t>
      </w:r>
    </w:p>
    <w:p w14:paraId="6468E796">
      <w:pPr>
        <w:numPr>
          <w:ilvl w:val="1"/>
          <w:numId w:val="4"/>
        </w:numPr>
        <w:tabs>
          <w:tab w:val="left" w:pos="284"/>
          <w:tab w:val="left" w:pos="426"/>
        </w:tabs>
        <w:ind w:left="0" w:firstLine="0"/>
        <w:jc w:val="both"/>
        <w:rPr>
          <w:rFonts w:ascii="Book Antiqua" w:hAnsi="Book Antiqua"/>
          <w:sz w:val="20"/>
          <w:szCs w:val="20"/>
        </w:rPr>
      </w:pPr>
      <w:r>
        <w:rPr>
          <w:rFonts w:ascii="Book Antiqua" w:hAnsi="Book Antiqua" w:cs="Arial"/>
          <w:color w:val="000000"/>
          <w:sz w:val="20"/>
          <w:szCs w:val="20"/>
        </w:rPr>
        <w:t>O envio de lances na sessão pública durará 10 (dez) minutos e, após isso, será prorrogada automaticamente pelo sistema quando houver lance ofertado nos últimos 2 (dois) minutos do período de duração da sessão pública</w:t>
      </w:r>
      <w:r>
        <w:rPr>
          <w:rFonts w:ascii="Book Antiqua" w:hAnsi="Book Antiqua" w:cs="Courier New"/>
          <w:sz w:val="20"/>
          <w:szCs w:val="20"/>
        </w:rPr>
        <w:t xml:space="preserve">. </w:t>
      </w:r>
    </w:p>
    <w:p w14:paraId="27894494">
      <w:pPr>
        <w:numPr>
          <w:ilvl w:val="1"/>
          <w:numId w:val="4"/>
        </w:numPr>
        <w:tabs>
          <w:tab w:val="left" w:pos="426"/>
        </w:tabs>
        <w:ind w:left="0" w:firstLine="0"/>
        <w:jc w:val="both"/>
        <w:rPr>
          <w:rFonts w:ascii="Book Antiqua" w:hAnsi="Book Antiqua"/>
          <w:sz w:val="20"/>
          <w:szCs w:val="20"/>
        </w:rPr>
      </w:pPr>
      <w:r>
        <w:rPr>
          <w:rFonts w:ascii="Book Antiqua" w:hAnsi="Book Antiqua" w:cs="Arial"/>
          <w:color w:val="000000"/>
          <w:sz w:val="20"/>
          <w:szCs w:val="20"/>
        </w:rPr>
        <w:t>A prorrogação automática da etapa de envio de lances, de que trata o </w:t>
      </w:r>
      <w:r>
        <w:rPr>
          <w:rFonts w:ascii="Book Antiqua" w:hAnsi="Book Antiqua" w:cs="Arial"/>
          <w:b/>
          <w:bCs/>
          <w:color w:val="000000"/>
          <w:sz w:val="20"/>
          <w:szCs w:val="20"/>
        </w:rPr>
        <w:t>item anterior</w:t>
      </w:r>
      <w:r>
        <w:rPr>
          <w:rFonts w:ascii="Book Antiqua" w:hAnsi="Book Antiqua" w:cs="Arial"/>
          <w:color w:val="000000"/>
          <w:sz w:val="20"/>
          <w:szCs w:val="20"/>
        </w:rPr>
        <w:t>, será de 2 (dois) minutos e ocorrerá sucessivamente sempre que houver lances enviados nesse período de prorrogação, inclusive quando se tratar de lances intermediários, e na hipótese de não haver novos lances nesse período estipulado, a sessão pública será encerrada automaticamente</w:t>
      </w:r>
      <w:r>
        <w:rPr>
          <w:rFonts w:ascii="Book Antiqua" w:hAnsi="Book Antiqua" w:cs="Courier New"/>
          <w:sz w:val="20"/>
          <w:szCs w:val="20"/>
        </w:rPr>
        <w:t xml:space="preserve">. </w:t>
      </w:r>
    </w:p>
    <w:p w14:paraId="5818A87F">
      <w:pPr>
        <w:numPr>
          <w:ilvl w:val="1"/>
          <w:numId w:val="4"/>
        </w:numPr>
        <w:tabs>
          <w:tab w:val="left" w:pos="426"/>
        </w:tabs>
        <w:ind w:left="0" w:firstLine="0"/>
        <w:jc w:val="both"/>
        <w:rPr>
          <w:rFonts w:ascii="Book Antiqua" w:hAnsi="Book Antiqua"/>
          <w:sz w:val="20"/>
          <w:szCs w:val="20"/>
        </w:rPr>
      </w:pPr>
      <w:r>
        <w:rPr>
          <w:rFonts w:ascii="Book Antiqua" w:hAnsi="Book Antiqua" w:cs="Arial"/>
          <w:color w:val="000000"/>
          <w:sz w:val="20"/>
          <w:szCs w:val="20"/>
        </w:rPr>
        <w:t>Definida a melhor proposta, se a diferença em relação à proposta classificada em segundo lugar for de pelo menos 5% (cinco por cento), o agente de contratação ou a comissão de contratação, quando o substituir, auxiliado pela equipe de apoio, poderá admitir o reinício da disputa aberta, nos termos estabelecidos no edital de licitação, para a definição das demais colocações.</w:t>
      </w:r>
    </w:p>
    <w:p w14:paraId="4504FBF5">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O sistema informará a proposta de menor valor imediatamente após o encerramento da etapa de lances, devendo os licitantes consultarem regularmente o sistema eletrônico para verificar o resultado da licitação. </w:t>
      </w:r>
    </w:p>
    <w:p w14:paraId="6B42CE74">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No caso de desconexão do Pregoeiro no decorrer da etapa de lances, se o sistema eletrônico permanecer acessível aos licitantes, os lances continuarão sendo recebidos sem prejuízo dos atos realizados. </w:t>
      </w:r>
    </w:p>
    <w:p w14:paraId="7CF719EB">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Quando a desconexão persistir por tempo superior a 10 (dez) minutos após aberta a sessão, o pregão será suspenso e terá reinício somente após comunicação expressa aos participantes por meio do próprio sistema. Ficando o licitante responsável pelo acompanhamento. </w:t>
      </w:r>
    </w:p>
    <w:p w14:paraId="7F9009D5">
      <w:pPr>
        <w:numPr>
          <w:ilvl w:val="1"/>
          <w:numId w:val="4"/>
        </w:numPr>
        <w:tabs>
          <w:tab w:val="left" w:pos="426"/>
        </w:tabs>
        <w:ind w:left="0" w:firstLine="0"/>
        <w:jc w:val="both"/>
        <w:rPr>
          <w:rFonts w:ascii="Book Antiqua" w:hAnsi="Book Antiqua"/>
          <w:sz w:val="20"/>
          <w:szCs w:val="20"/>
        </w:rPr>
      </w:pPr>
      <w:r>
        <w:rPr>
          <w:rFonts w:ascii="Book Antiqua" w:hAnsi="Book Antiqua" w:cs="Arial"/>
          <w:color w:val="000000"/>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Pr>
          <w:rFonts w:ascii="Book Antiqua" w:hAnsi="Book Antiqua" w:cs="Arial"/>
          <w:b/>
          <w:bCs/>
          <w:color w:val="0000CC"/>
          <w:sz w:val="20"/>
          <w:szCs w:val="20"/>
        </w:rPr>
        <w:t>Arts. 44 e 45 da Lei Complementar nº 123, de 2006, regulamentada pelo Decreto Federal nº 8.538, de 2015</w:t>
      </w:r>
      <w:r>
        <w:rPr>
          <w:rFonts w:ascii="Book Antiqua" w:hAnsi="Book Antiqua" w:cs="Arial"/>
          <w:color w:val="000000"/>
          <w:sz w:val="20"/>
          <w:szCs w:val="20"/>
        </w:rPr>
        <w:t>.</w:t>
      </w:r>
    </w:p>
    <w:p w14:paraId="58DD62EA">
      <w:pPr>
        <w:numPr>
          <w:ilvl w:val="2"/>
          <w:numId w:val="4"/>
        </w:numPr>
        <w:tabs>
          <w:tab w:val="left" w:pos="851"/>
        </w:tabs>
        <w:ind w:left="0" w:firstLine="142"/>
        <w:jc w:val="both"/>
        <w:rPr>
          <w:rFonts w:ascii="Book Antiqua" w:hAnsi="Book Antiqua"/>
          <w:sz w:val="20"/>
          <w:szCs w:val="20"/>
        </w:rPr>
      </w:pPr>
      <w:r>
        <w:rPr>
          <w:rFonts w:ascii="Book Antiqua" w:hAnsi="Book Antiqua"/>
          <w:sz w:val="20"/>
          <w:szCs w:val="20"/>
        </w:rPr>
        <w:t>Nessas condições, as propostas de microempresas e empresas de pequeno porte que se encontrarem na faixa de até 5% (cinco por cento) acima da melhor proposta ou melhor lance serão consideradas empatadas com a primeira colocada.</w:t>
      </w:r>
    </w:p>
    <w:p w14:paraId="610A6D1A">
      <w:pPr>
        <w:numPr>
          <w:ilvl w:val="2"/>
          <w:numId w:val="4"/>
        </w:numPr>
        <w:tabs>
          <w:tab w:val="left" w:pos="851"/>
        </w:tabs>
        <w:ind w:left="0" w:firstLine="142"/>
        <w:jc w:val="both"/>
        <w:rPr>
          <w:rFonts w:ascii="Book Antiqua" w:hAnsi="Book Antiqua"/>
          <w:sz w:val="20"/>
          <w:szCs w:val="20"/>
        </w:rPr>
      </w:pPr>
      <w:r>
        <w:rPr>
          <w:rFonts w:ascii="Book Antiqua" w:hAnsi="Book Antiqua"/>
          <w:sz w:val="20"/>
          <w:szCs w:val="20"/>
        </w:rPr>
        <w:t>A melhor proposta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7883D4A">
      <w:pPr>
        <w:numPr>
          <w:ilvl w:val="2"/>
          <w:numId w:val="4"/>
        </w:numPr>
        <w:tabs>
          <w:tab w:val="left" w:pos="851"/>
        </w:tabs>
        <w:ind w:left="0" w:firstLine="142"/>
        <w:jc w:val="both"/>
        <w:rPr>
          <w:rFonts w:ascii="Book Antiqua" w:hAnsi="Book Antiqua"/>
          <w:sz w:val="20"/>
          <w:szCs w:val="20"/>
        </w:rPr>
      </w:pPr>
      <w:r>
        <w:rPr>
          <w:rFonts w:ascii="Book Antiqua" w:hAnsi="Book Antiqua"/>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AE71091">
      <w:pPr>
        <w:numPr>
          <w:ilvl w:val="2"/>
          <w:numId w:val="4"/>
        </w:numPr>
        <w:tabs>
          <w:tab w:val="left" w:pos="851"/>
        </w:tabs>
        <w:ind w:left="0" w:firstLine="142"/>
        <w:jc w:val="both"/>
        <w:rPr>
          <w:rFonts w:ascii="Book Antiqua" w:hAnsi="Book Antiqua"/>
          <w:sz w:val="20"/>
          <w:szCs w:val="20"/>
        </w:rPr>
      </w:pPr>
      <w:r>
        <w:rPr>
          <w:rFonts w:ascii="Book Antiqua" w:hAnsi="Book Antiqua"/>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8D6DF5A">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 xml:space="preserve">Só poderá haver empate entre propostas iguais (não seguidas de lances), ou entre lances finais da fase fechada do modo de disputa aberto e fechado. </w:t>
      </w:r>
    </w:p>
    <w:p w14:paraId="16436A9F">
      <w:pPr>
        <w:numPr>
          <w:ilvl w:val="1"/>
          <w:numId w:val="4"/>
        </w:numPr>
        <w:tabs>
          <w:tab w:val="left" w:pos="284"/>
          <w:tab w:val="left" w:pos="567"/>
        </w:tabs>
        <w:ind w:left="0" w:firstLine="0"/>
        <w:jc w:val="both"/>
        <w:rPr>
          <w:rFonts w:ascii="Book Antiqua" w:hAnsi="Book Antiqua"/>
          <w:sz w:val="20"/>
          <w:szCs w:val="20"/>
        </w:rPr>
      </w:pPr>
      <w:r>
        <w:rPr>
          <w:rFonts w:ascii="Book Antiqua" w:hAnsi="Book Antiqua"/>
          <w:sz w:val="20"/>
          <w:szCs w:val="20"/>
        </w:rPr>
        <w:t>Havendo eventual empate entre propostas ou lances, o critério de desempate será aquele previsto no art. 60 da Lei nº 14.133, de 2021, nesta ordem:</w:t>
      </w:r>
    </w:p>
    <w:p w14:paraId="335E10F5">
      <w:pPr>
        <w:numPr>
          <w:ilvl w:val="2"/>
          <w:numId w:val="4"/>
        </w:numPr>
        <w:tabs>
          <w:tab w:val="left" w:pos="709"/>
          <w:tab w:val="left" w:pos="993"/>
        </w:tabs>
        <w:ind w:left="0" w:firstLine="142"/>
        <w:jc w:val="both"/>
        <w:rPr>
          <w:rFonts w:ascii="Book Antiqua" w:hAnsi="Book Antiqua"/>
          <w:sz w:val="20"/>
          <w:szCs w:val="20"/>
        </w:rPr>
      </w:pPr>
      <w:r>
        <w:rPr>
          <w:rFonts w:ascii="Book Antiqua" w:hAnsi="Book Antiqua"/>
          <w:sz w:val="20"/>
          <w:szCs w:val="20"/>
        </w:rPr>
        <w:t>disputa final, hipótese em que os licitantes empatados poderão apresentar nova proposta em ato contínuo à classificação;</w:t>
      </w:r>
    </w:p>
    <w:p w14:paraId="3ABD4D83">
      <w:pPr>
        <w:numPr>
          <w:ilvl w:val="2"/>
          <w:numId w:val="4"/>
        </w:numPr>
        <w:tabs>
          <w:tab w:val="left" w:pos="709"/>
          <w:tab w:val="left" w:pos="993"/>
        </w:tabs>
        <w:ind w:left="0" w:firstLine="142"/>
        <w:jc w:val="both"/>
        <w:rPr>
          <w:rFonts w:ascii="Book Antiqua" w:hAnsi="Book Antiqua"/>
          <w:sz w:val="20"/>
          <w:szCs w:val="20"/>
        </w:rPr>
      </w:pPr>
      <w:r>
        <w:rPr>
          <w:rFonts w:ascii="Book Antiqua" w:hAnsi="Book Antiqua"/>
          <w:sz w:val="20"/>
          <w:szCs w:val="20"/>
        </w:rPr>
        <w:t>avaliação do desempenho contratual prévio dos licitantes, para a qual deverão preferencialmente ser utilizados registros cadastrais para efeito de atesto de cumprimento de obrigações previstos nesta Lei;</w:t>
      </w:r>
    </w:p>
    <w:p w14:paraId="0B537183">
      <w:pPr>
        <w:numPr>
          <w:ilvl w:val="2"/>
          <w:numId w:val="4"/>
        </w:numPr>
        <w:tabs>
          <w:tab w:val="left" w:pos="851"/>
        </w:tabs>
        <w:ind w:left="0" w:firstLine="142"/>
        <w:jc w:val="both"/>
        <w:rPr>
          <w:rFonts w:ascii="Book Antiqua" w:hAnsi="Book Antiqua"/>
          <w:sz w:val="20"/>
          <w:szCs w:val="20"/>
        </w:rPr>
      </w:pPr>
      <w:r>
        <w:rPr>
          <w:rFonts w:ascii="Book Antiqua" w:hAnsi="Book Antiqua"/>
          <w:sz w:val="20"/>
          <w:szCs w:val="20"/>
        </w:rPr>
        <w:t>desenvolvimento pelo licitante de ações de equidade entre homens e mulheres no ambiente de trabalho, conforme regulamento;</w:t>
      </w:r>
    </w:p>
    <w:p w14:paraId="1B3656AE">
      <w:pPr>
        <w:numPr>
          <w:ilvl w:val="2"/>
          <w:numId w:val="4"/>
        </w:numPr>
        <w:tabs>
          <w:tab w:val="left" w:pos="709"/>
          <w:tab w:val="left" w:pos="993"/>
        </w:tabs>
        <w:ind w:left="0" w:firstLine="142"/>
        <w:jc w:val="both"/>
        <w:rPr>
          <w:rFonts w:ascii="Book Antiqua" w:hAnsi="Book Antiqua"/>
          <w:sz w:val="20"/>
          <w:szCs w:val="20"/>
        </w:rPr>
      </w:pPr>
      <w:r>
        <w:rPr>
          <w:rFonts w:ascii="Book Antiqua" w:hAnsi="Book Antiqua"/>
          <w:sz w:val="20"/>
          <w:szCs w:val="20"/>
        </w:rPr>
        <w:t>desenvolvimento pelo licitante de programa de integridade, conforme orientações dos órgãos de controle.</w:t>
      </w:r>
    </w:p>
    <w:p w14:paraId="0EA80B82">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Persistindo o empate, será assegurada preferência, sucessivamente, aos bens e serviços produzidos ou prestados por:</w:t>
      </w:r>
    </w:p>
    <w:p w14:paraId="5FCE39D7">
      <w:pPr>
        <w:numPr>
          <w:ilvl w:val="2"/>
          <w:numId w:val="4"/>
        </w:numPr>
        <w:ind w:left="0" w:firstLine="142"/>
        <w:jc w:val="both"/>
        <w:rPr>
          <w:rFonts w:ascii="Book Antiqua" w:hAnsi="Book Antiqua"/>
          <w:sz w:val="20"/>
          <w:szCs w:val="20"/>
        </w:rPr>
      </w:pPr>
      <w:r>
        <w:rPr>
          <w:rFonts w:ascii="Book Antiqua" w:hAnsi="Book Antiqua"/>
          <w:sz w:val="20"/>
          <w:szCs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58DCF1E">
      <w:pPr>
        <w:numPr>
          <w:ilvl w:val="2"/>
          <w:numId w:val="4"/>
        </w:numPr>
        <w:ind w:left="0" w:firstLine="142"/>
        <w:jc w:val="both"/>
        <w:rPr>
          <w:rFonts w:ascii="Book Antiqua" w:hAnsi="Book Antiqua"/>
          <w:sz w:val="20"/>
          <w:szCs w:val="20"/>
        </w:rPr>
      </w:pPr>
      <w:r>
        <w:rPr>
          <w:rFonts w:ascii="Book Antiqua" w:hAnsi="Book Antiqua"/>
          <w:sz w:val="20"/>
          <w:szCs w:val="20"/>
        </w:rPr>
        <w:t>empresas brasileiras;</w:t>
      </w:r>
    </w:p>
    <w:p w14:paraId="2C4F557E">
      <w:pPr>
        <w:numPr>
          <w:ilvl w:val="2"/>
          <w:numId w:val="4"/>
        </w:numPr>
        <w:ind w:left="0" w:firstLine="142"/>
        <w:jc w:val="both"/>
        <w:rPr>
          <w:rFonts w:ascii="Book Antiqua" w:hAnsi="Book Antiqua"/>
          <w:sz w:val="20"/>
          <w:szCs w:val="20"/>
        </w:rPr>
      </w:pPr>
      <w:r>
        <w:rPr>
          <w:rFonts w:ascii="Book Antiqua" w:hAnsi="Book Antiqua"/>
          <w:sz w:val="20"/>
          <w:szCs w:val="20"/>
        </w:rPr>
        <w:t>empresas que invistam em pesquisa e no desenvolvimento de tecnologia no País;</w:t>
      </w:r>
    </w:p>
    <w:p w14:paraId="675E5DB7">
      <w:pPr>
        <w:numPr>
          <w:ilvl w:val="2"/>
          <w:numId w:val="4"/>
        </w:numPr>
        <w:ind w:left="0" w:firstLine="142"/>
        <w:jc w:val="both"/>
        <w:rPr>
          <w:rFonts w:ascii="Book Antiqua" w:hAnsi="Book Antiqua"/>
          <w:sz w:val="20"/>
          <w:szCs w:val="20"/>
        </w:rPr>
      </w:pPr>
      <w:r>
        <w:rPr>
          <w:rFonts w:ascii="Book Antiqua" w:hAnsi="Book Antiqua"/>
          <w:sz w:val="20"/>
          <w:szCs w:val="20"/>
        </w:rPr>
        <w:t>empresas que comprovem a prática de mitigação, nos termos da Lei nº 12.187, de 29 de dezembro de 2009</w:t>
      </w:r>
    </w:p>
    <w:p w14:paraId="5687B24E">
      <w:pPr>
        <w:numPr>
          <w:ilvl w:val="1"/>
          <w:numId w:val="4"/>
        </w:numPr>
        <w:tabs>
          <w:tab w:val="left" w:pos="567"/>
        </w:tabs>
        <w:ind w:left="0" w:firstLine="0"/>
        <w:jc w:val="both"/>
        <w:rPr>
          <w:rFonts w:ascii="Book Antiqua" w:hAnsi="Book Antiqua"/>
          <w:sz w:val="20"/>
          <w:szCs w:val="20"/>
        </w:rPr>
      </w:pPr>
      <w:r>
        <w:rPr>
          <w:rFonts w:ascii="Book Antiqua" w:hAnsi="Book Antiqua" w:cs="Courier New"/>
          <w:sz w:val="20"/>
          <w:szCs w:val="20"/>
        </w:rPr>
        <w:t xml:space="preserve">Poderão ser corrigidos automaticamente pelo Pregoeiro depois de encerrados, erros relativos a operações matemáticas. </w:t>
      </w:r>
    </w:p>
    <w:p w14:paraId="2ED02CC2">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Casos não se realizem lances serão verificados a conformidade entre a proposta de menor valor e o valor estimado da contratação. </w:t>
      </w:r>
    </w:p>
    <w:p w14:paraId="0351E0D4">
      <w:pPr>
        <w:numPr>
          <w:ilvl w:val="1"/>
          <w:numId w:val="4"/>
        </w:numPr>
        <w:tabs>
          <w:tab w:val="left" w:pos="426"/>
        </w:tabs>
        <w:ind w:left="0" w:firstLine="0"/>
        <w:jc w:val="both"/>
        <w:rPr>
          <w:rFonts w:ascii="Book Antiqua" w:hAnsi="Book Antiqua"/>
          <w:sz w:val="20"/>
          <w:szCs w:val="20"/>
        </w:rPr>
      </w:pPr>
      <w:r>
        <w:rPr>
          <w:rFonts w:ascii="Book Antiqua" w:hAnsi="Book Antiqua" w:cs="Courier New"/>
          <w:sz w:val="20"/>
          <w:szCs w:val="20"/>
        </w:rPr>
        <w:t xml:space="preserve">Todos os avisos de suspensão em decorrência de horário de expediente ou fatos supervenientes, serão disponibilizados no sistema utilizado, sendo de inteira responsabilidade o acompanhamento por parte do licitante. </w:t>
      </w:r>
    </w:p>
    <w:p w14:paraId="772ACA07">
      <w:pPr>
        <w:numPr>
          <w:ilvl w:val="1"/>
          <w:numId w:val="4"/>
        </w:numPr>
        <w:tabs>
          <w:tab w:val="left" w:pos="567"/>
        </w:tabs>
        <w:ind w:left="0" w:firstLine="0"/>
        <w:jc w:val="both"/>
        <w:rPr>
          <w:rFonts w:ascii="Book Antiqua" w:hAnsi="Book Antiqua"/>
          <w:sz w:val="20"/>
          <w:szCs w:val="20"/>
        </w:rPr>
      </w:pPr>
      <w:r>
        <w:rPr>
          <w:rFonts w:ascii="Book Antiqua" w:hAnsi="Book Antiqua" w:cs="Courier New"/>
          <w:sz w:val="20"/>
          <w:szCs w:val="20"/>
        </w:rPr>
        <w:t xml:space="preserve">Todos e quaisquer avisos pertinentes ao certame serão postados no chat e/ou anexados no campo “DOCUMENTO” no sistema </w:t>
      </w:r>
      <w:r>
        <w:fldChar w:fldCharType="begin"/>
      </w:r>
      <w:r>
        <w:instrText xml:space="preserve"> HYPERLINK "http://www.portaldecompraspublicas.com.br" </w:instrText>
      </w:r>
      <w:r>
        <w:fldChar w:fldCharType="separate"/>
      </w:r>
      <w:r>
        <w:rPr>
          <w:rStyle w:val="20"/>
          <w:rFonts w:ascii="Book Antiqua" w:hAnsi="Book Antiqua" w:cs="Courier New"/>
          <w:b/>
          <w:bCs/>
          <w:color w:val="0000CC"/>
          <w:sz w:val="20"/>
          <w:szCs w:val="20"/>
        </w:rPr>
        <w:t>www.portaldecompraspublicas.com.br</w:t>
      </w:r>
      <w:r>
        <w:rPr>
          <w:rStyle w:val="20"/>
          <w:rFonts w:ascii="Book Antiqua" w:hAnsi="Book Antiqua" w:cs="Courier New"/>
          <w:b/>
          <w:bCs/>
          <w:color w:val="0000CC"/>
          <w:sz w:val="20"/>
          <w:szCs w:val="20"/>
        </w:rPr>
        <w:fldChar w:fldCharType="end"/>
      </w:r>
      <w:r>
        <w:rPr>
          <w:rFonts w:ascii="Book Antiqua" w:hAnsi="Book Antiqua" w:cs="Courier New"/>
          <w:b/>
          <w:bCs/>
          <w:color w:val="0000CC"/>
          <w:sz w:val="20"/>
          <w:szCs w:val="20"/>
        </w:rPr>
        <w:t>.</w:t>
      </w:r>
      <w:r>
        <w:rPr>
          <w:rFonts w:ascii="Book Antiqua" w:hAnsi="Book Antiqua" w:cs="Courier New"/>
          <w:sz w:val="20"/>
          <w:szCs w:val="20"/>
        </w:rPr>
        <w:t xml:space="preserve"> Não podendo o licitante alegar desconhecimento da informação, sob pena de decair seus direitos. </w:t>
      </w:r>
    </w:p>
    <w:p w14:paraId="7288B687">
      <w:pPr>
        <w:numPr>
          <w:ilvl w:val="0"/>
          <w:numId w:val="4"/>
        </w:numPr>
        <w:tabs>
          <w:tab w:val="left" w:pos="284"/>
        </w:tabs>
        <w:ind w:left="0" w:firstLine="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 xml:space="preserve">DA ANÁLISE E NEGOCIAÇÃO COM A </w:t>
      </w:r>
      <w:r>
        <w:rPr>
          <w:rFonts w:ascii="Book Antiqua" w:hAnsi="Book Antiqua"/>
          <w:b/>
          <w:bCs/>
          <w:sz w:val="20"/>
          <w:szCs w:val="20"/>
          <w:u w:val="single"/>
          <w:shd w:val="clear" w:color="auto" w:fill="BABABA"/>
        </w:rPr>
        <w:t>PROPOSTA</w:t>
      </w:r>
      <w:r>
        <w:rPr>
          <w:rFonts w:ascii="Book Antiqua" w:hAnsi="Book Antiqua"/>
          <w:b/>
          <w:bCs/>
          <w:sz w:val="20"/>
          <w:szCs w:val="20"/>
          <w:u w:val="single"/>
          <w:shd w:val="clear" w:color="auto" w:fill="B3B3B3"/>
        </w:rPr>
        <w:t xml:space="preserve"> VENCEDORA</w:t>
      </w:r>
    </w:p>
    <w:p w14:paraId="788D8523">
      <w:pPr>
        <w:numPr>
          <w:ilvl w:val="1"/>
          <w:numId w:val="4"/>
        </w:numPr>
        <w:ind w:left="0" w:firstLine="0"/>
        <w:jc w:val="both"/>
        <w:rPr>
          <w:rFonts w:ascii="Book Antiqua" w:hAnsi="Book Antiqua"/>
          <w:sz w:val="20"/>
          <w:szCs w:val="20"/>
        </w:rPr>
      </w:pPr>
      <w:r>
        <w:rPr>
          <w:rFonts w:ascii="Book Antiqua" w:hAnsi="Book Antiqua"/>
          <w:sz w:val="20"/>
          <w:szCs w:val="20"/>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r>
        <w:fldChar w:fldCharType="begin"/>
      </w:r>
      <w:r>
        <w:instrText xml:space="preserve"> HYPERLINK "https://www.gov.br/compras/pt-br/acesso-a-informacao/legislacao/instrucoes-normativas/instrucao-normativa-seges-me-no-73-de-30-de-setembro-de-2022" \l "art29" </w:instrText>
      </w:r>
      <w:r>
        <w:fldChar w:fldCharType="separate"/>
      </w:r>
      <w:r>
        <w:rPr>
          <w:rStyle w:val="20"/>
          <w:rFonts w:ascii="Book Antiqua" w:hAnsi="Book Antiqua"/>
          <w:b/>
          <w:bCs/>
          <w:sz w:val="20"/>
          <w:szCs w:val="20"/>
        </w:rPr>
        <w:t>Art. 29 a 35 da IN SEGES nº 73, de 30 de setembro de 2022</w:t>
      </w:r>
      <w:r>
        <w:rPr>
          <w:rStyle w:val="20"/>
          <w:rFonts w:ascii="Book Antiqua" w:hAnsi="Book Antiqua"/>
          <w:b/>
          <w:bCs/>
          <w:sz w:val="20"/>
          <w:szCs w:val="20"/>
        </w:rPr>
        <w:fldChar w:fldCharType="end"/>
      </w:r>
      <w:r>
        <w:rPr>
          <w:rFonts w:ascii="Book Antiqua" w:hAnsi="Book Antiqua"/>
          <w:b/>
          <w:bCs/>
          <w:sz w:val="20"/>
          <w:szCs w:val="20"/>
        </w:rPr>
        <w:t>.</w:t>
      </w:r>
    </w:p>
    <w:p w14:paraId="01CF3F8D">
      <w:pPr>
        <w:numPr>
          <w:ilvl w:val="1"/>
          <w:numId w:val="4"/>
        </w:numPr>
        <w:ind w:left="0" w:firstLine="0"/>
        <w:jc w:val="both"/>
        <w:rPr>
          <w:rFonts w:ascii="Book Antiqua" w:hAnsi="Book Antiqua"/>
          <w:sz w:val="20"/>
          <w:szCs w:val="20"/>
        </w:rPr>
      </w:pPr>
      <w:r>
        <w:rPr>
          <w:rFonts w:ascii="Book Antiqua" w:hAnsi="Book Antiqua" w:cs="Arial"/>
          <w:color w:val="000000"/>
          <w:sz w:val="20"/>
          <w:szCs w:val="20"/>
        </w:rPr>
        <w:t>Em sequência, o pregoeiro poderá encaminhar, pelo sistema eletrônico, contraproposta ao licitante que tenha apresentado o melhor preço, para que seja obtida melhor proposta, vedada a negociação em condições diferentes das previstas neste edital</w:t>
      </w:r>
      <w:r>
        <w:rPr>
          <w:rFonts w:ascii="Book Antiqua" w:hAnsi="Book Antiqua"/>
          <w:sz w:val="20"/>
          <w:szCs w:val="20"/>
        </w:rPr>
        <w:t>.</w:t>
      </w:r>
    </w:p>
    <w:p w14:paraId="20033A12">
      <w:pPr>
        <w:numPr>
          <w:ilvl w:val="1"/>
          <w:numId w:val="4"/>
        </w:numPr>
        <w:ind w:left="0" w:firstLine="0"/>
        <w:jc w:val="both"/>
        <w:rPr>
          <w:rFonts w:ascii="Book Antiqua" w:hAnsi="Book Antiqua"/>
          <w:sz w:val="20"/>
          <w:szCs w:val="20"/>
        </w:rPr>
      </w:pPr>
      <w:r>
        <w:rPr>
          <w:rFonts w:ascii="Book Antiqua" w:hAnsi="Book Antiqua"/>
          <w:sz w:val="20"/>
          <w:szCs w:val="20"/>
        </w:rPr>
        <w:t xml:space="preserve">Será desclassificada a proposta vencedora que: </w:t>
      </w:r>
    </w:p>
    <w:p w14:paraId="36D79696">
      <w:pPr>
        <w:numPr>
          <w:ilvl w:val="2"/>
          <w:numId w:val="4"/>
        </w:numPr>
        <w:ind w:left="0" w:firstLine="142"/>
        <w:jc w:val="both"/>
        <w:rPr>
          <w:rFonts w:ascii="Book Antiqua" w:hAnsi="Book Antiqua"/>
          <w:sz w:val="20"/>
          <w:szCs w:val="20"/>
        </w:rPr>
      </w:pPr>
      <w:r>
        <w:rPr>
          <w:rFonts w:ascii="Book Antiqua" w:hAnsi="Book Antiqua"/>
          <w:sz w:val="20"/>
          <w:szCs w:val="20"/>
        </w:rPr>
        <w:t>contiver vícios insanáveis;</w:t>
      </w:r>
    </w:p>
    <w:p w14:paraId="07B8CE5D">
      <w:pPr>
        <w:numPr>
          <w:ilvl w:val="2"/>
          <w:numId w:val="4"/>
        </w:numPr>
        <w:ind w:left="0" w:firstLine="142"/>
        <w:jc w:val="both"/>
        <w:rPr>
          <w:rFonts w:ascii="Book Antiqua" w:hAnsi="Book Antiqua"/>
          <w:sz w:val="20"/>
          <w:szCs w:val="20"/>
        </w:rPr>
      </w:pPr>
      <w:r>
        <w:rPr>
          <w:rFonts w:ascii="Book Antiqua" w:hAnsi="Book Antiqua"/>
          <w:sz w:val="20"/>
          <w:szCs w:val="20"/>
        </w:rPr>
        <w:t>não obedecer às especificações técnicas contidas no Termo de Referência;</w:t>
      </w:r>
    </w:p>
    <w:p w14:paraId="57D17F67">
      <w:pPr>
        <w:numPr>
          <w:ilvl w:val="2"/>
          <w:numId w:val="4"/>
        </w:numPr>
        <w:ind w:left="0" w:firstLine="142"/>
        <w:jc w:val="both"/>
        <w:rPr>
          <w:rFonts w:ascii="Book Antiqua" w:hAnsi="Book Antiqua"/>
          <w:sz w:val="20"/>
          <w:szCs w:val="20"/>
        </w:rPr>
      </w:pPr>
      <w:r>
        <w:rPr>
          <w:rFonts w:ascii="Book Antiqua" w:hAnsi="Book Antiqua"/>
          <w:sz w:val="20"/>
          <w:szCs w:val="20"/>
        </w:rPr>
        <w:t>apresentar preços inexequíveis ou permanecerem acima do preço máximo definido para a contratação;</w:t>
      </w:r>
    </w:p>
    <w:p w14:paraId="1B118669">
      <w:pPr>
        <w:numPr>
          <w:ilvl w:val="2"/>
          <w:numId w:val="4"/>
        </w:numPr>
        <w:ind w:left="0" w:firstLine="142"/>
        <w:jc w:val="both"/>
        <w:rPr>
          <w:rFonts w:ascii="Book Antiqua" w:hAnsi="Book Antiqua"/>
          <w:sz w:val="20"/>
          <w:szCs w:val="20"/>
        </w:rPr>
      </w:pPr>
      <w:r>
        <w:rPr>
          <w:rFonts w:ascii="Book Antiqua" w:hAnsi="Book Antiqua"/>
          <w:sz w:val="20"/>
          <w:szCs w:val="20"/>
        </w:rPr>
        <w:t>não tiverem sua exequibilidade demonstrada, quando exigido pela Administração;</w:t>
      </w:r>
    </w:p>
    <w:p w14:paraId="0A5E2484">
      <w:pPr>
        <w:numPr>
          <w:ilvl w:val="2"/>
          <w:numId w:val="4"/>
        </w:numPr>
        <w:ind w:left="0" w:firstLine="142"/>
        <w:jc w:val="both"/>
        <w:rPr>
          <w:rFonts w:ascii="Book Antiqua" w:hAnsi="Book Antiqua"/>
          <w:sz w:val="20"/>
          <w:szCs w:val="20"/>
        </w:rPr>
      </w:pPr>
      <w:r>
        <w:rPr>
          <w:rFonts w:ascii="Book Antiqua" w:hAnsi="Book Antiqua"/>
          <w:sz w:val="20"/>
          <w:szCs w:val="20"/>
        </w:rPr>
        <w:t>apresentar desconformidade com quaisquer outras exigências deste Edital ou seus anexos, desde que insanável.</w:t>
      </w:r>
    </w:p>
    <w:p w14:paraId="58ABA289">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No caso de bens e serviços em geral, é indício de inexequibilidade das propostas valores inferiores a 50% (cinquenta por cento) do valor orçado pela Administração.</w:t>
      </w:r>
    </w:p>
    <w:p w14:paraId="4B873FA8">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A inexequibilidade, na hipótese de que trata o caput, só será considerada após diligência do pregoeiro, que comprove:</w:t>
      </w:r>
    </w:p>
    <w:p w14:paraId="1EA1DA5D">
      <w:pPr>
        <w:numPr>
          <w:ilvl w:val="2"/>
          <w:numId w:val="4"/>
        </w:numPr>
        <w:ind w:left="0" w:firstLine="142"/>
        <w:jc w:val="both"/>
        <w:rPr>
          <w:rFonts w:ascii="Book Antiqua" w:hAnsi="Book Antiqua"/>
          <w:sz w:val="20"/>
          <w:szCs w:val="20"/>
        </w:rPr>
      </w:pPr>
      <w:r>
        <w:rPr>
          <w:rFonts w:ascii="Book Antiqua" w:hAnsi="Book Antiqua"/>
          <w:sz w:val="20"/>
          <w:szCs w:val="20"/>
        </w:rPr>
        <w:t>que o custo do licitante ultrapassa o valor da proposta; e</w:t>
      </w:r>
    </w:p>
    <w:p w14:paraId="4242DC74">
      <w:pPr>
        <w:numPr>
          <w:ilvl w:val="2"/>
          <w:numId w:val="4"/>
        </w:numPr>
        <w:ind w:left="0" w:firstLine="142"/>
        <w:jc w:val="both"/>
        <w:rPr>
          <w:rFonts w:ascii="Book Antiqua" w:hAnsi="Book Antiqua"/>
          <w:sz w:val="20"/>
          <w:szCs w:val="20"/>
        </w:rPr>
      </w:pPr>
      <w:r>
        <w:rPr>
          <w:rFonts w:ascii="Book Antiqua" w:hAnsi="Book Antiqua"/>
          <w:sz w:val="20"/>
          <w:szCs w:val="20"/>
        </w:rPr>
        <w:t>inexistirem custos de oportunidade capazes de justificar o vulto da oferta.</w:t>
      </w:r>
    </w:p>
    <w:p w14:paraId="1A103099">
      <w:pPr>
        <w:numPr>
          <w:ilvl w:val="1"/>
          <w:numId w:val="4"/>
        </w:numPr>
        <w:tabs>
          <w:tab w:val="left" w:pos="142"/>
          <w:tab w:val="left" w:pos="426"/>
        </w:tabs>
        <w:ind w:left="0" w:firstLine="0"/>
        <w:jc w:val="both"/>
        <w:rPr>
          <w:rFonts w:ascii="Book Antiqua" w:hAnsi="Book Antiqua"/>
          <w:sz w:val="20"/>
          <w:szCs w:val="20"/>
        </w:rPr>
      </w:pPr>
      <w:r>
        <w:rPr>
          <w:rFonts w:ascii="Book Antiqua" w:hAnsi="Book Antiqua"/>
          <w:sz w:val="20"/>
          <w:szCs w:val="20"/>
        </w:rPr>
        <w:t>Em contratação de serviços de engenharia, além das disposições acima, a análise de exequibilidade e sobrepreço considerará o seguinte:</w:t>
      </w:r>
    </w:p>
    <w:p w14:paraId="7A252AFB">
      <w:pPr>
        <w:numPr>
          <w:ilvl w:val="2"/>
          <w:numId w:val="4"/>
        </w:numPr>
        <w:ind w:left="0" w:firstLine="142"/>
        <w:jc w:val="both"/>
        <w:rPr>
          <w:rFonts w:ascii="Book Antiqua" w:hAnsi="Book Antiqua"/>
          <w:sz w:val="20"/>
          <w:szCs w:val="20"/>
        </w:rPr>
      </w:pPr>
      <w:r>
        <w:rPr>
          <w:rFonts w:ascii="Book Antiqua" w:hAnsi="Book Antiqua"/>
          <w:sz w:val="20"/>
          <w:szCs w:val="20"/>
        </w:rPr>
        <w:t>Nos regimes de execução por tarefa, empreitada por preço global ou empreitada integral, semi-integrada ou integrada, a caracterização do sobrepreço se dará pela superação do valor global estimado;</w:t>
      </w:r>
    </w:p>
    <w:p w14:paraId="7EEED15F">
      <w:pPr>
        <w:numPr>
          <w:ilvl w:val="2"/>
          <w:numId w:val="4"/>
        </w:numPr>
        <w:ind w:left="0" w:firstLine="142"/>
        <w:jc w:val="both"/>
        <w:rPr>
          <w:rFonts w:ascii="Book Antiqua" w:hAnsi="Book Antiqua"/>
          <w:sz w:val="20"/>
          <w:szCs w:val="20"/>
        </w:rPr>
      </w:pPr>
      <w:r>
        <w:rPr>
          <w:rFonts w:ascii="Book Antiqua" w:hAnsi="Book Antiqua"/>
          <w:sz w:val="20"/>
          <w:szCs w:val="20"/>
        </w:rPr>
        <w:t>No regime de empreitada por preço unitário, a caracterização do sobrepreço se dará pela superação do valor global estimado e pela superação de custo unitário tido como relevante, conforme planilha anexa ao edital;</w:t>
      </w:r>
    </w:p>
    <w:p w14:paraId="2AE322D2">
      <w:pPr>
        <w:numPr>
          <w:ilvl w:val="2"/>
          <w:numId w:val="4"/>
        </w:numPr>
        <w:ind w:left="0" w:firstLine="142"/>
        <w:jc w:val="both"/>
        <w:rPr>
          <w:rFonts w:ascii="Book Antiqua" w:hAnsi="Book Antiqua"/>
          <w:sz w:val="20"/>
          <w:szCs w:val="20"/>
        </w:rPr>
      </w:pPr>
      <w:r>
        <w:rPr>
          <w:rFonts w:ascii="Book Antiqua" w:hAnsi="Book Antiqua"/>
          <w:sz w:val="20"/>
          <w:szCs w:val="20"/>
        </w:rPr>
        <w:t>No caso de serviços de engenharia, serão consideradas inexequíveis as propostas cujos valores forem inferiores a 75% (setenta e cinco por cento) do valor orçado pela Administração, independentemente do regime de execução.</w:t>
      </w:r>
    </w:p>
    <w:p w14:paraId="66BBAF20">
      <w:pPr>
        <w:numPr>
          <w:ilvl w:val="2"/>
          <w:numId w:val="4"/>
        </w:numPr>
        <w:ind w:left="0" w:firstLine="142"/>
        <w:jc w:val="both"/>
        <w:rPr>
          <w:rFonts w:ascii="Book Antiqua" w:hAnsi="Book Antiqua"/>
          <w:sz w:val="20"/>
          <w:szCs w:val="20"/>
        </w:rPr>
      </w:pPr>
      <w:r>
        <w:rPr>
          <w:rFonts w:ascii="Book Antiqua" w:hAnsi="Book Antiqua"/>
          <w:sz w:val="20"/>
          <w:szCs w:val="20"/>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493A3A7D">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Se houver indícios de inexequibilidade da proposta de preço, ou em caso da necessidade de esclarecimentos complementares, poderão ser efetuadas diligências, para que a empresa comprove a exequibilidade da proposta.</w:t>
      </w:r>
    </w:p>
    <w:p w14:paraId="59E29B69">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77A6211">
      <w:pPr>
        <w:numPr>
          <w:ilvl w:val="2"/>
          <w:numId w:val="4"/>
        </w:numPr>
        <w:ind w:left="0" w:firstLine="142"/>
        <w:jc w:val="both"/>
        <w:rPr>
          <w:rFonts w:ascii="Book Antiqua" w:hAnsi="Book Antiqua"/>
          <w:sz w:val="20"/>
          <w:szCs w:val="20"/>
        </w:rPr>
      </w:pPr>
      <w:r>
        <w:rPr>
          <w:rFonts w:ascii="Book Antiqua" w:hAnsi="Book Antiqua"/>
          <w:sz w:val="20"/>
          <w:szCs w:val="20"/>
        </w:rPr>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41745622">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Erros no preenchimento da planilha não constituem motivo para a desclassificação da proposta. A planilha poderá́ ser ajustada pelo fornecedor, no prazo indicado pelo sistema, desde que n</w:t>
      </w:r>
      <w:r>
        <w:rPr>
          <w:rFonts w:ascii="Book Antiqua" w:hAnsi="Book Antiqua" w:cs="Book Antiqua"/>
          <w:sz w:val="20"/>
          <w:szCs w:val="20"/>
        </w:rPr>
        <w:t>ã</w:t>
      </w:r>
      <w:r>
        <w:rPr>
          <w:rFonts w:ascii="Book Antiqua" w:hAnsi="Book Antiqua"/>
          <w:sz w:val="20"/>
          <w:szCs w:val="20"/>
        </w:rPr>
        <w:t>o haja majora</w:t>
      </w:r>
      <w:r>
        <w:rPr>
          <w:rFonts w:ascii="Book Antiqua" w:hAnsi="Book Antiqua" w:cs="Book Antiqua"/>
          <w:sz w:val="20"/>
          <w:szCs w:val="20"/>
        </w:rPr>
        <w:t>çã</w:t>
      </w:r>
      <w:r>
        <w:rPr>
          <w:rFonts w:ascii="Book Antiqua" w:hAnsi="Book Antiqua"/>
          <w:sz w:val="20"/>
          <w:szCs w:val="20"/>
        </w:rPr>
        <w:t>o do pre</w:t>
      </w:r>
      <w:r>
        <w:rPr>
          <w:rFonts w:ascii="Book Antiqua" w:hAnsi="Book Antiqua" w:cs="Book Antiqua"/>
          <w:sz w:val="20"/>
          <w:szCs w:val="20"/>
        </w:rPr>
        <w:t>ç</w:t>
      </w:r>
      <w:r>
        <w:rPr>
          <w:rFonts w:ascii="Book Antiqua" w:hAnsi="Book Antiqua"/>
          <w:sz w:val="20"/>
          <w:szCs w:val="20"/>
        </w:rPr>
        <w:t xml:space="preserve">o e que se comprove que este </w:t>
      </w:r>
      <w:r>
        <w:rPr>
          <w:rFonts w:ascii="Book Antiqua" w:hAnsi="Book Antiqua" w:cs="Book Antiqua"/>
          <w:sz w:val="20"/>
          <w:szCs w:val="20"/>
        </w:rPr>
        <w:t>é</w:t>
      </w:r>
      <w:r>
        <w:rPr>
          <w:rFonts w:ascii="Book Antiqua" w:hAnsi="Book Antiqua"/>
          <w:sz w:val="20"/>
          <w:szCs w:val="20"/>
        </w:rPr>
        <w:t xml:space="preserve"> o bastante para arcar com todos os custos da contrata</w:t>
      </w:r>
      <w:r>
        <w:rPr>
          <w:rFonts w:ascii="Book Antiqua" w:hAnsi="Book Antiqua" w:cs="Book Antiqua"/>
          <w:sz w:val="20"/>
          <w:szCs w:val="20"/>
        </w:rPr>
        <w:t>çã</w:t>
      </w:r>
      <w:r>
        <w:rPr>
          <w:rFonts w:ascii="Book Antiqua" w:hAnsi="Book Antiqua"/>
          <w:sz w:val="20"/>
          <w:szCs w:val="20"/>
        </w:rPr>
        <w:t>o;</w:t>
      </w:r>
    </w:p>
    <w:p w14:paraId="27193C55">
      <w:pPr>
        <w:numPr>
          <w:ilvl w:val="2"/>
          <w:numId w:val="4"/>
        </w:numPr>
        <w:ind w:left="0" w:firstLine="142"/>
        <w:jc w:val="both"/>
        <w:rPr>
          <w:rFonts w:ascii="Book Antiqua" w:hAnsi="Book Antiqua"/>
          <w:sz w:val="20"/>
          <w:szCs w:val="20"/>
        </w:rPr>
      </w:pPr>
      <w:r>
        <w:rPr>
          <w:rFonts w:ascii="Book Antiqua" w:hAnsi="Book Antiqua"/>
          <w:sz w:val="20"/>
          <w:szCs w:val="20"/>
        </w:rPr>
        <w:t>O ajuste de que trata este dispositivo se limita a sanar erros ou falhas que não alterem a substância das propostas;</w:t>
      </w:r>
    </w:p>
    <w:p w14:paraId="33496410">
      <w:pPr>
        <w:numPr>
          <w:ilvl w:val="2"/>
          <w:numId w:val="4"/>
        </w:numPr>
        <w:ind w:left="0" w:firstLine="142"/>
        <w:jc w:val="both"/>
        <w:rPr>
          <w:rFonts w:ascii="Book Antiqua" w:hAnsi="Book Antiqua"/>
          <w:sz w:val="20"/>
          <w:szCs w:val="20"/>
        </w:rPr>
      </w:pPr>
      <w:r>
        <w:rPr>
          <w:rFonts w:ascii="Book Antiqua" w:hAnsi="Book Antiqua"/>
          <w:sz w:val="20"/>
          <w:szCs w:val="20"/>
        </w:rPr>
        <w:t>Considera-se erro no preenchimento da planilha passível de correção a indicação de recolhimento de impostos e contribuições na forma do Simples Nacional, quando não cabível esse regime.</w:t>
      </w:r>
    </w:p>
    <w:p w14:paraId="3AC8C50A">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C5092D2">
      <w:pPr>
        <w:numPr>
          <w:ilvl w:val="1"/>
          <w:numId w:val="4"/>
        </w:numPr>
        <w:tabs>
          <w:tab w:val="left" w:pos="426"/>
        </w:tabs>
        <w:ind w:left="0" w:firstLine="0"/>
        <w:jc w:val="both"/>
        <w:rPr>
          <w:rFonts w:ascii="Book Antiqua" w:hAnsi="Book Antiqua"/>
          <w:sz w:val="20"/>
          <w:szCs w:val="20"/>
        </w:rPr>
      </w:pPr>
      <w:r>
        <w:rPr>
          <w:rFonts w:ascii="Book Antiqua" w:hAnsi="Book Antiqua" w:cs="Arial"/>
          <w:color w:val="000000"/>
          <w:sz w:val="20"/>
          <w:szCs w:val="20"/>
        </w:rPr>
        <w:t>A negociação será realizada por meio do sistema e poderá ser acompanhada pelos demais licitantes.</w:t>
      </w:r>
    </w:p>
    <w:p w14:paraId="6763FEA2">
      <w:pPr>
        <w:numPr>
          <w:ilvl w:val="1"/>
          <w:numId w:val="4"/>
        </w:numPr>
        <w:ind w:left="0" w:firstLine="0"/>
        <w:jc w:val="both"/>
        <w:rPr>
          <w:rFonts w:ascii="Book Antiqua" w:hAnsi="Book Antiqua"/>
          <w:sz w:val="20"/>
          <w:szCs w:val="20"/>
        </w:rPr>
      </w:pPr>
      <w:r>
        <w:rPr>
          <w:rFonts w:ascii="Book Antiqua" w:hAnsi="Book Antiqua" w:cs="Arial"/>
          <w:color w:val="000000"/>
          <w:sz w:val="20"/>
          <w:szCs w:val="20"/>
        </w:rPr>
        <w:t>Após negociação do pregoeiro com o licitante que ofertou a melhor proposta, será solicitado para que no prazo de 2 (duas) horas, contado da solicitação do pregoeiro no sistema, para envio da proposta e, se necessário, dos documentos complementares, adequada ao último lance ofertado</w:t>
      </w:r>
      <w:r>
        <w:rPr>
          <w:rFonts w:ascii="Book Antiqua" w:hAnsi="Book Antiqua" w:cs="Arial"/>
          <w:b/>
          <w:bCs/>
          <w:color w:val="000000"/>
          <w:sz w:val="20"/>
          <w:szCs w:val="20"/>
        </w:rPr>
        <w:t>.</w:t>
      </w:r>
    </w:p>
    <w:p w14:paraId="6EE98C3B">
      <w:pPr>
        <w:numPr>
          <w:ilvl w:val="0"/>
          <w:numId w:val="4"/>
        </w:numPr>
        <w:tabs>
          <w:tab w:val="left" w:pos="284"/>
        </w:tabs>
        <w:ind w:left="0" w:firstLine="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DA HABILITAÇÃO</w:t>
      </w:r>
    </w:p>
    <w:p w14:paraId="01E9E73A">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lang w:eastAsia="ar-SA"/>
        </w:rPr>
        <w:t>Encerrada a etapa de negociação, o pregoeiro verificará se o licitante provisoriamente classificado em primeiro lugar atende às condições de participação no certame, conforme previsto no art. 14 da Lei nº 14.133/2021, especialmente quanto à existência de sanção que impeça a participação no certame ou a futura contratação, mediante a consulta aos seguintes cadastros:</w:t>
      </w:r>
    </w:p>
    <w:p w14:paraId="6864D2F5">
      <w:pPr>
        <w:numPr>
          <w:ilvl w:val="0"/>
          <w:numId w:val="5"/>
        </w:numPr>
        <w:suppressAutoHyphens/>
        <w:ind w:left="0"/>
        <w:jc w:val="both"/>
        <w:rPr>
          <w:rFonts w:ascii="Book Antiqua" w:hAnsi="Book Antiqua"/>
          <w:sz w:val="20"/>
          <w:szCs w:val="20"/>
        </w:rPr>
      </w:pPr>
      <w:r>
        <w:rPr>
          <w:rFonts w:ascii="Book Antiqua" w:hAnsi="Book Antiqua"/>
          <w:sz w:val="20"/>
          <w:szCs w:val="20"/>
        </w:rPr>
        <w:t>Cadastro Nacional de Empresas Inidôneas e Suspensas – CEIS, mantido pela Controladoria Geral da União (</w:t>
      </w:r>
      <w:r>
        <w:fldChar w:fldCharType="begin"/>
      </w:r>
      <w:r>
        <w:instrText xml:space="preserve"> HYPERLINK "http://www.portaldatransparencia.gov.br/ceis" </w:instrText>
      </w:r>
      <w:r>
        <w:fldChar w:fldCharType="separate"/>
      </w:r>
      <w:r>
        <w:rPr>
          <w:rFonts w:ascii="Book Antiqua" w:hAnsi="Book Antiqua"/>
          <w:b/>
          <w:bCs/>
          <w:color w:val="0000CC"/>
          <w:sz w:val="20"/>
          <w:szCs w:val="20"/>
          <w:u w:val="single"/>
        </w:rPr>
        <w:t>www.portaldatransparencia.gov.br/ceis</w:t>
      </w:r>
      <w:r>
        <w:rPr>
          <w:rFonts w:ascii="Book Antiqua" w:hAnsi="Book Antiqua"/>
          <w:b/>
          <w:bCs/>
          <w:color w:val="0000CC"/>
          <w:sz w:val="20"/>
          <w:szCs w:val="20"/>
          <w:u w:val="single"/>
        </w:rPr>
        <w:fldChar w:fldCharType="end"/>
      </w:r>
      <w:r>
        <w:rPr>
          <w:rFonts w:ascii="Book Antiqua" w:hAnsi="Book Antiqua"/>
          <w:sz w:val="20"/>
          <w:szCs w:val="20"/>
        </w:rPr>
        <w:t>);</w:t>
      </w:r>
    </w:p>
    <w:p w14:paraId="2A12A6F7">
      <w:pPr>
        <w:numPr>
          <w:ilvl w:val="0"/>
          <w:numId w:val="5"/>
        </w:numPr>
        <w:tabs>
          <w:tab w:val="left" w:pos="426"/>
        </w:tabs>
        <w:suppressAutoHyphens/>
        <w:ind w:left="0"/>
        <w:jc w:val="both"/>
        <w:rPr>
          <w:rFonts w:ascii="Book Antiqua" w:hAnsi="Book Antiqua"/>
          <w:sz w:val="20"/>
          <w:szCs w:val="20"/>
        </w:rPr>
      </w:pPr>
      <w:r>
        <w:rPr>
          <w:rFonts w:ascii="Book Antiqua" w:hAnsi="Book Antiqua"/>
          <w:bCs/>
          <w:sz w:val="20"/>
          <w:szCs w:val="20"/>
        </w:rPr>
        <w:t>Cadastro Nacional de Condenações Cíveis por Atos de Improbidade Administrativa, mantido pelo Conselho Nacional de Justiça</w:t>
      </w:r>
      <w:r>
        <w:rPr>
          <w:rFonts w:ascii="Book Antiqua" w:hAnsi="Book Antiqua"/>
          <w:sz w:val="20"/>
          <w:szCs w:val="20"/>
        </w:rPr>
        <w:t xml:space="preserve"> (</w:t>
      </w:r>
      <w:r>
        <w:fldChar w:fldCharType="begin"/>
      </w:r>
      <w:r>
        <w:instrText xml:space="preserve"> HYPERLINK "http://www.cnj.jus.br/improbidade_adm/consultar_requerido.php" </w:instrText>
      </w:r>
      <w:r>
        <w:fldChar w:fldCharType="separate"/>
      </w:r>
      <w:r>
        <w:rPr>
          <w:rFonts w:ascii="Book Antiqua" w:hAnsi="Book Antiqua"/>
          <w:b/>
          <w:bCs/>
          <w:color w:val="0000CC"/>
          <w:sz w:val="20"/>
          <w:szCs w:val="20"/>
          <w:u w:val="single"/>
        </w:rPr>
        <w:t>www.cnj.jus.br/improbidade_adm/consultar_requerido.php</w:t>
      </w:r>
      <w:r>
        <w:rPr>
          <w:rFonts w:ascii="Book Antiqua" w:hAnsi="Book Antiqua"/>
          <w:b/>
          <w:bCs/>
          <w:color w:val="0000CC"/>
          <w:sz w:val="20"/>
          <w:szCs w:val="20"/>
          <w:u w:val="single"/>
        </w:rPr>
        <w:fldChar w:fldCharType="end"/>
      </w:r>
      <w:r>
        <w:rPr>
          <w:rFonts w:ascii="Book Antiqua" w:hAnsi="Book Antiqua"/>
          <w:sz w:val="20"/>
          <w:szCs w:val="20"/>
        </w:rPr>
        <w:t>).</w:t>
      </w:r>
    </w:p>
    <w:p w14:paraId="6CFECCCE">
      <w:pPr>
        <w:numPr>
          <w:ilvl w:val="2"/>
          <w:numId w:val="4"/>
        </w:numPr>
        <w:ind w:left="0" w:firstLine="142"/>
        <w:jc w:val="both"/>
        <w:rPr>
          <w:rFonts w:ascii="Book Antiqua" w:hAnsi="Book Antiqua"/>
          <w:sz w:val="20"/>
          <w:szCs w:val="20"/>
        </w:rPr>
      </w:pPr>
      <w:r>
        <w:rPr>
          <w:rFonts w:ascii="Book Antiqua" w:hAnsi="Book Antiqua"/>
          <w:sz w:val="20"/>
          <w:szCs w:val="20"/>
        </w:rPr>
        <w:t xml:space="preserve">Poderá ser consultado o cadastro unificado do Tribunal de Contas da União, através do link </w:t>
      </w:r>
      <w:r>
        <w:fldChar w:fldCharType="begin"/>
      </w:r>
      <w:r>
        <w:instrText xml:space="preserve"> HYPERLINK "https://certidoes-apf.apps.tcu.gov.br/" </w:instrText>
      </w:r>
      <w:r>
        <w:fldChar w:fldCharType="separate"/>
      </w:r>
      <w:r>
        <w:rPr>
          <w:rStyle w:val="20"/>
          <w:rFonts w:ascii="Book Antiqua" w:hAnsi="Book Antiqua"/>
          <w:sz w:val="20"/>
          <w:szCs w:val="20"/>
        </w:rPr>
        <w:t>https://certidoes-apf.apps.tcu.gov.br/</w:t>
      </w:r>
      <w:r>
        <w:rPr>
          <w:rStyle w:val="20"/>
          <w:rFonts w:ascii="Book Antiqua" w:hAnsi="Book Antiqua"/>
          <w:sz w:val="20"/>
          <w:szCs w:val="20"/>
        </w:rPr>
        <w:fldChar w:fldCharType="end"/>
      </w:r>
      <w:r>
        <w:rPr>
          <w:rFonts w:ascii="Book Antiqua" w:hAnsi="Book Antiqua"/>
          <w:sz w:val="20"/>
          <w:szCs w:val="20"/>
        </w:rPr>
        <w:t xml:space="preserve">. </w:t>
      </w:r>
    </w:p>
    <w:p w14:paraId="289C0C04">
      <w:pPr>
        <w:numPr>
          <w:ilvl w:val="2"/>
          <w:numId w:val="4"/>
        </w:numPr>
        <w:ind w:left="0" w:firstLine="142"/>
        <w:jc w:val="both"/>
        <w:rPr>
          <w:rFonts w:ascii="Book Antiqua" w:hAnsi="Book Antiqua"/>
          <w:sz w:val="20"/>
          <w:szCs w:val="20"/>
        </w:rPr>
      </w:pPr>
      <w:r>
        <w:rPr>
          <w:rFonts w:ascii="Book Antiqua" w:hAnsi="Book Antiqua"/>
          <w:sz w:val="20"/>
          <w:szCs w:val="20"/>
        </w:rPr>
        <w:t>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585CC30">
      <w:pPr>
        <w:numPr>
          <w:ilvl w:val="2"/>
          <w:numId w:val="4"/>
        </w:numPr>
        <w:ind w:left="0" w:firstLine="142"/>
        <w:jc w:val="both"/>
        <w:rPr>
          <w:rFonts w:ascii="Book Antiqua" w:hAnsi="Book Antiqua"/>
          <w:sz w:val="20"/>
          <w:szCs w:val="20"/>
        </w:rPr>
      </w:pPr>
      <w:r>
        <w:rPr>
          <w:rFonts w:ascii="Book Antiqua" w:hAnsi="Book Antiqua"/>
          <w:sz w:val="20"/>
          <w:szCs w:val="20"/>
        </w:rPr>
        <w:t>Constatada a existência de sanção, o Pregoeiro reputará o licitante inabilitado, por falta de condição de participação.</w:t>
      </w:r>
    </w:p>
    <w:p w14:paraId="78F6F748">
      <w:pPr>
        <w:numPr>
          <w:ilvl w:val="1"/>
          <w:numId w:val="4"/>
        </w:numPr>
        <w:tabs>
          <w:tab w:val="left" w:pos="426"/>
        </w:tabs>
        <w:suppressAutoHyphens/>
        <w:ind w:left="0" w:firstLine="0"/>
        <w:jc w:val="both"/>
        <w:rPr>
          <w:rFonts w:ascii="Book Antiqua" w:hAnsi="Book Antiqua"/>
          <w:sz w:val="20"/>
          <w:szCs w:val="20"/>
        </w:rPr>
      </w:pPr>
      <w:r>
        <w:rPr>
          <w:rFonts w:ascii="Book Antiqua" w:hAnsi="Book Antiqua"/>
          <w:sz w:val="20"/>
          <w:szCs w:val="20"/>
          <w:lang w:eastAsia="ar-SA"/>
        </w:rPr>
        <w:t xml:space="preserve">Não ocorrendo inabilitação, a documentação de habilitação do </w:t>
      </w:r>
      <w:r>
        <w:rPr>
          <w:rFonts w:ascii="Book Antiqua" w:hAnsi="Book Antiqua"/>
          <w:sz w:val="20"/>
          <w:szCs w:val="20"/>
        </w:rPr>
        <w:t xml:space="preserve">licitante detentor da proposta classificada em primeiro lugar </w:t>
      </w:r>
      <w:r>
        <w:rPr>
          <w:rFonts w:ascii="Book Antiqua" w:hAnsi="Book Antiqua"/>
          <w:sz w:val="20"/>
          <w:szCs w:val="20"/>
          <w:lang w:eastAsia="ar-SA"/>
        </w:rPr>
        <w:t>será verificada</w:t>
      </w:r>
      <w:r>
        <w:rPr>
          <w:rFonts w:ascii="Book Antiqua" w:hAnsi="Book Antiqua"/>
          <w:sz w:val="20"/>
          <w:szCs w:val="20"/>
        </w:rPr>
        <w:t>.</w:t>
      </w:r>
    </w:p>
    <w:p w14:paraId="555A5435">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Os documentos previstos no Termo de Referência, necessários e suficientes para demonstrar a capacidade do licitante de realizar o objeto da licitação, serão exigidos para fins de habilitação, nos termos dos Arts. 62 a 70 da Lei nº 14.133, de 2021.</w:t>
      </w:r>
    </w:p>
    <w:p w14:paraId="7F861180">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 xml:space="preserve">A documentação exigida para fins de habilitação jurídica, fiscal, social e trabalhista e econômico-ﬁnanceira, poderá ser substituída pelo registro cadastral do Município de </w:t>
      </w:r>
      <w:r>
        <w:rPr>
          <w:rFonts w:ascii="Book Antiqua" w:hAnsi="Book Antiqua"/>
          <w:color w:val="000000" w:themeColor="text1"/>
          <w:sz w:val="20"/>
          <w:szCs w:val="20"/>
          <w14:textFill>
            <w14:solidFill>
              <w14:schemeClr w14:val="tx1"/>
            </w14:solidFill>
          </w14:textFill>
        </w:rPr>
        <w:t>São José de Mipibu/RN.</w:t>
      </w:r>
    </w:p>
    <w:p w14:paraId="5AFAB548">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1B66B92C">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Os documentos exigidos para fins de habilitação poderão ser apresentados em original, por cópia ou ainda por e-mail nos casos de necessidade de diligências e não for possível anexar os documentos via sistema.</w:t>
      </w:r>
    </w:p>
    <w:p w14:paraId="4EDA85B4">
      <w:pPr>
        <w:numPr>
          <w:ilvl w:val="1"/>
          <w:numId w:val="4"/>
        </w:numPr>
        <w:tabs>
          <w:tab w:val="left" w:pos="0"/>
          <w:tab w:val="left" w:pos="426"/>
        </w:tabs>
        <w:ind w:left="0" w:firstLine="0"/>
        <w:jc w:val="both"/>
        <w:rPr>
          <w:rFonts w:ascii="Book Antiqua" w:hAnsi="Book Antiqua"/>
          <w:sz w:val="20"/>
          <w:szCs w:val="20"/>
        </w:rPr>
      </w:pPr>
      <w:r>
        <w:rPr>
          <w:rFonts w:ascii="Book Antiqua" w:hAnsi="Book Antiqua"/>
          <w:sz w:val="20"/>
          <w:szCs w:val="20"/>
        </w:rPr>
        <w:t>Os documentos exigidos para fins de habilitação poderão ser substituídos por registro cadastral emitido por órgão ou entidade pública, desde que o registro tenha sido feito em obediência ao disposto na Lei nº 14.133/2021.</w:t>
      </w:r>
    </w:p>
    <w:p w14:paraId="3048377D">
      <w:pPr>
        <w:numPr>
          <w:ilvl w:val="1"/>
          <w:numId w:val="4"/>
        </w:numPr>
        <w:tabs>
          <w:tab w:val="left" w:pos="426"/>
        </w:tabs>
        <w:ind w:left="0" w:firstLine="0"/>
        <w:jc w:val="both"/>
        <w:rPr>
          <w:rFonts w:ascii="Book Antiqua" w:hAnsi="Book Antiqua"/>
          <w:b/>
          <w:bCs/>
          <w:sz w:val="20"/>
          <w:szCs w:val="20"/>
        </w:rPr>
      </w:pPr>
      <w:r>
        <w:rPr>
          <w:rFonts w:ascii="Book Antiqua" w:hAnsi="Book Antiqua"/>
          <w:b/>
          <w:bCs/>
          <w:sz w:val="20"/>
          <w:szCs w:val="20"/>
        </w:rPr>
        <w:t>Será verificado se o licitante apresentou declaração de que atende aos requisitos de habilitação, e o declarante responderá pela veracidade das informações prestadas, na forma da lei (art. 63, I, da Lei nº 14.133/2021).</w:t>
      </w:r>
    </w:p>
    <w:p w14:paraId="5D857BDE">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 xml:space="preserve">Será verificado se o licitante apresentou no sistema, </w:t>
      </w:r>
      <w:r>
        <w:rPr>
          <w:rFonts w:ascii="Book Antiqua" w:hAnsi="Book Antiqua"/>
          <w:sz w:val="20"/>
          <w:szCs w:val="20"/>
          <w:highlight w:val="yellow"/>
        </w:rPr>
        <w:t>sob pena de inabilitação</w:t>
      </w:r>
      <w:r>
        <w:rPr>
          <w:rFonts w:ascii="Book Antiqua" w:hAnsi="Book Antiqua"/>
          <w:sz w:val="20"/>
          <w:szCs w:val="20"/>
        </w:rPr>
        <w:t>, a declaração de que cumpre as exigências de reserva de cargos para pessoa com deficiência e para reabilitado da Previdência Social, previstas em lei e em outras normas específicas.</w:t>
      </w:r>
    </w:p>
    <w:p w14:paraId="687F3A61">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 xml:space="preserve">O licitante deverá apresentar, </w:t>
      </w:r>
      <w:r>
        <w:rPr>
          <w:rFonts w:ascii="Book Antiqua" w:hAnsi="Book Antiqua"/>
          <w:sz w:val="20"/>
          <w:szCs w:val="20"/>
          <w:highlight w:val="yellow"/>
        </w:rPr>
        <w:t>sob pena de desclassificação</w:t>
      </w:r>
      <w:r>
        <w:rPr>
          <w:rFonts w:ascii="Book Antiqua" w:hAnsi="Book Antiqua"/>
          <w:sz w:val="20"/>
          <w:szCs w:val="20"/>
        </w:rPr>
        <w:t>,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3EF918C">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14:paraId="48AFA0CB">
      <w:pPr>
        <w:numPr>
          <w:ilvl w:val="2"/>
          <w:numId w:val="4"/>
        </w:numPr>
        <w:ind w:left="0" w:firstLine="142"/>
        <w:jc w:val="both"/>
        <w:rPr>
          <w:rFonts w:ascii="Book Antiqua" w:hAnsi="Book Antiqua"/>
          <w:sz w:val="20"/>
          <w:szCs w:val="20"/>
        </w:rPr>
      </w:pPr>
      <w:r>
        <w:rPr>
          <w:rFonts w:ascii="Book Antiqua" w:hAnsi="Book Antiqua"/>
          <w:sz w:val="20"/>
          <w:szCs w:val="20"/>
        </w:rPr>
        <w:t>No caso de inabilitação, o Pregoeiro retomará o procedimento a partir da fase de julgamento da proposta, examinando a proposta subsequente e, assim sucessivamente, na ordem de classificação.</w:t>
      </w:r>
    </w:p>
    <w:p w14:paraId="14B86C2F">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Para fins de habilitação, o Pregoeiro poderá obter certidões de órgãos ou entidades emissoras de certidões por sítios oficiais.</w:t>
      </w:r>
    </w:p>
    <w:p w14:paraId="021AF1CA">
      <w:pPr>
        <w:numPr>
          <w:ilvl w:val="1"/>
          <w:numId w:val="4"/>
        </w:numPr>
        <w:tabs>
          <w:tab w:val="left" w:pos="567"/>
        </w:tabs>
        <w:ind w:left="0" w:firstLine="0"/>
        <w:jc w:val="both"/>
        <w:rPr>
          <w:rFonts w:ascii="Book Antiqua" w:hAnsi="Book Antiqua"/>
          <w:sz w:val="20"/>
          <w:szCs w:val="20"/>
        </w:rPr>
      </w:pPr>
      <w:r>
        <w:rPr>
          <w:rFonts w:ascii="Book Antiqua" w:hAnsi="Book Antiqua"/>
          <w:sz w:val="20"/>
          <w:szCs w:val="20"/>
        </w:rPr>
        <w:t>Não serão aceitos documentos com indicação de CNPJ diferentes, salvo aqueles legalmente permitidos, e nos casos qualificação técnica e econômica de filiais, podendo ser administro o CNPJ da matriz como comprovação de regularidade.</w:t>
      </w:r>
    </w:p>
    <w:p w14:paraId="5EBA7406">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Havendo necessidade de analisar minuciosamente os documentos exigidos, o Pregoeiro suspenderá a sessão, informando a nova data e horário para a continuidade da mesma.</w:t>
      </w:r>
    </w:p>
    <w:p w14:paraId="3201F960">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No julgamento da habilitação, o Agente de Contratação poderá sanar erros ou falhas que não alterem a substância dos documentos e sua validade jurídica, mediante despacho fundamentado, registrado em ata e acessível a todos, atribuindo-lhes validade e eficácia para fins de habilitação.</w:t>
      </w:r>
    </w:p>
    <w:p w14:paraId="75491C5E">
      <w:pPr>
        <w:numPr>
          <w:ilvl w:val="2"/>
          <w:numId w:val="4"/>
        </w:numPr>
        <w:ind w:left="0" w:firstLine="142"/>
        <w:jc w:val="both"/>
        <w:rPr>
          <w:rFonts w:ascii="Book Antiqua" w:hAnsi="Book Antiqua"/>
          <w:sz w:val="20"/>
          <w:szCs w:val="20"/>
        </w:rPr>
      </w:pPr>
      <w:r>
        <w:rPr>
          <w:rFonts w:ascii="Book Antiqua" w:hAnsi="Book Antiqua"/>
          <w:sz w:val="20"/>
          <w:szCs w:val="20"/>
        </w:rPr>
        <w:t>Poderá ser solicitado documento ausente no envio inicial, desde que comprovada condição prévia a data de realização do certame, assim como também a emissão direta em sítios eletrônicos oficiais referente as certidões fora do prazo de validade, ou ainda não enviada, constituirão meios de prova.</w:t>
      </w:r>
    </w:p>
    <w:p w14:paraId="1E48CE78">
      <w:pPr>
        <w:numPr>
          <w:ilvl w:val="2"/>
          <w:numId w:val="4"/>
        </w:numPr>
        <w:ind w:left="0" w:firstLine="142"/>
        <w:jc w:val="both"/>
        <w:rPr>
          <w:rFonts w:ascii="Book Antiqua" w:hAnsi="Book Antiqua"/>
          <w:sz w:val="20"/>
          <w:szCs w:val="20"/>
        </w:rPr>
      </w:pPr>
      <w:r>
        <w:rPr>
          <w:rFonts w:ascii="Book Antiqua" w:hAnsi="Book Antiqua"/>
          <w:sz w:val="20"/>
          <w:szCs w:val="20"/>
        </w:rPr>
        <w:t>A vedação à inclusão de novo documento, prevista no art. 64 da Lei 14.133/2021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pelo agente público responsável.</w:t>
      </w:r>
    </w:p>
    <w:p w14:paraId="7F39A0EF">
      <w:pPr>
        <w:numPr>
          <w:ilvl w:val="2"/>
          <w:numId w:val="4"/>
        </w:numPr>
        <w:ind w:left="0" w:firstLine="142"/>
        <w:jc w:val="both"/>
        <w:rPr>
          <w:rFonts w:ascii="Book Antiqua" w:hAnsi="Book Antiqua"/>
          <w:sz w:val="20"/>
          <w:szCs w:val="20"/>
        </w:rPr>
      </w:pPr>
      <w:r>
        <w:rPr>
          <w:rFonts w:ascii="Book Antiqua" w:hAnsi="Book Antiqua"/>
          <w:sz w:val="20"/>
          <w:szCs w:val="20"/>
        </w:rPr>
        <w:t xml:space="preserve">  Havendo alguma restrição na comprovação de sua regularidade fiscal de empresas enquadradas nos benefícios da Lei Complementar nº 123/2006, a empresa será habilitada “com ressalvas” e ser-lhe-á assegurado um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60DFDDEB">
      <w:pPr>
        <w:numPr>
          <w:ilvl w:val="3"/>
          <w:numId w:val="4"/>
        </w:numPr>
        <w:tabs>
          <w:tab w:val="left" w:pos="709"/>
          <w:tab w:val="left" w:pos="1134"/>
        </w:tabs>
        <w:ind w:left="0" w:firstLine="284"/>
        <w:jc w:val="both"/>
        <w:rPr>
          <w:rFonts w:ascii="Book Antiqua" w:hAnsi="Book Antiqua"/>
          <w:sz w:val="20"/>
          <w:szCs w:val="20"/>
        </w:rPr>
      </w:pPr>
      <w:r>
        <w:rPr>
          <w:rFonts w:ascii="Book Antiqua" w:hAnsi="Book Antiqua"/>
          <w:sz w:val="20"/>
          <w:szCs w:val="20"/>
        </w:rPr>
        <w:t>A prorrogação do prazo a que se refere o subitem anterior deverá sempre ser concedida pela Administração quando requerida pelo licitante, a não ser que exista urgência na contratação ou prazo insuficiente para o empenho devidamente justificados.</w:t>
      </w:r>
    </w:p>
    <w:p w14:paraId="07516C32">
      <w:pPr>
        <w:numPr>
          <w:ilvl w:val="3"/>
          <w:numId w:val="4"/>
        </w:numPr>
        <w:tabs>
          <w:tab w:val="left" w:pos="851"/>
          <w:tab w:val="left" w:pos="1134"/>
        </w:tabs>
        <w:ind w:left="0" w:firstLine="284"/>
        <w:jc w:val="both"/>
        <w:rPr>
          <w:rFonts w:ascii="Book Antiqua" w:hAnsi="Book Antiqua"/>
          <w:sz w:val="20"/>
          <w:szCs w:val="20"/>
        </w:rPr>
      </w:pPr>
      <w:r>
        <w:rPr>
          <w:rFonts w:ascii="Book Antiqua" w:hAnsi="Book Antiqua"/>
          <w:sz w:val="20"/>
          <w:szCs w:val="20"/>
        </w:rPr>
        <w:t>A declaração do vencedor de que trata este subitem acontecerá no momento imediatamente posterior à fase de habilitação, aguardando-se os prazos de regularização fiscal para a adjudicação e homologação, que antecede a contratação.</w:t>
      </w:r>
    </w:p>
    <w:p w14:paraId="59B07C40">
      <w:pPr>
        <w:numPr>
          <w:ilvl w:val="3"/>
          <w:numId w:val="4"/>
        </w:numPr>
        <w:tabs>
          <w:tab w:val="left" w:pos="993"/>
        </w:tabs>
        <w:ind w:left="0" w:firstLine="284"/>
        <w:jc w:val="both"/>
        <w:rPr>
          <w:rFonts w:ascii="Book Antiqua" w:hAnsi="Book Antiqua"/>
          <w:i/>
          <w:iCs/>
          <w:sz w:val="20"/>
          <w:szCs w:val="20"/>
          <w:shd w:val="clear" w:color="auto" w:fill="C0C0C0"/>
        </w:rPr>
      </w:pPr>
      <w:r>
        <w:rPr>
          <w:rFonts w:ascii="Book Antiqua" w:hAnsi="Book Antiqua"/>
          <w:sz w:val="20"/>
          <w:szCs w:val="20"/>
        </w:rPr>
        <w:t>A não regularização da documentação, no prazo previsto, implicará decadência do direito à contratação, sem prejuízo das sanções previstas na Lei Federal 14.133/2021, sendo facultado à Administração convocar os licitantes remanescentes, na ordem de classificação, ou revogar a licitação.</w:t>
      </w:r>
    </w:p>
    <w:p w14:paraId="1AC88F02">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Constatado o atendimento às exigências de habilitação fixadas no Edital, o licitante será declarado vencedor.</w:t>
      </w:r>
    </w:p>
    <w:p w14:paraId="629B8508">
      <w:pPr>
        <w:numPr>
          <w:ilvl w:val="1"/>
          <w:numId w:val="4"/>
        </w:numPr>
        <w:tabs>
          <w:tab w:val="left" w:pos="284"/>
          <w:tab w:val="left" w:pos="567"/>
        </w:tabs>
        <w:ind w:left="0" w:firstLine="0"/>
        <w:jc w:val="both"/>
        <w:rPr>
          <w:rFonts w:ascii="Book Antiqua" w:hAnsi="Book Antiqua"/>
          <w:sz w:val="20"/>
          <w:szCs w:val="20"/>
        </w:rPr>
      </w:pPr>
      <w:r>
        <w:rPr>
          <w:rFonts w:ascii="Book Antiqua" w:hAnsi="Book Antiqua"/>
          <w:sz w:val="20"/>
          <w:szCs w:val="20"/>
        </w:rPr>
        <w:t>Ao preço do licitante declarado vencedor poderão ser registrados tantos fornecedores quantos necessários para que, em função das propostas apresentadas, seja atingida a quantidade total estimada para o item.</w:t>
      </w:r>
    </w:p>
    <w:p w14:paraId="034B5F53">
      <w:pPr>
        <w:numPr>
          <w:ilvl w:val="2"/>
          <w:numId w:val="4"/>
        </w:numPr>
        <w:ind w:left="0" w:firstLine="142"/>
        <w:jc w:val="both"/>
        <w:rPr>
          <w:rFonts w:ascii="Book Antiqua" w:hAnsi="Book Antiqua"/>
          <w:sz w:val="20"/>
          <w:szCs w:val="20"/>
        </w:rPr>
      </w:pPr>
      <w:r>
        <w:rPr>
          <w:rFonts w:ascii="Book Antiqua" w:hAnsi="Book Antiqua"/>
          <w:sz w:val="20"/>
          <w:szCs w:val="20"/>
        </w:rPr>
        <w:t>Neste caso, o Pregoeiro retomará o procedimento a partir da fase de julgamento da proposta, examinando a proposta subsequente e, assim sucessivamente, na ordem de classificação, até que se atinja a quantidade total estimada no Termo de Referência.</w:t>
      </w:r>
    </w:p>
    <w:p w14:paraId="7D949757">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Da sessão pública do Pregão será lavrada Ata, que mencionará todas os licitantes presentes, os lances finais oferecidos, bem como as demais ocorrências que interessarem ao julgamento, devendo a Ata ser assinada pelo Pregoeiro e por todas os licitantes presentes.</w:t>
      </w:r>
    </w:p>
    <w:p w14:paraId="4592F3AB">
      <w:pPr>
        <w:numPr>
          <w:ilvl w:val="0"/>
          <w:numId w:val="4"/>
        </w:numPr>
        <w:tabs>
          <w:tab w:val="left" w:pos="284"/>
        </w:tabs>
        <w:ind w:left="0" w:firstLine="0"/>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DOS RECURSOS</w:t>
      </w:r>
    </w:p>
    <w:p w14:paraId="01D29C82">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A interposição de recurso referente ao julgamento das propostas, à habilitação ou inabilitação de licitantes, à anulação ou revogação da licitação, observará o disposto no art. 165 da Lei nº 14.133, de 2021.</w:t>
      </w:r>
    </w:p>
    <w:p w14:paraId="07CACEF1">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O prazo recursal é de 3 (três) dias úteis, contados da data de intimação ou de lavratura da ata.</w:t>
      </w:r>
    </w:p>
    <w:p w14:paraId="0A71B15F">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Quando o recurso apresentado impugnar o julgamento das propostas ou o ato de habilitação ou inabilitação do licitante:</w:t>
      </w:r>
    </w:p>
    <w:p w14:paraId="46AE4E5D">
      <w:pPr>
        <w:numPr>
          <w:ilvl w:val="2"/>
          <w:numId w:val="4"/>
        </w:numPr>
        <w:ind w:left="0" w:firstLine="142"/>
        <w:jc w:val="both"/>
        <w:rPr>
          <w:rFonts w:ascii="Book Antiqua" w:hAnsi="Book Antiqua"/>
          <w:sz w:val="20"/>
          <w:szCs w:val="20"/>
        </w:rPr>
      </w:pPr>
      <w:r>
        <w:rPr>
          <w:rFonts w:ascii="Book Antiqua" w:hAnsi="Book Antiqua"/>
          <w:sz w:val="20"/>
          <w:szCs w:val="20"/>
        </w:rPr>
        <w:t>a intenção de recorrer deverá ser manifestada imediatamente, sob pena de preclusão;</w:t>
      </w:r>
    </w:p>
    <w:p w14:paraId="28010D99">
      <w:pPr>
        <w:numPr>
          <w:ilvl w:val="2"/>
          <w:numId w:val="4"/>
        </w:numPr>
        <w:ind w:left="0" w:firstLine="142"/>
        <w:jc w:val="both"/>
        <w:rPr>
          <w:rFonts w:ascii="Book Antiqua" w:hAnsi="Book Antiqua"/>
          <w:sz w:val="20"/>
          <w:szCs w:val="20"/>
        </w:rPr>
      </w:pPr>
      <w:r>
        <w:rPr>
          <w:rFonts w:ascii="Book Antiqua" w:hAnsi="Book Antiqua"/>
          <w:sz w:val="20"/>
          <w:szCs w:val="20"/>
        </w:rPr>
        <w:t>o prazo para a manifestação da intenção de recorrer não será inferior a 10 (dez) minutos.</w:t>
      </w:r>
    </w:p>
    <w:p w14:paraId="4B7361ED">
      <w:pPr>
        <w:numPr>
          <w:ilvl w:val="2"/>
          <w:numId w:val="4"/>
        </w:numPr>
        <w:ind w:left="0" w:firstLine="142"/>
        <w:jc w:val="both"/>
        <w:rPr>
          <w:rFonts w:ascii="Book Antiqua" w:hAnsi="Book Antiqua"/>
          <w:sz w:val="20"/>
          <w:szCs w:val="20"/>
        </w:rPr>
      </w:pPr>
      <w:r>
        <w:rPr>
          <w:rFonts w:ascii="Book Antiqua" w:hAnsi="Book Antiqua"/>
          <w:sz w:val="20"/>
          <w:szCs w:val="20"/>
        </w:rPr>
        <w:t>o prazo para apresentação das razões recursais será iniciado na data de intimação ou de lavratura da ata de habilitação ou inabilitação;</w:t>
      </w:r>
    </w:p>
    <w:p w14:paraId="2480958B">
      <w:pPr>
        <w:numPr>
          <w:ilvl w:val="2"/>
          <w:numId w:val="4"/>
        </w:numPr>
        <w:ind w:left="0" w:firstLine="142"/>
        <w:jc w:val="both"/>
        <w:rPr>
          <w:rFonts w:ascii="Book Antiqua" w:hAnsi="Book Antiqua"/>
          <w:sz w:val="20"/>
          <w:szCs w:val="20"/>
        </w:rPr>
      </w:pPr>
      <w:r>
        <w:rPr>
          <w:rFonts w:ascii="Book Antiqua" w:hAnsi="Book Antiqua"/>
          <w:sz w:val="20"/>
          <w:szCs w:val="20"/>
        </w:rPr>
        <w:t>na hipótese de adoção da inversão de fases prevista no § 1º do art. 17 da Lei nº 14.133, de 2021, o prazo para apresentação das razões recursais será iniciado na data de intimação da ata de julgamento.</w:t>
      </w:r>
    </w:p>
    <w:p w14:paraId="73F5C42B">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Os recursos deverão ser encaminhados em campo próprio do sistema.</w:t>
      </w:r>
    </w:p>
    <w:p w14:paraId="36739B2F">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C1533C4">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 xml:space="preserve">Os recursos interpostos fora do prazo não serão conhecidos. </w:t>
      </w:r>
    </w:p>
    <w:p w14:paraId="246FA9F1">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AD73DD1">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 xml:space="preserve">O recurso e o pedido de reconsideração terão efeito suspensivo do ato ou da decisão recorrida até que sobrevenha decisão final da autoridade competente. </w:t>
      </w:r>
    </w:p>
    <w:p w14:paraId="5E6B6EC3">
      <w:pPr>
        <w:numPr>
          <w:ilvl w:val="1"/>
          <w:numId w:val="4"/>
        </w:numPr>
        <w:tabs>
          <w:tab w:val="left" w:pos="284"/>
          <w:tab w:val="left" w:pos="426"/>
        </w:tabs>
        <w:ind w:left="0" w:firstLine="0"/>
        <w:jc w:val="both"/>
        <w:rPr>
          <w:rFonts w:ascii="Book Antiqua" w:hAnsi="Book Antiqua"/>
          <w:sz w:val="20"/>
          <w:szCs w:val="20"/>
        </w:rPr>
      </w:pPr>
      <w:r>
        <w:rPr>
          <w:rFonts w:ascii="Book Antiqua" w:hAnsi="Book Antiqua"/>
          <w:sz w:val="20"/>
          <w:szCs w:val="20"/>
        </w:rPr>
        <w:t xml:space="preserve">O acolhimento do recurso invalida tão somente os atos insuscetíveis de aproveitamento. </w:t>
      </w:r>
    </w:p>
    <w:p w14:paraId="6D08787E">
      <w:pPr>
        <w:numPr>
          <w:ilvl w:val="1"/>
          <w:numId w:val="4"/>
        </w:numPr>
        <w:tabs>
          <w:tab w:val="left" w:pos="426"/>
        </w:tabs>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sz w:val="20"/>
          <w:szCs w:val="20"/>
        </w:rPr>
        <w:t xml:space="preserve">Os autos do processo permanecerão com vista franqueada aos interessados no sítio eletrônico </w:t>
      </w:r>
      <w:r>
        <w:fldChar w:fldCharType="begin"/>
      </w:r>
      <w:r>
        <w:instrText xml:space="preserve"> HYPERLINK "http://www.saojosedemipibu.rn.gov.br" </w:instrText>
      </w:r>
      <w:r>
        <w:fldChar w:fldCharType="separate"/>
      </w:r>
      <w:r>
        <w:rPr>
          <w:rStyle w:val="20"/>
          <w:rFonts w:ascii="Book Antiqua" w:hAnsi="Book Antiqua"/>
          <w:color w:val="000000" w:themeColor="text1"/>
          <w:sz w:val="20"/>
          <w:szCs w:val="20"/>
          <w14:textFill>
            <w14:solidFill>
              <w14:schemeClr w14:val="tx1"/>
            </w14:solidFill>
          </w14:textFill>
        </w:rPr>
        <w:t>www.saojosedemipibu.rn.gov.br</w:t>
      </w:r>
      <w:r>
        <w:rPr>
          <w:rStyle w:val="20"/>
          <w:rFonts w:ascii="Book Antiqua" w:hAnsi="Book Antiqua"/>
          <w:color w:val="000000" w:themeColor="text1"/>
          <w:sz w:val="20"/>
          <w:szCs w:val="20"/>
          <w14:textFill>
            <w14:solidFill>
              <w14:schemeClr w14:val="tx1"/>
            </w14:solidFill>
          </w14:textFill>
        </w:rPr>
        <w:fldChar w:fldCharType="end"/>
      </w:r>
      <w:r>
        <w:rPr>
          <w:rFonts w:ascii="Book Antiqua" w:hAnsi="Book Antiqua"/>
          <w:color w:val="000000" w:themeColor="text1"/>
          <w:sz w:val="20"/>
          <w:szCs w:val="20"/>
          <w14:textFill>
            <w14:solidFill>
              <w14:schemeClr w14:val="tx1"/>
            </w14:solidFill>
          </w14:textFill>
        </w:rPr>
        <w:t xml:space="preserve">. </w:t>
      </w:r>
    </w:p>
    <w:p w14:paraId="4BC8FC0E">
      <w:pPr>
        <w:numPr>
          <w:ilvl w:val="0"/>
          <w:numId w:val="4"/>
        </w:numPr>
        <w:tabs>
          <w:tab w:val="left" w:pos="426"/>
        </w:tabs>
        <w:ind w:left="0" w:firstLine="0"/>
        <w:jc w:val="both"/>
        <w:rPr>
          <w:rFonts w:ascii="Book Antiqua" w:hAnsi="Book Antiqua"/>
          <w:b/>
          <w:bCs/>
          <w:sz w:val="20"/>
          <w:szCs w:val="20"/>
        </w:rPr>
      </w:pPr>
      <w:r>
        <w:rPr>
          <w:rFonts w:ascii="Book Antiqua" w:hAnsi="Book Antiqua"/>
          <w:b/>
          <w:bCs/>
          <w:sz w:val="20"/>
          <w:szCs w:val="20"/>
          <w:u w:val="single"/>
          <w:shd w:val="clear" w:color="auto" w:fill="B3B3B3"/>
        </w:rPr>
        <w:t>DA FORMALIZAÇÃO DA ATA DE REGISTRO DE PREÇOS</w:t>
      </w:r>
    </w:p>
    <w:p w14:paraId="787A82D1">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 xml:space="preserve">Homologado o resultado da licitação, o órgão gerenciador, respeitada a ordem de classificação e a quantidade de fornecedores a serem registrados, convocará os interessados para, no prazo máximo de </w:t>
      </w:r>
      <w:r>
        <w:rPr>
          <w:rFonts w:ascii="Book Antiqua" w:hAnsi="Book Antiqua"/>
          <w:b/>
          <w:sz w:val="20"/>
          <w:szCs w:val="20"/>
        </w:rPr>
        <w:t>48 (quarenta oito) horas</w:t>
      </w:r>
      <w:r>
        <w:rPr>
          <w:rFonts w:ascii="Book Antiqua" w:hAnsi="Book Antiqua"/>
          <w:sz w:val="20"/>
          <w:szCs w:val="20"/>
        </w:rPr>
        <w:t>, contados da data da convocação, proceder à assinatura da Ata de Registro de Preços, a qual, após cumpridos os requisitos de publicidade, terá efeito de compromisso de fornecimento, nas condições estabelecidas.</w:t>
      </w:r>
    </w:p>
    <w:p w14:paraId="0EF9950C">
      <w:pPr>
        <w:numPr>
          <w:ilvl w:val="2"/>
          <w:numId w:val="4"/>
        </w:numPr>
        <w:ind w:left="0" w:firstLine="142"/>
        <w:jc w:val="both"/>
        <w:rPr>
          <w:rFonts w:ascii="Book Antiqua" w:hAnsi="Book Antiqua"/>
          <w:sz w:val="20"/>
          <w:szCs w:val="20"/>
        </w:rPr>
      </w:pPr>
      <w:r>
        <w:rPr>
          <w:rFonts w:ascii="Book Antiqua" w:hAnsi="Book Antiqua"/>
          <w:sz w:val="20"/>
          <w:szCs w:val="20"/>
        </w:rPr>
        <w:t>O prazo previsto poderá ser prorrogado uma vez, por igual período, quando, durante o seu transcurso, for solicitado pelo licitante convocado, desde que ocorra motivo justificado e aceito pelo órgão gerenciador.</w:t>
      </w:r>
    </w:p>
    <w:p w14:paraId="17D7B06C">
      <w:pPr>
        <w:numPr>
          <w:ilvl w:val="1"/>
          <w:numId w:val="4"/>
        </w:numPr>
        <w:tabs>
          <w:tab w:val="left" w:pos="567"/>
        </w:tabs>
        <w:ind w:left="0" w:firstLine="0"/>
        <w:jc w:val="both"/>
        <w:rPr>
          <w:rFonts w:ascii="Book Antiqua" w:hAnsi="Book Antiqua"/>
          <w:sz w:val="20"/>
          <w:szCs w:val="20"/>
        </w:rPr>
      </w:pPr>
      <w:r>
        <w:rPr>
          <w:rFonts w:ascii="Book Antiqua" w:hAnsi="Book Antiqua"/>
          <w:sz w:val="20"/>
          <w:szCs w:val="20"/>
        </w:rPr>
        <w:t>No caso de o licitante vencedor, após convocado, se recusar a assinar a Ata de Registro de Preços, sem prejuízo das cominações previstas neste Edital e seus Anexos, poderá ser convocado outro licitante, desde que respeitada a ordem de classificação, para, após feita a negociação, verificada a aceitabilidade da proposta e comprovados os requisitos de habilitação, assinar a Ata.</w:t>
      </w:r>
    </w:p>
    <w:p w14:paraId="5F850395">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A ata de registro de preços será assinada por meio de assinatura digital e disponibilizada no sistema de registro de preços.</w:t>
      </w:r>
    </w:p>
    <w:p w14:paraId="0CE747BE">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1FB80AFC">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O preço registrado, com a indicação dos fornecedores, será divulgado no PNCP e disponibilizado durante a vigência da ata de registro de preços.</w:t>
      </w:r>
    </w:p>
    <w:p w14:paraId="728A198B">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F7325EB">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897E884">
      <w:pPr>
        <w:numPr>
          <w:ilvl w:val="1"/>
          <w:numId w:val="4"/>
        </w:numPr>
        <w:tabs>
          <w:tab w:val="left" w:pos="426"/>
        </w:tabs>
        <w:ind w:left="0" w:firstLine="0"/>
        <w:jc w:val="both"/>
        <w:rPr>
          <w:rFonts w:ascii="Book Antiqua" w:hAnsi="Book Antiqua"/>
          <w:sz w:val="20"/>
          <w:szCs w:val="20"/>
        </w:rPr>
      </w:pPr>
      <w:r>
        <w:rPr>
          <w:rFonts w:ascii="Book Antiqua" w:hAnsi="Book Antiqua"/>
          <w:sz w:val="20"/>
          <w:szCs w:val="20"/>
        </w:rPr>
        <w:t>O órgão gerenciador encaminhará cópia da Ata aos órgãos participantes, se houver.</w:t>
      </w:r>
    </w:p>
    <w:p w14:paraId="780E3E65">
      <w:pPr>
        <w:pStyle w:val="57"/>
        <w:jc w:val="both"/>
        <w:rPr>
          <w:rFonts w:ascii="Book Antiqua" w:hAnsi="Book Antiqua" w:cs="Gisha"/>
          <w:b/>
          <w:color w:val="auto"/>
          <w:sz w:val="20"/>
          <w:szCs w:val="20"/>
        </w:rPr>
      </w:pPr>
      <w:r>
        <w:rPr>
          <w:rFonts w:ascii="Book Antiqua" w:hAnsi="Book Antiqua" w:cs="Gisha"/>
          <w:b/>
          <w:color w:val="auto"/>
          <w:sz w:val="20"/>
          <w:szCs w:val="20"/>
          <w:shd w:val="clear" w:color="auto" w:fill="BEBEBE" w:themeFill="background1" w:themeFillShade="BF"/>
        </w:rPr>
        <w:t>11. DA DOTAÇÃO ORÇAMENTARIA</w:t>
      </w:r>
      <w:r>
        <w:rPr>
          <w:rFonts w:ascii="Book Antiqua" w:hAnsi="Book Antiqua" w:cs="Gisha"/>
          <w:b/>
          <w:color w:val="auto"/>
          <w:sz w:val="20"/>
          <w:szCs w:val="20"/>
          <w:shd w:val="clear" w:color="auto" w:fill="DDD9C4" w:themeFill="background2" w:themeFillShade="E6"/>
        </w:rPr>
        <w:t xml:space="preserve"> </w:t>
      </w:r>
    </w:p>
    <w:p w14:paraId="27D308AF">
      <w:pPr>
        <w:pStyle w:val="57"/>
        <w:jc w:val="both"/>
        <w:rPr>
          <w:rFonts w:ascii="Book Antiqua" w:hAnsi="Book Antiqua"/>
          <w:sz w:val="20"/>
          <w:szCs w:val="20"/>
        </w:rPr>
      </w:pPr>
      <w:r>
        <w:rPr>
          <w:rFonts w:ascii="Book Antiqua" w:hAnsi="Book Antiqua"/>
          <w:b/>
          <w:color w:val="auto"/>
          <w:sz w:val="20"/>
          <w:szCs w:val="20"/>
        </w:rPr>
        <w:t>11.1.</w:t>
      </w:r>
      <w:r>
        <w:rPr>
          <w:rFonts w:ascii="Book Antiqua" w:hAnsi="Book Antiqua"/>
          <w:color w:val="auto"/>
          <w:sz w:val="20"/>
          <w:szCs w:val="20"/>
        </w:rPr>
        <w:t xml:space="preserve"> </w:t>
      </w:r>
      <w:r>
        <w:rPr>
          <w:rFonts w:ascii="Book Antiqua" w:hAnsi="Book Antiqua"/>
          <w:sz w:val="20"/>
          <w:szCs w:val="20"/>
        </w:rPr>
        <w:t xml:space="preserve">As despesas decorrentes da presente licitação, no presente exercício, correrão por conta de recursos específicos, consignados no Orçamento Geral do Município para o exercício 2025. </w:t>
      </w:r>
    </w:p>
    <w:p w14:paraId="6600F6B1">
      <w:pPr>
        <w:pStyle w:val="30"/>
        <w:shd w:val="clear" w:color="auto" w:fill="FFFFFF"/>
        <w:spacing w:before="0" w:beforeAutospacing="0" w:after="0" w:afterAutospacing="0"/>
        <w:jc w:val="both"/>
        <w:rPr>
          <w:rFonts w:ascii="Book Antiqua" w:hAnsi="Book Antiqua"/>
          <w:color w:val="1A1A1A"/>
          <w:sz w:val="20"/>
          <w:szCs w:val="20"/>
        </w:rPr>
      </w:pPr>
      <w:r>
        <w:rPr>
          <w:rFonts w:ascii="Book Antiqua" w:hAnsi="Book Antiqua"/>
          <w:b/>
          <w:sz w:val="20"/>
          <w:szCs w:val="20"/>
        </w:rPr>
        <w:t>11.2.</w:t>
      </w:r>
      <w:r>
        <w:rPr>
          <w:rFonts w:ascii="Book Antiqua" w:hAnsi="Book Antiqua"/>
          <w:sz w:val="20"/>
          <w:szCs w:val="20"/>
        </w:rPr>
        <w:t xml:space="preserve"> É dispensada a certificação de dotação orçamentária nos processos licitatórios para registro de preços, nos termos do art. 7º, </w:t>
      </w:r>
      <w:r>
        <w:rPr>
          <w:rFonts w:ascii="Book Antiqua" w:hAnsi="Book Antiqua"/>
          <w:color w:val="1A1A1A"/>
          <w:sz w:val="20"/>
          <w:szCs w:val="20"/>
        </w:rPr>
        <w:t>§2º,</w:t>
      </w:r>
      <w:r>
        <w:rPr>
          <w:rFonts w:ascii="Book Antiqua" w:hAnsi="Book Antiqua"/>
          <w:sz w:val="20"/>
          <w:szCs w:val="20"/>
        </w:rPr>
        <w:t xml:space="preserve"> do Decreto Federal nº 7.892/2013, </w:t>
      </w:r>
      <w:r>
        <w:rPr>
          <w:rFonts w:ascii="Book Antiqua" w:hAnsi="Book Antiqua"/>
          <w:color w:val="1A1A1A"/>
          <w:sz w:val="20"/>
          <w:szCs w:val="20"/>
        </w:rPr>
        <w:t>que somente será exigida para a formalização do contrato ou outro instrumento hábil.</w:t>
      </w:r>
    </w:p>
    <w:p w14:paraId="28F925FE">
      <w:pPr>
        <w:pStyle w:val="30"/>
        <w:shd w:val="clear" w:color="auto" w:fill="FFFFFF"/>
        <w:spacing w:before="0" w:beforeAutospacing="0" w:after="0" w:afterAutospacing="0"/>
        <w:jc w:val="both"/>
        <w:rPr>
          <w:rFonts w:ascii="Book Antiqua" w:hAnsi="Book Antiqua"/>
          <w:sz w:val="20"/>
          <w:szCs w:val="20"/>
        </w:rPr>
      </w:pPr>
      <w:r>
        <w:rPr>
          <w:rFonts w:ascii="Book Antiqua" w:hAnsi="Book Antiqua" w:cs="Gisha"/>
          <w:b/>
          <w:sz w:val="20"/>
          <w:szCs w:val="20"/>
        </w:rPr>
        <w:t xml:space="preserve">11.3. </w:t>
      </w:r>
      <w:r>
        <w:rPr>
          <w:rFonts w:ascii="Book Antiqua" w:hAnsi="Book Antiqua" w:cs="Gisha"/>
          <w:sz w:val="20"/>
          <w:szCs w:val="20"/>
        </w:rPr>
        <w:t xml:space="preserve">Natureza da Despesa: </w:t>
      </w:r>
      <w:r>
        <w:rPr>
          <w:rFonts w:ascii="Book Antiqua" w:hAnsi="Book Antiqua"/>
          <w:sz w:val="20"/>
          <w:szCs w:val="20"/>
        </w:rPr>
        <w:t>3.3.90.30 – Material de Consumo.</w:t>
      </w:r>
    </w:p>
    <w:p w14:paraId="07ECE227">
      <w:pPr>
        <w:autoSpaceDE w:val="0"/>
        <w:autoSpaceDN w:val="0"/>
        <w:adjustRightInd w:val="0"/>
        <w:jc w:val="both"/>
        <w:rPr>
          <w:rFonts w:ascii="Book Antiqua" w:hAnsi="Book Antiqua" w:cs="TimesNewRomanPSMT"/>
          <w:sz w:val="20"/>
          <w:szCs w:val="20"/>
        </w:rPr>
      </w:pPr>
      <w:r>
        <w:rPr>
          <w:rFonts w:ascii="Book Antiqua" w:hAnsi="Book Antiqua"/>
          <w:b/>
          <w:sz w:val="20"/>
          <w:szCs w:val="20"/>
        </w:rPr>
        <w:t>11.</w:t>
      </w:r>
      <w:r>
        <w:rPr>
          <w:rFonts w:ascii="Book Antiqua" w:hAnsi="Book Antiqua" w:cs="TimesNewRomanPSMT"/>
          <w:b/>
          <w:sz w:val="20"/>
          <w:szCs w:val="20"/>
        </w:rPr>
        <w:t xml:space="preserve">4. </w:t>
      </w:r>
      <w:r>
        <w:rPr>
          <w:rFonts w:ascii="Book Antiqua" w:hAnsi="Book Antiqua" w:cs="TimesNewRomanPSMT"/>
          <w:sz w:val="20"/>
          <w:szCs w:val="20"/>
        </w:rPr>
        <w:t>Nos exercícios subsequentes correrão à conta da dotação apropriada a ser indicada na Lei Orçamentária do referido exercício.</w:t>
      </w:r>
    </w:p>
    <w:p w14:paraId="096DB9F5">
      <w:pPr>
        <w:jc w:val="both"/>
        <w:rPr>
          <w:rFonts w:ascii="Book Antiqua" w:hAnsi="Book Antiqua"/>
          <w:b/>
          <w:bCs/>
          <w:sz w:val="20"/>
          <w:szCs w:val="20"/>
        </w:rPr>
      </w:pPr>
      <w:r>
        <w:rPr>
          <w:rFonts w:ascii="Book Antiqua" w:hAnsi="Book Antiqua"/>
          <w:b/>
          <w:bCs/>
          <w:sz w:val="20"/>
          <w:szCs w:val="20"/>
          <w:u w:val="single"/>
          <w:shd w:val="clear" w:color="auto" w:fill="B3B3B3"/>
        </w:rPr>
        <w:t>12. DA VIGÊNCIA DA ATA DE REGISTRO DE PREÇOS</w:t>
      </w:r>
    </w:p>
    <w:p w14:paraId="5183B429">
      <w:pPr>
        <w:tabs>
          <w:tab w:val="left" w:pos="426"/>
        </w:tabs>
        <w:jc w:val="both"/>
        <w:rPr>
          <w:rFonts w:ascii="Book Antiqua" w:hAnsi="Book Antiqua"/>
          <w:sz w:val="20"/>
          <w:szCs w:val="20"/>
        </w:rPr>
      </w:pPr>
      <w:r>
        <w:rPr>
          <w:rFonts w:ascii="Book Antiqua" w:hAnsi="Book Antiqua"/>
          <w:b/>
          <w:bCs/>
          <w:sz w:val="20"/>
          <w:szCs w:val="20"/>
        </w:rPr>
        <w:t>12.1</w:t>
      </w:r>
      <w:r>
        <w:rPr>
          <w:rFonts w:ascii="Book Antiqua" w:hAnsi="Book Antiqua"/>
          <w:sz w:val="20"/>
          <w:szCs w:val="20"/>
        </w:rPr>
        <w:t xml:space="preserve">.A Ata de Registro de Preços terá vigência de </w:t>
      </w:r>
      <w:r>
        <w:rPr>
          <w:rFonts w:ascii="Book Antiqua" w:hAnsi="Book Antiqua"/>
          <w:b/>
          <w:sz w:val="20"/>
          <w:szCs w:val="20"/>
        </w:rPr>
        <w:t>1 (um) ano</w:t>
      </w:r>
      <w:r>
        <w:rPr>
          <w:rFonts w:ascii="Book Antiqua" w:hAnsi="Book Antiqua"/>
          <w:sz w:val="20"/>
          <w:szCs w:val="20"/>
        </w:rPr>
        <w:t>, a contar da data de sua assinatura, podendo ser prorrogada/renovada por igual período, desde que comprovada a vantajosidade da ata.</w:t>
      </w:r>
    </w:p>
    <w:p w14:paraId="6F327230">
      <w:pPr>
        <w:tabs>
          <w:tab w:val="left" w:pos="426"/>
        </w:tabs>
        <w:ind w:firstLine="142"/>
        <w:jc w:val="both"/>
        <w:rPr>
          <w:rFonts w:ascii="Book Antiqua" w:hAnsi="Book Antiqua"/>
          <w:sz w:val="20"/>
          <w:szCs w:val="20"/>
        </w:rPr>
      </w:pPr>
      <w:r>
        <w:rPr>
          <w:rFonts w:ascii="Book Antiqua" w:hAnsi="Book Antiqua"/>
          <w:b/>
          <w:bCs/>
          <w:sz w:val="20"/>
          <w:szCs w:val="20"/>
        </w:rPr>
        <w:t>12.1.1</w:t>
      </w:r>
      <w:r>
        <w:rPr>
          <w:rFonts w:ascii="Book Antiqua" w:hAnsi="Book Antiqua"/>
          <w:sz w:val="20"/>
          <w:szCs w:val="20"/>
        </w:rPr>
        <w:t>. Na hipótese de renovação prevista no Item 13.1, todos os quantitativos licitados serão restabelecidos, assim como todas as demais cláusulas previstas na Ata de Registro de Preços serão renovadas.</w:t>
      </w:r>
    </w:p>
    <w:p w14:paraId="5059B6E9">
      <w:pPr>
        <w:tabs>
          <w:tab w:val="left" w:pos="142"/>
        </w:tabs>
        <w:jc w:val="both"/>
        <w:rPr>
          <w:rFonts w:ascii="Book Antiqua" w:hAnsi="Book Antiqua"/>
          <w:sz w:val="20"/>
          <w:szCs w:val="20"/>
        </w:rPr>
      </w:pPr>
      <w:r>
        <w:rPr>
          <w:rFonts w:ascii="Book Antiqua" w:hAnsi="Book Antiqua"/>
          <w:b/>
          <w:bCs/>
          <w:sz w:val="20"/>
          <w:szCs w:val="20"/>
        </w:rPr>
        <w:t xml:space="preserve">  12.1.2</w:t>
      </w:r>
      <w:r>
        <w:rPr>
          <w:rFonts w:ascii="Book Antiqua" w:hAnsi="Book Antiqua"/>
          <w:sz w:val="20"/>
          <w:szCs w:val="20"/>
        </w:rPr>
        <w:t>. Os quantitativos serão restabelecidos a quantidade inicial licitada, não havendo possibilidade de somatório com o saldo não utilizado no período inicial da Ata.</w:t>
      </w:r>
    </w:p>
    <w:p w14:paraId="6EBD1948">
      <w:pPr>
        <w:jc w:val="both"/>
        <w:rPr>
          <w:rFonts w:ascii="Book Antiqua" w:hAnsi="Book Antiqua"/>
          <w:sz w:val="20"/>
          <w:szCs w:val="20"/>
        </w:rPr>
      </w:pPr>
      <w:r>
        <w:rPr>
          <w:rFonts w:ascii="Book Antiqua" w:hAnsi="Book Antiqua"/>
          <w:b/>
          <w:bCs/>
          <w:sz w:val="20"/>
          <w:szCs w:val="20"/>
        </w:rPr>
        <w:t xml:space="preserve">  12.1.3.</w:t>
      </w:r>
      <w:r>
        <w:rPr>
          <w:rFonts w:ascii="Book Antiqua" w:hAnsi="Book Antiqua"/>
          <w:sz w:val="20"/>
          <w:szCs w:val="20"/>
        </w:rPr>
        <w:t xml:space="preserve"> Na hipótese de prorrogação apenas de prazo prevista no Item 13.1, o quantitativo permanecerá de acordo com o saldo disponível no momento da prorrogação, apenas para que se possa concluir a aquisição de acordo com a demanda inicial licitada.</w:t>
      </w:r>
    </w:p>
    <w:p w14:paraId="4A99BD45">
      <w:pPr>
        <w:jc w:val="both"/>
        <w:rPr>
          <w:rFonts w:ascii="Book Antiqua" w:hAnsi="Book Antiqua"/>
          <w:b/>
          <w:bCs/>
          <w:sz w:val="20"/>
          <w:szCs w:val="20"/>
        </w:rPr>
      </w:pPr>
      <w:r>
        <w:rPr>
          <w:rFonts w:ascii="Book Antiqua" w:hAnsi="Book Antiqua"/>
          <w:b/>
          <w:bCs/>
          <w:sz w:val="20"/>
          <w:szCs w:val="20"/>
          <w:u w:val="single"/>
          <w:shd w:val="clear" w:color="auto" w:fill="B3B3B3"/>
        </w:rPr>
        <w:t>13. DA FORMAÇÃO DO CADASTRO DE RESERVA</w:t>
      </w:r>
    </w:p>
    <w:p w14:paraId="422A6038">
      <w:pPr>
        <w:jc w:val="both"/>
        <w:rPr>
          <w:rFonts w:ascii="Book Antiqua" w:hAnsi="Book Antiqua"/>
          <w:sz w:val="20"/>
          <w:szCs w:val="20"/>
        </w:rPr>
      </w:pPr>
      <w:r>
        <w:rPr>
          <w:rFonts w:ascii="Book Antiqua" w:hAnsi="Book Antiqua"/>
          <w:b/>
          <w:bCs/>
          <w:sz w:val="20"/>
          <w:szCs w:val="20"/>
        </w:rPr>
        <w:t>13.1</w:t>
      </w:r>
      <w:r>
        <w:rPr>
          <w:rFonts w:ascii="Book Antiqua" w:hAnsi="Book Antiqua"/>
          <w:sz w:val="20"/>
          <w:szCs w:val="20"/>
        </w:rPr>
        <w:t>. Após a homologação da licitação, será incluído na ata, na forma de anexo, o registro:</w:t>
      </w:r>
    </w:p>
    <w:p w14:paraId="6EBA2E21">
      <w:pPr>
        <w:jc w:val="both"/>
        <w:rPr>
          <w:rFonts w:ascii="Book Antiqua" w:hAnsi="Book Antiqua"/>
          <w:sz w:val="20"/>
          <w:szCs w:val="20"/>
        </w:rPr>
      </w:pPr>
      <w:r>
        <w:rPr>
          <w:rFonts w:ascii="Book Antiqua" w:hAnsi="Book Antiqua"/>
          <w:b/>
          <w:bCs/>
          <w:sz w:val="20"/>
          <w:szCs w:val="20"/>
        </w:rPr>
        <w:t xml:space="preserve">  13.1.1</w:t>
      </w:r>
      <w:r>
        <w:rPr>
          <w:rFonts w:ascii="Book Antiqua" w:hAnsi="Book Antiqua"/>
          <w:sz w:val="20"/>
          <w:szCs w:val="20"/>
        </w:rPr>
        <w:t xml:space="preserve">.dos licitantes que aceitarem cotar o objeto com preço igual ao do adjudicatário, observada a classificação na licitação; e </w:t>
      </w:r>
    </w:p>
    <w:p w14:paraId="7788AB2F">
      <w:pPr>
        <w:jc w:val="both"/>
        <w:rPr>
          <w:rFonts w:ascii="Book Antiqua" w:hAnsi="Book Antiqua"/>
          <w:sz w:val="20"/>
          <w:szCs w:val="20"/>
        </w:rPr>
      </w:pPr>
      <w:r>
        <w:rPr>
          <w:rFonts w:ascii="Book Antiqua" w:hAnsi="Book Antiqua"/>
          <w:b/>
          <w:bCs/>
          <w:sz w:val="20"/>
          <w:szCs w:val="20"/>
        </w:rPr>
        <w:t xml:space="preserve">  13.1.2</w:t>
      </w:r>
      <w:r>
        <w:rPr>
          <w:rFonts w:ascii="Book Antiqua" w:hAnsi="Book Antiqua"/>
          <w:sz w:val="20"/>
          <w:szCs w:val="20"/>
        </w:rPr>
        <w:t>.dos licitantes que mantiverem sua proposta original</w:t>
      </w:r>
    </w:p>
    <w:p w14:paraId="511C2C60">
      <w:pPr>
        <w:jc w:val="both"/>
        <w:rPr>
          <w:rFonts w:ascii="Book Antiqua" w:hAnsi="Book Antiqua"/>
          <w:sz w:val="20"/>
          <w:szCs w:val="20"/>
        </w:rPr>
      </w:pPr>
      <w:r>
        <w:rPr>
          <w:rFonts w:ascii="Book Antiqua" w:hAnsi="Book Antiqua"/>
          <w:b/>
          <w:bCs/>
          <w:sz w:val="20"/>
          <w:szCs w:val="20"/>
        </w:rPr>
        <w:t>13.2</w:t>
      </w:r>
      <w:r>
        <w:rPr>
          <w:rFonts w:ascii="Book Antiqua" w:hAnsi="Book Antiqua"/>
          <w:sz w:val="20"/>
          <w:szCs w:val="20"/>
        </w:rPr>
        <w:t>. Será respeitada, nas contratações, a ordem de classificação dos licitantes ou fornecedores registrados na ata.</w:t>
      </w:r>
    </w:p>
    <w:p w14:paraId="40DF33EB">
      <w:pPr>
        <w:jc w:val="both"/>
        <w:rPr>
          <w:rFonts w:ascii="Book Antiqua" w:hAnsi="Book Antiqua"/>
          <w:sz w:val="20"/>
          <w:szCs w:val="20"/>
        </w:rPr>
      </w:pPr>
      <w:r>
        <w:rPr>
          <w:rFonts w:ascii="Book Antiqua" w:hAnsi="Book Antiqua"/>
          <w:b/>
          <w:bCs/>
          <w:sz w:val="20"/>
          <w:szCs w:val="20"/>
        </w:rPr>
        <w:t xml:space="preserve">  13.2.1</w:t>
      </w:r>
      <w:r>
        <w:rPr>
          <w:rFonts w:ascii="Book Antiqua" w:hAnsi="Book Antiqua"/>
          <w:sz w:val="20"/>
          <w:szCs w:val="20"/>
        </w:rPr>
        <w:t>.A apresentação de novas propostas na forma deste item não prejudicará o resultado do certame em relação ao licitante mais bem classificado.</w:t>
      </w:r>
    </w:p>
    <w:p w14:paraId="4DD79E6E">
      <w:pPr>
        <w:jc w:val="both"/>
        <w:rPr>
          <w:rFonts w:ascii="Book Antiqua" w:hAnsi="Book Antiqua"/>
          <w:sz w:val="20"/>
          <w:szCs w:val="20"/>
        </w:rPr>
      </w:pPr>
      <w:r>
        <w:rPr>
          <w:rFonts w:ascii="Book Antiqua" w:hAnsi="Book Antiqua"/>
          <w:b/>
          <w:bCs/>
          <w:sz w:val="20"/>
          <w:szCs w:val="20"/>
        </w:rPr>
        <w:t xml:space="preserve">  13.2.2</w:t>
      </w:r>
      <w:r>
        <w:rPr>
          <w:rFonts w:ascii="Book Antiqua" w:hAnsi="Book Antiqua"/>
          <w:sz w:val="20"/>
          <w:szCs w:val="20"/>
        </w:rPr>
        <w:t>. Para fins da ordem de classificação, os licitantes ou fornecedores que aceitarem cotar o objeto com preço igual ao do adjudicatário antecederão aqueles que mantiverem sua proposta original.</w:t>
      </w:r>
    </w:p>
    <w:p w14:paraId="63E5B68E">
      <w:pPr>
        <w:jc w:val="both"/>
        <w:rPr>
          <w:rFonts w:ascii="Book Antiqua" w:hAnsi="Book Antiqua"/>
          <w:sz w:val="20"/>
          <w:szCs w:val="20"/>
        </w:rPr>
      </w:pPr>
      <w:r>
        <w:rPr>
          <w:rFonts w:ascii="Book Antiqua" w:hAnsi="Book Antiqua"/>
          <w:b/>
          <w:bCs/>
          <w:sz w:val="20"/>
          <w:szCs w:val="20"/>
        </w:rPr>
        <w:t>13.3.</w:t>
      </w:r>
      <w:r>
        <w:rPr>
          <w:rFonts w:ascii="Book Antiqua" w:hAnsi="Book Antiqua"/>
          <w:sz w:val="20"/>
          <w:szCs w:val="20"/>
        </w:rPr>
        <w:t xml:space="preserve"> A habilitação dos licitantes que comporão o cadastro de reserva será efetuada quando houver necessidade de contratação dos licitantes remanescentes, nas seguintes hipóteses:</w:t>
      </w:r>
    </w:p>
    <w:p w14:paraId="7E994232">
      <w:pPr>
        <w:jc w:val="both"/>
        <w:rPr>
          <w:rFonts w:ascii="Book Antiqua" w:hAnsi="Book Antiqua"/>
          <w:sz w:val="20"/>
          <w:szCs w:val="20"/>
        </w:rPr>
      </w:pPr>
      <w:r>
        <w:rPr>
          <w:rFonts w:ascii="Book Antiqua" w:hAnsi="Book Antiqua"/>
          <w:b/>
          <w:bCs/>
          <w:sz w:val="20"/>
          <w:szCs w:val="20"/>
        </w:rPr>
        <w:t xml:space="preserve">  13.3.1</w:t>
      </w:r>
      <w:r>
        <w:rPr>
          <w:rFonts w:ascii="Book Antiqua" w:hAnsi="Book Antiqua"/>
          <w:sz w:val="20"/>
          <w:szCs w:val="20"/>
        </w:rPr>
        <w:t>. quando o licitante vencedor não assinar a ata de registro de preços no prazo e nas condições estabelecidos no edital; ou</w:t>
      </w:r>
    </w:p>
    <w:p w14:paraId="437B207C">
      <w:pPr>
        <w:jc w:val="both"/>
        <w:rPr>
          <w:rFonts w:ascii="Book Antiqua" w:hAnsi="Book Antiqua"/>
          <w:sz w:val="20"/>
          <w:szCs w:val="20"/>
        </w:rPr>
      </w:pPr>
      <w:r>
        <w:rPr>
          <w:rFonts w:ascii="Book Antiqua" w:hAnsi="Book Antiqua"/>
          <w:b/>
          <w:bCs/>
          <w:sz w:val="20"/>
          <w:szCs w:val="20"/>
        </w:rPr>
        <w:t xml:space="preserve">  13.3.2.</w:t>
      </w:r>
      <w:r>
        <w:rPr>
          <w:rFonts w:ascii="Book Antiqua" w:hAnsi="Book Antiqua"/>
          <w:sz w:val="20"/>
          <w:szCs w:val="20"/>
        </w:rPr>
        <w:t xml:space="preserve"> quando houver o cancelamento do registro do fornecedor ou do registro de preços, nas hipóteses previstas no art. 30 do Decreto Municipal nº 008/2024.</w:t>
      </w:r>
    </w:p>
    <w:p w14:paraId="659A181A">
      <w:pPr>
        <w:jc w:val="both"/>
        <w:rPr>
          <w:rFonts w:ascii="Book Antiqua" w:hAnsi="Book Antiqua"/>
          <w:sz w:val="20"/>
          <w:szCs w:val="20"/>
        </w:rPr>
      </w:pPr>
      <w:r>
        <w:rPr>
          <w:rFonts w:ascii="Book Antiqua" w:hAnsi="Book Antiqua"/>
          <w:b/>
          <w:bCs/>
          <w:sz w:val="20"/>
          <w:szCs w:val="20"/>
        </w:rPr>
        <w:t>13.4.</w:t>
      </w:r>
      <w:r>
        <w:rPr>
          <w:rFonts w:ascii="Book Antiqua" w:hAnsi="Book Antiqua"/>
          <w:sz w:val="20"/>
          <w:szCs w:val="20"/>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39B7C3A">
      <w:pPr>
        <w:ind w:firstLine="142"/>
        <w:jc w:val="both"/>
        <w:rPr>
          <w:rFonts w:ascii="Book Antiqua" w:hAnsi="Book Antiqua"/>
          <w:sz w:val="20"/>
          <w:szCs w:val="20"/>
        </w:rPr>
      </w:pPr>
      <w:r>
        <w:rPr>
          <w:rFonts w:ascii="Book Antiqua" w:hAnsi="Book Antiqua"/>
          <w:b/>
          <w:bCs/>
          <w:sz w:val="20"/>
          <w:szCs w:val="20"/>
        </w:rPr>
        <w:t>13.4.1</w:t>
      </w:r>
      <w:r>
        <w:rPr>
          <w:rFonts w:ascii="Book Antiqua" w:hAnsi="Book Antiqua"/>
          <w:sz w:val="20"/>
          <w:szCs w:val="20"/>
        </w:rPr>
        <w:t>. convocar os licitantes que mantiveram sua proposta original para negociação, na ordem de classificação, com vistas à obtenção de preço melhor, mesmo que acima do preço do adjudicatário; ou</w:t>
      </w:r>
    </w:p>
    <w:p w14:paraId="06FEE8F8">
      <w:pPr>
        <w:ind w:firstLine="142"/>
        <w:jc w:val="both"/>
        <w:rPr>
          <w:rFonts w:ascii="Book Antiqua" w:hAnsi="Book Antiqua"/>
          <w:sz w:val="20"/>
          <w:szCs w:val="20"/>
        </w:rPr>
      </w:pPr>
      <w:r>
        <w:rPr>
          <w:rFonts w:ascii="Book Antiqua" w:hAnsi="Book Antiqua"/>
          <w:b/>
          <w:bCs/>
          <w:sz w:val="20"/>
          <w:szCs w:val="20"/>
        </w:rPr>
        <w:t>13.4.2.</w:t>
      </w:r>
      <w:r>
        <w:rPr>
          <w:rFonts w:ascii="Book Antiqua" w:hAnsi="Book Antiqua"/>
          <w:sz w:val="20"/>
          <w:szCs w:val="20"/>
        </w:rPr>
        <w:t xml:space="preserve"> adjudicar e firmar o contrato nas condições ofertadas pelos licitantes remanescentes, observada a ordem de classificação, quando frustrada a negociação de melhor condição.</w:t>
      </w:r>
    </w:p>
    <w:p w14:paraId="2C2F100E">
      <w:pPr>
        <w:jc w:val="both"/>
        <w:rPr>
          <w:rFonts w:ascii="Book Antiqua" w:hAnsi="Book Antiqua"/>
          <w:b/>
          <w:bCs/>
          <w:sz w:val="20"/>
          <w:szCs w:val="20"/>
        </w:rPr>
      </w:pPr>
      <w:r>
        <w:rPr>
          <w:rFonts w:ascii="Book Antiqua" w:hAnsi="Book Antiqua"/>
          <w:b/>
          <w:bCs/>
          <w:sz w:val="20"/>
          <w:szCs w:val="20"/>
          <w:u w:val="single"/>
          <w:shd w:val="clear" w:color="auto" w:fill="B3B3B3"/>
        </w:rPr>
        <w:t>14.DA CONTRATAÇÃO COM OS FORNECEDORES</w:t>
      </w:r>
    </w:p>
    <w:p w14:paraId="2487B60A">
      <w:pPr>
        <w:jc w:val="both"/>
        <w:rPr>
          <w:rFonts w:ascii="Book Antiqua" w:hAnsi="Book Antiqua"/>
          <w:sz w:val="20"/>
          <w:szCs w:val="20"/>
        </w:rPr>
      </w:pPr>
      <w:bookmarkStart w:id="6" w:name="_Hlk164380540"/>
      <w:r>
        <w:rPr>
          <w:rFonts w:ascii="Book Antiqua" w:hAnsi="Book Antiqua"/>
          <w:b/>
          <w:bCs/>
          <w:sz w:val="20"/>
          <w:szCs w:val="20"/>
        </w:rPr>
        <w:t>14.1</w:t>
      </w:r>
      <w:r>
        <w:rPr>
          <w:rFonts w:ascii="Book Antiqua" w:hAnsi="Book Antiqua"/>
          <w:sz w:val="20"/>
          <w:szCs w:val="20"/>
        </w:rPr>
        <w:t>.A contratação com o fornecedor registrado, de acordo com a necessidade do órgão, será formalizada por intermédio de instrumento contratual, emissão de nota de empenho de despesa, autorização de compra ou outro instrumento similar, conforme disposto no artigo 95 da Lei nº 14.133/2021.</w:t>
      </w:r>
    </w:p>
    <w:p w14:paraId="055F6604">
      <w:pPr>
        <w:ind w:firstLine="142"/>
        <w:jc w:val="both"/>
        <w:rPr>
          <w:rFonts w:ascii="Book Antiqua" w:hAnsi="Book Antiqua"/>
          <w:sz w:val="20"/>
          <w:szCs w:val="20"/>
        </w:rPr>
      </w:pPr>
      <w:r>
        <w:rPr>
          <w:rFonts w:ascii="Book Antiqua" w:hAnsi="Book Antiqua"/>
          <w:b/>
          <w:bCs/>
          <w:sz w:val="20"/>
          <w:szCs w:val="20"/>
        </w:rPr>
        <w:t>14.1.1.</w:t>
      </w:r>
      <w:r>
        <w:rPr>
          <w:rFonts w:ascii="Book Antiqua" w:hAnsi="Book Antiqua"/>
          <w:sz w:val="20"/>
          <w:szCs w:val="20"/>
        </w:rPr>
        <w:t xml:space="preserve"> As condições de fornecimento constam do Termo de Referência e da Ata de Registro de Preços, e poderão ser detalhadas, em cada contratação específica, no respectivo pedido de contratação.</w:t>
      </w:r>
    </w:p>
    <w:p w14:paraId="37D96CC3">
      <w:pPr>
        <w:jc w:val="both"/>
        <w:rPr>
          <w:rFonts w:ascii="Book Antiqua" w:hAnsi="Book Antiqua"/>
          <w:sz w:val="20"/>
          <w:szCs w:val="20"/>
          <w:lang w:bidi="pt-BR"/>
        </w:rPr>
      </w:pPr>
      <w:r>
        <w:rPr>
          <w:rFonts w:ascii="Book Antiqua" w:hAnsi="Book Antiqua"/>
          <w:b/>
          <w:bCs/>
          <w:sz w:val="20"/>
          <w:szCs w:val="20"/>
        </w:rPr>
        <w:t>14.2</w:t>
      </w:r>
      <w:r>
        <w:rPr>
          <w:rFonts w:ascii="Book Antiqua" w:hAnsi="Book Antiqua"/>
          <w:sz w:val="20"/>
          <w:szCs w:val="20"/>
        </w:rPr>
        <w:t xml:space="preserve">. O órgão convocará a fornecedora com preço registrado em Ata para, a cada contratação, no prazo máximo de </w:t>
      </w:r>
      <w:r>
        <w:rPr>
          <w:rFonts w:ascii="Book Antiqua" w:hAnsi="Book Antiqua"/>
          <w:b/>
          <w:sz w:val="20"/>
          <w:szCs w:val="20"/>
          <w:lang w:bidi="pt-BR"/>
        </w:rPr>
        <w:t>02 (dois) dias úteis</w:t>
      </w:r>
      <w:r>
        <w:rPr>
          <w:rFonts w:ascii="Book Antiqua" w:hAnsi="Book Antiqua"/>
          <w:sz w:val="20"/>
          <w:szCs w:val="20"/>
          <w:lang w:bidi="pt-BR"/>
        </w:rPr>
        <w:t xml:space="preserve">, </w:t>
      </w:r>
      <w:r>
        <w:rPr>
          <w:rFonts w:ascii="Book Antiqua" w:hAnsi="Book Antiqua"/>
          <w:sz w:val="20"/>
          <w:szCs w:val="20"/>
        </w:rPr>
        <w:t xml:space="preserve">efetuar a retirada da Nota de Empenho ou instrumento equivalente, ou assinar o Contrato, se for o caso, </w:t>
      </w:r>
      <w:r>
        <w:rPr>
          <w:rFonts w:ascii="Book Antiqua" w:hAnsi="Book Antiqua"/>
          <w:sz w:val="20"/>
          <w:szCs w:val="20"/>
          <w:lang w:bidi="pt-BR"/>
        </w:rPr>
        <w:t>sob pena de decair do direito à contratação, sem prejuízo das sanções previstas no Edital e na Ata de Registro de Preços.</w:t>
      </w:r>
    </w:p>
    <w:p w14:paraId="2B2E4F5B">
      <w:pPr>
        <w:ind w:firstLine="142"/>
        <w:jc w:val="both"/>
        <w:rPr>
          <w:rFonts w:ascii="Book Antiqua" w:hAnsi="Book Antiqua"/>
          <w:sz w:val="20"/>
          <w:szCs w:val="20"/>
          <w:lang w:bidi="pt-BR"/>
        </w:rPr>
      </w:pPr>
      <w:r>
        <w:rPr>
          <w:rFonts w:ascii="Book Antiqua" w:hAnsi="Book Antiqua"/>
          <w:b/>
          <w:sz w:val="20"/>
          <w:szCs w:val="20"/>
          <w:lang w:bidi="pt-BR"/>
        </w:rPr>
        <w:t>14.2.1.</w:t>
      </w:r>
      <w:r>
        <w:rPr>
          <w:rFonts w:ascii="Book Antiqua" w:hAnsi="Book Antiqua"/>
          <w:bCs/>
          <w:sz w:val="20"/>
          <w:szCs w:val="20"/>
          <w:lang w:bidi="pt-BR"/>
        </w:rPr>
        <w:t xml:space="preserve"> Esse </w:t>
      </w:r>
      <w:r>
        <w:rPr>
          <w:rFonts w:ascii="Book Antiqua" w:hAnsi="Book Antiqua"/>
          <w:sz w:val="20"/>
          <w:szCs w:val="20"/>
          <w:lang w:bidi="pt-BR"/>
        </w:rPr>
        <w:t>prazo poderá ser prorrogado, por igual período, por solicitação justificada do fornecedor e aceita pela Administração.</w:t>
      </w:r>
    </w:p>
    <w:bookmarkEnd w:id="6"/>
    <w:p w14:paraId="3F881074">
      <w:pPr>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15.DA IMPUGNAÇÃO DO EDITAL E DOS PEDIDOS DE ESCLARECIMENTO</w:t>
      </w:r>
    </w:p>
    <w:p w14:paraId="06ADDECD">
      <w:pPr>
        <w:jc w:val="both"/>
        <w:rPr>
          <w:rFonts w:ascii="Book Antiqua" w:hAnsi="Book Antiqua"/>
          <w:sz w:val="20"/>
          <w:szCs w:val="20"/>
        </w:rPr>
      </w:pPr>
      <w:r>
        <w:rPr>
          <w:rFonts w:ascii="Book Antiqua" w:hAnsi="Book Antiqua"/>
          <w:b/>
          <w:bCs/>
          <w:sz w:val="20"/>
          <w:szCs w:val="20"/>
        </w:rPr>
        <w:t>15.1</w:t>
      </w:r>
      <w:r>
        <w:rPr>
          <w:rFonts w:ascii="Book Antiqua" w:hAnsi="Book Antiqua"/>
          <w:sz w:val="20"/>
          <w:szCs w:val="20"/>
        </w:rPr>
        <w:t>. Qualquer pessoa é parte legítima para impugnar este Edital por irregularidade na aplicação da Lei nº 14.133, de 2021, devendo protocolar o pedido até 3 (três) dias úteis antes da data da abertura do certame.</w:t>
      </w:r>
    </w:p>
    <w:p w14:paraId="57491CA9">
      <w:pPr>
        <w:jc w:val="both"/>
        <w:rPr>
          <w:rFonts w:ascii="Book Antiqua" w:hAnsi="Book Antiqua"/>
          <w:sz w:val="20"/>
          <w:szCs w:val="20"/>
        </w:rPr>
      </w:pPr>
      <w:r>
        <w:rPr>
          <w:rFonts w:ascii="Book Antiqua" w:hAnsi="Book Antiqua"/>
          <w:b/>
          <w:bCs/>
          <w:sz w:val="20"/>
          <w:szCs w:val="20"/>
        </w:rPr>
        <w:t>15.2</w:t>
      </w:r>
      <w:r>
        <w:rPr>
          <w:rFonts w:ascii="Book Antiqua" w:hAnsi="Book Antiqua"/>
          <w:sz w:val="20"/>
          <w:szCs w:val="20"/>
        </w:rPr>
        <w:t>. A resposta à impugnação ou ao pedido de esclarecimento será divulgado em sítio eletrônico oficial no prazo de até 3 (três) dias úteis, limitado ao último dia útil anterior à data da abertura do certame.</w:t>
      </w:r>
    </w:p>
    <w:p w14:paraId="2ADD7675">
      <w:pPr>
        <w:jc w:val="both"/>
        <w:rPr>
          <w:rFonts w:ascii="Book Antiqua" w:hAnsi="Book Antiqua"/>
          <w:sz w:val="20"/>
          <w:szCs w:val="20"/>
        </w:rPr>
      </w:pPr>
      <w:r>
        <w:rPr>
          <w:rFonts w:ascii="Book Antiqua" w:hAnsi="Book Antiqua"/>
          <w:b/>
          <w:bCs/>
          <w:sz w:val="20"/>
          <w:szCs w:val="20"/>
        </w:rPr>
        <w:t>15.3.</w:t>
      </w:r>
      <w:r>
        <w:rPr>
          <w:rFonts w:ascii="Book Antiqua" w:hAnsi="Book Antiqua"/>
          <w:sz w:val="20"/>
          <w:szCs w:val="20"/>
        </w:rPr>
        <w:t xml:space="preserve"> A impugnação e o pedido de esclarecimento serão realizados por forma eletrônica, através do Portal de Compras Públicas, </w:t>
      </w:r>
      <w:r>
        <w:rPr>
          <w:rFonts w:ascii="Book Antiqua" w:hAnsi="Book Antiqua" w:cs="Courier New"/>
          <w:sz w:val="20"/>
          <w:szCs w:val="20"/>
        </w:rPr>
        <w:t xml:space="preserve">constante da página eletrônica: </w:t>
      </w:r>
      <w:r>
        <w:fldChar w:fldCharType="begin"/>
      </w:r>
      <w:r>
        <w:instrText xml:space="preserve"> HYPERLINK "http://www.portaldecompraspublicas.com.br" </w:instrText>
      </w:r>
      <w:r>
        <w:fldChar w:fldCharType="separate"/>
      </w:r>
      <w:r>
        <w:rPr>
          <w:rStyle w:val="20"/>
          <w:rFonts w:ascii="Book Antiqua" w:hAnsi="Book Antiqua" w:cs="Courier New"/>
          <w:b/>
          <w:bCs/>
          <w:color w:val="0000CC"/>
          <w:sz w:val="20"/>
          <w:szCs w:val="20"/>
        </w:rPr>
        <w:t>www.portaldecompraspublicas.com.br</w:t>
      </w:r>
      <w:r>
        <w:rPr>
          <w:rStyle w:val="20"/>
          <w:rFonts w:ascii="Book Antiqua" w:hAnsi="Book Antiqua" w:cs="Courier New"/>
          <w:b/>
          <w:bCs/>
          <w:color w:val="0000CC"/>
          <w:sz w:val="20"/>
          <w:szCs w:val="20"/>
        </w:rPr>
        <w:fldChar w:fldCharType="end"/>
      </w:r>
      <w:r>
        <w:rPr>
          <w:rStyle w:val="20"/>
          <w:rFonts w:ascii="Book Antiqua" w:hAnsi="Book Antiqua" w:cs="Courier New"/>
          <w:b/>
          <w:bCs/>
          <w:color w:val="0000CC"/>
          <w:sz w:val="20"/>
          <w:szCs w:val="20"/>
        </w:rPr>
        <w:t>.</w:t>
      </w:r>
    </w:p>
    <w:p w14:paraId="0D163209">
      <w:pPr>
        <w:jc w:val="both"/>
        <w:rPr>
          <w:rFonts w:ascii="Book Antiqua" w:hAnsi="Book Antiqua"/>
          <w:sz w:val="20"/>
          <w:szCs w:val="20"/>
        </w:rPr>
      </w:pPr>
      <w:r>
        <w:rPr>
          <w:rFonts w:ascii="Book Antiqua" w:hAnsi="Book Antiqua"/>
          <w:b/>
          <w:bCs/>
          <w:sz w:val="20"/>
          <w:szCs w:val="20"/>
        </w:rPr>
        <w:t>15.4.</w:t>
      </w:r>
      <w:r>
        <w:rPr>
          <w:rFonts w:ascii="Book Antiqua" w:hAnsi="Book Antiqua"/>
          <w:sz w:val="20"/>
          <w:szCs w:val="20"/>
        </w:rPr>
        <w:t xml:space="preserve"> As impugnações e pedidos de esclarecimentos não suspendem os prazos previstos no certame.</w:t>
      </w:r>
    </w:p>
    <w:p w14:paraId="278A3A58">
      <w:pPr>
        <w:jc w:val="both"/>
        <w:rPr>
          <w:rFonts w:ascii="Book Antiqua" w:hAnsi="Book Antiqua"/>
          <w:sz w:val="20"/>
          <w:szCs w:val="20"/>
        </w:rPr>
      </w:pPr>
      <w:r>
        <w:rPr>
          <w:rFonts w:ascii="Book Antiqua" w:hAnsi="Book Antiqua"/>
          <w:b/>
          <w:bCs/>
          <w:sz w:val="20"/>
          <w:szCs w:val="20"/>
        </w:rPr>
        <w:t>15.5.</w:t>
      </w:r>
      <w:r>
        <w:rPr>
          <w:rFonts w:ascii="Book Antiqua" w:hAnsi="Book Antiqua"/>
          <w:sz w:val="20"/>
          <w:szCs w:val="20"/>
        </w:rPr>
        <w:t xml:space="preserve"> A concessão de efeito suspensivo à impugnação é medida excepcional e deverá ser motivada pelo agente de contratação, nos autos do processo de licitação.</w:t>
      </w:r>
    </w:p>
    <w:p w14:paraId="7CED08D9">
      <w:pPr>
        <w:jc w:val="both"/>
        <w:rPr>
          <w:rFonts w:ascii="Book Antiqua" w:hAnsi="Book Antiqua"/>
          <w:sz w:val="20"/>
          <w:szCs w:val="20"/>
        </w:rPr>
      </w:pPr>
      <w:r>
        <w:rPr>
          <w:rFonts w:ascii="Book Antiqua" w:hAnsi="Book Antiqua"/>
          <w:b/>
          <w:bCs/>
          <w:sz w:val="20"/>
          <w:szCs w:val="20"/>
        </w:rPr>
        <w:t>15.6</w:t>
      </w:r>
      <w:r>
        <w:rPr>
          <w:rFonts w:ascii="Book Antiqua" w:hAnsi="Book Antiqua"/>
          <w:sz w:val="20"/>
          <w:szCs w:val="20"/>
        </w:rPr>
        <w:t>. Acolhida a impugnação, será definida e publicada nova data para a realização do certame.</w:t>
      </w:r>
    </w:p>
    <w:p w14:paraId="0DD1520C">
      <w:pPr>
        <w:jc w:val="both"/>
        <w:rPr>
          <w:rFonts w:ascii="Book Antiqua" w:hAnsi="Book Antiqua"/>
          <w:b/>
          <w:bCs/>
          <w:sz w:val="20"/>
          <w:szCs w:val="20"/>
          <w:u w:val="single"/>
          <w:shd w:val="clear" w:color="auto" w:fill="B3B3B3"/>
        </w:rPr>
      </w:pPr>
      <w:r>
        <w:rPr>
          <w:rFonts w:ascii="Book Antiqua" w:hAnsi="Book Antiqua"/>
          <w:b/>
          <w:bCs/>
          <w:sz w:val="20"/>
          <w:szCs w:val="20"/>
          <w:u w:val="single"/>
          <w:shd w:val="clear" w:color="auto" w:fill="B3B3B3"/>
        </w:rPr>
        <w:t>16.DAS DISPOSIÇÕES GERAIS</w:t>
      </w:r>
    </w:p>
    <w:p w14:paraId="5CE389DC">
      <w:pPr>
        <w:rPr>
          <w:rFonts w:ascii="Book Antiqua" w:hAnsi="Book Antiqua"/>
          <w:sz w:val="20"/>
          <w:szCs w:val="20"/>
        </w:rPr>
      </w:pPr>
      <w:r>
        <w:rPr>
          <w:rFonts w:ascii="Book Antiqua" w:hAnsi="Book Antiqua"/>
          <w:b/>
          <w:bCs/>
          <w:sz w:val="20"/>
          <w:szCs w:val="20"/>
        </w:rPr>
        <w:t>16.1</w:t>
      </w:r>
      <w:r>
        <w:rPr>
          <w:rFonts w:ascii="Book Antiqua" w:hAnsi="Book Antiqua"/>
          <w:sz w:val="20"/>
          <w:szCs w:val="20"/>
        </w:rPr>
        <w:t>. Será divulgada ata da sessão pública no sistema eletrônico.</w:t>
      </w:r>
    </w:p>
    <w:p w14:paraId="461B4BC4">
      <w:pPr>
        <w:jc w:val="both"/>
        <w:rPr>
          <w:rFonts w:ascii="Book Antiqua" w:hAnsi="Book Antiqua"/>
          <w:sz w:val="20"/>
          <w:szCs w:val="20"/>
        </w:rPr>
      </w:pPr>
      <w:r>
        <w:rPr>
          <w:rFonts w:ascii="Book Antiqua" w:hAnsi="Book Antiqua"/>
          <w:b/>
          <w:bCs/>
          <w:sz w:val="20"/>
          <w:szCs w:val="20"/>
        </w:rPr>
        <w:t>16.2.</w:t>
      </w:r>
      <w:r>
        <w:rPr>
          <w:rFonts w:ascii="Book Antiqua" w:hAnsi="Book Antiqua"/>
          <w:sz w:val="20"/>
          <w:szCs w:val="20"/>
        </w:rPr>
        <w:t xml:space="preserve"> Qualquer modificação no Edital exige divulgação pelo mesmo instrumento de publicação em que se deu o texto original, reabrindo-se o prazo inicialmente estabelecido, exceto quando, inquestionavelmente, a alteração não afetar a formulação das propostas.</w:t>
      </w:r>
    </w:p>
    <w:p w14:paraId="652F2996">
      <w:pPr>
        <w:jc w:val="both"/>
        <w:rPr>
          <w:rFonts w:ascii="Book Antiqua" w:hAnsi="Book Antiqua"/>
          <w:sz w:val="20"/>
          <w:szCs w:val="20"/>
        </w:rPr>
      </w:pPr>
      <w:r>
        <w:rPr>
          <w:rFonts w:ascii="Book Antiqua" w:hAnsi="Book Antiqua"/>
          <w:b/>
          <w:bCs/>
          <w:sz w:val="20"/>
          <w:szCs w:val="20"/>
        </w:rPr>
        <w:t>16.3.</w:t>
      </w:r>
      <w:r>
        <w:rPr>
          <w:rFonts w:ascii="Book Antiqua" w:hAnsi="Book Antiqua"/>
          <w:sz w:val="20"/>
          <w:szCs w:val="20"/>
        </w:rPr>
        <w:t xml:space="preserve">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332F61DC">
      <w:pPr>
        <w:jc w:val="both"/>
        <w:rPr>
          <w:rFonts w:ascii="Book Antiqua" w:hAnsi="Book Antiqua"/>
          <w:bCs/>
          <w:sz w:val="20"/>
          <w:szCs w:val="20"/>
        </w:rPr>
      </w:pPr>
      <w:r>
        <w:rPr>
          <w:rFonts w:ascii="Book Antiqua" w:hAnsi="Book Antiqua"/>
          <w:b/>
          <w:sz w:val="20"/>
          <w:szCs w:val="20"/>
        </w:rPr>
        <w:t>16.4.</w:t>
      </w:r>
      <w:r>
        <w:rPr>
          <w:rFonts w:ascii="Book Antiqua" w:hAnsi="Book Antiqua"/>
          <w:bCs/>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BC9FF67">
      <w:pPr>
        <w:jc w:val="both"/>
        <w:rPr>
          <w:rFonts w:ascii="Book Antiqua" w:hAnsi="Book Antiqua"/>
          <w:bCs/>
          <w:sz w:val="20"/>
          <w:szCs w:val="20"/>
        </w:rPr>
      </w:pPr>
      <w:r>
        <w:rPr>
          <w:rFonts w:ascii="Book Antiqua" w:hAnsi="Book Antiqua"/>
          <w:b/>
          <w:sz w:val="20"/>
          <w:szCs w:val="20"/>
        </w:rPr>
        <w:t>16.5.</w:t>
      </w:r>
      <w:r>
        <w:rPr>
          <w:rFonts w:ascii="Book Antiqua" w:hAnsi="Book Antiqua"/>
          <w:bCs/>
          <w:sz w:val="20"/>
          <w:szCs w:val="20"/>
        </w:rPr>
        <w:t xml:space="preserve"> Todas as referências de tempo no Edital, no aviso e durante a sessão pública observarão o horário de Brasília - DF.</w:t>
      </w:r>
    </w:p>
    <w:p w14:paraId="4F57DB06">
      <w:pPr>
        <w:jc w:val="both"/>
        <w:rPr>
          <w:rFonts w:ascii="Book Antiqua" w:hAnsi="Book Antiqua"/>
          <w:bCs/>
          <w:sz w:val="20"/>
          <w:szCs w:val="20"/>
        </w:rPr>
      </w:pPr>
      <w:r>
        <w:rPr>
          <w:rFonts w:ascii="Book Antiqua" w:hAnsi="Book Antiqua"/>
          <w:b/>
          <w:sz w:val="20"/>
          <w:szCs w:val="20"/>
        </w:rPr>
        <w:t>16.6</w:t>
      </w:r>
      <w:r>
        <w:rPr>
          <w:rFonts w:ascii="Book Antiqua" w:hAnsi="Book Antiqua"/>
          <w:bCs/>
          <w:sz w:val="20"/>
          <w:szCs w:val="20"/>
        </w:rPr>
        <w:t>. A homologação do resultado desta licitação não implicará direito à contratação.</w:t>
      </w:r>
    </w:p>
    <w:p w14:paraId="787A4F64">
      <w:pPr>
        <w:jc w:val="both"/>
        <w:rPr>
          <w:rFonts w:ascii="Book Antiqua" w:hAnsi="Book Antiqua"/>
          <w:bCs/>
          <w:sz w:val="20"/>
          <w:szCs w:val="20"/>
        </w:rPr>
      </w:pPr>
      <w:r>
        <w:rPr>
          <w:rFonts w:ascii="Book Antiqua" w:hAnsi="Book Antiqua"/>
          <w:b/>
          <w:sz w:val="20"/>
          <w:szCs w:val="20"/>
        </w:rPr>
        <w:t>16.7</w:t>
      </w:r>
      <w:r>
        <w:rPr>
          <w:rFonts w:ascii="Book Antiqua" w:hAnsi="Book Antiqua"/>
          <w:bCs/>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0744A3D8">
      <w:pPr>
        <w:jc w:val="both"/>
        <w:rPr>
          <w:rFonts w:ascii="Book Antiqua" w:hAnsi="Book Antiqua"/>
          <w:bCs/>
          <w:sz w:val="20"/>
          <w:szCs w:val="20"/>
        </w:rPr>
      </w:pPr>
      <w:r>
        <w:rPr>
          <w:rFonts w:ascii="Book Antiqua" w:hAnsi="Book Antiqua"/>
          <w:b/>
          <w:sz w:val="20"/>
          <w:szCs w:val="20"/>
        </w:rPr>
        <w:t>16.8</w:t>
      </w:r>
      <w:r>
        <w:rPr>
          <w:rFonts w:ascii="Book Antiqua" w:hAnsi="Book Antiqua"/>
          <w:bCs/>
          <w:sz w:val="20"/>
          <w:szCs w:val="20"/>
        </w:rPr>
        <w:t>. Os licitantes assumem todos os custos de preparação e apresentação de suas propostas e a Administração não será, em nenhum caso, responsável por esses custos, independentemente da condução ou do resultado do processo licitatório.</w:t>
      </w:r>
    </w:p>
    <w:p w14:paraId="6F4E5A53">
      <w:pPr>
        <w:jc w:val="both"/>
        <w:rPr>
          <w:rFonts w:ascii="Book Antiqua" w:hAnsi="Book Antiqua"/>
          <w:bCs/>
          <w:sz w:val="20"/>
          <w:szCs w:val="20"/>
        </w:rPr>
      </w:pPr>
      <w:r>
        <w:rPr>
          <w:rFonts w:ascii="Book Antiqua" w:hAnsi="Book Antiqua"/>
          <w:b/>
          <w:sz w:val="20"/>
          <w:szCs w:val="20"/>
        </w:rPr>
        <w:t>16.9</w:t>
      </w:r>
      <w:r>
        <w:rPr>
          <w:rFonts w:ascii="Book Antiqua" w:hAnsi="Book Antiqua"/>
          <w:bCs/>
          <w:sz w:val="20"/>
          <w:szCs w:val="20"/>
        </w:rPr>
        <w:t>. Na contagem dos prazos estabelecidos neste Edital e seus Anexos, excluir-se-á o dia do início e incluir-se-á o do vencimento. Só se iniciam e vencem os prazos em dias de expediente na Administração.</w:t>
      </w:r>
    </w:p>
    <w:p w14:paraId="2BEC1F95">
      <w:pPr>
        <w:jc w:val="both"/>
        <w:rPr>
          <w:rFonts w:ascii="Book Antiqua" w:hAnsi="Book Antiqua"/>
          <w:bCs/>
          <w:sz w:val="20"/>
          <w:szCs w:val="20"/>
        </w:rPr>
      </w:pPr>
      <w:r>
        <w:rPr>
          <w:rFonts w:ascii="Book Antiqua" w:hAnsi="Book Antiqua"/>
          <w:b/>
          <w:sz w:val="20"/>
          <w:szCs w:val="20"/>
        </w:rPr>
        <w:t>16.10</w:t>
      </w:r>
      <w:r>
        <w:rPr>
          <w:rFonts w:ascii="Book Antiqua" w:hAnsi="Book Antiqua"/>
          <w:bCs/>
          <w:sz w:val="20"/>
          <w:szCs w:val="20"/>
        </w:rPr>
        <w:t>.O desatendimento de exigências formais não essenciais não importará o afastamento do licitante, desde que seja possível o aproveitamento do ato, observados os princípios da isonomia e do interesse público.</w:t>
      </w:r>
    </w:p>
    <w:p w14:paraId="5D5B5D5F">
      <w:pPr>
        <w:jc w:val="both"/>
        <w:rPr>
          <w:rFonts w:ascii="Book Antiqua" w:hAnsi="Book Antiqua"/>
          <w:bCs/>
          <w:sz w:val="20"/>
          <w:szCs w:val="20"/>
        </w:rPr>
      </w:pPr>
      <w:r>
        <w:rPr>
          <w:rFonts w:ascii="Book Antiqua" w:hAnsi="Book Antiqua"/>
          <w:b/>
          <w:sz w:val="20"/>
          <w:szCs w:val="20"/>
        </w:rPr>
        <w:t>16.11.</w:t>
      </w:r>
      <w:r>
        <w:rPr>
          <w:rFonts w:ascii="Book Antiqua" w:hAnsi="Book Antiqua"/>
          <w:bCs/>
          <w:sz w:val="20"/>
          <w:szCs w:val="20"/>
        </w:rPr>
        <w:t xml:space="preserve"> Em caso de divergência entre disposições deste Edital e de seus anexos ou demais peças que compõem o processo, prevalecerá as deste Edital.</w:t>
      </w:r>
    </w:p>
    <w:p w14:paraId="2D8F6BDF">
      <w:pPr>
        <w:jc w:val="both"/>
        <w:rPr>
          <w:rFonts w:ascii="Book Antiqua" w:hAnsi="Book Antiqua"/>
          <w:bCs/>
          <w:sz w:val="20"/>
          <w:szCs w:val="20"/>
        </w:rPr>
      </w:pPr>
      <w:r>
        <w:rPr>
          <w:rFonts w:ascii="Book Antiqua" w:hAnsi="Book Antiqua"/>
          <w:b/>
          <w:sz w:val="20"/>
          <w:szCs w:val="20"/>
        </w:rPr>
        <w:t>16.12</w:t>
      </w:r>
      <w:r>
        <w:rPr>
          <w:rFonts w:ascii="Book Antiqua" w:hAnsi="Book Antiqua"/>
          <w:bCs/>
          <w:sz w:val="20"/>
          <w:szCs w:val="20"/>
        </w:rPr>
        <w:t xml:space="preserve">. O Edital e seus anexos estão disponíveis, na íntegra, no Portal Nacional de Contratações Públicas (PNCP) e nos endereços eletrônicos </w:t>
      </w:r>
      <w:r>
        <w:fldChar w:fldCharType="begin"/>
      </w:r>
      <w:r>
        <w:instrText xml:space="preserve"> HYPERLINK "http://www.portaldecompraspublicas.com.br" </w:instrText>
      </w:r>
      <w:r>
        <w:fldChar w:fldCharType="separate"/>
      </w:r>
      <w:r>
        <w:rPr>
          <w:rStyle w:val="20"/>
          <w:rFonts w:ascii="Book Antiqua" w:hAnsi="Book Antiqua" w:cs="Courier New"/>
          <w:b/>
          <w:bCs/>
          <w:sz w:val="20"/>
          <w:szCs w:val="20"/>
        </w:rPr>
        <w:t>www.portaldecompraspublicas.com.br</w:t>
      </w:r>
      <w:r>
        <w:rPr>
          <w:rStyle w:val="20"/>
          <w:rFonts w:ascii="Book Antiqua" w:hAnsi="Book Antiqua" w:cs="Courier New"/>
          <w:b/>
          <w:bCs/>
          <w:sz w:val="20"/>
          <w:szCs w:val="20"/>
        </w:rPr>
        <w:fldChar w:fldCharType="end"/>
      </w:r>
      <w:r>
        <w:rPr>
          <w:rStyle w:val="20"/>
          <w:rFonts w:ascii="Book Antiqua" w:hAnsi="Book Antiqua" w:cs="Courier New"/>
          <w:sz w:val="20"/>
          <w:szCs w:val="20"/>
        </w:rPr>
        <w:t xml:space="preserve"> e</w:t>
      </w:r>
      <w:r>
        <w:rPr>
          <w:rFonts w:ascii="Book Antiqua" w:hAnsi="Book Antiqua"/>
          <w:bCs/>
          <w:sz w:val="20"/>
          <w:szCs w:val="20"/>
        </w:rPr>
        <w:t xml:space="preserve"> </w:t>
      </w:r>
      <w:r>
        <w:fldChar w:fldCharType="begin"/>
      </w:r>
      <w:r>
        <w:instrText xml:space="preserve"> HYPERLINK "http://www.saojosedemipibu.rn.gov.br" </w:instrText>
      </w:r>
      <w:r>
        <w:fldChar w:fldCharType="separate"/>
      </w:r>
      <w:r>
        <w:rPr>
          <w:rStyle w:val="20"/>
          <w:rFonts w:ascii="Book Antiqua" w:hAnsi="Book Antiqua"/>
          <w:b/>
          <w:sz w:val="20"/>
          <w:szCs w:val="20"/>
        </w:rPr>
        <w:t>www.saojosedemipibu.rn.gov.br</w:t>
      </w:r>
      <w:r>
        <w:rPr>
          <w:rStyle w:val="20"/>
          <w:rFonts w:ascii="Book Antiqua" w:hAnsi="Book Antiqua"/>
          <w:b/>
          <w:sz w:val="20"/>
          <w:szCs w:val="20"/>
        </w:rPr>
        <w:fldChar w:fldCharType="end"/>
      </w:r>
      <w:r>
        <w:rPr>
          <w:rFonts w:ascii="Book Antiqua" w:hAnsi="Book Antiqua"/>
          <w:b/>
          <w:sz w:val="20"/>
          <w:szCs w:val="20"/>
        </w:rPr>
        <w:t xml:space="preserve">. </w:t>
      </w:r>
    </w:p>
    <w:p w14:paraId="1C3FA923">
      <w:pPr>
        <w:jc w:val="both"/>
        <w:rPr>
          <w:rFonts w:ascii="Book Antiqua" w:hAnsi="Book Antiqua"/>
          <w:bCs/>
          <w:sz w:val="20"/>
          <w:szCs w:val="20"/>
        </w:rPr>
      </w:pPr>
      <w:r>
        <w:rPr>
          <w:rFonts w:ascii="Book Antiqua" w:hAnsi="Book Antiqua"/>
          <w:b/>
          <w:sz w:val="20"/>
          <w:szCs w:val="20"/>
        </w:rPr>
        <w:t>16.13. O orçamento estimativo, por item de contratação, será SIGILOSO, visando uma maior competitividade entre os licitantes e evitando que sejam tomando por base os preços da administração na elaboração das propostas</w:t>
      </w:r>
      <w:r>
        <w:rPr>
          <w:rFonts w:ascii="Book Antiqua" w:hAnsi="Book Antiqua"/>
          <w:bCs/>
          <w:sz w:val="20"/>
          <w:szCs w:val="20"/>
        </w:rPr>
        <w:t>.</w:t>
      </w:r>
    </w:p>
    <w:p w14:paraId="3F7101B8">
      <w:pPr>
        <w:jc w:val="both"/>
        <w:rPr>
          <w:rFonts w:ascii="Book Antiqua" w:hAnsi="Book Antiqua"/>
          <w:sz w:val="20"/>
          <w:szCs w:val="20"/>
        </w:rPr>
      </w:pPr>
      <w:r>
        <w:rPr>
          <w:rFonts w:ascii="Book Antiqua" w:hAnsi="Book Antiqua"/>
          <w:sz w:val="20"/>
          <w:szCs w:val="20"/>
        </w:rPr>
        <w:t xml:space="preserve">16.14. O foro para dirimir questões relativas ao presente Edital será o da </w:t>
      </w:r>
      <w:r>
        <w:rPr>
          <w:rFonts w:ascii="Book Antiqua" w:hAnsi="Book Antiqua"/>
          <w:b/>
          <w:bCs/>
          <w:sz w:val="20"/>
          <w:szCs w:val="20"/>
        </w:rPr>
        <w:t>Seção Judiciária de</w:t>
      </w:r>
      <w:r>
        <w:rPr>
          <w:rFonts w:ascii="Book Antiqua" w:hAnsi="Book Antiqua"/>
          <w:sz w:val="20"/>
          <w:szCs w:val="20"/>
        </w:rPr>
        <w:t xml:space="preserve"> </w:t>
      </w:r>
      <w:r>
        <w:rPr>
          <w:rFonts w:ascii="Book Antiqua" w:hAnsi="Book Antiqua"/>
          <w:b/>
          <w:bCs/>
          <w:sz w:val="20"/>
          <w:szCs w:val="20"/>
        </w:rPr>
        <w:t>São José de Mipibu/RN</w:t>
      </w:r>
      <w:r>
        <w:rPr>
          <w:rFonts w:ascii="Book Antiqua" w:hAnsi="Book Antiqua"/>
          <w:sz w:val="20"/>
          <w:szCs w:val="20"/>
        </w:rPr>
        <w:t>, com exclusão de qualquer outro.</w:t>
      </w:r>
    </w:p>
    <w:p w14:paraId="010094D0">
      <w:pPr>
        <w:jc w:val="both"/>
        <w:rPr>
          <w:rFonts w:ascii="Book Antiqua" w:hAnsi="Book Antiqua"/>
          <w:sz w:val="20"/>
          <w:szCs w:val="20"/>
        </w:rPr>
      </w:pPr>
    </w:p>
    <w:p w14:paraId="0C2EEAF3">
      <w:pPr>
        <w:jc w:val="both"/>
        <w:rPr>
          <w:rFonts w:ascii="Book Antiqua" w:hAnsi="Book Antiqua"/>
          <w:sz w:val="20"/>
          <w:szCs w:val="20"/>
        </w:rPr>
      </w:pPr>
    </w:p>
    <w:p w14:paraId="32E193E0">
      <w:pPr>
        <w:jc w:val="center"/>
        <w:rPr>
          <w:rFonts w:ascii="Book Antiqua" w:hAnsi="Book Antiqua"/>
          <w:b/>
          <w:sz w:val="20"/>
          <w:szCs w:val="20"/>
        </w:rPr>
      </w:pPr>
      <w:bookmarkStart w:id="7" w:name="_Hlk164377871"/>
      <w:r>
        <w:rPr>
          <w:rFonts w:ascii="Book Antiqua" w:hAnsi="Book Antiqua"/>
          <w:b/>
          <w:sz w:val="20"/>
          <w:szCs w:val="20"/>
        </w:rPr>
        <w:t>São José de Mipibu/RN, 28 de outubro de 2025</w:t>
      </w:r>
    </w:p>
    <w:p w14:paraId="2DA59665">
      <w:pPr>
        <w:rPr>
          <w:rFonts w:ascii="Book Antiqua" w:hAnsi="Book Antiqua"/>
          <w:sz w:val="20"/>
          <w:szCs w:val="20"/>
        </w:rPr>
      </w:pPr>
    </w:p>
    <w:p w14:paraId="71BE132F">
      <w:pPr>
        <w:jc w:val="center"/>
        <w:rPr>
          <w:rFonts w:ascii="Book Antiqua" w:hAnsi="Book Antiqua"/>
          <w:b/>
          <w:sz w:val="20"/>
          <w:szCs w:val="20"/>
        </w:rPr>
      </w:pPr>
    </w:p>
    <w:p w14:paraId="2DB0740B">
      <w:pPr>
        <w:jc w:val="center"/>
        <w:rPr>
          <w:rFonts w:ascii="Book Antiqua" w:hAnsi="Book Antiqua"/>
          <w:b/>
          <w:sz w:val="20"/>
          <w:szCs w:val="20"/>
        </w:rPr>
      </w:pPr>
      <w:r>
        <w:rPr>
          <w:rFonts w:ascii="Book Antiqua" w:hAnsi="Book Antiqua"/>
          <w:b/>
          <w:sz w:val="20"/>
          <w:szCs w:val="20"/>
        </w:rPr>
        <w:t>JEFFERSON SOUZA DE OLIVEIRA</w:t>
      </w:r>
    </w:p>
    <w:p w14:paraId="656093E0">
      <w:pPr>
        <w:jc w:val="center"/>
        <w:rPr>
          <w:rFonts w:ascii="Book Antiqua" w:hAnsi="Book Antiqua"/>
          <w:b/>
          <w:sz w:val="20"/>
          <w:szCs w:val="20"/>
        </w:rPr>
      </w:pPr>
      <w:r>
        <w:rPr>
          <w:rFonts w:ascii="Book Antiqua" w:hAnsi="Book Antiqua"/>
          <w:b/>
          <w:sz w:val="20"/>
          <w:szCs w:val="20"/>
        </w:rPr>
        <w:t>Secretário Municipal de Saúde</w:t>
      </w:r>
    </w:p>
    <w:p w14:paraId="5390C7D9">
      <w:pPr>
        <w:rPr>
          <w:rFonts w:ascii="Book Antiqua" w:hAnsi="Book Antiqua"/>
          <w:sz w:val="20"/>
          <w:szCs w:val="20"/>
        </w:rPr>
      </w:pPr>
    </w:p>
    <w:p w14:paraId="3811F8E3">
      <w:pPr>
        <w:rPr>
          <w:rFonts w:ascii="Book Antiqua" w:hAnsi="Book Antiqua"/>
          <w:sz w:val="20"/>
          <w:szCs w:val="20"/>
        </w:rPr>
      </w:pPr>
    </w:p>
    <w:p w14:paraId="7A547EE0">
      <w:pPr>
        <w:jc w:val="center"/>
        <w:rPr>
          <w:rFonts w:ascii="Book Antiqua" w:hAnsi="Book Antiqua" w:cs="Arial"/>
          <w:b/>
          <w:sz w:val="20"/>
          <w:szCs w:val="20"/>
        </w:rPr>
      </w:pPr>
      <w:r>
        <w:rPr>
          <w:rFonts w:ascii="Book Antiqua" w:hAnsi="Book Antiqua" w:cs="Arial"/>
          <w:b/>
          <w:sz w:val="20"/>
          <w:szCs w:val="20"/>
        </w:rPr>
        <w:t>ARIALDA HELENA DO CARMO MARTINS</w:t>
      </w:r>
    </w:p>
    <w:p w14:paraId="66AC66A4">
      <w:pPr>
        <w:jc w:val="center"/>
        <w:rPr>
          <w:rFonts w:ascii="Book Antiqua" w:hAnsi="Book Antiqua" w:cs="Arial"/>
          <w:b/>
          <w:bCs/>
          <w:sz w:val="20"/>
          <w:szCs w:val="20"/>
        </w:rPr>
      </w:pPr>
      <w:r>
        <w:rPr>
          <w:rFonts w:ascii="Book Antiqua" w:hAnsi="Book Antiqua" w:cs="Arial"/>
          <w:b/>
          <w:bCs/>
          <w:sz w:val="20"/>
          <w:szCs w:val="20"/>
        </w:rPr>
        <w:t>Agente de Contratação</w:t>
      </w:r>
    </w:p>
    <w:p w14:paraId="545AB2FC">
      <w:pPr>
        <w:jc w:val="center"/>
        <w:rPr>
          <w:rFonts w:ascii="Book Antiqua" w:hAnsi="Book Antiqua"/>
          <w:b/>
          <w:bCs/>
          <w:sz w:val="20"/>
          <w:szCs w:val="20"/>
        </w:rPr>
      </w:pPr>
      <w:r>
        <w:rPr>
          <w:rFonts w:ascii="Book Antiqua" w:hAnsi="Book Antiqua" w:cs="Arial"/>
          <w:b/>
          <w:bCs/>
          <w:sz w:val="20"/>
          <w:szCs w:val="20"/>
        </w:rPr>
        <w:t>Portaria nº 381/2025</w:t>
      </w:r>
    </w:p>
    <w:p w14:paraId="16944359">
      <w:pPr>
        <w:jc w:val="center"/>
        <w:rPr>
          <w:rFonts w:ascii="Book Antiqua" w:hAnsi="Book Antiqua" w:cs="Arial"/>
          <w:b/>
          <w:bCs/>
          <w:sz w:val="20"/>
          <w:szCs w:val="20"/>
        </w:rPr>
      </w:pPr>
    </w:p>
    <w:bookmarkEnd w:id="7"/>
    <w:p w14:paraId="210AC4FE">
      <w:pPr>
        <w:rPr>
          <w:rFonts w:ascii="Book Antiqua" w:hAnsi="Book Antiqua" w:cs="Arial"/>
          <w:b/>
          <w:bCs/>
          <w:sz w:val="20"/>
          <w:szCs w:val="20"/>
        </w:rPr>
      </w:pPr>
      <w:r>
        <w:rPr>
          <w:rFonts w:ascii="Book Antiqua" w:hAnsi="Book Antiqua" w:cs="Arial"/>
          <w:b/>
          <w:bCs/>
          <w:sz w:val="20"/>
          <w:szCs w:val="20"/>
        </w:rPr>
        <w:br w:type="page"/>
      </w:r>
    </w:p>
    <w:p w14:paraId="2D495EA1">
      <w:pPr>
        <w:jc w:val="center"/>
        <w:rPr>
          <w:rFonts w:ascii="Book Antiqua" w:hAnsi="Book Antiqua"/>
          <w:b/>
          <w:bCs/>
          <w:color w:val="000000" w:themeColor="text1"/>
          <w:sz w:val="20"/>
          <w:szCs w:val="20"/>
          <w:u w:val="single"/>
          <w14:textFill>
            <w14:solidFill>
              <w14:schemeClr w14:val="tx1"/>
            </w14:solidFill>
          </w14:textFill>
        </w:rPr>
      </w:pPr>
      <w:r>
        <w:rPr>
          <w:rFonts w:ascii="Book Antiqua" w:hAnsi="Book Antiqua"/>
          <w:b/>
          <w:bCs/>
          <w:color w:val="000000" w:themeColor="text1"/>
          <w:sz w:val="20"/>
          <w:szCs w:val="20"/>
          <w:u w:val="single"/>
          <w14:textFill>
            <w14:solidFill>
              <w14:schemeClr w14:val="tx1"/>
            </w14:solidFill>
          </w14:textFill>
        </w:rPr>
        <w:t>ANEXO I – TERMO DE REFERÊNCIA</w:t>
      </w:r>
    </w:p>
    <w:p w14:paraId="7CB7C3FE">
      <w:pPr>
        <w:widowControl w:val="0"/>
        <w:pBdr>
          <w:top w:val="none" w:color="auto" w:sz="0" w:space="0"/>
          <w:left w:val="none" w:color="auto" w:sz="0" w:space="0"/>
          <w:bottom w:val="none" w:color="auto" w:sz="0" w:space="0"/>
          <w:right w:val="none" w:color="auto" w:sz="0" w:space="0"/>
          <w:between w:val="none" w:color="auto" w:sz="0" w:space="0"/>
        </w:pBdr>
        <w:jc w:val="center"/>
        <w:rPr>
          <w:rFonts w:ascii="Book Antiqua" w:hAnsi="Book Antiqua"/>
          <w:b/>
          <w:sz w:val="20"/>
          <w:szCs w:val="20"/>
          <w:u w:val="single"/>
        </w:rPr>
      </w:pPr>
    </w:p>
    <w:p w14:paraId="30E6E12F">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284"/>
        </w:tabs>
        <w:ind w:left="0" w:firstLine="0"/>
        <w:rPr>
          <w:rFonts w:ascii="Book Antiqua" w:hAnsi="Book Antiqua"/>
          <w:b/>
          <w:sz w:val="20"/>
          <w:szCs w:val="20"/>
          <w:highlight w:val="lightGray"/>
          <w:u w:val="single"/>
        </w:rPr>
      </w:pPr>
      <w:r>
        <w:rPr>
          <w:rFonts w:ascii="Book Antiqua" w:hAnsi="Book Antiqua"/>
          <w:b/>
          <w:sz w:val="20"/>
          <w:szCs w:val="20"/>
          <w:highlight w:val="lightGray"/>
          <w:u w:val="single"/>
        </w:rPr>
        <w:t>DO OBJETO</w:t>
      </w:r>
    </w:p>
    <w:p w14:paraId="24598FEF">
      <w:pPr>
        <w:pStyle w:val="66"/>
        <w:widowControl w:val="0"/>
        <w:numPr>
          <w:ilvl w:val="1"/>
          <w:numId w:val="6"/>
        </w:numPr>
        <w:tabs>
          <w:tab w:val="left" w:pos="0"/>
          <w:tab w:val="left" w:pos="284"/>
          <w:tab w:val="left" w:pos="426"/>
        </w:tabs>
        <w:autoSpaceDE w:val="0"/>
        <w:autoSpaceDN w:val="0"/>
        <w:spacing w:after="0" w:line="240" w:lineRule="auto"/>
        <w:ind w:left="0" w:firstLine="0"/>
        <w:jc w:val="both"/>
        <w:rPr>
          <w:rFonts w:ascii="Book Antiqua" w:hAnsi="Book Antiqua"/>
          <w:b/>
          <w:color w:val="000000" w:themeColor="text1"/>
          <w:sz w:val="20"/>
          <w:szCs w:val="20"/>
          <w14:textFill>
            <w14:solidFill>
              <w14:schemeClr w14:val="tx1"/>
            </w14:solidFill>
          </w14:textFill>
        </w:rPr>
      </w:pPr>
      <w:bookmarkStart w:id="8" w:name="_Hlk187315422"/>
      <w:bookmarkStart w:id="9" w:name="_Hlk186538489"/>
      <w:r>
        <w:rPr>
          <w:rFonts w:ascii="Book Antiqua" w:hAnsi="Book Antiqua"/>
          <w:b/>
          <w:color w:val="000000" w:themeColor="text1"/>
          <w:sz w:val="20"/>
          <w:szCs w:val="20"/>
          <w14:textFill>
            <w14:solidFill>
              <w14:schemeClr w14:val="tx1"/>
            </w14:solidFill>
          </w14:textFill>
        </w:rPr>
        <w:t xml:space="preserve">Contratação </w:t>
      </w:r>
      <w:bookmarkEnd w:id="8"/>
      <w:bookmarkEnd w:id="9"/>
      <w:bookmarkStart w:id="10" w:name="_Hlk208918105"/>
      <w:r>
        <w:rPr>
          <w:rFonts w:ascii="Book Antiqua" w:hAnsi="Book Antiqua"/>
          <w:b/>
          <w:bCs/>
          <w:color w:val="000000" w:themeColor="text1"/>
          <w:sz w:val="20"/>
          <w:szCs w:val="20"/>
          <w14:textFill>
            <w14:solidFill>
              <w14:schemeClr w14:val="tx1"/>
            </w14:solidFill>
          </w14:textFill>
        </w:rPr>
        <w:t xml:space="preserve">futura de </w:t>
      </w:r>
      <w:bookmarkEnd w:id="10"/>
      <w:r>
        <w:rPr>
          <w:rFonts w:ascii="Book Antiqua" w:hAnsi="Book Antiqua"/>
          <w:b/>
          <w:bCs/>
          <w:color w:val="000000" w:themeColor="text1"/>
          <w:sz w:val="20"/>
          <w:szCs w:val="20"/>
          <w14:textFill>
            <w14:solidFill>
              <w14:schemeClr w14:val="tx1"/>
            </w14:solidFill>
          </w14:textFill>
        </w:rPr>
        <w:t>de Pessoa Jurídica para o fornecimento de Medicamentos Anti-Hipertensivos</w:t>
      </w:r>
      <w:r>
        <w:rPr>
          <w:rFonts w:ascii="Book Antiqua" w:hAnsi="Book Antiqua"/>
          <w:b/>
          <w:bCs/>
          <w:sz w:val="20"/>
          <w:szCs w:val="20"/>
        </w:rPr>
        <w:t xml:space="preserve">, destinados às Unidades de Saúde e aos seus usuários, </w:t>
      </w:r>
      <w:r>
        <w:rPr>
          <w:rFonts w:ascii="Book Antiqua" w:hAnsi="Book Antiqua"/>
          <w:b/>
          <w:bCs/>
          <w:color w:val="000000" w:themeColor="text1"/>
          <w:sz w:val="20"/>
          <w:szCs w:val="20"/>
          <w14:textFill>
            <w14:solidFill>
              <w14:schemeClr w14:val="tx1"/>
            </w14:solidFill>
          </w14:textFill>
        </w:rPr>
        <w:t>pertencentes à Secretaria Municipal de Saúde de São José de Mipibu/RN</w:t>
      </w:r>
      <w:r>
        <w:rPr>
          <w:rFonts w:ascii="Book Antiqua" w:hAnsi="Book Antiqua" w:cs="Gisha"/>
          <w:b/>
          <w:bCs/>
          <w:sz w:val="20"/>
          <w:szCs w:val="20"/>
        </w:rPr>
        <w:t xml:space="preserve">, </w:t>
      </w:r>
      <w:r>
        <w:rPr>
          <w:rFonts w:ascii="Book Antiqua" w:hAnsi="Book Antiqua"/>
          <w:bCs/>
          <w:color w:val="000000" w:themeColor="text1"/>
          <w:sz w:val="20"/>
          <w:szCs w:val="20"/>
          <w14:textFill>
            <w14:solidFill>
              <w14:schemeClr w14:val="tx1"/>
            </w14:solidFill>
          </w14:textFill>
        </w:rPr>
        <w:t>conforme especificações e quantidades estabelecidas abaixo:</w:t>
      </w:r>
    </w:p>
    <w:tbl>
      <w:tblPr>
        <w:tblStyle w:val="12"/>
        <w:tblW w:w="8843" w:type="dxa"/>
        <w:jc w:val="center"/>
        <w:tblLayout w:type="autofit"/>
        <w:tblCellMar>
          <w:top w:w="0" w:type="dxa"/>
          <w:left w:w="70" w:type="dxa"/>
          <w:bottom w:w="0" w:type="dxa"/>
          <w:right w:w="70" w:type="dxa"/>
        </w:tblCellMar>
      </w:tblPr>
      <w:tblGrid>
        <w:gridCol w:w="720"/>
        <w:gridCol w:w="6363"/>
        <w:gridCol w:w="709"/>
        <w:gridCol w:w="1065"/>
      </w:tblGrid>
      <w:tr w14:paraId="3E3F68AF">
        <w:tblPrEx>
          <w:tblCellMar>
            <w:top w:w="0" w:type="dxa"/>
            <w:left w:w="70" w:type="dxa"/>
            <w:bottom w:w="0" w:type="dxa"/>
            <w:right w:w="70" w:type="dxa"/>
          </w:tblCellMar>
        </w:tblPrEx>
        <w:trPr>
          <w:trHeight w:val="37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B6DDE8" w:themeFill="accent5" w:themeFillTint="66"/>
            <w:noWrap/>
            <w:vAlign w:val="center"/>
          </w:tcPr>
          <w:p w14:paraId="658ED360">
            <w:pPr>
              <w:jc w:val="center"/>
              <w:rPr>
                <w:rFonts w:ascii="Book Antiqua" w:hAnsi="Book Antiqua"/>
                <w:b/>
                <w:bCs/>
                <w:color w:val="000000"/>
                <w:sz w:val="20"/>
                <w:szCs w:val="20"/>
              </w:rPr>
            </w:pPr>
            <w:r>
              <w:rPr>
                <w:rFonts w:ascii="Book Antiqua" w:hAnsi="Book Antiqua"/>
                <w:b/>
                <w:bCs/>
                <w:color w:val="000000"/>
                <w:sz w:val="20"/>
                <w:szCs w:val="20"/>
              </w:rPr>
              <w:t>ITEM</w:t>
            </w:r>
          </w:p>
        </w:tc>
        <w:tc>
          <w:tcPr>
            <w:tcW w:w="6363" w:type="dxa"/>
            <w:tcBorders>
              <w:top w:val="single" w:color="auto" w:sz="4" w:space="0"/>
              <w:left w:val="nil"/>
              <w:bottom w:val="single" w:color="auto" w:sz="4" w:space="0"/>
              <w:right w:val="single" w:color="auto" w:sz="4" w:space="0"/>
            </w:tcBorders>
            <w:shd w:val="clear" w:color="auto" w:fill="B6DDE8" w:themeFill="accent5" w:themeFillTint="66"/>
            <w:noWrap/>
            <w:vAlign w:val="center"/>
          </w:tcPr>
          <w:p w14:paraId="334FFC4B">
            <w:pPr>
              <w:jc w:val="center"/>
              <w:rPr>
                <w:rFonts w:ascii="Book Antiqua" w:hAnsi="Book Antiqua"/>
                <w:b/>
                <w:bCs/>
                <w:color w:val="000000"/>
                <w:sz w:val="20"/>
                <w:szCs w:val="20"/>
              </w:rPr>
            </w:pPr>
            <w:r>
              <w:rPr>
                <w:rFonts w:ascii="Book Antiqua" w:hAnsi="Book Antiqua"/>
                <w:b/>
                <w:bCs/>
                <w:color w:val="000000"/>
                <w:sz w:val="20"/>
                <w:szCs w:val="20"/>
              </w:rPr>
              <w:t>DESCRIÇÃO</w:t>
            </w:r>
          </w:p>
        </w:tc>
        <w:tc>
          <w:tcPr>
            <w:tcW w:w="709" w:type="dxa"/>
            <w:tcBorders>
              <w:top w:val="single" w:color="auto" w:sz="4" w:space="0"/>
              <w:left w:val="nil"/>
              <w:bottom w:val="single" w:color="auto" w:sz="4" w:space="0"/>
              <w:right w:val="single" w:color="auto" w:sz="4" w:space="0"/>
            </w:tcBorders>
            <w:shd w:val="clear" w:color="auto" w:fill="B6DDE8" w:themeFill="accent5" w:themeFillTint="66"/>
            <w:noWrap/>
            <w:vAlign w:val="center"/>
          </w:tcPr>
          <w:p w14:paraId="1E8E8ABC">
            <w:pPr>
              <w:jc w:val="center"/>
              <w:rPr>
                <w:rFonts w:ascii="Book Antiqua" w:hAnsi="Book Antiqua"/>
                <w:b/>
                <w:bCs/>
                <w:color w:val="000000"/>
                <w:sz w:val="20"/>
                <w:szCs w:val="20"/>
              </w:rPr>
            </w:pPr>
            <w:r>
              <w:rPr>
                <w:rFonts w:ascii="Book Antiqua" w:hAnsi="Book Antiqua"/>
                <w:b/>
                <w:bCs/>
                <w:color w:val="000000"/>
                <w:sz w:val="20"/>
                <w:szCs w:val="20"/>
              </w:rPr>
              <w:t>UND</w:t>
            </w:r>
          </w:p>
        </w:tc>
        <w:tc>
          <w:tcPr>
            <w:tcW w:w="1051" w:type="dxa"/>
            <w:tcBorders>
              <w:top w:val="single" w:color="auto" w:sz="4" w:space="0"/>
              <w:left w:val="nil"/>
              <w:bottom w:val="single" w:color="auto" w:sz="4" w:space="0"/>
              <w:right w:val="single" w:color="auto" w:sz="4" w:space="0"/>
            </w:tcBorders>
            <w:shd w:val="clear" w:color="auto" w:fill="B6DDE8" w:themeFill="accent5" w:themeFillTint="66"/>
            <w:noWrap/>
            <w:vAlign w:val="center"/>
          </w:tcPr>
          <w:p w14:paraId="5D6D1EB2">
            <w:pPr>
              <w:jc w:val="center"/>
              <w:rPr>
                <w:rFonts w:ascii="Book Antiqua" w:hAnsi="Book Antiqua"/>
                <w:b/>
                <w:bCs/>
                <w:color w:val="000000"/>
                <w:sz w:val="20"/>
                <w:szCs w:val="20"/>
              </w:rPr>
            </w:pPr>
            <w:r>
              <w:rPr>
                <w:rFonts w:ascii="Book Antiqua" w:hAnsi="Book Antiqua"/>
                <w:b/>
                <w:bCs/>
                <w:color w:val="000000"/>
                <w:sz w:val="20"/>
                <w:szCs w:val="20"/>
              </w:rPr>
              <w:t>QUANT.</w:t>
            </w:r>
          </w:p>
        </w:tc>
      </w:tr>
      <w:tr w14:paraId="2610D034">
        <w:tblPrEx>
          <w:tblCellMar>
            <w:top w:w="0" w:type="dxa"/>
            <w:left w:w="70" w:type="dxa"/>
            <w:bottom w:w="0" w:type="dxa"/>
            <w:right w:w="70" w:type="dxa"/>
          </w:tblCellMar>
        </w:tblPrEx>
        <w:trPr>
          <w:trHeight w:val="260" w:hRule="atLeast"/>
          <w:jc w:val="center"/>
        </w:trPr>
        <w:tc>
          <w:tcPr>
            <w:tcW w:w="720" w:type="dxa"/>
            <w:tcBorders>
              <w:top w:val="nil"/>
              <w:left w:val="single" w:color="auto" w:sz="4" w:space="0"/>
              <w:bottom w:val="single" w:color="auto" w:sz="4" w:space="0"/>
              <w:right w:val="single" w:color="auto" w:sz="4" w:space="0"/>
            </w:tcBorders>
            <w:noWrap/>
            <w:vAlign w:val="center"/>
          </w:tcPr>
          <w:p w14:paraId="219FC922">
            <w:pPr>
              <w:jc w:val="center"/>
              <w:rPr>
                <w:rFonts w:ascii="Book Antiqua" w:hAnsi="Book Antiqua"/>
                <w:color w:val="000000"/>
                <w:sz w:val="20"/>
                <w:szCs w:val="20"/>
              </w:rPr>
            </w:pPr>
            <w:r>
              <w:rPr>
                <w:rFonts w:ascii="Book Antiqua" w:hAnsi="Book Antiqua"/>
                <w:color w:val="000000"/>
                <w:sz w:val="20"/>
                <w:szCs w:val="20"/>
              </w:rPr>
              <w:t>01</w:t>
            </w:r>
          </w:p>
        </w:tc>
        <w:tc>
          <w:tcPr>
            <w:tcW w:w="6363" w:type="dxa"/>
            <w:tcBorders>
              <w:top w:val="nil"/>
              <w:left w:val="single" w:color="auto" w:sz="4" w:space="0"/>
              <w:bottom w:val="single" w:color="auto" w:sz="4" w:space="0"/>
              <w:right w:val="single" w:color="auto" w:sz="4" w:space="0"/>
            </w:tcBorders>
            <w:noWrap/>
          </w:tcPr>
          <w:p w14:paraId="09F3E2BD">
            <w:pPr>
              <w:jc w:val="both"/>
              <w:rPr>
                <w:rFonts w:ascii="Book Antiqua" w:hAnsi="Book Antiqua"/>
                <w:color w:val="000000"/>
                <w:sz w:val="20"/>
                <w:szCs w:val="20"/>
              </w:rPr>
            </w:pPr>
            <w:r>
              <w:rPr>
                <w:rFonts w:ascii="Book Antiqua" w:hAnsi="Book Antiqua" w:cs="Calibri"/>
                <w:color w:val="000000"/>
                <w:sz w:val="20"/>
                <w:szCs w:val="20"/>
              </w:rPr>
              <w:t xml:space="preserve">ATENOLOL 25MG </w:t>
            </w:r>
          </w:p>
        </w:tc>
        <w:tc>
          <w:tcPr>
            <w:tcW w:w="709" w:type="dxa"/>
            <w:tcBorders>
              <w:top w:val="nil"/>
              <w:left w:val="nil"/>
              <w:bottom w:val="single" w:color="auto" w:sz="4" w:space="0"/>
              <w:right w:val="single" w:color="auto" w:sz="4" w:space="0"/>
            </w:tcBorders>
            <w:noWrap/>
            <w:vAlign w:val="center"/>
          </w:tcPr>
          <w:p w14:paraId="6C4E27C7">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0D58E333">
            <w:pPr>
              <w:jc w:val="center"/>
              <w:rPr>
                <w:rFonts w:ascii="Book Antiqua" w:hAnsi="Book Antiqua"/>
                <w:b/>
                <w:bCs/>
                <w:color w:val="000000"/>
                <w:sz w:val="20"/>
                <w:szCs w:val="20"/>
              </w:rPr>
            </w:pPr>
            <w:r>
              <w:rPr>
                <w:rFonts w:ascii="Book Antiqua" w:hAnsi="Book Antiqua" w:cs="Calibri"/>
                <w:b/>
                <w:bCs/>
                <w:color w:val="000000"/>
                <w:sz w:val="20"/>
                <w:szCs w:val="20"/>
              </w:rPr>
              <w:t>78.000</w:t>
            </w:r>
          </w:p>
        </w:tc>
      </w:tr>
      <w:tr w14:paraId="5B4BCD32">
        <w:tblPrEx>
          <w:tblCellMar>
            <w:top w:w="0" w:type="dxa"/>
            <w:left w:w="70" w:type="dxa"/>
            <w:bottom w:w="0" w:type="dxa"/>
            <w:right w:w="70" w:type="dxa"/>
          </w:tblCellMar>
        </w:tblPrEx>
        <w:trPr>
          <w:trHeight w:val="264" w:hRule="atLeast"/>
          <w:jc w:val="center"/>
        </w:trPr>
        <w:tc>
          <w:tcPr>
            <w:tcW w:w="720" w:type="dxa"/>
            <w:tcBorders>
              <w:top w:val="nil"/>
              <w:left w:val="single" w:color="auto" w:sz="4" w:space="0"/>
              <w:bottom w:val="single" w:color="auto" w:sz="4" w:space="0"/>
              <w:right w:val="single" w:color="auto" w:sz="4" w:space="0"/>
            </w:tcBorders>
            <w:noWrap/>
            <w:vAlign w:val="center"/>
          </w:tcPr>
          <w:p w14:paraId="6E1028F7">
            <w:pPr>
              <w:jc w:val="center"/>
              <w:rPr>
                <w:rFonts w:ascii="Book Antiqua" w:hAnsi="Book Antiqua"/>
                <w:color w:val="000000"/>
                <w:sz w:val="20"/>
                <w:szCs w:val="20"/>
              </w:rPr>
            </w:pPr>
            <w:r>
              <w:rPr>
                <w:rFonts w:ascii="Book Antiqua" w:hAnsi="Book Antiqua"/>
                <w:color w:val="000000"/>
                <w:sz w:val="20"/>
                <w:szCs w:val="20"/>
              </w:rPr>
              <w:t>02</w:t>
            </w:r>
          </w:p>
        </w:tc>
        <w:tc>
          <w:tcPr>
            <w:tcW w:w="6363" w:type="dxa"/>
            <w:tcBorders>
              <w:top w:val="nil"/>
              <w:left w:val="single" w:color="auto" w:sz="4" w:space="0"/>
              <w:bottom w:val="single" w:color="auto" w:sz="4" w:space="0"/>
              <w:right w:val="single" w:color="auto" w:sz="4" w:space="0"/>
            </w:tcBorders>
            <w:noWrap/>
          </w:tcPr>
          <w:p w14:paraId="7D006FE8">
            <w:pPr>
              <w:jc w:val="both"/>
              <w:rPr>
                <w:rFonts w:ascii="Book Antiqua" w:hAnsi="Book Antiqua"/>
                <w:color w:val="000000"/>
                <w:sz w:val="20"/>
                <w:szCs w:val="20"/>
              </w:rPr>
            </w:pPr>
            <w:r>
              <w:rPr>
                <w:rFonts w:ascii="Book Antiqua" w:hAnsi="Book Antiqua" w:cs="Calibri"/>
                <w:color w:val="000000"/>
                <w:sz w:val="20"/>
                <w:szCs w:val="20"/>
              </w:rPr>
              <w:t xml:space="preserve">ATENOLOL 50MG </w:t>
            </w:r>
          </w:p>
        </w:tc>
        <w:tc>
          <w:tcPr>
            <w:tcW w:w="709" w:type="dxa"/>
            <w:tcBorders>
              <w:top w:val="nil"/>
              <w:left w:val="nil"/>
              <w:bottom w:val="single" w:color="auto" w:sz="4" w:space="0"/>
              <w:right w:val="single" w:color="auto" w:sz="4" w:space="0"/>
            </w:tcBorders>
            <w:noWrap/>
            <w:vAlign w:val="center"/>
          </w:tcPr>
          <w:p w14:paraId="14D211F1">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5A070B5D">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46F8226C">
        <w:tblPrEx>
          <w:tblCellMar>
            <w:top w:w="0" w:type="dxa"/>
            <w:left w:w="70" w:type="dxa"/>
            <w:bottom w:w="0" w:type="dxa"/>
            <w:right w:w="70" w:type="dxa"/>
          </w:tblCellMar>
        </w:tblPrEx>
        <w:trPr>
          <w:trHeight w:val="282" w:hRule="atLeast"/>
          <w:jc w:val="center"/>
        </w:trPr>
        <w:tc>
          <w:tcPr>
            <w:tcW w:w="720" w:type="dxa"/>
            <w:tcBorders>
              <w:top w:val="nil"/>
              <w:left w:val="single" w:color="auto" w:sz="4" w:space="0"/>
              <w:bottom w:val="single" w:color="auto" w:sz="4" w:space="0"/>
              <w:right w:val="single" w:color="auto" w:sz="4" w:space="0"/>
            </w:tcBorders>
            <w:noWrap/>
            <w:vAlign w:val="center"/>
          </w:tcPr>
          <w:p w14:paraId="060BCBE9">
            <w:pPr>
              <w:jc w:val="center"/>
              <w:rPr>
                <w:rFonts w:ascii="Book Antiqua" w:hAnsi="Book Antiqua"/>
                <w:color w:val="000000"/>
                <w:sz w:val="20"/>
                <w:szCs w:val="20"/>
              </w:rPr>
            </w:pPr>
            <w:r>
              <w:rPr>
                <w:rFonts w:ascii="Book Antiqua" w:hAnsi="Book Antiqua"/>
                <w:color w:val="000000"/>
                <w:sz w:val="20"/>
                <w:szCs w:val="20"/>
              </w:rPr>
              <w:t>03</w:t>
            </w:r>
          </w:p>
        </w:tc>
        <w:tc>
          <w:tcPr>
            <w:tcW w:w="6363" w:type="dxa"/>
            <w:tcBorders>
              <w:top w:val="nil"/>
              <w:left w:val="single" w:color="auto" w:sz="4" w:space="0"/>
              <w:bottom w:val="single" w:color="auto" w:sz="4" w:space="0"/>
              <w:right w:val="single" w:color="auto" w:sz="4" w:space="0"/>
            </w:tcBorders>
            <w:noWrap/>
          </w:tcPr>
          <w:p w14:paraId="0D9A6DD5">
            <w:pPr>
              <w:jc w:val="both"/>
              <w:rPr>
                <w:rFonts w:ascii="Book Antiqua" w:hAnsi="Book Antiqua"/>
                <w:color w:val="000000"/>
                <w:sz w:val="20"/>
                <w:szCs w:val="20"/>
              </w:rPr>
            </w:pPr>
            <w:r>
              <w:rPr>
                <w:rFonts w:ascii="Book Antiqua" w:hAnsi="Book Antiqua" w:cs="Calibri"/>
                <w:color w:val="000000"/>
                <w:sz w:val="20"/>
                <w:szCs w:val="20"/>
              </w:rPr>
              <w:t xml:space="preserve">BESILATO DE ANLODIPINO 10MG </w:t>
            </w:r>
          </w:p>
        </w:tc>
        <w:tc>
          <w:tcPr>
            <w:tcW w:w="709" w:type="dxa"/>
            <w:tcBorders>
              <w:top w:val="nil"/>
              <w:left w:val="nil"/>
              <w:bottom w:val="single" w:color="auto" w:sz="4" w:space="0"/>
              <w:right w:val="single" w:color="auto" w:sz="4" w:space="0"/>
            </w:tcBorders>
            <w:noWrap/>
            <w:vAlign w:val="center"/>
          </w:tcPr>
          <w:p w14:paraId="78744317">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1F3ECAD5">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1464A9D7">
        <w:tblPrEx>
          <w:tblCellMar>
            <w:top w:w="0" w:type="dxa"/>
            <w:left w:w="70" w:type="dxa"/>
            <w:bottom w:w="0" w:type="dxa"/>
            <w:right w:w="70" w:type="dxa"/>
          </w:tblCellMar>
        </w:tblPrEx>
        <w:trPr>
          <w:trHeight w:val="258" w:hRule="atLeast"/>
          <w:jc w:val="center"/>
        </w:trPr>
        <w:tc>
          <w:tcPr>
            <w:tcW w:w="720" w:type="dxa"/>
            <w:tcBorders>
              <w:top w:val="nil"/>
              <w:left w:val="single" w:color="auto" w:sz="4" w:space="0"/>
              <w:bottom w:val="single" w:color="auto" w:sz="4" w:space="0"/>
              <w:right w:val="single" w:color="auto" w:sz="4" w:space="0"/>
            </w:tcBorders>
            <w:noWrap/>
            <w:vAlign w:val="center"/>
          </w:tcPr>
          <w:p w14:paraId="384D694B">
            <w:pPr>
              <w:jc w:val="center"/>
              <w:rPr>
                <w:rFonts w:ascii="Book Antiqua" w:hAnsi="Book Antiqua"/>
                <w:color w:val="000000"/>
                <w:sz w:val="20"/>
                <w:szCs w:val="20"/>
              </w:rPr>
            </w:pPr>
            <w:r>
              <w:rPr>
                <w:rFonts w:ascii="Book Antiqua" w:hAnsi="Book Antiqua"/>
                <w:color w:val="000000"/>
                <w:sz w:val="20"/>
                <w:szCs w:val="20"/>
              </w:rPr>
              <w:t>04</w:t>
            </w:r>
          </w:p>
        </w:tc>
        <w:tc>
          <w:tcPr>
            <w:tcW w:w="6363" w:type="dxa"/>
            <w:tcBorders>
              <w:top w:val="nil"/>
              <w:left w:val="single" w:color="auto" w:sz="4" w:space="0"/>
              <w:bottom w:val="single" w:color="auto" w:sz="4" w:space="0"/>
              <w:right w:val="single" w:color="auto" w:sz="4" w:space="0"/>
            </w:tcBorders>
            <w:noWrap/>
          </w:tcPr>
          <w:p w14:paraId="0CCD36D8">
            <w:pPr>
              <w:jc w:val="both"/>
              <w:rPr>
                <w:rFonts w:ascii="Book Antiqua" w:hAnsi="Book Antiqua"/>
                <w:color w:val="000000"/>
                <w:sz w:val="20"/>
                <w:szCs w:val="20"/>
              </w:rPr>
            </w:pPr>
            <w:r>
              <w:rPr>
                <w:rFonts w:ascii="Book Antiqua" w:hAnsi="Book Antiqua" w:cs="Calibri"/>
                <w:color w:val="000000"/>
                <w:sz w:val="20"/>
                <w:szCs w:val="20"/>
              </w:rPr>
              <w:t xml:space="preserve">BESILATO DE ANLODIPINO 5MG </w:t>
            </w:r>
          </w:p>
        </w:tc>
        <w:tc>
          <w:tcPr>
            <w:tcW w:w="709" w:type="dxa"/>
            <w:tcBorders>
              <w:top w:val="nil"/>
              <w:left w:val="nil"/>
              <w:bottom w:val="single" w:color="auto" w:sz="4" w:space="0"/>
              <w:right w:val="single" w:color="auto" w:sz="4" w:space="0"/>
            </w:tcBorders>
            <w:noWrap/>
            <w:vAlign w:val="center"/>
          </w:tcPr>
          <w:p w14:paraId="37BDB2B8">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037E03CE">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0A0F486A">
        <w:tblPrEx>
          <w:tblCellMar>
            <w:top w:w="0" w:type="dxa"/>
            <w:left w:w="70" w:type="dxa"/>
            <w:bottom w:w="0" w:type="dxa"/>
            <w:right w:w="70" w:type="dxa"/>
          </w:tblCellMar>
        </w:tblPrEx>
        <w:trPr>
          <w:trHeight w:val="262" w:hRule="atLeast"/>
          <w:jc w:val="center"/>
        </w:trPr>
        <w:tc>
          <w:tcPr>
            <w:tcW w:w="720" w:type="dxa"/>
            <w:tcBorders>
              <w:top w:val="nil"/>
              <w:left w:val="single" w:color="auto" w:sz="4" w:space="0"/>
              <w:bottom w:val="single" w:color="auto" w:sz="4" w:space="0"/>
              <w:right w:val="single" w:color="auto" w:sz="4" w:space="0"/>
            </w:tcBorders>
            <w:noWrap/>
            <w:vAlign w:val="center"/>
          </w:tcPr>
          <w:p w14:paraId="74D452D3">
            <w:pPr>
              <w:jc w:val="center"/>
              <w:rPr>
                <w:rFonts w:ascii="Book Antiqua" w:hAnsi="Book Antiqua"/>
                <w:color w:val="000000"/>
                <w:sz w:val="20"/>
                <w:szCs w:val="20"/>
              </w:rPr>
            </w:pPr>
            <w:r>
              <w:rPr>
                <w:rFonts w:ascii="Book Antiqua" w:hAnsi="Book Antiqua"/>
                <w:color w:val="000000"/>
                <w:sz w:val="20"/>
                <w:szCs w:val="20"/>
              </w:rPr>
              <w:t>05</w:t>
            </w:r>
          </w:p>
        </w:tc>
        <w:tc>
          <w:tcPr>
            <w:tcW w:w="6363" w:type="dxa"/>
            <w:tcBorders>
              <w:top w:val="nil"/>
              <w:left w:val="single" w:color="auto" w:sz="4" w:space="0"/>
              <w:bottom w:val="single" w:color="auto" w:sz="4" w:space="0"/>
              <w:right w:val="single" w:color="auto" w:sz="4" w:space="0"/>
            </w:tcBorders>
            <w:noWrap/>
          </w:tcPr>
          <w:p w14:paraId="107A71ED">
            <w:pPr>
              <w:jc w:val="both"/>
              <w:rPr>
                <w:rFonts w:ascii="Book Antiqua" w:hAnsi="Book Antiqua"/>
                <w:color w:val="000000"/>
                <w:sz w:val="20"/>
                <w:szCs w:val="20"/>
              </w:rPr>
            </w:pPr>
            <w:r>
              <w:rPr>
                <w:rFonts w:ascii="Book Antiqua" w:hAnsi="Book Antiqua" w:cs="Calibri"/>
                <w:color w:val="000000"/>
                <w:sz w:val="20"/>
                <w:szCs w:val="20"/>
              </w:rPr>
              <w:t xml:space="preserve">BISSULFATO DE CLOPIDOGREL 75MG </w:t>
            </w:r>
          </w:p>
        </w:tc>
        <w:tc>
          <w:tcPr>
            <w:tcW w:w="709" w:type="dxa"/>
            <w:tcBorders>
              <w:top w:val="nil"/>
              <w:left w:val="nil"/>
              <w:bottom w:val="single" w:color="auto" w:sz="4" w:space="0"/>
              <w:right w:val="single" w:color="auto" w:sz="4" w:space="0"/>
            </w:tcBorders>
            <w:noWrap/>
            <w:vAlign w:val="center"/>
          </w:tcPr>
          <w:p w14:paraId="44713B95">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47079C98">
            <w:pPr>
              <w:jc w:val="center"/>
              <w:rPr>
                <w:rFonts w:ascii="Book Antiqua" w:hAnsi="Book Antiqua"/>
                <w:b/>
                <w:bCs/>
                <w:color w:val="000000"/>
                <w:sz w:val="20"/>
                <w:szCs w:val="20"/>
              </w:rPr>
            </w:pPr>
            <w:r>
              <w:rPr>
                <w:rFonts w:ascii="Book Antiqua" w:hAnsi="Book Antiqua" w:cs="Calibri"/>
                <w:b/>
                <w:bCs/>
                <w:color w:val="000000"/>
                <w:sz w:val="20"/>
                <w:szCs w:val="20"/>
              </w:rPr>
              <w:t>39.000</w:t>
            </w:r>
          </w:p>
        </w:tc>
      </w:tr>
      <w:tr w14:paraId="108B1BB2">
        <w:tblPrEx>
          <w:tblCellMar>
            <w:top w:w="0" w:type="dxa"/>
            <w:left w:w="70" w:type="dxa"/>
            <w:bottom w:w="0" w:type="dxa"/>
            <w:right w:w="70" w:type="dxa"/>
          </w:tblCellMar>
        </w:tblPrEx>
        <w:trPr>
          <w:trHeight w:val="252" w:hRule="atLeast"/>
          <w:jc w:val="center"/>
        </w:trPr>
        <w:tc>
          <w:tcPr>
            <w:tcW w:w="720" w:type="dxa"/>
            <w:tcBorders>
              <w:top w:val="nil"/>
              <w:left w:val="single" w:color="auto" w:sz="4" w:space="0"/>
              <w:bottom w:val="single" w:color="auto" w:sz="4" w:space="0"/>
              <w:right w:val="single" w:color="auto" w:sz="4" w:space="0"/>
            </w:tcBorders>
            <w:noWrap/>
            <w:vAlign w:val="center"/>
          </w:tcPr>
          <w:p w14:paraId="0759D225">
            <w:pPr>
              <w:jc w:val="center"/>
              <w:rPr>
                <w:rFonts w:ascii="Book Antiqua" w:hAnsi="Book Antiqua"/>
                <w:color w:val="000000"/>
                <w:sz w:val="20"/>
                <w:szCs w:val="20"/>
              </w:rPr>
            </w:pPr>
            <w:r>
              <w:rPr>
                <w:rFonts w:ascii="Book Antiqua" w:hAnsi="Book Antiqua"/>
                <w:color w:val="000000"/>
                <w:sz w:val="20"/>
                <w:szCs w:val="20"/>
              </w:rPr>
              <w:t>06</w:t>
            </w:r>
          </w:p>
        </w:tc>
        <w:tc>
          <w:tcPr>
            <w:tcW w:w="6363" w:type="dxa"/>
            <w:tcBorders>
              <w:top w:val="nil"/>
              <w:left w:val="single" w:color="auto" w:sz="4" w:space="0"/>
              <w:bottom w:val="single" w:color="auto" w:sz="4" w:space="0"/>
              <w:right w:val="single" w:color="auto" w:sz="4" w:space="0"/>
            </w:tcBorders>
            <w:noWrap/>
          </w:tcPr>
          <w:p w14:paraId="1BDF7B6F">
            <w:pPr>
              <w:jc w:val="both"/>
              <w:rPr>
                <w:rFonts w:ascii="Book Antiqua" w:hAnsi="Book Antiqua"/>
                <w:color w:val="000000"/>
                <w:sz w:val="20"/>
                <w:szCs w:val="20"/>
              </w:rPr>
            </w:pPr>
            <w:r>
              <w:rPr>
                <w:rFonts w:ascii="Book Antiqua" w:hAnsi="Book Antiqua" w:cs="Calibri"/>
                <w:color w:val="000000"/>
                <w:sz w:val="20"/>
                <w:szCs w:val="20"/>
              </w:rPr>
              <w:t xml:space="preserve">CAPTOPRIL 25 MG </w:t>
            </w:r>
          </w:p>
        </w:tc>
        <w:tc>
          <w:tcPr>
            <w:tcW w:w="709" w:type="dxa"/>
            <w:tcBorders>
              <w:top w:val="nil"/>
              <w:left w:val="nil"/>
              <w:bottom w:val="single" w:color="auto" w:sz="4" w:space="0"/>
              <w:right w:val="single" w:color="auto" w:sz="4" w:space="0"/>
            </w:tcBorders>
            <w:noWrap/>
            <w:vAlign w:val="center"/>
          </w:tcPr>
          <w:p w14:paraId="678F0852">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753F1810">
            <w:pPr>
              <w:jc w:val="center"/>
              <w:rPr>
                <w:rFonts w:ascii="Book Antiqua" w:hAnsi="Book Antiqua"/>
                <w:b/>
                <w:bCs/>
                <w:color w:val="000000"/>
                <w:sz w:val="20"/>
                <w:szCs w:val="20"/>
              </w:rPr>
            </w:pPr>
            <w:r>
              <w:rPr>
                <w:rFonts w:ascii="Book Antiqua" w:hAnsi="Book Antiqua" w:cs="Calibri"/>
                <w:b/>
                <w:bCs/>
                <w:color w:val="000000"/>
                <w:sz w:val="20"/>
                <w:szCs w:val="20"/>
              </w:rPr>
              <w:t>130.000</w:t>
            </w:r>
          </w:p>
        </w:tc>
      </w:tr>
      <w:tr w14:paraId="7E87949B">
        <w:tblPrEx>
          <w:tblCellMar>
            <w:top w:w="0" w:type="dxa"/>
            <w:left w:w="70" w:type="dxa"/>
            <w:bottom w:w="0" w:type="dxa"/>
            <w:right w:w="70" w:type="dxa"/>
          </w:tblCellMar>
        </w:tblPrEx>
        <w:trPr>
          <w:trHeight w:val="256" w:hRule="atLeast"/>
          <w:jc w:val="center"/>
        </w:trPr>
        <w:tc>
          <w:tcPr>
            <w:tcW w:w="720" w:type="dxa"/>
            <w:tcBorders>
              <w:top w:val="nil"/>
              <w:left w:val="single" w:color="auto" w:sz="4" w:space="0"/>
              <w:bottom w:val="single" w:color="auto" w:sz="4" w:space="0"/>
              <w:right w:val="single" w:color="auto" w:sz="4" w:space="0"/>
            </w:tcBorders>
            <w:noWrap/>
            <w:vAlign w:val="center"/>
          </w:tcPr>
          <w:p w14:paraId="43B23522">
            <w:pPr>
              <w:jc w:val="center"/>
              <w:rPr>
                <w:rFonts w:ascii="Book Antiqua" w:hAnsi="Book Antiqua"/>
                <w:color w:val="000000"/>
                <w:sz w:val="20"/>
                <w:szCs w:val="20"/>
              </w:rPr>
            </w:pPr>
            <w:r>
              <w:rPr>
                <w:rFonts w:ascii="Book Antiqua" w:hAnsi="Book Antiqua"/>
                <w:color w:val="000000"/>
                <w:sz w:val="20"/>
                <w:szCs w:val="20"/>
              </w:rPr>
              <w:t>07</w:t>
            </w:r>
          </w:p>
        </w:tc>
        <w:tc>
          <w:tcPr>
            <w:tcW w:w="6363" w:type="dxa"/>
            <w:tcBorders>
              <w:top w:val="nil"/>
              <w:left w:val="single" w:color="auto" w:sz="4" w:space="0"/>
              <w:bottom w:val="single" w:color="auto" w:sz="4" w:space="0"/>
              <w:right w:val="single" w:color="auto" w:sz="4" w:space="0"/>
            </w:tcBorders>
            <w:noWrap/>
          </w:tcPr>
          <w:p w14:paraId="26AD3F68">
            <w:pPr>
              <w:jc w:val="both"/>
              <w:rPr>
                <w:rFonts w:ascii="Book Antiqua" w:hAnsi="Book Antiqua"/>
                <w:color w:val="000000"/>
                <w:sz w:val="20"/>
                <w:szCs w:val="20"/>
              </w:rPr>
            </w:pPr>
            <w:r>
              <w:rPr>
                <w:rFonts w:ascii="Book Antiqua" w:hAnsi="Book Antiqua" w:cs="Calibri"/>
                <w:color w:val="000000"/>
                <w:sz w:val="20"/>
                <w:szCs w:val="20"/>
              </w:rPr>
              <w:t xml:space="preserve">CAPTOPRIL 50 MG </w:t>
            </w:r>
          </w:p>
        </w:tc>
        <w:tc>
          <w:tcPr>
            <w:tcW w:w="709" w:type="dxa"/>
            <w:tcBorders>
              <w:top w:val="nil"/>
              <w:left w:val="nil"/>
              <w:bottom w:val="single" w:color="auto" w:sz="4" w:space="0"/>
              <w:right w:val="single" w:color="auto" w:sz="4" w:space="0"/>
            </w:tcBorders>
            <w:noWrap/>
            <w:vAlign w:val="center"/>
          </w:tcPr>
          <w:p w14:paraId="5F663B64">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70015786">
            <w:pPr>
              <w:jc w:val="center"/>
              <w:rPr>
                <w:rFonts w:ascii="Book Antiqua" w:hAnsi="Book Antiqua"/>
                <w:b/>
                <w:bCs/>
                <w:color w:val="000000"/>
                <w:sz w:val="20"/>
                <w:szCs w:val="20"/>
              </w:rPr>
            </w:pPr>
            <w:r>
              <w:rPr>
                <w:rFonts w:ascii="Book Antiqua" w:hAnsi="Book Antiqua" w:cs="Calibri"/>
                <w:b/>
                <w:bCs/>
                <w:color w:val="000000"/>
                <w:sz w:val="20"/>
                <w:szCs w:val="20"/>
              </w:rPr>
              <w:t>65.000</w:t>
            </w:r>
          </w:p>
        </w:tc>
      </w:tr>
      <w:tr w14:paraId="2C45C6DC">
        <w:tblPrEx>
          <w:tblCellMar>
            <w:top w:w="0" w:type="dxa"/>
            <w:left w:w="70" w:type="dxa"/>
            <w:bottom w:w="0" w:type="dxa"/>
            <w:right w:w="70" w:type="dxa"/>
          </w:tblCellMar>
        </w:tblPrEx>
        <w:trPr>
          <w:trHeight w:val="274" w:hRule="atLeast"/>
          <w:jc w:val="center"/>
        </w:trPr>
        <w:tc>
          <w:tcPr>
            <w:tcW w:w="720" w:type="dxa"/>
            <w:tcBorders>
              <w:top w:val="nil"/>
              <w:left w:val="single" w:color="auto" w:sz="4" w:space="0"/>
              <w:bottom w:val="single" w:color="auto" w:sz="4" w:space="0"/>
              <w:right w:val="single" w:color="auto" w:sz="4" w:space="0"/>
            </w:tcBorders>
            <w:noWrap/>
            <w:vAlign w:val="center"/>
          </w:tcPr>
          <w:p w14:paraId="325CF1ED">
            <w:pPr>
              <w:jc w:val="center"/>
              <w:rPr>
                <w:rFonts w:ascii="Book Antiqua" w:hAnsi="Book Antiqua"/>
                <w:color w:val="000000"/>
                <w:sz w:val="20"/>
                <w:szCs w:val="20"/>
              </w:rPr>
            </w:pPr>
            <w:r>
              <w:rPr>
                <w:rFonts w:ascii="Book Antiqua" w:hAnsi="Book Antiqua"/>
                <w:color w:val="000000"/>
                <w:sz w:val="20"/>
                <w:szCs w:val="20"/>
              </w:rPr>
              <w:t>08</w:t>
            </w:r>
          </w:p>
        </w:tc>
        <w:tc>
          <w:tcPr>
            <w:tcW w:w="6363" w:type="dxa"/>
            <w:tcBorders>
              <w:top w:val="nil"/>
              <w:left w:val="single" w:color="auto" w:sz="4" w:space="0"/>
              <w:bottom w:val="single" w:color="auto" w:sz="4" w:space="0"/>
              <w:right w:val="single" w:color="auto" w:sz="4" w:space="0"/>
            </w:tcBorders>
            <w:noWrap/>
          </w:tcPr>
          <w:p w14:paraId="32B9CF11">
            <w:pPr>
              <w:jc w:val="both"/>
              <w:rPr>
                <w:rFonts w:ascii="Book Antiqua" w:hAnsi="Book Antiqua"/>
                <w:color w:val="000000"/>
                <w:sz w:val="20"/>
                <w:szCs w:val="20"/>
              </w:rPr>
            </w:pPr>
            <w:r>
              <w:rPr>
                <w:rFonts w:ascii="Book Antiqua" w:hAnsi="Book Antiqua" w:cs="Calibri"/>
                <w:color w:val="000000"/>
                <w:sz w:val="20"/>
                <w:szCs w:val="20"/>
              </w:rPr>
              <w:t xml:space="preserve">CARVEDILOL 12,5MG </w:t>
            </w:r>
          </w:p>
        </w:tc>
        <w:tc>
          <w:tcPr>
            <w:tcW w:w="709" w:type="dxa"/>
            <w:tcBorders>
              <w:top w:val="nil"/>
              <w:left w:val="nil"/>
              <w:bottom w:val="single" w:color="auto" w:sz="4" w:space="0"/>
              <w:right w:val="single" w:color="auto" w:sz="4" w:space="0"/>
            </w:tcBorders>
            <w:noWrap/>
            <w:vAlign w:val="center"/>
          </w:tcPr>
          <w:p w14:paraId="1D497AF9">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26FF53FD">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09A41893">
        <w:tblPrEx>
          <w:tblCellMar>
            <w:top w:w="0" w:type="dxa"/>
            <w:left w:w="70" w:type="dxa"/>
            <w:bottom w:w="0" w:type="dxa"/>
            <w:right w:w="70" w:type="dxa"/>
          </w:tblCellMar>
        </w:tblPrEx>
        <w:trPr>
          <w:trHeight w:val="221" w:hRule="atLeast"/>
          <w:jc w:val="center"/>
        </w:trPr>
        <w:tc>
          <w:tcPr>
            <w:tcW w:w="720" w:type="dxa"/>
            <w:tcBorders>
              <w:top w:val="nil"/>
              <w:left w:val="single" w:color="auto" w:sz="4" w:space="0"/>
              <w:bottom w:val="single" w:color="auto" w:sz="4" w:space="0"/>
              <w:right w:val="single" w:color="auto" w:sz="4" w:space="0"/>
            </w:tcBorders>
            <w:noWrap/>
            <w:vAlign w:val="center"/>
          </w:tcPr>
          <w:p w14:paraId="0BEAB75F">
            <w:pPr>
              <w:jc w:val="center"/>
              <w:rPr>
                <w:rFonts w:ascii="Book Antiqua" w:hAnsi="Book Antiqua"/>
                <w:color w:val="000000"/>
                <w:sz w:val="20"/>
                <w:szCs w:val="20"/>
              </w:rPr>
            </w:pPr>
            <w:r>
              <w:rPr>
                <w:rFonts w:ascii="Book Antiqua" w:hAnsi="Book Antiqua"/>
                <w:color w:val="000000"/>
                <w:sz w:val="20"/>
                <w:szCs w:val="20"/>
              </w:rPr>
              <w:t>09</w:t>
            </w:r>
          </w:p>
        </w:tc>
        <w:tc>
          <w:tcPr>
            <w:tcW w:w="6363" w:type="dxa"/>
            <w:tcBorders>
              <w:top w:val="nil"/>
              <w:left w:val="single" w:color="auto" w:sz="4" w:space="0"/>
              <w:bottom w:val="single" w:color="auto" w:sz="4" w:space="0"/>
              <w:right w:val="single" w:color="auto" w:sz="4" w:space="0"/>
            </w:tcBorders>
            <w:noWrap/>
          </w:tcPr>
          <w:p w14:paraId="46897BFF">
            <w:pPr>
              <w:jc w:val="both"/>
              <w:rPr>
                <w:rFonts w:ascii="Book Antiqua" w:hAnsi="Book Antiqua"/>
                <w:color w:val="000000"/>
                <w:sz w:val="20"/>
                <w:szCs w:val="20"/>
              </w:rPr>
            </w:pPr>
            <w:r>
              <w:rPr>
                <w:rFonts w:ascii="Book Antiqua" w:hAnsi="Book Antiqua" w:cs="Calibri"/>
                <w:color w:val="000000"/>
                <w:sz w:val="20"/>
                <w:szCs w:val="20"/>
              </w:rPr>
              <w:t xml:space="preserve">CARVEDILOL 25MG </w:t>
            </w:r>
          </w:p>
        </w:tc>
        <w:tc>
          <w:tcPr>
            <w:tcW w:w="709" w:type="dxa"/>
            <w:tcBorders>
              <w:top w:val="nil"/>
              <w:left w:val="nil"/>
              <w:bottom w:val="single" w:color="auto" w:sz="4" w:space="0"/>
              <w:right w:val="single" w:color="auto" w:sz="4" w:space="0"/>
            </w:tcBorders>
            <w:noWrap/>
            <w:vAlign w:val="center"/>
          </w:tcPr>
          <w:p w14:paraId="2366C03A">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37E93BB3">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1A57B38A">
        <w:tblPrEx>
          <w:tblCellMar>
            <w:top w:w="0" w:type="dxa"/>
            <w:left w:w="70" w:type="dxa"/>
            <w:bottom w:w="0" w:type="dxa"/>
            <w:right w:w="70" w:type="dxa"/>
          </w:tblCellMar>
        </w:tblPrEx>
        <w:trPr>
          <w:trHeight w:val="280" w:hRule="atLeast"/>
          <w:jc w:val="center"/>
        </w:trPr>
        <w:tc>
          <w:tcPr>
            <w:tcW w:w="720" w:type="dxa"/>
            <w:tcBorders>
              <w:top w:val="nil"/>
              <w:left w:val="single" w:color="auto" w:sz="4" w:space="0"/>
              <w:bottom w:val="single" w:color="auto" w:sz="4" w:space="0"/>
              <w:right w:val="single" w:color="auto" w:sz="4" w:space="0"/>
            </w:tcBorders>
            <w:noWrap/>
            <w:vAlign w:val="center"/>
          </w:tcPr>
          <w:p w14:paraId="774F6B02">
            <w:pPr>
              <w:jc w:val="center"/>
              <w:rPr>
                <w:rFonts w:ascii="Book Antiqua" w:hAnsi="Book Antiqua"/>
                <w:color w:val="000000"/>
                <w:sz w:val="20"/>
                <w:szCs w:val="20"/>
              </w:rPr>
            </w:pPr>
            <w:r>
              <w:rPr>
                <w:rFonts w:ascii="Book Antiqua" w:hAnsi="Book Antiqua"/>
                <w:color w:val="000000"/>
                <w:sz w:val="20"/>
                <w:szCs w:val="20"/>
              </w:rPr>
              <w:t>10</w:t>
            </w:r>
          </w:p>
        </w:tc>
        <w:tc>
          <w:tcPr>
            <w:tcW w:w="6363" w:type="dxa"/>
            <w:tcBorders>
              <w:top w:val="nil"/>
              <w:left w:val="single" w:color="auto" w:sz="4" w:space="0"/>
              <w:bottom w:val="single" w:color="auto" w:sz="4" w:space="0"/>
              <w:right w:val="single" w:color="auto" w:sz="4" w:space="0"/>
            </w:tcBorders>
            <w:noWrap/>
          </w:tcPr>
          <w:p w14:paraId="3CC920FD">
            <w:pPr>
              <w:jc w:val="both"/>
              <w:rPr>
                <w:rFonts w:ascii="Book Antiqua" w:hAnsi="Book Antiqua"/>
                <w:color w:val="000000"/>
                <w:sz w:val="20"/>
                <w:szCs w:val="20"/>
              </w:rPr>
            </w:pPr>
            <w:r>
              <w:rPr>
                <w:rFonts w:ascii="Book Antiqua" w:hAnsi="Book Antiqua" w:cs="Calibri"/>
                <w:color w:val="000000"/>
                <w:sz w:val="20"/>
                <w:szCs w:val="20"/>
              </w:rPr>
              <w:t xml:space="preserve">CARVEDILOL 3,125MG </w:t>
            </w:r>
          </w:p>
        </w:tc>
        <w:tc>
          <w:tcPr>
            <w:tcW w:w="709" w:type="dxa"/>
            <w:tcBorders>
              <w:top w:val="nil"/>
              <w:left w:val="nil"/>
              <w:bottom w:val="single" w:color="auto" w:sz="4" w:space="0"/>
              <w:right w:val="single" w:color="auto" w:sz="4" w:space="0"/>
            </w:tcBorders>
            <w:noWrap/>
            <w:vAlign w:val="center"/>
          </w:tcPr>
          <w:p w14:paraId="0B036E18">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1DA33C94">
            <w:pPr>
              <w:jc w:val="center"/>
              <w:rPr>
                <w:rFonts w:ascii="Book Antiqua" w:hAnsi="Book Antiqua"/>
                <w:b/>
                <w:bCs/>
                <w:color w:val="000000"/>
                <w:sz w:val="20"/>
                <w:szCs w:val="20"/>
              </w:rPr>
            </w:pPr>
            <w:r>
              <w:rPr>
                <w:rFonts w:ascii="Book Antiqua" w:hAnsi="Book Antiqua" w:cs="Calibri"/>
                <w:b/>
                <w:bCs/>
                <w:color w:val="000000"/>
                <w:sz w:val="20"/>
                <w:szCs w:val="20"/>
              </w:rPr>
              <w:t>39.000</w:t>
            </w:r>
          </w:p>
        </w:tc>
      </w:tr>
      <w:tr w14:paraId="6372D38B">
        <w:tblPrEx>
          <w:tblCellMar>
            <w:top w:w="0" w:type="dxa"/>
            <w:left w:w="70" w:type="dxa"/>
            <w:bottom w:w="0" w:type="dxa"/>
            <w:right w:w="70" w:type="dxa"/>
          </w:tblCellMar>
        </w:tblPrEx>
        <w:trPr>
          <w:trHeight w:val="262" w:hRule="atLeast"/>
          <w:jc w:val="center"/>
        </w:trPr>
        <w:tc>
          <w:tcPr>
            <w:tcW w:w="720" w:type="dxa"/>
            <w:tcBorders>
              <w:top w:val="nil"/>
              <w:left w:val="single" w:color="auto" w:sz="4" w:space="0"/>
              <w:bottom w:val="single" w:color="auto" w:sz="4" w:space="0"/>
              <w:right w:val="single" w:color="auto" w:sz="4" w:space="0"/>
            </w:tcBorders>
            <w:noWrap/>
            <w:vAlign w:val="center"/>
          </w:tcPr>
          <w:p w14:paraId="318F6A55">
            <w:pPr>
              <w:jc w:val="center"/>
              <w:rPr>
                <w:rFonts w:ascii="Book Antiqua" w:hAnsi="Book Antiqua"/>
                <w:color w:val="000000"/>
                <w:sz w:val="20"/>
                <w:szCs w:val="20"/>
              </w:rPr>
            </w:pPr>
            <w:r>
              <w:rPr>
                <w:rFonts w:ascii="Book Antiqua" w:hAnsi="Book Antiqua"/>
                <w:color w:val="000000"/>
                <w:sz w:val="20"/>
                <w:szCs w:val="20"/>
              </w:rPr>
              <w:t>11</w:t>
            </w:r>
          </w:p>
        </w:tc>
        <w:tc>
          <w:tcPr>
            <w:tcW w:w="6363" w:type="dxa"/>
            <w:tcBorders>
              <w:top w:val="nil"/>
              <w:left w:val="single" w:color="auto" w:sz="4" w:space="0"/>
              <w:bottom w:val="single" w:color="auto" w:sz="4" w:space="0"/>
              <w:right w:val="single" w:color="auto" w:sz="4" w:space="0"/>
            </w:tcBorders>
            <w:noWrap/>
          </w:tcPr>
          <w:p w14:paraId="65EF175E">
            <w:pPr>
              <w:jc w:val="both"/>
              <w:rPr>
                <w:rFonts w:ascii="Book Antiqua" w:hAnsi="Book Antiqua"/>
                <w:color w:val="000000"/>
                <w:sz w:val="20"/>
                <w:szCs w:val="20"/>
              </w:rPr>
            </w:pPr>
            <w:r>
              <w:rPr>
                <w:rFonts w:ascii="Book Antiqua" w:hAnsi="Book Antiqua" w:cs="Calibri"/>
                <w:color w:val="000000"/>
                <w:sz w:val="20"/>
                <w:szCs w:val="20"/>
              </w:rPr>
              <w:t xml:space="preserve">CARVEDILOL 6,25MG </w:t>
            </w:r>
          </w:p>
        </w:tc>
        <w:tc>
          <w:tcPr>
            <w:tcW w:w="709" w:type="dxa"/>
            <w:tcBorders>
              <w:top w:val="nil"/>
              <w:left w:val="nil"/>
              <w:bottom w:val="single" w:color="auto" w:sz="4" w:space="0"/>
              <w:right w:val="single" w:color="auto" w:sz="4" w:space="0"/>
            </w:tcBorders>
            <w:noWrap/>
            <w:vAlign w:val="center"/>
          </w:tcPr>
          <w:p w14:paraId="20605ED9">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2C235B50">
            <w:pPr>
              <w:jc w:val="center"/>
              <w:rPr>
                <w:rFonts w:ascii="Book Antiqua" w:hAnsi="Book Antiqua"/>
                <w:b/>
                <w:bCs/>
                <w:color w:val="000000"/>
                <w:sz w:val="20"/>
                <w:szCs w:val="20"/>
              </w:rPr>
            </w:pPr>
            <w:r>
              <w:rPr>
                <w:rFonts w:ascii="Book Antiqua" w:hAnsi="Book Antiqua" w:cs="Calibri"/>
                <w:b/>
                <w:bCs/>
                <w:color w:val="000000"/>
                <w:sz w:val="20"/>
                <w:szCs w:val="20"/>
              </w:rPr>
              <w:t>39.000</w:t>
            </w:r>
          </w:p>
        </w:tc>
      </w:tr>
      <w:tr w14:paraId="6FB467C8">
        <w:tblPrEx>
          <w:tblCellMar>
            <w:top w:w="0" w:type="dxa"/>
            <w:left w:w="70" w:type="dxa"/>
            <w:bottom w:w="0" w:type="dxa"/>
            <w:right w:w="70" w:type="dxa"/>
          </w:tblCellMar>
        </w:tblPrEx>
        <w:trPr>
          <w:trHeight w:val="266" w:hRule="atLeast"/>
          <w:jc w:val="center"/>
        </w:trPr>
        <w:tc>
          <w:tcPr>
            <w:tcW w:w="720" w:type="dxa"/>
            <w:tcBorders>
              <w:top w:val="nil"/>
              <w:left w:val="single" w:color="auto" w:sz="4" w:space="0"/>
              <w:bottom w:val="single" w:color="auto" w:sz="4" w:space="0"/>
              <w:right w:val="single" w:color="auto" w:sz="4" w:space="0"/>
            </w:tcBorders>
            <w:noWrap/>
            <w:vAlign w:val="center"/>
          </w:tcPr>
          <w:p w14:paraId="472A6046">
            <w:pPr>
              <w:jc w:val="center"/>
              <w:rPr>
                <w:rFonts w:ascii="Book Antiqua" w:hAnsi="Book Antiqua"/>
                <w:color w:val="000000"/>
                <w:sz w:val="20"/>
                <w:szCs w:val="20"/>
              </w:rPr>
            </w:pPr>
            <w:r>
              <w:rPr>
                <w:rFonts w:ascii="Book Antiqua" w:hAnsi="Book Antiqua"/>
                <w:color w:val="000000"/>
                <w:sz w:val="20"/>
                <w:szCs w:val="20"/>
              </w:rPr>
              <w:t>12</w:t>
            </w:r>
          </w:p>
        </w:tc>
        <w:tc>
          <w:tcPr>
            <w:tcW w:w="6363" w:type="dxa"/>
            <w:tcBorders>
              <w:top w:val="nil"/>
              <w:left w:val="single" w:color="auto" w:sz="4" w:space="0"/>
              <w:bottom w:val="single" w:color="auto" w:sz="4" w:space="0"/>
              <w:right w:val="single" w:color="auto" w:sz="4" w:space="0"/>
            </w:tcBorders>
            <w:noWrap/>
          </w:tcPr>
          <w:p w14:paraId="3FBC4308">
            <w:pPr>
              <w:jc w:val="both"/>
              <w:rPr>
                <w:rFonts w:ascii="Book Antiqua" w:hAnsi="Book Antiqua"/>
                <w:color w:val="000000"/>
                <w:sz w:val="20"/>
                <w:szCs w:val="20"/>
              </w:rPr>
            </w:pPr>
            <w:r>
              <w:rPr>
                <w:rFonts w:ascii="Book Antiqua" w:hAnsi="Book Antiqua" w:cs="Calibri"/>
                <w:color w:val="000000"/>
                <w:sz w:val="20"/>
                <w:szCs w:val="20"/>
              </w:rPr>
              <w:t xml:space="preserve">CLORIDRATO DE PROPRANOLOL 40MG </w:t>
            </w:r>
          </w:p>
        </w:tc>
        <w:tc>
          <w:tcPr>
            <w:tcW w:w="709" w:type="dxa"/>
            <w:tcBorders>
              <w:top w:val="nil"/>
              <w:left w:val="nil"/>
              <w:bottom w:val="single" w:color="auto" w:sz="4" w:space="0"/>
              <w:right w:val="single" w:color="auto" w:sz="4" w:space="0"/>
            </w:tcBorders>
            <w:noWrap/>
            <w:vAlign w:val="center"/>
          </w:tcPr>
          <w:p w14:paraId="34646F6F">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0C13D3E3">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434816F8">
        <w:tblPrEx>
          <w:tblCellMar>
            <w:top w:w="0" w:type="dxa"/>
            <w:left w:w="70" w:type="dxa"/>
            <w:bottom w:w="0" w:type="dxa"/>
            <w:right w:w="70" w:type="dxa"/>
          </w:tblCellMar>
        </w:tblPrEx>
        <w:trPr>
          <w:trHeight w:val="256" w:hRule="atLeast"/>
          <w:jc w:val="center"/>
        </w:trPr>
        <w:tc>
          <w:tcPr>
            <w:tcW w:w="720" w:type="dxa"/>
            <w:tcBorders>
              <w:top w:val="nil"/>
              <w:left w:val="single" w:color="auto" w:sz="4" w:space="0"/>
              <w:bottom w:val="single" w:color="auto" w:sz="4" w:space="0"/>
              <w:right w:val="single" w:color="auto" w:sz="4" w:space="0"/>
            </w:tcBorders>
            <w:noWrap/>
            <w:vAlign w:val="center"/>
          </w:tcPr>
          <w:p w14:paraId="76FE45F6">
            <w:pPr>
              <w:jc w:val="center"/>
              <w:rPr>
                <w:rFonts w:ascii="Book Antiqua" w:hAnsi="Book Antiqua"/>
                <w:color w:val="000000"/>
                <w:sz w:val="20"/>
                <w:szCs w:val="20"/>
              </w:rPr>
            </w:pPr>
            <w:r>
              <w:rPr>
                <w:rFonts w:ascii="Book Antiqua" w:hAnsi="Book Antiqua"/>
                <w:color w:val="000000"/>
                <w:sz w:val="20"/>
                <w:szCs w:val="20"/>
              </w:rPr>
              <w:t>13</w:t>
            </w:r>
          </w:p>
        </w:tc>
        <w:tc>
          <w:tcPr>
            <w:tcW w:w="6363" w:type="dxa"/>
            <w:tcBorders>
              <w:top w:val="nil"/>
              <w:left w:val="single" w:color="auto" w:sz="4" w:space="0"/>
              <w:bottom w:val="single" w:color="auto" w:sz="4" w:space="0"/>
              <w:right w:val="single" w:color="auto" w:sz="4" w:space="0"/>
            </w:tcBorders>
            <w:noWrap/>
          </w:tcPr>
          <w:p w14:paraId="13CED433">
            <w:pPr>
              <w:jc w:val="both"/>
              <w:rPr>
                <w:rFonts w:ascii="Book Antiqua" w:hAnsi="Book Antiqua"/>
                <w:color w:val="000000"/>
                <w:sz w:val="20"/>
                <w:szCs w:val="20"/>
              </w:rPr>
            </w:pPr>
            <w:r>
              <w:rPr>
                <w:rFonts w:ascii="Book Antiqua" w:hAnsi="Book Antiqua" w:cs="Calibri"/>
                <w:color w:val="000000"/>
                <w:sz w:val="20"/>
                <w:szCs w:val="20"/>
              </w:rPr>
              <w:t xml:space="preserve">DIGOXINA 0,25MG </w:t>
            </w:r>
          </w:p>
        </w:tc>
        <w:tc>
          <w:tcPr>
            <w:tcW w:w="709" w:type="dxa"/>
            <w:tcBorders>
              <w:top w:val="nil"/>
              <w:left w:val="nil"/>
              <w:bottom w:val="single" w:color="auto" w:sz="4" w:space="0"/>
              <w:right w:val="single" w:color="auto" w:sz="4" w:space="0"/>
            </w:tcBorders>
            <w:noWrap/>
            <w:vAlign w:val="center"/>
          </w:tcPr>
          <w:p w14:paraId="00AF5650">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618EEDDD">
            <w:pPr>
              <w:jc w:val="center"/>
              <w:rPr>
                <w:rFonts w:ascii="Book Antiqua" w:hAnsi="Book Antiqua"/>
                <w:b/>
                <w:bCs/>
                <w:color w:val="000000"/>
                <w:sz w:val="20"/>
                <w:szCs w:val="20"/>
              </w:rPr>
            </w:pPr>
            <w:r>
              <w:rPr>
                <w:rFonts w:ascii="Book Antiqua" w:hAnsi="Book Antiqua" w:cs="Calibri"/>
                <w:b/>
                <w:bCs/>
                <w:color w:val="000000"/>
                <w:sz w:val="20"/>
                <w:szCs w:val="20"/>
              </w:rPr>
              <w:t>26.000</w:t>
            </w:r>
          </w:p>
        </w:tc>
      </w:tr>
      <w:tr w14:paraId="5CB069F0">
        <w:tblPrEx>
          <w:tblCellMar>
            <w:top w:w="0" w:type="dxa"/>
            <w:left w:w="70" w:type="dxa"/>
            <w:bottom w:w="0" w:type="dxa"/>
            <w:right w:w="70" w:type="dxa"/>
          </w:tblCellMar>
        </w:tblPrEx>
        <w:trPr>
          <w:trHeight w:val="260" w:hRule="atLeast"/>
          <w:jc w:val="center"/>
        </w:trPr>
        <w:tc>
          <w:tcPr>
            <w:tcW w:w="720" w:type="dxa"/>
            <w:tcBorders>
              <w:top w:val="nil"/>
              <w:left w:val="single" w:color="auto" w:sz="4" w:space="0"/>
              <w:bottom w:val="single" w:color="auto" w:sz="4" w:space="0"/>
              <w:right w:val="single" w:color="auto" w:sz="4" w:space="0"/>
            </w:tcBorders>
            <w:noWrap/>
            <w:vAlign w:val="center"/>
          </w:tcPr>
          <w:p w14:paraId="3FA60BAC">
            <w:pPr>
              <w:jc w:val="center"/>
              <w:rPr>
                <w:rFonts w:ascii="Book Antiqua" w:hAnsi="Book Antiqua"/>
                <w:color w:val="000000"/>
                <w:sz w:val="20"/>
                <w:szCs w:val="20"/>
              </w:rPr>
            </w:pPr>
            <w:r>
              <w:rPr>
                <w:rFonts w:ascii="Book Antiqua" w:hAnsi="Book Antiqua"/>
                <w:color w:val="000000"/>
                <w:sz w:val="20"/>
                <w:szCs w:val="20"/>
              </w:rPr>
              <w:t>14</w:t>
            </w:r>
          </w:p>
        </w:tc>
        <w:tc>
          <w:tcPr>
            <w:tcW w:w="6363" w:type="dxa"/>
            <w:tcBorders>
              <w:top w:val="nil"/>
              <w:left w:val="single" w:color="auto" w:sz="4" w:space="0"/>
              <w:bottom w:val="single" w:color="auto" w:sz="4" w:space="0"/>
              <w:right w:val="single" w:color="auto" w:sz="4" w:space="0"/>
            </w:tcBorders>
            <w:noWrap/>
          </w:tcPr>
          <w:p w14:paraId="601AAEAF">
            <w:pPr>
              <w:jc w:val="both"/>
              <w:rPr>
                <w:rFonts w:ascii="Book Antiqua" w:hAnsi="Book Antiqua"/>
                <w:color w:val="000000"/>
                <w:sz w:val="20"/>
                <w:szCs w:val="20"/>
              </w:rPr>
            </w:pPr>
            <w:r>
              <w:rPr>
                <w:rFonts w:ascii="Book Antiqua" w:hAnsi="Book Antiqua" w:cs="Calibri"/>
                <w:color w:val="000000"/>
                <w:sz w:val="20"/>
                <w:szCs w:val="20"/>
              </w:rPr>
              <w:t>DINITRATO DE ISOSSORBIDA 5MG SUBLINGUAL</w:t>
            </w:r>
          </w:p>
        </w:tc>
        <w:tc>
          <w:tcPr>
            <w:tcW w:w="709" w:type="dxa"/>
            <w:tcBorders>
              <w:top w:val="nil"/>
              <w:left w:val="nil"/>
              <w:bottom w:val="single" w:color="auto" w:sz="4" w:space="0"/>
              <w:right w:val="single" w:color="auto" w:sz="4" w:space="0"/>
            </w:tcBorders>
            <w:noWrap/>
            <w:vAlign w:val="center"/>
          </w:tcPr>
          <w:p w14:paraId="7AAC4A4F">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3EABB7A1">
            <w:pPr>
              <w:jc w:val="center"/>
              <w:rPr>
                <w:rFonts w:ascii="Book Antiqua" w:hAnsi="Book Antiqua"/>
                <w:b/>
                <w:bCs/>
                <w:color w:val="000000"/>
                <w:sz w:val="20"/>
                <w:szCs w:val="20"/>
              </w:rPr>
            </w:pPr>
            <w:r>
              <w:rPr>
                <w:rFonts w:ascii="Book Antiqua" w:hAnsi="Book Antiqua" w:cs="Calibri"/>
                <w:b/>
                <w:bCs/>
                <w:color w:val="000000"/>
                <w:sz w:val="20"/>
                <w:szCs w:val="20"/>
              </w:rPr>
              <w:t>26.000</w:t>
            </w:r>
          </w:p>
        </w:tc>
      </w:tr>
      <w:tr w14:paraId="4788F3E2">
        <w:tblPrEx>
          <w:tblCellMar>
            <w:top w:w="0" w:type="dxa"/>
            <w:left w:w="70" w:type="dxa"/>
            <w:bottom w:w="0" w:type="dxa"/>
            <w:right w:w="70" w:type="dxa"/>
          </w:tblCellMar>
        </w:tblPrEx>
        <w:trPr>
          <w:trHeight w:val="136" w:hRule="atLeast"/>
          <w:jc w:val="center"/>
        </w:trPr>
        <w:tc>
          <w:tcPr>
            <w:tcW w:w="720" w:type="dxa"/>
            <w:tcBorders>
              <w:top w:val="nil"/>
              <w:left w:val="single" w:color="auto" w:sz="4" w:space="0"/>
              <w:bottom w:val="single" w:color="auto" w:sz="4" w:space="0"/>
              <w:right w:val="single" w:color="auto" w:sz="4" w:space="0"/>
            </w:tcBorders>
            <w:noWrap/>
            <w:vAlign w:val="center"/>
          </w:tcPr>
          <w:p w14:paraId="76DCFCD8">
            <w:pPr>
              <w:jc w:val="center"/>
              <w:rPr>
                <w:rFonts w:ascii="Book Antiqua" w:hAnsi="Book Antiqua"/>
                <w:color w:val="000000"/>
                <w:sz w:val="20"/>
                <w:szCs w:val="20"/>
              </w:rPr>
            </w:pPr>
            <w:r>
              <w:rPr>
                <w:rFonts w:ascii="Book Antiqua" w:hAnsi="Book Antiqua"/>
                <w:color w:val="000000"/>
                <w:sz w:val="20"/>
                <w:szCs w:val="20"/>
              </w:rPr>
              <w:t>15</w:t>
            </w:r>
          </w:p>
        </w:tc>
        <w:tc>
          <w:tcPr>
            <w:tcW w:w="6363" w:type="dxa"/>
            <w:tcBorders>
              <w:top w:val="nil"/>
              <w:left w:val="single" w:color="auto" w:sz="4" w:space="0"/>
              <w:bottom w:val="single" w:color="auto" w:sz="4" w:space="0"/>
              <w:right w:val="single" w:color="auto" w:sz="4" w:space="0"/>
            </w:tcBorders>
            <w:noWrap/>
          </w:tcPr>
          <w:p w14:paraId="16DCD073">
            <w:pPr>
              <w:jc w:val="both"/>
              <w:rPr>
                <w:rFonts w:ascii="Book Antiqua" w:hAnsi="Book Antiqua"/>
                <w:color w:val="000000"/>
                <w:sz w:val="20"/>
                <w:szCs w:val="20"/>
              </w:rPr>
            </w:pPr>
            <w:r>
              <w:rPr>
                <w:rFonts w:ascii="Book Antiqua" w:hAnsi="Book Antiqua" w:cs="Calibri"/>
                <w:color w:val="000000"/>
                <w:sz w:val="20"/>
                <w:szCs w:val="20"/>
              </w:rPr>
              <w:t xml:space="preserve">ESPIRONOLACTONA 25MG </w:t>
            </w:r>
          </w:p>
        </w:tc>
        <w:tc>
          <w:tcPr>
            <w:tcW w:w="709" w:type="dxa"/>
            <w:tcBorders>
              <w:top w:val="nil"/>
              <w:left w:val="nil"/>
              <w:bottom w:val="single" w:color="auto" w:sz="4" w:space="0"/>
              <w:right w:val="single" w:color="auto" w:sz="4" w:space="0"/>
            </w:tcBorders>
            <w:noWrap/>
            <w:vAlign w:val="center"/>
          </w:tcPr>
          <w:p w14:paraId="3035877F">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109BE410">
            <w:pPr>
              <w:jc w:val="center"/>
              <w:rPr>
                <w:rFonts w:ascii="Book Antiqua" w:hAnsi="Book Antiqua"/>
                <w:b/>
                <w:bCs/>
                <w:color w:val="000000"/>
                <w:sz w:val="20"/>
                <w:szCs w:val="20"/>
              </w:rPr>
            </w:pPr>
            <w:r>
              <w:rPr>
                <w:rFonts w:ascii="Book Antiqua" w:hAnsi="Book Antiqua" w:cs="Calibri"/>
                <w:b/>
                <w:bCs/>
                <w:color w:val="000000"/>
                <w:sz w:val="20"/>
                <w:szCs w:val="20"/>
              </w:rPr>
              <w:t>65.000</w:t>
            </w:r>
          </w:p>
        </w:tc>
      </w:tr>
      <w:tr w14:paraId="091E440B">
        <w:tblPrEx>
          <w:tblCellMar>
            <w:top w:w="0" w:type="dxa"/>
            <w:left w:w="70" w:type="dxa"/>
            <w:bottom w:w="0" w:type="dxa"/>
            <w:right w:w="70" w:type="dxa"/>
          </w:tblCellMar>
        </w:tblPrEx>
        <w:trPr>
          <w:trHeight w:val="268" w:hRule="atLeast"/>
          <w:jc w:val="center"/>
        </w:trPr>
        <w:tc>
          <w:tcPr>
            <w:tcW w:w="720" w:type="dxa"/>
            <w:tcBorders>
              <w:top w:val="nil"/>
              <w:left w:val="single" w:color="auto" w:sz="4" w:space="0"/>
              <w:bottom w:val="single" w:color="auto" w:sz="4" w:space="0"/>
              <w:right w:val="single" w:color="auto" w:sz="4" w:space="0"/>
            </w:tcBorders>
            <w:noWrap/>
            <w:vAlign w:val="center"/>
          </w:tcPr>
          <w:p w14:paraId="6C00F62C">
            <w:pPr>
              <w:jc w:val="center"/>
              <w:rPr>
                <w:rFonts w:ascii="Book Antiqua" w:hAnsi="Book Antiqua"/>
                <w:color w:val="000000"/>
                <w:sz w:val="20"/>
                <w:szCs w:val="20"/>
              </w:rPr>
            </w:pPr>
            <w:r>
              <w:rPr>
                <w:rFonts w:ascii="Book Antiqua" w:hAnsi="Book Antiqua"/>
                <w:color w:val="000000"/>
                <w:sz w:val="20"/>
                <w:szCs w:val="20"/>
              </w:rPr>
              <w:t>16</w:t>
            </w:r>
          </w:p>
        </w:tc>
        <w:tc>
          <w:tcPr>
            <w:tcW w:w="6363" w:type="dxa"/>
            <w:tcBorders>
              <w:top w:val="nil"/>
              <w:left w:val="single" w:color="auto" w:sz="4" w:space="0"/>
              <w:bottom w:val="single" w:color="auto" w:sz="4" w:space="0"/>
              <w:right w:val="single" w:color="auto" w:sz="4" w:space="0"/>
            </w:tcBorders>
            <w:noWrap/>
          </w:tcPr>
          <w:p w14:paraId="7BF0E45A">
            <w:pPr>
              <w:jc w:val="both"/>
              <w:rPr>
                <w:rFonts w:ascii="Book Antiqua" w:hAnsi="Book Antiqua"/>
                <w:color w:val="000000"/>
                <w:sz w:val="20"/>
                <w:szCs w:val="20"/>
              </w:rPr>
            </w:pPr>
            <w:r>
              <w:rPr>
                <w:rFonts w:ascii="Book Antiqua" w:hAnsi="Book Antiqua" w:cs="Calibri"/>
                <w:color w:val="000000"/>
                <w:sz w:val="20"/>
                <w:szCs w:val="20"/>
              </w:rPr>
              <w:t xml:space="preserve">FUROSEMIDA 40MG </w:t>
            </w:r>
          </w:p>
        </w:tc>
        <w:tc>
          <w:tcPr>
            <w:tcW w:w="709" w:type="dxa"/>
            <w:tcBorders>
              <w:top w:val="nil"/>
              <w:left w:val="nil"/>
              <w:bottom w:val="single" w:color="auto" w:sz="4" w:space="0"/>
              <w:right w:val="single" w:color="auto" w:sz="4" w:space="0"/>
            </w:tcBorders>
            <w:noWrap/>
            <w:vAlign w:val="center"/>
          </w:tcPr>
          <w:p w14:paraId="63753FF6">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2423B688">
            <w:pPr>
              <w:jc w:val="center"/>
              <w:rPr>
                <w:rFonts w:ascii="Book Antiqua" w:hAnsi="Book Antiqua"/>
                <w:b/>
                <w:bCs/>
                <w:color w:val="000000"/>
                <w:sz w:val="20"/>
                <w:szCs w:val="20"/>
              </w:rPr>
            </w:pPr>
            <w:r>
              <w:rPr>
                <w:rFonts w:ascii="Book Antiqua" w:hAnsi="Book Antiqua" w:cs="Calibri"/>
                <w:b/>
                <w:bCs/>
                <w:color w:val="000000"/>
                <w:sz w:val="20"/>
                <w:szCs w:val="20"/>
              </w:rPr>
              <w:t>65.000</w:t>
            </w:r>
          </w:p>
        </w:tc>
      </w:tr>
      <w:tr w14:paraId="36C4E1CF">
        <w:tblPrEx>
          <w:tblCellMar>
            <w:top w:w="0" w:type="dxa"/>
            <w:left w:w="70" w:type="dxa"/>
            <w:bottom w:w="0" w:type="dxa"/>
            <w:right w:w="70" w:type="dxa"/>
          </w:tblCellMar>
        </w:tblPrEx>
        <w:trPr>
          <w:trHeight w:val="211" w:hRule="atLeast"/>
          <w:jc w:val="center"/>
        </w:trPr>
        <w:tc>
          <w:tcPr>
            <w:tcW w:w="720" w:type="dxa"/>
            <w:tcBorders>
              <w:top w:val="nil"/>
              <w:left w:val="single" w:color="auto" w:sz="4" w:space="0"/>
              <w:bottom w:val="single" w:color="auto" w:sz="4" w:space="0"/>
              <w:right w:val="single" w:color="auto" w:sz="4" w:space="0"/>
            </w:tcBorders>
            <w:noWrap/>
            <w:vAlign w:val="center"/>
          </w:tcPr>
          <w:p w14:paraId="69251C28">
            <w:pPr>
              <w:jc w:val="center"/>
              <w:rPr>
                <w:rFonts w:ascii="Book Antiqua" w:hAnsi="Book Antiqua"/>
                <w:color w:val="000000"/>
                <w:sz w:val="20"/>
                <w:szCs w:val="20"/>
              </w:rPr>
            </w:pPr>
            <w:r>
              <w:rPr>
                <w:rFonts w:ascii="Book Antiqua" w:hAnsi="Book Antiqua"/>
                <w:color w:val="000000"/>
                <w:sz w:val="20"/>
                <w:szCs w:val="20"/>
              </w:rPr>
              <w:t>17</w:t>
            </w:r>
          </w:p>
        </w:tc>
        <w:tc>
          <w:tcPr>
            <w:tcW w:w="6363" w:type="dxa"/>
            <w:tcBorders>
              <w:top w:val="nil"/>
              <w:left w:val="single" w:color="auto" w:sz="4" w:space="0"/>
              <w:bottom w:val="single" w:color="auto" w:sz="4" w:space="0"/>
              <w:right w:val="single" w:color="auto" w:sz="4" w:space="0"/>
            </w:tcBorders>
            <w:noWrap/>
          </w:tcPr>
          <w:p w14:paraId="4FB61348">
            <w:pPr>
              <w:jc w:val="both"/>
              <w:rPr>
                <w:rFonts w:ascii="Book Antiqua" w:hAnsi="Book Antiqua"/>
                <w:color w:val="000000"/>
                <w:sz w:val="20"/>
                <w:szCs w:val="20"/>
              </w:rPr>
            </w:pPr>
            <w:r>
              <w:rPr>
                <w:rFonts w:ascii="Book Antiqua" w:hAnsi="Book Antiqua" w:cs="Calibri"/>
                <w:color w:val="000000"/>
                <w:sz w:val="20"/>
                <w:szCs w:val="20"/>
              </w:rPr>
              <w:t xml:space="preserve">HIDROCLOROTIAZIDA 25MG </w:t>
            </w:r>
          </w:p>
        </w:tc>
        <w:tc>
          <w:tcPr>
            <w:tcW w:w="709" w:type="dxa"/>
            <w:tcBorders>
              <w:top w:val="nil"/>
              <w:left w:val="nil"/>
              <w:bottom w:val="single" w:color="auto" w:sz="4" w:space="0"/>
              <w:right w:val="single" w:color="auto" w:sz="4" w:space="0"/>
            </w:tcBorders>
            <w:noWrap/>
            <w:vAlign w:val="center"/>
          </w:tcPr>
          <w:p w14:paraId="170E8873">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23956EB5">
            <w:pPr>
              <w:jc w:val="center"/>
              <w:rPr>
                <w:rFonts w:ascii="Book Antiqua" w:hAnsi="Book Antiqua"/>
                <w:b/>
                <w:bCs/>
                <w:color w:val="000000"/>
                <w:sz w:val="20"/>
                <w:szCs w:val="20"/>
              </w:rPr>
            </w:pPr>
            <w:r>
              <w:rPr>
                <w:rFonts w:ascii="Book Antiqua" w:hAnsi="Book Antiqua" w:cs="Calibri"/>
                <w:b/>
                <w:bCs/>
                <w:color w:val="000000"/>
                <w:sz w:val="20"/>
                <w:szCs w:val="20"/>
              </w:rPr>
              <w:t>195.000</w:t>
            </w:r>
          </w:p>
        </w:tc>
      </w:tr>
      <w:tr w14:paraId="19714E04">
        <w:tblPrEx>
          <w:tblCellMar>
            <w:top w:w="0" w:type="dxa"/>
            <w:left w:w="70" w:type="dxa"/>
            <w:bottom w:w="0" w:type="dxa"/>
            <w:right w:w="70" w:type="dxa"/>
          </w:tblCellMar>
        </w:tblPrEx>
        <w:trPr>
          <w:trHeight w:val="280" w:hRule="atLeast"/>
          <w:jc w:val="center"/>
        </w:trPr>
        <w:tc>
          <w:tcPr>
            <w:tcW w:w="720" w:type="dxa"/>
            <w:tcBorders>
              <w:top w:val="nil"/>
              <w:left w:val="single" w:color="auto" w:sz="4" w:space="0"/>
              <w:bottom w:val="single" w:color="auto" w:sz="4" w:space="0"/>
              <w:right w:val="single" w:color="auto" w:sz="4" w:space="0"/>
            </w:tcBorders>
            <w:noWrap/>
            <w:vAlign w:val="center"/>
          </w:tcPr>
          <w:p w14:paraId="3A1783B0">
            <w:pPr>
              <w:jc w:val="center"/>
              <w:rPr>
                <w:rFonts w:ascii="Book Antiqua" w:hAnsi="Book Antiqua"/>
                <w:color w:val="000000"/>
                <w:sz w:val="20"/>
                <w:szCs w:val="20"/>
              </w:rPr>
            </w:pPr>
            <w:r>
              <w:rPr>
                <w:rFonts w:ascii="Book Antiqua" w:hAnsi="Book Antiqua"/>
                <w:color w:val="000000"/>
                <w:sz w:val="20"/>
                <w:szCs w:val="20"/>
              </w:rPr>
              <w:t>18</w:t>
            </w:r>
          </w:p>
        </w:tc>
        <w:tc>
          <w:tcPr>
            <w:tcW w:w="6363" w:type="dxa"/>
            <w:tcBorders>
              <w:top w:val="nil"/>
              <w:left w:val="single" w:color="auto" w:sz="4" w:space="0"/>
              <w:bottom w:val="single" w:color="auto" w:sz="4" w:space="0"/>
              <w:right w:val="single" w:color="auto" w:sz="4" w:space="0"/>
            </w:tcBorders>
            <w:noWrap/>
          </w:tcPr>
          <w:p w14:paraId="3323C756">
            <w:pPr>
              <w:jc w:val="both"/>
              <w:rPr>
                <w:rFonts w:ascii="Book Antiqua" w:hAnsi="Book Antiqua"/>
                <w:color w:val="000000"/>
                <w:sz w:val="20"/>
                <w:szCs w:val="20"/>
              </w:rPr>
            </w:pPr>
            <w:r>
              <w:rPr>
                <w:rFonts w:ascii="Book Antiqua" w:hAnsi="Book Antiqua" w:cs="Calibri"/>
                <w:color w:val="000000"/>
                <w:sz w:val="20"/>
                <w:szCs w:val="20"/>
              </w:rPr>
              <w:t xml:space="preserve">LOSARTANA POTÁSSICA 50MG </w:t>
            </w:r>
          </w:p>
        </w:tc>
        <w:tc>
          <w:tcPr>
            <w:tcW w:w="709" w:type="dxa"/>
            <w:tcBorders>
              <w:top w:val="nil"/>
              <w:left w:val="nil"/>
              <w:bottom w:val="single" w:color="auto" w:sz="4" w:space="0"/>
              <w:right w:val="single" w:color="auto" w:sz="4" w:space="0"/>
            </w:tcBorders>
            <w:noWrap/>
            <w:vAlign w:val="center"/>
          </w:tcPr>
          <w:p w14:paraId="7EA30442">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4EE745E5">
            <w:pPr>
              <w:jc w:val="center"/>
              <w:rPr>
                <w:rFonts w:ascii="Book Antiqua" w:hAnsi="Book Antiqua"/>
                <w:b/>
                <w:bCs/>
                <w:color w:val="000000"/>
                <w:sz w:val="20"/>
                <w:szCs w:val="20"/>
              </w:rPr>
            </w:pPr>
            <w:r>
              <w:rPr>
                <w:rFonts w:ascii="Book Antiqua" w:hAnsi="Book Antiqua" w:cs="Calibri"/>
                <w:b/>
                <w:bCs/>
                <w:color w:val="000000"/>
                <w:sz w:val="20"/>
                <w:szCs w:val="20"/>
              </w:rPr>
              <w:t>325.000</w:t>
            </w:r>
          </w:p>
        </w:tc>
      </w:tr>
      <w:tr w14:paraId="489521F5">
        <w:tblPrEx>
          <w:tblCellMar>
            <w:top w:w="0" w:type="dxa"/>
            <w:left w:w="70" w:type="dxa"/>
            <w:bottom w:w="0" w:type="dxa"/>
            <w:right w:w="70" w:type="dxa"/>
          </w:tblCellMar>
        </w:tblPrEx>
        <w:trPr>
          <w:trHeight w:val="202" w:hRule="atLeast"/>
          <w:jc w:val="center"/>
        </w:trPr>
        <w:tc>
          <w:tcPr>
            <w:tcW w:w="720" w:type="dxa"/>
            <w:tcBorders>
              <w:top w:val="nil"/>
              <w:left w:val="single" w:color="auto" w:sz="4" w:space="0"/>
              <w:bottom w:val="single" w:color="auto" w:sz="4" w:space="0"/>
              <w:right w:val="single" w:color="auto" w:sz="4" w:space="0"/>
            </w:tcBorders>
            <w:noWrap/>
            <w:vAlign w:val="center"/>
          </w:tcPr>
          <w:p w14:paraId="2ACAB18B">
            <w:pPr>
              <w:jc w:val="center"/>
              <w:rPr>
                <w:rFonts w:ascii="Book Antiqua" w:hAnsi="Book Antiqua"/>
                <w:color w:val="000000"/>
                <w:sz w:val="20"/>
                <w:szCs w:val="20"/>
              </w:rPr>
            </w:pPr>
            <w:r>
              <w:rPr>
                <w:rFonts w:ascii="Book Antiqua" w:hAnsi="Book Antiqua"/>
                <w:color w:val="000000"/>
                <w:sz w:val="20"/>
                <w:szCs w:val="20"/>
              </w:rPr>
              <w:t>19</w:t>
            </w:r>
          </w:p>
        </w:tc>
        <w:tc>
          <w:tcPr>
            <w:tcW w:w="6363" w:type="dxa"/>
            <w:tcBorders>
              <w:top w:val="nil"/>
              <w:left w:val="single" w:color="auto" w:sz="4" w:space="0"/>
              <w:bottom w:val="single" w:color="auto" w:sz="4" w:space="0"/>
              <w:right w:val="single" w:color="auto" w:sz="4" w:space="0"/>
            </w:tcBorders>
            <w:noWrap/>
          </w:tcPr>
          <w:p w14:paraId="3D09DCEA">
            <w:pPr>
              <w:jc w:val="both"/>
              <w:rPr>
                <w:rFonts w:ascii="Book Antiqua" w:hAnsi="Book Antiqua"/>
                <w:color w:val="000000"/>
                <w:sz w:val="20"/>
                <w:szCs w:val="20"/>
              </w:rPr>
            </w:pPr>
            <w:r>
              <w:rPr>
                <w:rFonts w:ascii="Book Antiqua" w:hAnsi="Book Antiqua" w:cs="Calibri"/>
                <w:color w:val="000000"/>
                <w:sz w:val="20"/>
                <w:szCs w:val="20"/>
              </w:rPr>
              <w:t xml:space="preserve">MALEATO DE ENALAPRIL 10MG </w:t>
            </w:r>
          </w:p>
        </w:tc>
        <w:tc>
          <w:tcPr>
            <w:tcW w:w="709" w:type="dxa"/>
            <w:tcBorders>
              <w:top w:val="nil"/>
              <w:left w:val="nil"/>
              <w:bottom w:val="single" w:color="auto" w:sz="4" w:space="0"/>
              <w:right w:val="single" w:color="auto" w:sz="4" w:space="0"/>
            </w:tcBorders>
            <w:noWrap/>
            <w:vAlign w:val="center"/>
          </w:tcPr>
          <w:p w14:paraId="3E6CD86C">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70B771C9">
            <w:pPr>
              <w:jc w:val="center"/>
              <w:rPr>
                <w:rFonts w:ascii="Book Antiqua" w:hAnsi="Book Antiqua"/>
                <w:b/>
                <w:bCs/>
                <w:color w:val="000000"/>
                <w:sz w:val="20"/>
                <w:szCs w:val="20"/>
              </w:rPr>
            </w:pPr>
            <w:r>
              <w:rPr>
                <w:rFonts w:ascii="Book Antiqua" w:hAnsi="Book Antiqua" w:cs="Calibri"/>
                <w:b/>
                <w:bCs/>
                <w:color w:val="000000"/>
                <w:sz w:val="20"/>
                <w:szCs w:val="20"/>
              </w:rPr>
              <w:t>65.000</w:t>
            </w:r>
          </w:p>
        </w:tc>
      </w:tr>
      <w:tr w14:paraId="7235A254">
        <w:tblPrEx>
          <w:tblCellMar>
            <w:top w:w="0" w:type="dxa"/>
            <w:left w:w="70" w:type="dxa"/>
            <w:bottom w:w="0" w:type="dxa"/>
            <w:right w:w="70" w:type="dxa"/>
          </w:tblCellMar>
        </w:tblPrEx>
        <w:trPr>
          <w:trHeight w:val="251" w:hRule="atLeast"/>
          <w:jc w:val="center"/>
        </w:trPr>
        <w:tc>
          <w:tcPr>
            <w:tcW w:w="720" w:type="dxa"/>
            <w:tcBorders>
              <w:top w:val="nil"/>
              <w:left w:val="single" w:color="auto" w:sz="4" w:space="0"/>
              <w:bottom w:val="single" w:color="auto" w:sz="4" w:space="0"/>
              <w:right w:val="single" w:color="auto" w:sz="4" w:space="0"/>
            </w:tcBorders>
            <w:noWrap/>
            <w:vAlign w:val="center"/>
          </w:tcPr>
          <w:p w14:paraId="1C448A40">
            <w:pPr>
              <w:jc w:val="center"/>
              <w:rPr>
                <w:rFonts w:ascii="Book Antiqua" w:hAnsi="Book Antiqua"/>
                <w:color w:val="000000"/>
                <w:sz w:val="20"/>
                <w:szCs w:val="20"/>
              </w:rPr>
            </w:pPr>
            <w:r>
              <w:rPr>
                <w:rFonts w:ascii="Book Antiqua" w:hAnsi="Book Antiqua"/>
                <w:color w:val="000000"/>
                <w:sz w:val="20"/>
                <w:szCs w:val="20"/>
              </w:rPr>
              <w:t>20</w:t>
            </w:r>
          </w:p>
        </w:tc>
        <w:tc>
          <w:tcPr>
            <w:tcW w:w="6363" w:type="dxa"/>
            <w:tcBorders>
              <w:top w:val="nil"/>
              <w:left w:val="single" w:color="auto" w:sz="4" w:space="0"/>
              <w:bottom w:val="single" w:color="auto" w:sz="4" w:space="0"/>
              <w:right w:val="single" w:color="auto" w:sz="4" w:space="0"/>
            </w:tcBorders>
            <w:noWrap/>
          </w:tcPr>
          <w:p w14:paraId="0C786F5A">
            <w:pPr>
              <w:jc w:val="both"/>
              <w:rPr>
                <w:rFonts w:ascii="Book Antiqua" w:hAnsi="Book Antiqua"/>
                <w:color w:val="000000"/>
                <w:sz w:val="20"/>
                <w:szCs w:val="20"/>
              </w:rPr>
            </w:pPr>
            <w:r>
              <w:rPr>
                <w:rFonts w:ascii="Book Antiqua" w:hAnsi="Book Antiqua" w:cs="Calibri"/>
                <w:color w:val="000000"/>
                <w:sz w:val="20"/>
                <w:szCs w:val="20"/>
              </w:rPr>
              <w:t xml:space="preserve">MALEATO DE ENALAPRIL 20MG </w:t>
            </w:r>
          </w:p>
        </w:tc>
        <w:tc>
          <w:tcPr>
            <w:tcW w:w="709" w:type="dxa"/>
            <w:tcBorders>
              <w:top w:val="nil"/>
              <w:left w:val="nil"/>
              <w:bottom w:val="single" w:color="auto" w:sz="4" w:space="0"/>
              <w:right w:val="single" w:color="auto" w:sz="4" w:space="0"/>
            </w:tcBorders>
            <w:noWrap/>
            <w:vAlign w:val="center"/>
          </w:tcPr>
          <w:p w14:paraId="035488B8">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5D0DB716">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7F1016CF">
        <w:tblPrEx>
          <w:tblCellMar>
            <w:top w:w="0" w:type="dxa"/>
            <w:left w:w="70" w:type="dxa"/>
            <w:bottom w:w="0" w:type="dxa"/>
            <w:right w:w="70" w:type="dxa"/>
          </w:tblCellMar>
        </w:tblPrEx>
        <w:trPr>
          <w:trHeight w:val="238" w:hRule="atLeast"/>
          <w:jc w:val="center"/>
        </w:trPr>
        <w:tc>
          <w:tcPr>
            <w:tcW w:w="720" w:type="dxa"/>
            <w:tcBorders>
              <w:top w:val="nil"/>
              <w:left w:val="single" w:color="auto" w:sz="4" w:space="0"/>
              <w:bottom w:val="single" w:color="auto" w:sz="4" w:space="0"/>
              <w:right w:val="single" w:color="auto" w:sz="4" w:space="0"/>
            </w:tcBorders>
            <w:noWrap/>
            <w:vAlign w:val="center"/>
          </w:tcPr>
          <w:p w14:paraId="0EA17178">
            <w:pPr>
              <w:jc w:val="center"/>
              <w:rPr>
                <w:rFonts w:ascii="Book Antiqua" w:hAnsi="Book Antiqua"/>
                <w:color w:val="000000"/>
                <w:sz w:val="20"/>
                <w:szCs w:val="20"/>
              </w:rPr>
            </w:pPr>
            <w:r>
              <w:rPr>
                <w:rFonts w:ascii="Book Antiqua" w:hAnsi="Book Antiqua"/>
                <w:color w:val="000000"/>
                <w:sz w:val="20"/>
                <w:szCs w:val="20"/>
              </w:rPr>
              <w:t>21</w:t>
            </w:r>
          </w:p>
        </w:tc>
        <w:tc>
          <w:tcPr>
            <w:tcW w:w="6363" w:type="dxa"/>
            <w:tcBorders>
              <w:top w:val="nil"/>
              <w:left w:val="single" w:color="auto" w:sz="4" w:space="0"/>
              <w:bottom w:val="single" w:color="auto" w:sz="4" w:space="0"/>
              <w:right w:val="single" w:color="auto" w:sz="4" w:space="0"/>
            </w:tcBorders>
            <w:noWrap/>
          </w:tcPr>
          <w:p w14:paraId="628AD34C">
            <w:pPr>
              <w:jc w:val="both"/>
              <w:rPr>
                <w:rFonts w:ascii="Book Antiqua" w:hAnsi="Book Antiqua"/>
                <w:color w:val="000000"/>
                <w:sz w:val="20"/>
                <w:szCs w:val="20"/>
              </w:rPr>
            </w:pPr>
            <w:r>
              <w:rPr>
                <w:rFonts w:ascii="Book Antiqua" w:hAnsi="Book Antiqua" w:cs="Calibri"/>
                <w:color w:val="000000"/>
                <w:sz w:val="20"/>
                <w:szCs w:val="20"/>
              </w:rPr>
              <w:t xml:space="preserve">MALEATO DE ENALAPRIL 5MG </w:t>
            </w:r>
          </w:p>
        </w:tc>
        <w:tc>
          <w:tcPr>
            <w:tcW w:w="709" w:type="dxa"/>
            <w:tcBorders>
              <w:top w:val="nil"/>
              <w:left w:val="nil"/>
              <w:bottom w:val="single" w:color="auto" w:sz="4" w:space="0"/>
              <w:right w:val="single" w:color="auto" w:sz="4" w:space="0"/>
            </w:tcBorders>
            <w:noWrap/>
            <w:vAlign w:val="center"/>
          </w:tcPr>
          <w:p w14:paraId="02D8E820">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564DBB1C">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799CC75A">
        <w:tblPrEx>
          <w:tblCellMar>
            <w:top w:w="0" w:type="dxa"/>
            <w:left w:w="70" w:type="dxa"/>
            <w:bottom w:w="0" w:type="dxa"/>
            <w:right w:w="70" w:type="dxa"/>
          </w:tblCellMar>
        </w:tblPrEx>
        <w:trPr>
          <w:trHeight w:val="188" w:hRule="atLeast"/>
          <w:jc w:val="center"/>
        </w:trPr>
        <w:tc>
          <w:tcPr>
            <w:tcW w:w="720" w:type="dxa"/>
            <w:tcBorders>
              <w:top w:val="nil"/>
              <w:left w:val="single" w:color="auto" w:sz="4" w:space="0"/>
              <w:bottom w:val="single" w:color="auto" w:sz="4" w:space="0"/>
              <w:right w:val="single" w:color="auto" w:sz="4" w:space="0"/>
            </w:tcBorders>
            <w:noWrap/>
            <w:vAlign w:val="center"/>
          </w:tcPr>
          <w:p w14:paraId="2747FAC9">
            <w:pPr>
              <w:jc w:val="center"/>
              <w:rPr>
                <w:rFonts w:ascii="Book Antiqua" w:hAnsi="Book Antiqua"/>
                <w:color w:val="000000"/>
                <w:sz w:val="20"/>
                <w:szCs w:val="20"/>
              </w:rPr>
            </w:pPr>
            <w:r>
              <w:rPr>
                <w:rFonts w:ascii="Book Antiqua" w:hAnsi="Book Antiqua"/>
                <w:color w:val="000000"/>
                <w:sz w:val="20"/>
                <w:szCs w:val="20"/>
              </w:rPr>
              <w:t>22</w:t>
            </w:r>
          </w:p>
        </w:tc>
        <w:tc>
          <w:tcPr>
            <w:tcW w:w="6363" w:type="dxa"/>
            <w:tcBorders>
              <w:top w:val="nil"/>
              <w:left w:val="single" w:color="auto" w:sz="4" w:space="0"/>
              <w:bottom w:val="single" w:color="auto" w:sz="4" w:space="0"/>
              <w:right w:val="single" w:color="auto" w:sz="4" w:space="0"/>
            </w:tcBorders>
            <w:noWrap/>
          </w:tcPr>
          <w:p w14:paraId="0F6CC6F7">
            <w:pPr>
              <w:jc w:val="both"/>
              <w:rPr>
                <w:rFonts w:ascii="Book Antiqua" w:hAnsi="Book Antiqua"/>
                <w:color w:val="000000"/>
                <w:sz w:val="20"/>
                <w:szCs w:val="20"/>
              </w:rPr>
            </w:pPr>
            <w:r>
              <w:rPr>
                <w:rFonts w:ascii="Book Antiqua" w:hAnsi="Book Antiqua" w:cs="Calibri"/>
                <w:color w:val="000000"/>
                <w:sz w:val="20"/>
                <w:szCs w:val="20"/>
              </w:rPr>
              <w:t xml:space="preserve">METILDOPA 250MG </w:t>
            </w:r>
          </w:p>
        </w:tc>
        <w:tc>
          <w:tcPr>
            <w:tcW w:w="709" w:type="dxa"/>
            <w:tcBorders>
              <w:top w:val="nil"/>
              <w:left w:val="nil"/>
              <w:bottom w:val="single" w:color="auto" w:sz="4" w:space="0"/>
              <w:right w:val="single" w:color="auto" w:sz="4" w:space="0"/>
            </w:tcBorders>
            <w:noWrap/>
            <w:vAlign w:val="center"/>
          </w:tcPr>
          <w:p w14:paraId="5B19B251">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03DABD4C">
            <w:pPr>
              <w:jc w:val="center"/>
              <w:rPr>
                <w:rFonts w:ascii="Book Antiqua" w:hAnsi="Book Antiqua"/>
                <w:b/>
                <w:bCs/>
                <w:color w:val="000000"/>
                <w:sz w:val="20"/>
                <w:szCs w:val="20"/>
              </w:rPr>
            </w:pPr>
            <w:r>
              <w:rPr>
                <w:rFonts w:ascii="Book Antiqua" w:hAnsi="Book Antiqua" w:cs="Calibri"/>
                <w:b/>
                <w:bCs/>
                <w:color w:val="000000"/>
                <w:sz w:val="20"/>
                <w:szCs w:val="20"/>
              </w:rPr>
              <w:t>39.000</w:t>
            </w:r>
          </w:p>
        </w:tc>
      </w:tr>
      <w:tr w14:paraId="27899B80">
        <w:tblPrEx>
          <w:tblCellMar>
            <w:top w:w="0" w:type="dxa"/>
            <w:left w:w="70" w:type="dxa"/>
            <w:bottom w:w="0" w:type="dxa"/>
            <w:right w:w="70" w:type="dxa"/>
          </w:tblCellMar>
        </w:tblPrEx>
        <w:trPr>
          <w:trHeight w:val="293" w:hRule="atLeast"/>
          <w:jc w:val="center"/>
        </w:trPr>
        <w:tc>
          <w:tcPr>
            <w:tcW w:w="720" w:type="dxa"/>
            <w:tcBorders>
              <w:top w:val="nil"/>
              <w:left w:val="single" w:color="auto" w:sz="4" w:space="0"/>
              <w:bottom w:val="single" w:color="auto" w:sz="4" w:space="0"/>
              <w:right w:val="single" w:color="auto" w:sz="4" w:space="0"/>
            </w:tcBorders>
            <w:noWrap/>
            <w:vAlign w:val="center"/>
          </w:tcPr>
          <w:p w14:paraId="0E98B11F">
            <w:pPr>
              <w:jc w:val="center"/>
              <w:rPr>
                <w:rFonts w:ascii="Book Antiqua" w:hAnsi="Book Antiqua"/>
                <w:color w:val="000000"/>
                <w:sz w:val="20"/>
                <w:szCs w:val="20"/>
              </w:rPr>
            </w:pPr>
            <w:r>
              <w:rPr>
                <w:rFonts w:ascii="Book Antiqua" w:hAnsi="Book Antiqua"/>
                <w:color w:val="000000"/>
                <w:sz w:val="20"/>
                <w:szCs w:val="20"/>
              </w:rPr>
              <w:t>23</w:t>
            </w:r>
          </w:p>
        </w:tc>
        <w:tc>
          <w:tcPr>
            <w:tcW w:w="6363" w:type="dxa"/>
            <w:tcBorders>
              <w:top w:val="nil"/>
              <w:left w:val="single" w:color="auto" w:sz="4" w:space="0"/>
              <w:bottom w:val="single" w:color="auto" w:sz="4" w:space="0"/>
              <w:right w:val="single" w:color="auto" w:sz="4" w:space="0"/>
            </w:tcBorders>
            <w:noWrap/>
          </w:tcPr>
          <w:p w14:paraId="12CFBB9F">
            <w:pPr>
              <w:jc w:val="both"/>
              <w:rPr>
                <w:rFonts w:ascii="Book Antiqua" w:hAnsi="Book Antiqua"/>
                <w:color w:val="000000"/>
                <w:sz w:val="20"/>
                <w:szCs w:val="20"/>
              </w:rPr>
            </w:pPr>
            <w:r>
              <w:rPr>
                <w:rFonts w:ascii="Book Antiqua" w:hAnsi="Book Antiqua" w:cs="Calibri"/>
                <w:color w:val="000000"/>
                <w:sz w:val="20"/>
                <w:szCs w:val="20"/>
              </w:rPr>
              <w:t xml:space="preserve">MONONITRATO DE ISOSSORBIDA 20MG </w:t>
            </w:r>
          </w:p>
        </w:tc>
        <w:tc>
          <w:tcPr>
            <w:tcW w:w="709" w:type="dxa"/>
            <w:tcBorders>
              <w:top w:val="nil"/>
              <w:left w:val="nil"/>
              <w:bottom w:val="single" w:color="auto" w:sz="4" w:space="0"/>
              <w:right w:val="single" w:color="auto" w:sz="4" w:space="0"/>
            </w:tcBorders>
            <w:noWrap/>
            <w:vAlign w:val="center"/>
          </w:tcPr>
          <w:p w14:paraId="465D6F92">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098DFF58">
            <w:pPr>
              <w:jc w:val="center"/>
              <w:rPr>
                <w:rFonts w:ascii="Book Antiqua" w:hAnsi="Book Antiqua"/>
                <w:b/>
                <w:bCs/>
                <w:color w:val="000000"/>
                <w:sz w:val="20"/>
                <w:szCs w:val="20"/>
              </w:rPr>
            </w:pPr>
            <w:r>
              <w:rPr>
                <w:rFonts w:ascii="Book Antiqua" w:hAnsi="Book Antiqua" w:cs="Calibri"/>
                <w:b/>
                <w:bCs/>
                <w:color w:val="000000"/>
                <w:sz w:val="20"/>
                <w:szCs w:val="20"/>
              </w:rPr>
              <w:t>26.000</w:t>
            </w:r>
          </w:p>
        </w:tc>
      </w:tr>
      <w:tr w14:paraId="42277520">
        <w:tblPrEx>
          <w:tblCellMar>
            <w:top w:w="0" w:type="dxa"/>
            <w:left w:w="70" w:type="dxa"/>
            <w:bottom w:w="0" w:type="dxa"/>
            <w:right w:w="70" w:type="dxa"/>
          </w:tblCellMar>
        </w:tblPrEx>
        <w:trPr>
          <w:trHeight w:val="25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51F50BE">
            <w:pPr>
              <w:jc w:val="center"/>
              <w:rPr>
                <w:rFonts w:ascii="Book Antiqua" w:hAnsi="Book Antiqua"/>
                <w:color w:val="000000"/>
                <w:sz w:val="20"/>
                <w:szCs w:val="20"/>
              </w:rPr>
            </w:pPr>
            <w:r>
              <w:rPr>
                <w:rFonts w:ascii="Book Antiqua" w:hAnsi="Book Antiqua"/>
                <w:color w:val="000000"/>
                <w:sz w:val="20"/>
                <w:szCs w:val="20"/>
              </w:rPr>
              <w:t>24</w:t>
            </w:r>
          </w:p>
        </w:tc>
        <w:tc>
          <w:tcPr>
            <w:tcW w:w="6363" w:type="dxa"/>
            <w:tcBorders>
              <w:top w:val="nil"/>
              <w:left w:val="single" w:color="auto" w:sz="4" w:space="0"/>
              <w:bottom w:val="single" w:color="auto" w:sz="4" w:space="0"/>
              <w:right w:val="single" w:color="auto" w:sz="4" w:space="0"/>
            </w:tcBorders>
            <w:noWrap/>
          </w:tcPr>
          <w:p w14:paraId="7D6981A8">
            <w:pPr>
              <w:jc w:val="both"/>
              <w:rPr>
                <w:rFonts w:ascii="Book Antiqua" w:hAnsi="Book Antiqua"/>
                <w:color w:val="000000"/>
                <w:sz w:val="20"/>
                <w:szCs w:val="20"/>
              </w:rPr>
            </w:pPr>
            <w:r>
              <w:rPr>
                <w:rFonts w:ascii="Book Antiqua" w:hAnsi="Book Antiqua" w:cs="Calibri"/>
                <w:color w:val="000000"/>
                <w:sz w:val="20"/>
                <w:szCs w:val="20"/>
              </w:rPr>
              <w:t xml:space="preserve">NIFEDIPINO 10MG </w:t>
            </w:r>
          </w:p>
        </w:tc>
        <w:tc>
          <w:tcPr>
            <w:tcW w:w="709" w:type="dxa"/>
            <w:tcBorders>
              <w:top w:val="nil"/>
              <w:left w:val="nil"/>
              <w:bottom w:val="single" w:color="auto" w:sz="4" w:space="0"/>
              <w:right w:val="single" w:color="auto" w:sz="4" w:space="0"/>
            </w:tcBorders>
            <w:noWrap/>
            <w:vAlign w:val="center"/>
          </w:tcPr>
          <w:p w14:paraId="539FF4CE">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3A7F5688">
            <w:pPr>
              <w:jc w:val="center"/>
              <w:rPr>
                <w:rFonts w:ascii="Book Antiqua" w:hAnsi="Book Antiqua"/>
                <w:b/>
                <w:bCs/>
                <w:color w:val="000000"/>
                <w:sz w:val="20"/>
                <w:szCs w:val="20"/>
              </w:rPr>
            </w:pPr>
            <w:r>
              <w:rPr>
                <w:rFonts w:ascii="Book Antiqua" w:hAnsi="Book Antiqua" w:cs="Calibri"/>
                <w:b/>
                <w:bCs/>
                <w:color w:val="000000"/>
                <w:sz w:val="20"/>
                <w:szCs w:val="20"/>
              </w:rPr>
              <w:t>52.000</w:t>
            </w:r>
          </w:p>
        </w:tc>
      </w:tr>
      <w:tr w14:paraId="4F5ACC20">
        <w:tblPrEx>
          <w:tblCellMar>
            <w:top w:w="0" w:type="dxa"/>
            <w:left w:w="70" w:type="dxa"/>
            <w:bottom w:w="0" w:type="dxa"/>
            <w:right w:w="70" w:type="dxa"/>
          </w:tblCellMar>
        </w:tblPrEx>
        <w:trPr>
          <w:trHeight w:val="262" w:hRule="atLeast"/>
          <w:jc w:val="center"/>
        </w:trPr>
        <w:tc>
          <w:tcPr>
            <w:tcW w:w="720" w:type="dxa"/>
            <w:tcBorders>
              <w:top w:val="nil"/>
              <w:left w:val="single" w:color="auto" w:sz="4" w:space="0"/>
              <w:bottom w:val="single" w:color="auto" w:sz="4" w:space="0"/>
              <w:right w:val="single" w:color="auto" w:sz="4" w:space="0"/>
            </w:tcBorders>
            <w:noWrap/>
            <w:vAlign w:val="center"/>
          </w:tcPr>
          <w:p w14:paraId="7EC51EAB">
            <w:pPr>
              <w:jc w:val="center"/>
              <w:rPr>
                <w:rFonts w:ascii="Book Antiqua" w:hAnsi="Book Antiqua"/>
                <w:color w:val="000000"/>
                <w:sz w:val="20"/>
                <w:szCs w:val="20"/>
              </w:rPr>
            </w:pPr>
            <w:r>
              <w:rPr>
                <w:rFonts w:ascii="Book Antiqua" w:hAnsi="Book Antiqua"/>
                <w:color w:val="000000"/>
                <w:sz w:val="20"/>
                <w:szCs w:val="20"/>
              </w:rPr>
              <w:t>25</w:t>
            </w:r>
          </w:p>
        </w:tc>
        <w:tc>
          <w:tcPr>
            <w:tcW w:w="6363" w:type="dxa"/>
            <w:tcBorders>
              <w:top w:val="nil"/>
              <w:left w:val="single" w:color="auto" w:sz="4" w:space="0"/>
              <w:bottom w:val="single" w:color="auto" w:sz="4" w:space="0"/>
              <w:right w:val="single" w:color="auto" w:sz="4" w:space="0"/>
            </w:tcBorders>
            <w:noWrap/>
          </w:tcPr>
          <w:p w14:paraId="6B36825A">
            <w:pPr>
              <w:jc w:val="both"/>
              <w:rPr>
                <w:rFonts w:ascii="Book Antiqua" w:hAnsi="Book Antiqua"/>
                <w:color w:val="000000"/>
                <w:sz w:val="20"/>
                <w:szCs w:val="20"/>
              </w:rPr>
            </w:pPr>
            <w:r>
              <w:rPr>
                <w:rFonts w:ascii="Book Antiqua" w:hAnsi="Book Antiqua" w:cs="Calibri"/>
                <w:color w:val="000000"/>
                <w:sz w:val="20"/>
                <w:szCs w:val="20"/>
              </w:rPr>
              <w:t xml:space="preserve">NIFEDIPINO 20MG </w:t>
            </w:r>
          </w:p>
        </w:tc>
        <w:tc>
          <w:tcPr>
            <w:tcW w:w="709" w:type="dxa"/>
            <w:tcBorders>
              <w:top w:val="nil"/>
              <w:left w:val="nil"/>
              <w:bottom w:val="single" w:color="auto" w:sz="4" w:space="0"/>
              <w:right w:val="single" w:color="auto" w:sz="4" w:space="0"/>
            </w:tcBorders>
            <w:noWrap/>
            <w:vAlign w:val="center"/>
          </w:tcPr>
          <w:p w14:paraId="253396D5">
            <w:pPr>
              <w:jc w:val="center"/>
              <w:rPr>
                <w:rFonts w:ascii="Book Antiqua" w:hAnsi="Book Antiqua"/>
                <w:color w:val="000000"/>
                <w:sz w:val="20"/>
                <w:szCs w:val="20"/>
              </w:rPr>
            </w:pPr>
            <w:r>
              <w:rPr>
                <w:rFonts w:ascii="Book Antiqua" w:hAnsi="Book Antiqua"/>
                <w:color w:val="000000"/>
                <w:sz w:val="20"/>
                <w:szCs w:val="20"/>
              </w:rPr>
              <w:t>CPR</w:t>
            </w:r>
          </w:p>
        </w:tc>
        <w:tc>
          <w:tcPr>
            <w:tcW w:w="1051" w:type="dxa"/>
            <w:tcBorders>
              <w:top w:val="nil"/>
              <w:left w:val="nil"/>
              <w:bottom w:val="single" w:color="auto" w:sz="4" w:space="0"/>
              <w:right w:val="single" w:color="auto" w:sz="4" w:space="0"/>
            </w:tcBorders>
            <w:noWrap/>
          </w:tcPr>
          <w:p w14:paraId="472E1EA7">
            <w:pPr>
              <w:jc w:val="center"/>
              <w:rPr>
                <w:rFonts w:ascii="Book Antiqua" w:hAnsi="Book Antiqua"/>
                <w:b/>
                <w:bCs/>
                <w:color w:val="000000"/>
                <w:sz w:val="20"/>
                <w:szCs w:val="20"/>
              </w:rPr>
            </w:pPr>
            <w:r>
              <w:rPr>
                <w:rFonts w:ascii="Book Antiqua" w:hAnsi="Book Antiqua" w:cs="Calibri"/>
                <w:b/>
                <w:bCs/>
                <w:color w:val="000000"/>
                <w:sz w:val="20"/>
                <w:szCs w:val="20"/>
              </w:rPr>
              <w:t>39.000</w:t>
            </w:r>
          </w:p>
        </w:tc>
      </w:tr>
    </w:tbl>
    <w:p w14:paraId="772EB4DC">
      <w:pPr>
        <w:widowControl w:val="0"/>
        <w:numPr>
          <w:ilvl w:val="1"/>
          <w:numId w:val="6"/>
        </w:numPr>
        <w:pBdr>
          <w:top w:val="none" w:color="auto" w:sz="0" w:space="0"/>
          <w:left w:val="none" w:color="auto" w:sz="0" w:space="0"/>
          <w:bottom w:val="none" w:color="auto" w:sz="0" w:space="0"/>
          <w:right w:val="none" w:color="auto" w:sz="0" w:space="0"/>
          <w:between w:val="none" w:color="auto" w:sz="0" w:space="0"/>
        </w:pBdr>
        <w:tabs>
          <w:tab w:val="left" w:pos="284"/>
          <w:tab w:val="left" w:pos="426"/>
        </w:tabs>
        <w:ind w:left="0" w:firstLine="0"/>
        <w:jc w:val="both"/>
        <w:rPr>
          <w:rFonts w:ascii="Book Antiqua" w:hAnsi="Book Antiqua"/>
          <w:bCs/>
          <w:color w:val="000000" w:themeColor="text1"/>
          <w:sz w:val="20"/>
          <w:szCs w:val="20"/>
          <w14:textFill>
            <w14:solidFill>
              <w14:schemeClr w14:val="tx1"/>
            </w14:solidFill>
          </w14:textFill>
        </w:rPr>
      </w:pPr>
      <w:bookmarkStart w:id="11" w:name="_Hlk209035489"/>
      <w:r>
        <w:rPr>
          <w:rFonts w:ascii="Book Antiqua" w:hAnsi="Book Antiqua"/>
          <w:bCs/>
          <w:color w:val="000000" w:themeColor="text1"/>
          <w:sz w:val="20"/>
          <w:szCs w:val="20"/>
          <w14:textFill>
            <w14:solidFill>
              <w14:schemeClr w14:val="tx1"/>
            </w14:solidFill>
          </w14:textFill>
        </w:rPr>
        <w:t>Os itens objeto deste Termo de Referência estão dentro da padronização seguida pelo órgão, conforme especificações técnicas e requisitos de desempenho, levantados de acordo com real necessidade da administração e definições elencadas no Termo de Referência.</w:t>
      </w:r>
    </w:p>
    <w:p w14:paraId="104A5490">
      <w:pPr>
        <w:widowControl w:val="0"/>
        <w:numPr>
          <w:ilvl w:val="1"/>
          <w:numId w:val="6"/>
        </w:numPr>
        <w:pBdr>
          <w:top w:val="none" w:color="auto" w:sz="0" w:space="0"/>
          <w:left w:val="none" w:color="auto" w:sz="0" w:space="0"/>
          <w:bottom w:val="none" w:color="auto" w:sz="0" w:space="0"/>
          <w:right w:val="none" w:color="auto" w:sz="0" w:space="0"/>
          <w:between w:val="none" w:color="auto" w:sz="0" w:space="0"/>
        </w:pBdr>
        <w:tabs>
          <w:tab w:val="left" w:pos="284"/>
          <w:tab w:val="left" w:pos="426"/>
        </w:tabs>
        <w:ind w:left="0" w:firstLine="0"/>
        <w:jc w:val="both"/>
        <w:rPr>
          <w:rFonts w:ascii="Book Antiqua" w:hAnsi="Book Antiqua"/>
          <w:bCs/>
          <w:color w:val="000000" w:themeColor="text1"/>
          <w:sz w:val="20"/>
          <w:szCs w:val="20"/>
          <w14:textFill>
            <w14:solidFill>
              <w14:schemeClr w14:val="tx1"/>
            </w14:solidFill>
          </w14:textFill>
        </w:rPr>
      </w:pPr>
      <w:r>
        <w:rPr>
          <w:rFonts w:ascii="Book Antiqua" w:hAnsi="Book Antiqua" w:cs="Gisha"/>
          <w:sz w:val="20"/>
          <w:szCs w:val="20"/>
        </w:rPr>
        <w:t>As especificações aqui indicadas são exigências mínimas para os produtos ofertados e são de atendimento obrigatório.</w:t>
      </w:r>
    </w:p>
    <w:p w14:paraId="0DCD03A5">
      <w:pPr>
        <w:pStyle w:val="57"/>
        <w:ind w:firstLine="142"/>
        <w:jc w:val="both"/>
        <w:rPr>
          <w:rFonts w:ascii="Book Antiqua" w:hAnsi="Book Antiqua" w:cs="Gisha"/>
          <w:sz w:val="20"/>
          <w:szCs w:val="20"/>
        </w:rPr>
      </w:pPr>
      <w:r>
        <w:rPr>
          <w:rFonts w:ascii="Book Antiqua" w:hAnsi="Book Antiqua" w:cs="Gisha"/>
          <w:b/>
          <w:color w:val="auto"/>
          <w:sz w:val="20"/>
          <w:szCs w:val="20"/>
        </w:rPr>
        <w:t>a</w:t>
      </w:r>
      <w:r>
        <w:rPr>
          <w:rFonts w:ascii="Book Antiqua" w:hAnsi="Book Antiqua" w:cs="Gisha"/>
          <w:color w:val="auto"/>
          <w:sz w:val="20"/>
          <w:szCs w:val="20"/>
        </w:rPr>
        <w:t xml:space="preserve">) Todos os produtos devem ser de 1ª qualidade e estarem registrados no </w:t>
      </w:r>
      <w:r>
        <w:rPr>
          <w:rFonts w:ascii="Book Antiqua" w:hAnsi="Book Antiqua" w:cs="Gisha"/>
          <w:sz w:val="20"/>
          <w:szCs w:val="20"/>
        </w:rPr>
        <w:t xml:space="preserve">S.I.F (Serviço de Inspeção Federal) ou em órgão equivalente. </w:t>
      </w:r>
    </w:p>
    <w:p w14:paraId="0D1196C7">
      <w:pPr>
        <w:pStyle w:val="57"/>
        <w:ind w:firstLine="142"/>
        <w:jc w:val="both"/>
        <w:rPr>
          <w:rFonts w:ascii="Book Antiqua" w:hAnsi="Book Antiqua" w:cs="Gisha"/>
          <w:sz w:val="20"/>
          <w:szCs w:val="20"/>
        </w:rPr>
      </w:pPr>
      <w:r>
        <w:rPr>
          <w:rFonts w:ascii="Book Antiqua" w:hAnsi="Book Antiqua" w:cs="Gisha"/>
          <w:sz w:val="20"/>
          <w:szCs w:val="20"/>
        </w:rPr>
        <w:t>b) Os itens ofertados deverão conter identificação do produto, especificações do volume ou peso, data de fabricação, validade do produto, nº do lote, nome e endereço completo do fabricante, registro no Ministério da Saúde</w:t>
      </w:r>
      <w:bookmarkEnd w:id="11"/>
      <w:r>
        <w:rPr>
          <w:rFonts w:ascii="Book Antiqua" w:hAnsi="Book Antiqua" w:cs="Gisha"/>
          <w:sz w:val="20"/>
          <w:szCs w:val="20"/>
        </w:rPr>
        <w:t>.</w:t>
      </w:r>
    </w:p>
    <w:p w14:paraId="29B67745">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142"/>
        </w:tabs>
        <w:ind w:left="0" w:firstLine="0"/>
        <w:jc w:val="both"/>
        <w:rPr>
          <w:rFonts w:ascii="Book Antiqua" w:hAnsi="Book Antiqua"/>
          <w:b/>
          <w:color w:val="000000" w:themeColor="text1"/>
          <w:sz w:val="20"/>
          <w:szCs w:val="20"/>
          <w:highlight w:val="lightGray"/>
          <w:u w:val="single"/>
          <w14:textFill>
            <w14:solidFill>
              <w14:schemeClr w14:val="tx1"/>
            </w14:solidFill>
          </w14:textFill>
        </w:rPr>
      </w:pPr>
      <w:r>
        <w:rPr>
          <w:rFonts w:ascii="Book Antiqua" w:hAnsi="Book Antiqua"/>
          <w:b/>
          <w:color w:val="000000" w:themeColor="text1"/>
          <w:sz w:val="20"/>
          <w:szCs w:val="20"/>
          <w:highlight w:val="lightGray"/>
          <w:u w:val="single"/>
          <w14:textFill>
            <w14:solidFill>
              <w14:schemeClr w14:val="tx1"/>
            </w14:solidFill>
          </w14:textFill>
        </w:rPr>
        <w:t>DAS CONDIÇÕES E PRAZOS DE ENTREGA</w:t>
      </w:r>
    </w:p>
    <w:p w14:paraId="190A823E">
      <w:pPr>
        <w:pStyle w:val="66"/>
        <w:widowControl w:val="0"/>
        <w:numPr>
          <w:ilvl w:val="1"/>
          <w:numId w:val="6"/>
        </w:numPr>
        <w:pBdr>
          <w:top w:val="none" w:color="auto" w:sz="0" w:space="0"/>
          <w:left w:val="none" w:color="auto" w:sz="0" w:space="0"/>
          <w:bottom w:val="none" w:color="auto" w:sz="0" w:space="0"/>
          <w:right w:val="none" w:color="auto" w:sz="0" w:space="0"/>
          <w:between w:val="none" w:color="auto" w:sz="0" w:space="0"/>
        </w:pBdr>
        <w:tabs>
          <w:tab w:val="left" w:pos="0"/>
          <w:tab w:val="left" w:pos="426"/>
        </w:tabs>
        <w:spacing w:after="0" w:line="240" w:lineRule="auto"/>
        <w:ind w:left="0" w:firstLine="0"/>
        <w:jc w:val="both"/>
        <w:rPr>
          <w:rFonts w:ascii="Book Antiqua" w:hAnsi="Book Antiqua"/>
          <w:b/>
          <w:color w:val="000000" w:themeColor="text1"/>
          <w:sz w:val="20"/>
          <w:szCs w:val="20"/>
          <w:highlight w:val="lightGray"/>
          <w14:textFill>
            <w14:solidFill>
              <w14:schemeClr w14:val="tx1"/>
            </w14:solidFill>
          </w14:textFill>
        </w:rPr>
      </w:pPr>
      <w:r>
        <w:rPr>
          <w:rFonts w:ascii="Book Antiqua" w:hAnsi="Book Antiqua"/>
          <w:b/>
          <w:color w:val="000000" w:themeColor="text1"/>
          <w:sz w:val="20"/>
          <w:szCs w:val="20"/>
          <w14:textFill>
            <w14:solidFill>
              <w14:schemeClr w14:val="tx1"/>
            </w14:solidFill>
          </w14:textFill>
        </w:rPr>
        <w:t xml:space="preserve"> As quantidades constantes neste Termo de Referência foram obtidas mediante tabulação da demanda enviada pela Secretaria Municipal de Saúde.</w:t>
      </w:r>
    </w:p>
    <w:p w14:paraId="580A4A90">
      <w:pPr>
        <w:pStyle w:val="66"/>
        <w:widowControl w:val="0"/>
        <w:numPr>
          <w:ilvl w:val="1"/>
          <w:numId w:val="6"/>
        </w:numPr>
        <w:tabs>
          <w:tab w:val="left" w:pos="0"/>
          <w:tab w:val="left" w:pos="426"/>
        </w:tabs>
        <w:autoSpaceDE w:val="0"/>
        <w:autoSpaceDN w:val="0"/>
        <w:spacing w:after="0" w:line="240" w:lineRule="auto"/>
        <w:ind w:left="0" w:firstLine="0"/>
        <w:jc w:val="both"/>
        <w:rPr>
          <w:rFonts w:ascii="Book Antiqua" w:hAnsi="Book Antiqua"/>
          <w:bCs/>
          <w:color w:val="000000" w:themeColor="text1"/>
          <w:sz w:val="20"/>
          <w:szCs w:val="20"/>
          <w14:textFill>
            <w14:solidFill>
              <w14:schemeClr w14:val="tx1"/>
            </w14:solidFill>
          </w14:textFill>
        </w:rPr>
      </w:pPr>
      <w:r>
        <w:rPr>
          <w:rFonts w:ascii="Book Antiqua" w:hAnsi="Book Antiqua"/>
          <w:bCs/>
          <w:color w:val="000000" w:themeColor="text1"/>
          <w:sz w:val="20"/>
          <w:szCs w:val="20"/>
          <w14:textFill>
            <w14:solidFill>
              <w14:schemeClr w14:val="tx1"/>
            </w14:solidFill>
          </w14:textFill>
        </w:rPr>
        <w:t xml:space="preserve">O fornecimento </w:t>
      </w:r>
      <w:r>
        <w:rPr>
          <w:rFonts w:ascii="Book Antiqua" w:hAnsi="Book Antiqua"/>
          <w:bCs/>
          <w:sz w:val="20"/>
          <w:szCs w:val="20"/>
        </w:rPr>
        <w:t>será efetuado de acordo com a necessidade do órgão</w:t>
      </w:r>
      <w:r>
        <w:rPr>
          <w:rFonts w:ascii="Book Antiqua" w:hAnsi="Book Antiqua"/>
          <w:b/>
          <w:bCs/>
          <w:sz w:val="20"/>
          <w:szCs w:val="20"/>
        </w:rPr>
        <w:t xml:space="preserve">, não sendo possível alterar o quantitativo por questões de logísticas do fornecedor </w:t>
      </w:r>
      <w:r>
        <w:rPr>
          <w:rFonts w:ascii="Book Antiqua" w:hAnsi="Book Antiqua"/>
          <w:bCs/>
          <w:sz w:val="20"/>
          <w:szCs w:val="20"/>
        </w:rPr>
        <w:t xml:space="preserve">e com prazo de entrega não </w:t>
      </w:r>
      <w:r>
        <w:rPr>
          <w:rFonts w:ascii="Book Antiqua" w:hAnsi="Book Antiqua"/>
          <w:b/>
          <w:sz w:val="20"/>
          <w:szCs w:val="20"/>
          <w:u w:val="single"/>
        </w:rPr>
        <w:t>superior a 10 (dez)</w:t>
      </w:r>
      <w:r>
        <w:rPr>
          <w:rFonts w:ascii="Book Antiqua" w:hAnsi="Book Antiqua"/>
          <w:b/>
          <w:color w:val="000000" w:themeColor="text1"/>
          <w:sz w:val="20"/>
          <w:szCs w:val="20"/>
          <w:u w:val="single"/>
          <w14:textFill>
            <w14:solidFill>
              <w14:schemeClr w14:val="tx1"/>
            </w14:solidFill>
          </w14:textFill>
        </w:rPr>
        <w:t xml:space="preserve"> dias</w:t>
      </w:r>
      <w:r>
        <w:rPr>
          <w:rFonts w:ascii="Book Antiqua" w:hAnsi="Book Antiqua"/>
          <w:bCs/>
          <w:color w:val="000000" w:themeColor="text1"/>
          <w:sz w:val="20"/>
          <w:szCs w:val="20"/>
          <w14:textFill>
            <w14:solidFill>
              <w14:schemeClr w14:val="tx1"/>
            </w14:solidFill>
          </w14:textFill>
        </w:rPr>
        <w:t>, contados a partir do recebimento da Ordem de Compra, Nota de Empenho ou da assinatura do instrumento de contrato, se for o caso.</w:t>
      </w:r>
    </w:p>
    <w:p w14:paraId="1DDB4E81">
      <w:pPr>
        <w:pStyle w:val="66"/>
        <w:widowControl w:val="0"/>
        <w:numPr>
          <w:ilvl w:val="1"/>
          <w:numId w:val="6"/>
        </w:numPr>
        <w:tabs>
          <w:tab w:val="left" w:pos="0"/>
          <w:tab w:val="left" w:pos="426"/>
        </w:tabs>
        <w:autoSpaceDE w:val="0"/>
        <w:autoSpaceDN w:val="0"/>
        <w:spacing w:after="0" w:line="240" w:lineRule="auto"/>
        <w:ind w:left="0" w:firstLine="0"/>
        <w:jc w:val="both"/>
        <w:rPr>
          <w:rFonts w:ascii="Book Antiqua" w:hAnsi="Book Antiqua"/>
          <w:bCs/>
          <w:color w:val="000000" w:themeColor="text1"/>
          <w:sz w:val="20"/>
          <w:szCs w:val="20"/>
          <w14:textFill>
            <w14:solidFill>
              <w14:schemeClr w14:val="tx1"/>
            </w14:solidFill>
          </w14:textFill>
        </w:rPr>
      </w:pPr>
      <w:r>
        <w:rPr>
          <w:rFonts w:ascii="Book Antiqua" w:hAnsi="Book Antiqua"/>
          <w:bCs/>
          <w:color w:val="000000" w:themeColor="text1"/>
          <w:sz w:val="20"/>
          <w:szCs w:val="20"/>
          <w14:textFill>
            <w14:solidFill>
              <w14:schemeClr w14:val="tx1"/>
            </w14:solidFill>
          </w14:textFill>
        </w:rPr>
        <w:t xml:space="preserve">Os itens objeto deste Termo de Referência, devem ser entregues no Município de São José de Mipibu/RN, dentro do horário de expediente da </w:t>
      </w:r>
      <w:r>
        <w:rPr>
          <w:rFonts w:ascii="Book Antiqua" w:hAnsi="Book Antiqua"/>
          <w:bCs/>
          <w:color w:val="000000" w:themeColor="text1"/>
          <w:sz w:val="20"/>
          <w:szCs w:val="20"/>
          <w:highlight w:val="yellow"/>
          <w14:textFill>
            <w14:solidFill>
              <w14:schemeClr w14:val="tx1"/>
            </w14:solidFill>
          </w14:textFill>
        </w:rPr>
        <w:t>Secretaria Municipal de Saúde</w:t>
      </w:r>
      <w:r>
        <w:rPr>
          <w:rFonts w:ascii="Book Antiqua" w:hAnsi="Book Antiqua"/>
          <w:bCs/>
          <w:color w:val="000000" w:themeColor="text1"/>
          <w:sz w:val="20"/>
          <w:szCs w:val="20"/>
          <w14:textFill>
            <w14:solidFill>
              <w14:schemeClr w14:val="tx1"/>
            </w14:solidFill>
          </w14:textFill>
        </w:rPr>
        <w:t xml:space="preserve">, das </w:t>
      </w:r>
      <w:r>
        <w:rPr>
          <w:rFonts w:ascii="Book Antiqua" w:hAnsi="Book Antiqua"/>
          <w:b/>
          <w:color w:val="000000" w:themeColor="text1"/>
          <w:sz w:val="20"/>
          <w:szCs w:val="20"/>
          <w:highlight w:val="yellow"/>
          <w:u w:val="single"/>
          <w14:textFill>
            <w14:solidFill>
              <w14:schemeClr w14:val="tx1"/>
            </w14:solidFill>
          </w14:textFill>
        </w:rPr>
        <w:t>7h às 13h</w:t>
      </w:r>
      <w:r>
        <w:rPr>
          <w:rFonts w:ascii="Book Antiqua" w:hAnsi="Book Antiqua"/>
          <w:bCs/>
          <w:color w:val="000000" w:themeColor="text1"/>
          <w:sz w:val="20"/>
          <w:szCs w:val="20"/>
          <w:u w:val="single"/>
          <w14:textFill>
            <w14:solidFill>
              <w14:schemeClr w14:val="tx1"/>
            </w14:solidFill>
          </w14:textFill>
        </w:rPr>
        <w:t>, no endereço indicado da Ordem de Compra.</w:t>
      </w:r>
    </w:p>
    <w:p w14:paraId="015F7CB0">
      <w:pPr>
        <w:pStyle w:val="66"/>
        <w:widowControl w:val="0"/>
        <w:numPr>
          <w:ilvl w:val="1"/>
          <w:numId w:val="6"/>
        </w:numPr>
        <w:tabs>
          <w:tab w:val="left" w:pos="0"/>
          <w:tab w:val="left" w:pos="426"/>
        </w:tabs>
        <w:autoSpaceDE w:val="0"/>
        <w:autoSpaceDN w:val="0"/>
        <w:spacing w:after="0" w:line="240" w:lineRule="auto"/>
        <w:ind w:left="0" w:firstLine="0"/>
        <w:jc w:val="both"/>
        <w:rPr>
          <w:rFonts w:ascii="Book Antiqua" w:hAnsi="Book Antiqua"/>
          <w:bCs/>
          <w:color w:val="000000" w:themeColor="text1"/>
          <w:sz w:val="20"/>
          <w:szCs w:val="20"/>
          <w14:textFill>
            <w14:solidFill>
              <w14:schemeClr w14:val="tx1"/>
            </w14:solidFill>
          </w14:textFill>
        </w:rPr>
      </w:pPr>
      <w:r>
        <w:rPr>
          <w:rFonts w:ascii="Book Antiqua" w:hAnsi="Book Antiqua"/>
          <w:bCs/>
          <w:color w:val="000000" w:themeColor="text1"/>
          <w:sz w:val="20"/>
          <w:szCs w:val="20"/>
          <w14:textFill>
            <w14:solidFill>
              <w14:schemeClr w14:val="tx1"/>
            </w14:solidFill>
          </w14:textFill>
        </w:rPr>
        <w:t>Serão aceitos os itens objeto deste Termo desde que:</w:t>
      </w:r>
    </w:p>
    <w:p w14:paraId="473F2CE6">
      <w:pPr>
        <w:pStyle w:val="66"/>
        <w:widowControl w:val="0"/>
        <w:numPr>
          <w:ilvl w:val="2"/>
          <w:numId w:val="6"/>
        </w:numPr>
        <w:tabs>
          <w:tab w:val="left" w:pos="0"/>
          <w:tab w:val="left" w:pos="284"/>
          <w:tab w:val="left" w:pos="567"/>
        </w:tabs>
        <w:autoSpaceDE w:val="0"/>
        <w:autoSpaceDN w:val="0"/>
        <w:spacing w:after="0" w:line="240" w:lineRule="auto"/>
        <w:ind w:left="0" w:firstLine="142"/>
        <w:jc w:val="both"/>
        <w:rPr>
          <w:rFonts w:ascii="Book Antiqua" w:hAnsi="Book Antiqua"/>
          <w:bCs/>
          <w:color w:val="000000" w:themeColor="text1"/>
          <w:sz w:val="20"/>
          <w:szCs w:val="20"/>
          <w14:textFill>
            <w14:solidFill>
              <w14:schemeClr w14:val="tx1"/>
            </w14:solidFill>
          </w14:textFill>
        </w:rPr>
      </w:pPr>
      <w:r>
        <w:rPr>
          <w:rFonts w:ascii="Book Antiqua" w:hAnsi="Book Antiqua"/>
          <w:bCs/>
          <w:color w:val="000000" w:themeColor="text1"/>
          <w:sz w:val="20"/>
          <w:szCs w:val="20"/>
          <w14:textFill>
            <w14:solidFill>
              <w14:schemeClr w14:val="tx1"/>
            </w14:solidFill>
          </w14:textFill>
        </w:rPr>
        <w:t xml:space="preserve"> A quantidade esteja de acordo com a solicitada na Nota de Empenho;</w:t>
      </w:r>
    </w:p>
    <w:p w14:paraId="5DAA5FE7">
      <w:pPr>
        <w:pStyle w:val="66"/>
        <w:widowControl w:val="0"/>
        <w:numPr>
          <w:ilvl w:val="2"/>
          <w:numId w:val="6"/>
        </w:numPr>
        <w:tabs>
          <w:tab w:val="left" w:pos="0"/>
          <w:tab w:val="left" w:pos="567"/>
        </w:tabs>
        <w:autoSpaceDE w:val="0"/>
        <w:autoSpaceDN w:val="0"/>
        <w:spacing w:after="0" w:line="240" w:lineRule="auto"/>
        <w:ind w:left="0" w:firstLine="142"/>
        <w:jc w:val="both"/>
        <w:rPr>
          <w:rFonts w:ascii="Book Antiqua" w:hAnsi="Book Antiqua"/>
          <w:bCs/>
          <w:color w:val="000000" w:themeColor="text1"/>
          <w:sz w:val="20"/>
          <w:szCs w:val="20"/>
          <w14:textFill>
            <w14:solidFill>
              <w14:schemeClr w14:val="tx1"/>
            </w14:solidFill>
          </w14:textFill>
        </w:rPr>
      </w:pPr>
      <w:r>
        <w:rPr>
          <w:rFonts w:ascii="Book Antiqua" w:hAnsi="Book Antiqua"/>
          <w:bCs/>
          <w:color w:val="000000" w:themeColor="text1"/>
          <w:sz w:val="20"/>
          <w:szCs w:val="20"/>
          <w14:textFill>
            <w14:solidFill>
              <w14:schemeClr w14:val="tx1"/>
            </w14:solidFill>
          </w14:textFill>
        </w:rPr>
        <w:t>A especificação esteja em conformidade com o solicitado neste Termo de Referência.</w:t>
      </w:r>
    </w:p>
    <w:p w14:paraId="3AB1D962">
      <w:pPr>
        <w:widowControl w:val="0"/>
        <w:numPr>
          <w:ilvl w:val="0"/>
          <w:numId w:val="6"/>
        </w:numPr>
        <w:pBdr>
          <w:top w:val="none" w:color="auto" w:sz="0" w:space="0"/>
          <w:left w:val="none" w:color="auto" w:sz="0" w:space="0"/>
          <w:bottom w:val="none" w:color="auto" w:sz="0" w:space="0"/>
          <w:right w:val="none" w:color="auto" w:sz="0" w:space="0"/>
          <w:between w:val="none" w:color="auto" w:sz="0" w:space="0"/>
        </w:pBdr>
        <w:tabs>
          <w:tab w:val="left" w:pos="142"/>
          <w:tab w:val="left" w:pos="284"/>
          <w:tab w:val="left" w:pos="426"/>
          <w:tab w:val="left" w:pos="709"/>
        </w:tabs>
        <w:ind w:left="0" w:firstLine="0"/>
        <w:rPr>
          <w:rFonts w:ascii="Book Antiqua" w:hAnsi="Book Antiqua"/>
          <w:b/>
          <w:sz w:val="20"/>
          <w:szCs w:val="20"/>
          <w:highlight w:val="lightGray"/>
          <w:u w:val="single"/>
        </w:rPr>
      </w:pPr>
      <w:r>
        <w:rPr>
          <w:rFonts w:ascii="Book Antiqua" w:hAnsi="Book Antiqua"/>
          <w:b/>
          <w:sz w:val="20"/>
          <w:szCs w:val="20"/>
          <w:highlight w:val="lightGray"/>
          <w:u w:val="single"/>
        </w:rPr>
        <w:t>JUSTIFICATIVA</w:t>
      </w:r>
    </w:p>
    <w:p w14:paraId="53ED5200">
      <w:pPr>
        <w:pStyle w:val="66"/>
        <w:widowControl w:val="0"/>
        <w:numPr>
          <w:ilvl w:val="0"/>
          <w:numId w:val="7"/>
        </w:numPr>
        <w:tabs>
          <w:tab w:val="left" w:pos="0"/>
        </w:tabs>
        <w:autoSpaceDE w:val="0"/>
        <w:autoSpaceDN w:val="0"/>
        <w:spacing w:after="0" w:line="240" w:lineRule="auto"/>
        <w:ind w:left="0"/>
        <w:jc w:val="both"/>
        <w:rPr>
          <w:rFonts w:ascii="Book Antiqua" w:hAnsi="Book Antiqua"/>
          <w:bCs/>
          <w:vanish/>
          <w:color w:val="000000" w:themeColor="text1"/>
          <w:sz w:val="20"/>
          <w:szCs w:val="20"/>
          <w14:textFill>
            <w14:solidFill>
              <w14:schemeClr w14:val="tx1"/>
            </w14:solidFill>
          </w14:textFill>
        </w:rPr>
      </w:pPr>
    </w:p>
    <w:p w14:paraId="526FBC31">
      <w:pPr>
        <w:pStyle w:val="66"/>
        <w:widowControl w:val="0"/>
        <w:numPr>
          <w:ilvl w:val="0"/>
          <w:numId w:val="7"/>
        </w:numPr>
        <w:tabs>
          <w:tab w:val="left" w:pos="0"/>
        </w:tabs>
        <w:autoSpaceDE w:val="0"/>
        <w:autoSpaceDN w:val="0"/>
        <w:spacing w:after="0" w:line="240" w:lineRule="auto"/>
        <w:ind w:left="0"/>
        <w:jc w:val="both"/>
        <w:rPr>
          <w:rFonts w:ascii="Book Antiqua" w:hAnsi="Book Antiqua"/>
          <w:bCs/>
          <w:vanish/>
          <w:color w:val="000000" w:themeColor="text1"/>
          <w:sz w:val="20"/>
          <w:szCs w:val="20"/>
          <w14:textFill>
            <w14:solidFill>
              <w14:schemeClr w14:val="tx1"/>
            </w14:solidFill>
          </w14:textFill>
        </w:rPr>
      </w:pPr>
    </w:p>
    <w:p w14:paraId="239376C0">
      <w:pPr>
        <w:pStyle w:val="66"/>
        <w:widowControl w:val="0"/>
        <w:numPr>
          <w:ilvl w:val="1"/>
          <w:numId w:val="7"/>
        </w:numPr>
        <w:tabs>
          <w:tab w:val="left" w:pos="0"/>
          <w:tab w:val="left" w:pos="284"/>
        </w:tabs>
        <w:autoSpaceDE w:val="0"/>
        <w:autoSpaceDN w:val="0"/>
        <w:spacing w:after="0" w:line="240" w:lineRule="auto"/>
        <w:ind w:left="0" w:firstLine="0"/>
        <w:jc w:val="both"/>
        <w:rPr>
          <w:rFonts w:ascii="Book Antiqua" w:hAnsi="Book Antiqua"/>
          <w:b/>
          <w:color w:val="000000" w:themeColor="text1"/>
          <w:sz w:val="20"/>
          <w:szCs w:val="20"/>
          <w14:textFill>
            <w14:solidFill>
              <w14:schemeClr w14:val="tx1"/>
            </w14:solidFill>
          </w14:textFill>
        </w:rPr>
      </w:pPr>
      <w:r>
        <w:rPr>
          <w:rFonts w:ascii="Book Antiqua" w:hAnsi="Book Antiqua"/>
          <w:bCs/>
          <w:color w:val="000000" w:themeColor="text1"/>
          <w:sz w:val="20"/>
          <w:szCs w:val="20"/>
          <w14:textFill>
            <w14:solidFill>
              <w14:schemeClr w14:val="tx1"/>
            </w14:solidFill>
          </w14:textFill>
        </w:rPr>
        <w:t>A Prefeitura Municipal de São José de Mipibu/RN, que tem sede no Estado do Rio Grande do Norte, possui a necessidade de atender as necessidades da</w:t>
      </w:r>
      <w:r>
        <w:rPr>
          <w:rFonts w:ascii="Book Antiqua" w:hAnsi="Book Antiqua"/>
          <w:bCs/>
          <w:sz w:val="20"/>
          <w:szCs w:val="20"/>
        </w:rPr>
        <w:t>s Unidades de Saúde e aos seus usuários</w:t>
      </w:r>
      <w:r>
        <w:rPr>
          <w:rFonts w:ascii="Book Antiqua" w:hAnsi="Book Antiqua"/>
          <w:bCs/>
          <w:color w:val="000000" w:themeColor="text1"/>
          <w:sz w:val="20"/>
          <w:szCs w:val="20"/>
          <w14:textFill>
            <w14:solidFill>
              <w14:schemeClr w14:val="tx1"/>
            </w14:solidFill>
          </w14:textFill>
        </w:rPr>
        <w:t xml:space="preserve"> que necessitam do tratamento, </w:t>
      </w:r>
      <w:r>
        <w:rPr>
          <w:rFonts w:ascii="Book Antiqua" w:hAnsi="Book Antiqua"/>
          <w:color w:val="000000"/>
          <w:sz w:val="20"/>
          <w:szCs w:val="20"/>
        </w:rPr>
        <w:t>sendo assim, seu diagnóstico e controle justificam-se pela redução de complicações como acidente vascular encefálico, infarto agudo do miocárdio, insuficiência cardíaca e insuficiência renal crônica. A principal estratégia para evitar as complicações da hipertensão consiste na adesão ao tratamento medicamentoso</w:t>
      </w:r>
      <w:r>
        <w:rPr>
          <w:rFonts w:ascii="Book Antiqua" w:hAnsi="Book Antiqua"/>
          <w:sz w:val="20"/>
          <w:szCs w:val="20"/>
        </w:rPr>
        <w:t>.</w:t>
      </w:r>
    </w:p>
    <w:p w14:paraId="7E455C36">
      <w:pPr>
        <w:pStyle w:val="66"/>
        <w:widowControl w:val="0"/>
        <w:numPr>
          <w:ilvl w:val="1"/>
          <w:numId w:val="7"/>
        </w:numPr>
        <w:tabs>
          <w:tab w:val="left" w:pos="142"/>
          <w:tab w:val="left" w:pos="284"/>
        </w:tabs>
        <w:autoSpaceDE w:val="0"/>
        <w:autoSpaceDN w:val="0"/>
        <w:spacing w:after="0" w:line="240" w:lineRule="auto"/>
        <w:ind w:left="0" w:firstLine="0"/>
        <w:jc w:val="both"/>
        <w:rPr>
          <w:rFonts w:ascii="Book Antiqua" w:hAnsi="Book Antiqua"/>
          <w:b/>
          <w:color w:val="000000" w:themeColor="text1"/>
          <w:sz w:val="20"/>
          <w:szCs w:val="20"/>
          <w14:textFill>
            <w14:solidFill>
              <w14:schemeClr w14:val="tx1"/>
            </w14:solidFill>
          </w14:textFill>
        </w:rPr>
      </w:pPr>
      <w:r>
        <w:rPr>
          <w:rFonts w:ascii="Book Antiqua" w:hAnsi="Book Antiqua"/>
          <w:bCs/>
          <w:color w:val="000000" w:themeColor="text1"/>
          <w:sz w:val="20"/>
          <w:szCs w:val="20"/>
          <w14:textFill>
            <w14:solidFill>
              <w14:schemeClr w14:val="tx1"/>
            </w14:solidFill>
          </w14:textFill>
        </w:rPr>
        <w:t xml:space="preserve">. Importante salientar que a aquisição dos referidos </w:t>
      </w:r>
      <w:r>
        <w:rPr>
          <w:rFonts w:ascii="Book Antiqua" w:hAnsi="Book Antiqua"/>
          <w:b/>
          <w:color w:val="000000" w:themeColor="text1"/>
          <w:sz w:val="20"/>
          <w:szCs w:val="20"/>
          <w14:textFill>
            <w14:solidFill>
              <w14:schemeClr w14:val="tx1"/>
            </w14:solidFill>
          </w14:textFill>
        </w:rPr>
        <w:t>Produtos</w:t>
      </w:r>
      <w:r>
        <w:rPr>
          <w:rFonts w:ascii="Book Antiqua" w:hAnsi="Book Antiqua"/>
          <w:bCs/>
          <w:color w:val="000000" w:themeColor="text1"/>
          <w:sz w:val="20"/>
          <w:szCs w:val="20"/>
          <w14:textFill>
            <w14:solidFill>
              <w14:schemeClr w14:val="tx1"/>
            </w14:solidFill>
          </w14:textFill>
        </w:rPr>
        <w:t xml:space="preserve"> só se dará mediante a prévia autorização do setor de compras do município, com a emissão de </w:t>
      </w:r>
      <w:r>
        <w:rPr>
          <w:rFonts w:ascii="Book Antiqua" w:hAnsi="Book Antiqua"/>
          <w:b/>
          <w:color w:val="000000" w:themeColor="text1"/>
          <w:sz w:val="20"/>
          <w:szCs w:val="20"/>
          <w14:textFill>
            <w14:solidFill>
              <w14:schemeClr w14:val="tx1"/>
            </w14:solidFill>
          </w14:textFill>
        </w:rPr>
        <w:t>Ordem de Compra</w:t>
      </w:r>
      <w:bookmarkStart w:id="12" w:name="_Hlk108606811"/>
      <w:r>
        <w:rPr>
          <w:rFonts w:ascii="Book Antiqua" w:hAnsi="Book Antiqua"/>
          <w:bCs/>
          <w:color w:val="000000" w:themeColor="text1"/>
          <w:sz w:val="20"/>
          <w:szCs w:val="20"/>
          <w14:textFill>
            <w14:solidFill>
              <w14:schemeClr w14:val="tx1"/>
            </w14:solidFill>
          </w14:textFill>
        </w:rPr>
        <w:t>.</w:t>
      </w:r>
    </w:p>
    <w:p w14:paraId="284C8302">
      <w:pPr>
        <w:pStyle w:val="66"/>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284"/>
        </w:tabs>
        <w:spacing w:after="0" w:line="240" w:lineRule="auto"/>
        <w:ind w:left="0" w:firstLine="0"/>
        <w:jc w:val="both"/>
        <w:rPr>
          <w:rFonts w:ascii="Book Antiqua" w:hAnsi="Book Antiqua"/>
          <w:b/>
          <w:sz w:val="20"/>
          <w:szCs w:val="20"/>
          <w:highlight w:val="lightGray"/>
          <w:u w:val="single"/>
        </w:rPr>
      </w:pPr>
      <w:r>
        <w:rPr>
          <w:rFonts w:ascii="Book Antiqua" w:hAnsi="Book Antiqua"/>
          <w:b/>
          <w:sz w:val="20"/>
          <w:szCs w:val="20"/>
          <w:highlight w:val="lightGray"/>
          <w:u w:val="single"/>
        </w:rPr>
        <w:t>PERÍODO PARA CONTRATAÇÃO</w:t>
      </w:r>
      <w:bookmarkEnd w:id="12"/>
    </w:p>
    <w:p w14:paraId="35EF836E">
      <w:pPr>
        <w:pStyle w:val="66"/>
        <w:widowControl w:val="0"/>
        <w:numPr>
          <w:ilvl w:val="1"/>
          <w:numId w:val="6"/>
        </w:numPr>
        <w:tabs>
          <w:tab w:val="left" w:pos="142"/>
          <w:tab w:val="left" w:pos="284"/>
          <w:tab w:val="left" w:pos="426"/>
        </w:tabs>
        <w:autoSpaceDE w:val="0"/>
        <w:autoSpaceDN w:val="0"/>
        <w:spacing w:after="0" w:line="240" w:lineRule="auto"/>
        <w:ind w:left="0" w:firstLine="0"/>
        <w:contextualSpacing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 xml:space="preserve">O prazo de vigência da contratação será de </w:t>
      </w:r>
      <w:r>
        <w:rPr>
          <w:rFonts w:ascii="Book Antiqua" w:hAnsi="Book Antiqua"/>
          <w:color w:val="000000" w:themeColor="text1"/>
          <w:sz w:val="20"/>
          <w:szCs w:val="20"/>
          <w:highlight w:val="yellow"/>
          <w14:textFill>
            <w14:solidFill>
              <w14:schemeClr w14:val="tx1"/>
            </w14:solidFill>
          </w14:textFill>
        </w:rPr>
        <w:t>01 ANO</w:t>
      </w:r>
      <w:r>
        <w:rPr>
          <w:rFonts w:ascii="Book Antiqua" w:hAnsi="Book Antiqua"/>
          <w:color w:val="000000" w:themeColor="text1"/>
          <w:sz w:val="20"/>
          <w:szCs w:val="20"/>
          <w14:textFill>
            <w14:solidFill>
              <w14:schemeClr w14:val="tx1"/>
            </w14:solidFill>
          </w14:textFill>
        </w:rPr>
        <w:t xml:space="preserve">, podendo ser prorrogada por igual período nos termos do art. 105 da Lei 14.133/2021, a contar </w:t>
      </w:r>
      <w:r>
        <w:rPr>
          <w:rFonts w:ascii="Book Antiqua" w:hAnsi="Book Antiqua"/>
          <w:sz w:val="20"/>
          <w:szCs w:val="20"/>
        </w:rPr>
        <w:t>da data da assinatura da ARP</w:t>
      </w:r>
      <w:r>
        <w:rPr>
          <w:rFonts w:ascii="Book Antiqua" w:hAnsi="Book Antiqua"/>
          <w:color w:val="000000" w:themeColor="text1"/>
          <w:sz w:val="20"/>
          <w:szCs w:val="20"/>
          <w14:textFill>
            <w14:solidFill>
              <w14:schemeClr w14:val="tx1"/>
            </w14:solidFill>
          </w14:textFill>
        </w:rPr>
        <w:t>.</w:t>
      </w:r>
    </w:p>
    <w:p w14:paraId="1FC00B20">
      <w:pPr>
        <w:pStyle w:val="66"/>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284"/>
        </w:tabs>
        <w:spacing w:after="0" w:line="240" w:lineRule="auto"/>
        <w:ind w:left="0" w:firstLine="0"/>
        <w:jc w:val="both"/>
        <w:rPr>
          <w:rFonts w:ascii="Book Antiqua" w:hAnsi="Book Antiqua"/>
          <w:b/>
          <w:sz w:val="20"/>
          <w:szCs w:val="20"/>
          <w:u w:val="single"/>
        </w:rPr>
      </w:pPr>
      <w:r>
        <w:rPr>
          <w:rFonts w:ascii="Book Antiqua" w:hAnsi="Book Antiqua"/>
          <w:b/>
          <w:sz w:val="20"/>
          <w:szCs w:val="20"/>
          <w:u w:val="single"/>
          <w:shd w:val="clear" w:color="auto" w:fill="D8D8D8" w:themeFill="background1" w:themeFillShade="D9"/>
        </w:rPr>
        <w:t>VALOR GLOBAL DE REFÊRENCIA E AVALIAÇÃO DO CUSTO</w:t>
      </w:r>
    </w:p>
    <w:p w14:paraId="25778209">
      <w:pPr>
        <w:pStyle w:val="66"/>
        <w:widowControl w:val="0"/>
        <w:numPr>
          <w:ilvl w:val="1"/>
          <w:numId w:val="7"/>
        </w:numPr>
        <w:tabs>
          <w:tab w:val="left" w:pos="142"/>
          <w:tab w:val="left" w:pos="284"/>
          <w:tab w:val="left" w:pos="426"/>
        </w:tabs>
        <w:autoSpaceDE w:val="0"/>
        <w:autoSpaceDN w:val="0"/>
        <w:spacing w:after="0" w:line="240" w:lineRule="auto"/>
        <w:ind w:left="0" w:firstLine="0"/>
        <w:contextualSpacing w:val="0"/>
        <w:jc w:val="both"/>
        <w:rPr>
          <w:rFonts w:ascii="Book Antiqua" w:hAnsi="Book Antiqua"/>
          <w:bCs/>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 xml:space="preserve"> O valor estimativo da contratação será realizado de acordo com o art. 23 da Lei 14.133/2021, regulamento pelo Decreto Municipal 08/2024, e será anexado o mapa comparativo aos autos, juntamente com as comprovações de onde os valores foram extraídos.</w:t>
      </w:r>
    </w:p>
    <w:p w14:paraId="74C46653">
      <w:pPr>
        <w:pStyle w:val="66"/>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284"/>
        </w:tabs>
        <w:spacing w:after="0" w:line="240" w:lineRule="auto"/>
        <w:ind w:left="0" w:firstLine="0"/>
        <w:jc w:val="both"/>
        <w:rPr>
          <w:rFonts w:ascii="Book Antiqua" w:hAnsi="Book Antiqua"/>
          <w:b/>
          <w:bCs/>
          <w:sz w:val="20"/>
          <w:szCs w:val="20"/>
          <w:u w:val="single"/>
        </w:rPr>
      </w:pPr>
      <w:r>
        <w:rPr>
          <w:rFonts w:ascii="Book Antiqua" w:hAnsi="Book Antiqua"/>
          <w:b/>
          <w:bCs/>
          <w:sz w:val="20"/>
          <w:szCs w:val="20"/>
          <w:u w:val="single"/>
          <w:shd w:val="clear" w:color="auto" w:fill="D8D8D8" w:themeFill="background1" w:themeFillShade="D9"/>
        </w:rPr>
        <w:t>DOS CRITÉRIOS DE SELEÇÃO DE FORNECEDOR</w:t>
      </w:r>
    </w:p>
    <w:p w14:paraId="2D96788D">
      <w:pPr>
        <w:pStyle w:val="66"/>
        <w:numPr>
          <w:ilvl w:val="1"/>
          <w:numId w:val="7"/>
        </w:numPr>
        <w:tabs>
          <w:tab w:val="left" w:pos="284"/>
          <w:tab w:val="left" w:pos="426"/>
        </w:tabs>
        <w:spacing w:after="0" w:line="240" w:lineRule="auto"/>
        <w:ind w:left="0" w:firstLine="0"/>
        <w:jc w:val="both"/>
        <w:rPr>
          <w:rFonts w:ascii="Book Antiqua" w:hAnsi="Book Antiqua"/>
          <w:sz w:val="20"/>
          <w:szCs w:val="20"/>
        </w:rPr>
      </w:pPr>
      <w:r>
        <w:rPr>
          <w:rFonts w:ascii="Book Antiqua" w:hAnsi="Book Antiqua"/>
          <w:sz w:val="20"/>
          <w:szCs w:val="20"/>
        </w:rPr>
        <w:t xml:space="preserve">A contração deverá ser realizada estabelecendo como critério de seleção de fornecedor o </w:t>
      </w:r>
      <w:r>
        <w:rPr>
          <w:rFonts w:ascii="Book Antiqua" w:hAnsi="Book Antiqua"/>
          <w:b/>
          <w:bCs/>
          <w:sz w:val="20"/>
          <w:szCs w:val="20"/>
        </w:rPr>
        <w:t>MENOR PREÇO POR ITEM</w:t>
      </w:r>
      <w:r>
        <w:rPr>
          <w:rFonts w:ascii="Book Antiqua" w:hAnsi="Book Antiqua"/>
          <w:sz w:val="20"/>
          <w:szCs w:val="20"/>
        </w:rPr>
        <w:t>, visando sempre ampliar a competitividade e consequentemente a busca pela melhor proposta para a administração.</w:t>
      </w:r>
    </w:p>
    <w:p w14:paraId="009B74CB">
      <w:pPr>
        <w:tabs>
          <w:tab w:val="left" w:pos="284"/>
          <w:tab w:val="left" w:pos="567"/>
        </w:tabs>
        <w:jc w:val="both"/>
        <w:rPr>
          <w:rFonts w:ascii="Book Antiqua" w:hAnsi="Book Antiqua"/>
          <w:b/>
          <w:bCs/>
          <w:color w:val="000000" w:themeColor="text1"/>
          <w:sz w:val="20"/>
          <w:szCs w:val="20"/>
          <w14:textFill>
            <w14:solidFill>
              <w14:schemeClr w14:val="tx1"/>
            </w14:solidFill>
          </w14:textFill>
        </w:rPr>
      </w:pPr>
      <w:r>
        <w:rPr>
          <w:rFonts w:ascii="Book Antiqua" w:hAnsi="Book Antiqua"/>
          <w:b/>
          <w:bCs/>
          <w:color w:val="000000" w:themeColor="text1"/>
          <w:sz w:val="20"/>
          <w:szCs w:val="20"/>
          <w14:textFill>
            <w14:solidFill>
              <w14:schemeClr w14:val="tx1"/>
            </w14:solidFill>
          </w14:textFill>
        </w:rPr>
        <w:t>7</w:t>
      </w:r>
      <w:r>
        <w:rPr>
          <w:rFonts w:ascii="Book Antiqua" w:hAnsi="Book Antiqua"/>
          <w:b/>
          <w:bCs/>
          <w:color w:val="000000" w:themeColor="text1"/>
          <w:sz w:val="20"/>
          <w:szCs w:val="20"/>
          <w14:textFill>
            <w14:solidFill>
              <w14:schemeClr w14:val="tx1"/>
            </w14:solidFill>
          </w14:textFill>
        </w:rPr>
        <w:tab/>
      </w:r>
      <w:r>
        <w:rPr>
          <w:rFonts w:ascii="Book Antiqua" w:hAnsi="Book Antiqua"/>
          <w:b/>
          <w:bCs/>
          <w:color w:val="000000" w:themeColor="text1"/>
          <w:sz w:val="20"/>
          <w:szCs w:val="20"/>
          <w:u w:val="single"/>
          <w:shd w:val="clear" w:color="auto" w:fill="D8D8D8" w:themeFill="background1" w:themeFillShade="D9"/>
          <w14:textFill>
            <w14:solidFill>
              <w14:schemeClr w14:val="tx1"/>
            </w14:solidFill>
          </w14:textFill>
        </w:rPr>
        <w:t>DAS CONDIÇÕES DE HABILITAÇÃO</w:t>
      </w:r>
    </w:p>
    <w:p w14:paraId="66DC52BB">
      <w:pPr>
        <w:jc w:val="both"/>
        <w:rPr>
          <w:rFonts w:ascii="Book Antiqua" w:hAnsi="Book Antiqua"/>
          <w:b/>
          <w:bCs/>
          <w:sz w:val="20"/>
          <w:szCs w:val="20"/>
        </w:rPr>
      </w:pPr>
      <w:r>
        <w:rPr>
          <w:rFonts w:ascii="Book Antiqua" w:hAnsi="Book Antiqua"/>
          <w:b/>
          <w:bCs/>
          <w:sz w:val="20"/>
          <w:szCs w:val="20"/>
        </w:rPr>
        <w:t xml:space="preserve">7.1 </w:t>
      </w:r>
      <w:r>
        <w:rPr>
          <w:rFonts w:ascii="Book Antiqua" w:hAnsi="Book Antiqua"/>
          <w:b/>
          <w:bCs/>
          <w:color w:val="0000CC"/>
          <w:sz w:val="20"/>
          <w:szCs w:val="20"/>
          <w:u w:val="single"/>
        </w:rPr>
        <w:t>HABILITAÇÃO JURÍDICA</w:t>
      </w:r>
    </w:p>
    <w:p w14:paraId="2D5EB89C">
      <w:pPr>
        <w:jc w:val="both"/>
        <w:rPr>
          <w:rFonts w:ascii="Book Antiqua" w:hAnsi="Book Antiqua"/>
          <w:sz w:val="20"/>
          <w:szCs w:val="20"/>
        </w:rPr>
      </w:pPr>
      <w:r>
        <w:rPr>
          <w:rFonts w:ascii="Book Antiqua" w:hAnsi="Book Antiqua"/>
          <w:b/>
          <w:bCs/>
          <w:sz w:val="20"/>
          <w:szCs w:val="20"/>
        </w:rPr>
        <w:t>7.1.2</w:t>
      </w:r>
      <w:r>
        <w:rPr>
          <w:rFonts w:ascii="Book Antiqua" w:hAnsi="Book Antiqua"/>
          <w:sz w:val="20"/>
          <w:szCs w:val="20"/>
        </w:rPr>
        <w:t xml:space="preserve"> Requerimento do Empresário, ou Certificado de Microempreendedor Individual – MEI;</w:t>
      </w:r>
      <w:r>
        <w:rPr>
          <w:rFonts w:ascii="Book Antiqua" w:hAnsi="Book Antiqua"/>
          <w:sz w:val="20"/>
          <w:szCs w:val="20"/>
        </w:rPr>
        <w:tab/>
      </w:r>
    </w:p>
    <w:p w14:paraId="25DD1476">
      <w:pPr>
        <w:jc w:val="both"/>
        <w:rPr>
          <w:rFonts w:ascii="Book Antiqua" w:hAnsi="Book Antiqua"/>
          <w:sz w:val="20"/>
          <w:szCs w:val="20"/>
        </w:rPr>
      </w:pPr>
      <w:r>
        <w:rPr>
          <w:rFonts w:ascii="Book Antiqua" w:hAnsi="Book Antiqua"/>
          <w:b/>
          <w:bCs/>
          <w:sz w:val="20"/>
          <w:szCs w:val="20"/>
        </w:rPr>
        <w:t>7.1.3</w:t>
      </w:r>
      <w:r>
        <w:rPr>
          <w:rFonts w:ascii="Book Antiqua" w:hAnsi="Book Antiqua"/>
          <w:sz w:val="20"/>
          <w:szCs w:val="20"/>
        </w:rPr>
        <w:t xml:space="preserve"> Ato constitutivo, estatuto ou contrato social em vigor, devidamente registrado na Junta Comercial;</w:t>
      </w:r>
    </w:p>
    <w:p w14:paraId="2D66B9E7">
      <w:pPr>
        <w:jc w:val="both"/>
        <w:rPr>
          <w:rFonts w:ascii="Book Antiqua" w:hAnsi="Book Antiqua"/>
          <w:sz w:val="20"/>
          <w:szCs w:val="20"/>
        </w:rPr>
      </w:pPr>
      <w:r>
        <w:rPr>
          <w:rFonts w:ascii="Book Antiqua" w:hAnsi="Book Antiqua"/>
          <w:b/>
          <w:bCs/>
          <w:sz w:val="20"/>
          <w:szCs w:val="20"/>
        </w:rPr>
        <w:t>7.1.4</w:t>
      </w:r>
      <w:r>
        <w:rPr>
          <w:rFonts w:ascii="Book Antiqua" w:hAnsi="Book Antiqua"/>
          <w:sz w:val="20"/>
          <w:szCs w:val="20"/>
        </w:rPr>
        <w:t xml:space="preserve"> Documentos de eleição dos atuais administradores, tratando-se de sociedades por ações, acompanhados da documentação mencionada na alínea "b", deste subitem;</w:t>
      </w:r>
    </w:p>
    <w:p w14:paraId="58F68DE3">
      <w:pPr>
        <w:jc w:val="both"/>
        <w:rPr>
          <w:rFonts w:ascii="Book Antiqua" w:hAnsi="Book Antiqua"/>
          <w:sz w:val="20"/>
          <w:szCs w:val="20"/>
        </w:rPr>
      </w:pPr>
      <w:r>
        <w:rPr>
          <w:rFonts w:ascii="Book Antiqua" w:hAnsi="Book Antiqua"/>
          <w:b/>
          <w:bCs/>
          <w:sz w:val="20"/>
          <w:szCs w:val="20"/>
        </w:rPr>
        <w:t>7.1.5</w:t>
      </w:r>
      <w:r>
        <w:rPr>
          <w:rFonts w:ascii="Book Antiqua" w:hAnsi="Book Antiqua"/>
          <w:sz w:val="20"/>
          <w:szCs w:val="20"/>
        </w:rPr>
        <w:t xml:space="preserve"> Decreto de autorização e ato de registro ou autorização para funcionamento expedido pelo órgão competente, tratando-se de empresa ou sociedade estrangeira em funcionamento no país, quando a atividade assim o exigir. </w:t>
      </w:r>
    </w:p>
    <w:p w14:paraId="05AE156F">
      <w:pPr>
        <w:jc w:val="both"/>
        <w:rPr>
          <w:rFonts w:ascii="Book Antiqua" w:hAnsi="Book Antiqua"/>
          <w:b/>
          <w:bCs/>
          <w:sz w:val="20"/>
          <w:szCs w:val="20"/>
        </w:rPr>
      </w:pPr>
      <w:r>
        <w:rPr>
          <w:rFonts w:ascii="Book Antiqua" w:hAnsi="Book Antiqua"/>
          <w:b/>
          <w:bCs/>
          <w:sz w:val="20"/>
          <w:szCs w:val="20"/>
        </w:rPr>
        <w:t xml:space="preserve">7.2 </w:t>
      </w:r>
      <w:r>
        <w:rPr>
          <w:rFonts w:ascii="Book Antiqua" w:hAnsi="Book Antiqua"/>
          <w:b/>
          <w:bCs/>
          <w:color w:val="0000CC"/>
          <w:sz w:val="20"/>
          <w:szCs w:val="20"/>
          <w:u w:val="single"/>
        </w:rPr>
        <w:t>REGULARIDADE FISCAL E TRABALHISTA</w:t>
      </w:r>
    </w:p>
    <w:p w14:paraId="0279003F">
      <w:pPr>
        <w:jc w:val="both"/>
        <w:rPr>
          <w:rFonts w:ascii="Book Antiqua" w:hAnsi="Book Antiqua"/>
          <w:sz w:val="20"/>
          <w:szCs w:val="20"/>
        </w:rPr>
      </w:pPr>
      <w:r>
        <w:rPr>
          <w:rFonts w:ascii="Book Antiqua" w:hAnsi="Book Antiqua"/>
          <w:b/>
          <w:bCs/>
          <w:sz w:val="20"/>
          <w:szCs w:val="20"/>
        </w:rPr>
        <w:t>7.2.1</w:t>
      </w:r>
      <w:r>
        <w:rPr>
          <w:rFonts w:ascii="Book Antiqua" w:hAnsi="Book Antiqua"/>
          <w:sz w:val="20"/>
          <w:szCs w:val="20"/>
        </w:rPr>
        <w:t xml:space="preserve"> Prova de inscrição no Cadastro Nacional de Pessoas Jurídicas do Ministério da Fazenda (CNPJ);</w:t>
      </w:r>
    </w:p>
    <w:p w14:paraId="770B17D9">
      <w:pPr>
        <w:jc w:val="both"/>
        <w:rPr>
          <w:rFonts w:ascii="Book Antiqua" w:hAnsi="Book Antiqua"/>
          <w:sz w:val="20"/>
          <w:szCs w:val="20"/>
        </w:rPr>
      </w:pPr>
      <w:r>
        <w:rPr>
          <w:rFonts w:ascii="Book Antiqua" w:hAnsi="Book Antiqua"/>
          <w:b/>
          <w:bCs/>
          <w:sz w:val="20"/>
          <w:szCs w:val="20"/>
        </w:rPr>
        <w:t>7.2.2</w:t>
      </w:r>
      <w:r>
        <w:rPr>
          <w:rFonts w:ascii="Book Antiqua" w:hAnsi="Book Antiqua"/>
          <w:sz w:val="20"/>
          <w:szCs w:val="20"/>
        </w:rPr>
        <w:t xml:space="preserve"> Prova de inscrição no Cadastro de Contribuinte Estadual ou Municipal, relativo à sede da licitante, pertinente ao seu ramo de atividade e compatível com o objeto do certame;</w:t>
      </w:r>
    </w:p>
    <w:p w14:paraId="7F9ECB0E">
      <w:pPr>
        <w:jc w:val="both"/>
        <w:rPr>
          <w:rFonts w:ascii="Book Antiqua" w:hAnsi="Book Antiqua"/>
          <w:sz w:val="20"/>
          <w:szCs w:val="20"/>
        </w:rPr>
      </w:pPr>
      <w:r>
        <w:rPr>
          <w:rFonts w:ascii="Book Antiqua" w:hAnsi="Book Antiqua"/>
          <w:b/>
          <w:bCs/>
          <w:sz w:val="20"/>
          <w:szCs w:val="20"/>
        </w:rPr>
        <w:t>7.2.3</w:t>
      </w:r>
      <w:r>
        <w:rPr>
          <w:rFonts w:ascii="Book Antiqua" w:hAnsi="Book Antiqua"/>
          <w:sz w:val="20"/>
          <w:szCs w:val="20"/>
        </w:rPr>
        <w:t xml:space="preserve"> Certidão de regularidade de débito com a Fazenda Estadual e com a Procuradoria Geral da sede da licitante, mediante certidão negativa de débitos;</w:t>
      </w:r>
    </w:p>
    <w:p w14:paraId="09E0C629">
      <w:pPr>
        <w:jc w:val="both"/>
        <w:rPr>
          <w:rFonts w:ascii="Book Antiqua" w:hAnsi="Book Antiqua"/>
          <w:sz w:val="20"/>
          <w:szCs w:val="20"/>
        </w:rPr>
      </w:pPr>
      <w:r>
        <w:rPr>
          <w:rFonts w:ascii="Book Antiqua" w:hAnsi="Book Antiqua"/>
          <w:b/>
          <w:bCs/>
          <w:sz w:val="20"/>
          <w:szCs w:val="20"/>
        </w:rPr>
        <w:t>7.2.4</w:t>
      </w:r>
      <w:r>
        <w:rPr>
          <w:rFonts w:ascii="Book Antiqua" w:hAnsi="Book Antiqua"/>
          <w:sz w:val="20"/>
          <w:szCs w:val="20"/>
        </w:rPr>
        <w:t xml:space="preserve"> Certidão de regularidade de débito com o Fundo de Garantia por Tempo de Serviço (FGTS);</w:t>
      </w:r>
    </w:p>
    <w:p w14:paraId="0F1EBFEE">
      <w:pPr>
        <w:jc w:val="both"/>
        <w:rPr>
          <w:rFonts w:ascii="Book Antiqua" w:hAnsi="Book Antiqua"/>
          <w:sz w:val="20"/>
          <w:szCs w:val="20"/>
        </w:rPr>
      </w:pPr>
      <w:r>
        <w:rPr>
          <w:rFonts w:ascii="Book Antiqua" w:hAnsi="Book Antiqua"/>
          <w:b/>
          <w:bCs/>
          <w:sz w:val="20"/>
          <w:szCs w:val="20"/>
        </w:rPr>
        <w:t>7.2.5</w:t>
      </w:r>
      <w:r>
        <w:rPr>
          <w:rFonts w:ascii="Book Antiqua" w:hAnsi="Book Antiqua"/>
          <w:sz w:val="20"/>
          <w:szCs w:val="20"/>
        </w:rPr>
        <w:t xml:space="preserve"> Certidão de regularidade de débito com a Secretaria da Receita Federal e com a Procuradoria da Fazenda Nacional, incluindo-se créditos previdenciários, mediante da Certidão Negativa de Débitos relativos a Tributos Federais e à Dívida Ativa da União;</w:t>
      </w:r>
    </w:p>
    <w:p w14:paraId="29B5C74F">
      <w:pPr>
        <w:jc w:val="both"/>
        <w:rPr>
          <w:rFonts w:ascii="Book Antiqua" w:hAnsi="Book Antiqua"/>
          <w:sz w:val="20"/>
          <w:szCs w:val="20"/>
        </w:rPr>
      </w:pPr>
      <w:r>
        <w:rPr>
          <w:rFonts w:ascii="Book Antiqua" w:hAnsi="Book Antiqua"/>
          <w:b/>
          <w:bCs/>
          <w:sz w:val="20"/>
          <w:szCs w:val="20"/>
        </w:rPr>
        <w:t>7.2.6</w:t>
      </w:r>
      <w:r>
        <w:rPr>
          <w:rFonts w:ascii="Book Antiqua" w:hAnsi="Book Antiqua"/>
          <w:sz w:val="20"/>
          <w:szCs w:val="20"/>
        </w:rPr>
        <w:t xml:space="preserve"> Certidão Negativa de Débitos Municipais;</w:t>
      </w:r>
    </w:p>
    <w:p w14:paraId="3DABDDDE">
      <w:pPr>
        <w:jc w:val="both"/>
        <w:rPr>
          <w:rFonts w:ascii="Book Antiqua" w:hAnsi="Book Antiqua"/>
          <w:sz w:val="20"/>
          <w:szCs w:val="20"/>
        </w:rPr>
      </w:pPr>
      <w:r>
        <w:rPr>
          <w:rFonts w:ascii="Book Antiqua" w:hAnsi="Book Antiqua"/>
          <w:b/>
          <w:bCs/>
          <w:sz w:val="20"/>
          <w:szCs w:val="20"/>
        </w:rPr>
        <w:t>7.2.7</w:t>
      </w:r>
      <w:r>
        <w:rPr>
          <w:rFonts w:ascii="Book Antiqua" w:hAnsi="Book Antiqua"/>
          <w:sz w:val="20"/>
          <w:szCs w:val="20"/>
        </w:rPr>
        <w:t xml:space="preserve"> Certidão Negativa de Débitos Trabalhistas.</w:t>
      </w:r>
    </w:p>
    <w:p w14:paraId="51D634CF">
      <w:pPr>
        <w:jc w:val="both"/>
        <w:rPr>
          <w:rFonts w:ascii="Book Antiqua" w:hAnsi="Book Antiqua"/>
          <w:sz w:val="20"/>
          <w:szCs w:val="20"/>
        </w:rPr>
      </w:pPr>
      <w:r>
        <w:rPr>
          <w:rFonts w:ascii="Book Antiqua" w:hAnsi="Book Antiqua"/>
          <w:b/>
          <w:bCs/>
          <w:sz w:val="20"/>
          <w:szCs w:val="20"/>
        </w:rPr>
        <w:t>7.3</w:t>
      </w:r>
      <w:r>
        <w:rPr>
          <w:rFonts w:ascii="Book Antiqua" w:hAnsi="Book Antiqua"/>
          <w:sz w:val="20"/>
          <w:szCs w:val="20"/>
        </w:rPr>
        <w:t xml:space="preserve"> </w:t>
      </w:r>
      <w:r>
        <w:rPr>
          <w:rFonts w:ascii="Book Antiqua" w:hAnsi="Book Antiqua"/>
          <w:b/>
          <w:bCs/>
          <w:color w:val="0000CC"/>
          <w:sz w:val="20"/>
          <w:szCs w:val="20"/>
          <w:u w:val="single"/>
        </w:rPr>
        <w:t>DA QUALIFICAÇÃO TÉCNICA</w:t>
      </w:r>
      <w:r>
        <w:rPr>
          <w:rFonts w:ascii="Book Antiqua" w:hAnsi="Book Antiqua"/>
          <w:color w:val="0000CC"/>
          <w:sz w:val="20"/>
          <w:szCs w:val="20"/>
        </w:rPr>
        <w:t xml:space="preserve"> </w:t>
      </w:r>
    </w:p>
    <w:p w14:paraId="21B4C3F1">
      <w:pPr>
        <w:jc w:val="both"/>
        <w:rPr>
          <w:rFonts w:ascii="Book Antiqua" w:hAnsi="Book Antiqua"/>
          <w:sz w:val="20"/>
          <w:szCs w:val="20"/>
        </w:rPr>
      </w:pPr>
      <w:r>
        <w:rPr>
          <w:rFonts w:ascii="Book Antiqua" w:hAnsi="Book Antiqua"/>
          <w:b/>
          <w:bCs/>
          <w:sz w:val="20"/>
          <w:szCs w:val="20"/>
        </w:rPr>
        <w:t>7.3.1</w:t>
      </w:r>
      <w:r>
        <w:rPr>
          <w:rFonts w:ascii="Book Antiqua" w:hAnsi="Book Antiqua"/>
          <w:sz w:val="20"/>
          <w:szCs w:val="20"/>
        </w:rPr>
        <w:t xml:space="preserve"> Comprovação de capacidade técnica, mediante apresentação de atestados fornecido por pessoa jurídica de direito público ou privado, comprovando aptidão para desempenho de atividade compatível em características ao objeto desta licitação;</w:t>
      </w:r>
    </w:p>
    <w:p w14:paraId="1644F01C">
      <w:pPr>
        <w:jc w:val="both"/>
        <w:rPr>
          <w:rFonts w:ascii="Book Antiqua" w:hAnsi="Book Antiqua"/>
          <w:sz w:val="20"/>
          <w:szCs w:val="20"/>
        </w:rPr>
      </w:pPr>
      <w:r>
        <w:rPr>
          <w:rFonts w:ascii="Book Antiqua" w:hAnsi="Book Antiqua"/>
          <w:b/>
          <w:bCs/>
          <w:sz w:val="20"/>
          <w:szCs w:val="20"/>
        </w:rPr>
        <w:t>7.3.2</w:t>
      </w:r>
      <w:r>
        <w:rPr>
          <w:rFonts w:ascii="Book Antiqua" w:hAnsi="Book Antiqua"/>
          <w:sz w:val="20"/>
          <w:szCs w:val="20"/>
        </w:rPr>
        <w:t xml:space="preserve"> Sendo o atestado fornecido por pessoa jurídica de direito privado, a assinatura do representante legal deve ser reconhecida firma em cartório competente ou apresentação de documentos que se comprove a veracidade da assinatura para reconhecimento pelo agente de contratação.</w:t>
      </w:r>
    </w:p>
    <w:p w14:paraId="056B6206">
      <w:pPr>
        <w:pStyle w:val="66"/>
        <w:numPr>
          <w:ilvl w:val="1"/>
          <w:numId w:val="8"/>
        </w:numPr>
        <w:tabs>
          <w:tab w:val="left" w:pos="284"/>
          <w:tab w:val="left" w:pos="426"/>
        </w:tabs>
        <w:spacing w:after="0" w:line="240" w:lineRule="auto"/>
        <w:ind w:left="0" w:firstLine="0"/>
        <w:jc w:val="both"/>
        <w:rPr>
          <w:rFonts w:ascii="Book Antiqua" w:hAnsi="Book Antiqua"/>
          <w:b/>
          <w:bCs/>
          <w:sz w:val="20"/>
          <w:szCs w:val="20"/>
          <w:u w:val="single"/>
        </w:rPr>
      </w:pPr>
      <w:r>
        <w:rPr>
          <w:rFonts w:ascii="Book Antiqua" w:hAnsi="Book Antiqua"/>
          <w:b/>
          <w:bCs/>
          <w:color w:val="0000CC"/>
          <w:sz w:val="20"/>
          <w:szCs w:val="20"/>
          <w:u w:val="single"/>
        </w:rPr>
        <w:t xml:space="preserve">QUALIFICAÇÃO ECONÔMICO-FINANCEIRA </w:t>
      </w:r>
    </w:p>
    <w:p w14:paraId="4598FD3B">
      <w:pPr>
        <w:tabs>
          <w:tab w:val="left" w:pos="567"/>
        </w:tabs>
        <w:jc w:val="both"/>
        <w:rPr>
          <w:rFonts w:ascii="Book Antiqua" w:hAnsi="Book Antiqua" w:cs="TimesNewRomanPSMT" w:eastAsiaTheme="minorHAnsi"/>
          <w:sz w:val="20"/>
          <w:szCs w:val="20"/>
          <w:lang w:eastAsia="en-US"/>
        </w:rPr>
      </w:pPr>
      <w:r>
        <w:rPr>
          <w:rFonts w:ascii="Book Antiqua" w:hAnsi="Book Antiqua"/>
          <w:b/>
          <w:bCs/>
          <w:sz w:val="20"/>
          <w:szCs w:val="20"/>
        </w:rPr>
        <w:t>7.4.1</w:t>
      </w:r>
      <w:r>
        <w:rPr>
          <w:rFonts w:ascii="Book Antiqua" w:hAnsi="Book Antiqua" w:cs="TimesNewRomanPSMT" w:eastAsiaTheme="minorHAnsi"/>
          <w:sz w:val="20"/>
          <w:szCs w:val="20"/>
          <w:lang w:eastAsia="en-US"/>
        </w:rPr>
        <w:t xml:space="preserve"> </w:t>
      </w:r>
      <w:r>
        <w:rPr>
          <w:rFonts w:ascii="Book Antiqua" w:hAnsi="Book Antiqua" w:cs="TimesNewRomanPSMT" w:eastAsiaTheme="minorHAnsi"/>
          <w:b/>
          <w:bCs/>
          <w:sz w:val="20"/>
          <w:szCs w:val="20"/>
          <w:lang w:eastAsia="en-US"/>
        </w:rPr>
        <w:t>Certidão Negativa de Recuperação Judicial – Lei n° 11.101/05 (falência e concordata)</w:t>
      </w:r>
      <w:r>
        <w:rPr>
          <w:rFonts w:ascii="Book Antiqua" w:hAnsi="Book Antiqua" w:cs="TimesNewRomanPSMT" w:eastAsiaTheme="minorHAnsi"/>
          <w:sz w:val="20"/>
          <w:szCs w:val="20"/>
          <w:lang w:eastAsia="en-US"/>
        </w:rPr>
        <w:t xml:space="preserve"> emitida pelo órgão competente, expedida nos últimos 90 (noventa) dias, caso não conste o prazo de validade.</w:t>
      </w:r>
    </w:p>
    <w:p w14:paraId="02774004">
      <w:pPr>
        <w:autoSpaceDE w:val="0"/>
        <w:autoSpaceDN w:val="0"/>
        <w:adjustRightInd w:val="0"/>
        <w:jc w:val="both"/>
        <w:rPr>
          <w:rFonts w:ascii="Book Antiqua" w:hAnsi="Book Antiqua" w:cs="TimesNewRomanPSMT" w:eastAsiaTheme="minorHAnsi"/>
          <w:sz w:val="20"/>
          <w:szCs w:val="20"/>
          <w:lang w:eastAsia="en-US"/>
        </w:rPr>
      </w:pPr>
      <w:r>
        <w:rPr>
          <w:rFonts w:ascii="Book Antiqua" w:hAnsi="Book Antiqua" w:cs="TimesNewRomanPSMT" w:eastAsiaTheme="minorHAnsi"/>
          <w:sz w:val="20"/>
          <w:szCs w:val="20"/>
          <w:lang w:eastAsia="en-US"/>
        </w:rPr>
        <w:t>7.4.2 Para fins de habilitação, a verificação em sites oficiais de órgãos e entidades emissoras de certidão constitui meio legal de prova.</w:t>
      </w:r>
    </w:p>
    <w:p w14:paraId="6ABFA35B">
      <w:pPr>
        <w:autoSpaceDE w:val="0"/>
        <w:autoSpaceDN w:val="0"/>
        <w:adjustRightInd w:val="0"/>
        <w:jc w:val="both"/>
        <w:rPr>
          <w:rFonts w:ascii="Book Antiqua" w:hAnsi="Book Antiqua" w:cs="TimesNewRomanPSMT" w:eastAsiaTheme="minorHAnsi"/>
          <w:sz w:val="20"/>
          <w:szCs w:val="20"/>
          <w:lang w:eastAsia="en-US"/>
        </w:rPr>
      </w:pPr>
      <w:r>
        <w:rPr>
          <w:rFonts w:ascii="Book Antiqua" w:hAnsi="Book Antiqua" w:cs="TimesNewRomanPSMT" w:eastAsiaTheme="minorHAnsi"/>
          <w:b/>
          <w:bCs/>
          <w:sz w:val="20"/>
          <w:szCs w:val="20"/>
          <w:lang w:eastAsia="en-US"/>
        </w:rPr>
        <w:t>7.4.3</w:t>
      </w:r>
      <w:r>
        <w:rPr>
          <w:rFonts w:ascii="Book Antiqua" w:hAnsi="Book Antiqua" w:cs="TimesNewRomanPSMT" w:eastAsiaTheme="minorHAnsi"/>
          <w:sz w:val="20"/>
          <w:szCs w:val="20"/>
          <w:lang w:eastAsia="en-US"/>
        </w:rPr>
        <w:t xml:space="preserve"> Por se tratar de aquisição de bens de pronta entrega fica dispensada a apresentação do Balanço Patrimonial e as demais peças contábeis.     </w:t>
      </w:r>
    </w:p>
    <w:p w14:paraId="17BEE501">
      <w:pPr>
        <w:pStyle w:val="66"/>
        <w:widowControl w:val="0"/>
        <w:numPr>
          <w:ilvl w:val="0"/>
          <w:numId w:val="9"/>
        </w:numPr>
        <w:pBdr>
          <w:top w:val="none" w:color="auto" w:sz="0" w:space="0"/>
          <w:left w:val="none" w:color="auto" w:sz="0" w:space="0"/>
          <w:bottom w:val="none" w:color="auto" w:sz="0" w:space="0"/>
          <w:right w:val="none" w:color="auto" w:sz="0" w:space="0"/>
          <w:between w:val="none" w:color="auto" w:sz="0" w:space="0"/>
        </w:pBdr>
        <w:tabs>
          <w:tab w:val="left" w:pos="284"/>
        </w:tabs>
        <w:spacing w:after="0" w:line="240" w:lineRule="auto"/>
        <w:ind w:left="0"/>
        <w:jc w:val="both"/>
        <w:rPr>
          <w:rFonts w:ascii="Book Antiqua" w:hAnsi="Book Antiqua"/>
          <w:b/>
          <w:sz w:val="20"/>
          <w:szCs w:val="20"/>
          <w:u w:val="single"/>
        </w:rPr>
      </w:pPr>
      <w:r>
        <w:rPr>
          <w:rFonts w:ascii="Book Antiqua" w:hAnsi="Book Antiqua"/>
          <w:b/>
          <w:sz w:val="20"/>
          <w:szCs w:val="20"/>
          <w:u w:val="single"/>
          <w:shd w:val="clear" w:color="auto" w:fill="D8D8D8" w:themeFill="background1" w:themeFillShade="D9"/>
        </w:rPr>
        <w:t>CONDIÇÕES E PRAZOS DE PAGAMENTO</w:t>
      </w:r>
    </w:p>
    <w:p w14:paraId="11640A3E">
      <w:pPr>
        <w:pStyle w:val="66"/>
        <w:numPr>
          <w:ilvl w:val="1"/>
          <w:numId w:val="10"/>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A empresa encaminhará a pessoa responsável pela fiscalização, às notas fiscais correspondentes a referida aquisição, para fim de atesto e consequente liquidação da despesa.</w:t>
      </w:r>
    </w:p>
    <w:p w14:paraId="45E9ACD0">
      <w:pPr>
        <w:pStyle w:val="66"/>
        <w:numPr>
          <w:ilvl w:val="1"/>
          <w:numId w:val="10"/>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O pagamento será realizado após o ateste, pela fiscalização da Contratante, sendo pela Comissão de Recebimento, na Nota Fiscal.</w:t>
      </w:r>
    </w:p>
    <w:p w14:paraId="30977B8F">
      <w:pPr>
        <w:pStyle w:val="66"/>
        <w:numPr>
          <w:ilvl w:val="1"/>
          <w:numId w:val="10"/>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O Contratado deverá emitir os documentos fiscais, em valores unitário e total, com os seguintes dados:</w:t>
      </w:r>
    </w:p>
    <w:p w14:paraId="3E6BE82D">
      <w:pPr>
        <w:pStyle w:val="66"/>
        <w:numPr>
          <w:ilvl w:val="2"/>
          <w:numId w:val="10"/>
        </w:numPr>
        <w:tabs>
          <w:tab w:val="left" w:pos="567"/>
        </w:tabs>
        <w:spacing w:after="0" w:line="240" w:lineRule="auto"/>
        <w:ind w:left="0" w:firstLine="0"/>
        <w:jc w:val="both"/>
        <w:rPr>
          <w:rFonts w:ascii="Book Antiqua" w:hAnsi="Book Antiqua"/>
          <w:b/>
          <w:bCs/>
          <w:sz w:val="20"/>
          <w:szCs w:val="20"/>
        </w:rPr>
      </w:pPr>
      <w:r>
        <w:rPr>
          <w:rFonts w:ascii="Book Antiqua" w:hAnsi="Book Antiqua"/>
          <w:b/>
          <w:bCs/>
          <w:sz w:val="20"/>
          <w:szCs w:val="20"/>
        </w:rPr>
        <w:t>Dados do Contratante</w:t>
      </w:r>
    </w:p>
    <w:p w14:paraId="4CB6EE46">
      <w:pPr>
        <w:tabs>
          <w:tab w:val="left" w:pos="426"/>
        </w:tabs>
        <w:jc w:val="both"/>
        <w:rPr>
          <w:rFonts w:ascii="Book Antiqua" w:hAnsi="Book Antiqua"/>
          <w:b/>
          <w:bCs/>
          <w:sz w:val="20"/>
          <w:szCs w:val="20"/>
        </w:rPr>
      </w:pPr>
      <w:r>
        <w:rPr>
          <w:rFonts w:ascii="Book Antiqua" w:hAnsi="Book Antiqua"/>
          <w:b/>
          <w:bCs/>
          <w:sz w:val="20"/>
          <w:szCs w:val="20"/>
        </w:rPr>
        <w:t>Nome: FUNDO MUNICIPAL DE SAÚDE</w:t>
      </w:r>
    </w:p>
    <w:p w14:paraId="20DFCACC">
      <w:pPr>
        <w:jc w:val="both"/>
        <w:rPr>
          <w:rFonts w:ascii="Book Antiqua" w:hAnsi="Book Antiqua"/>
          <w:b/>
          <w:bCs/>
          <w:sz w:val="20"/>
          <w:szCs w:val="20"/>
        </w:rPr>
      </w:pPr>
      <w:r>
        <w:rPr>
          <w:rFonts w:ascii="Book Antiqua" w:hAnsi="Book Antiqua"/>
          <w:b/>
          <w:bCs/>
          <w:sz w:val="20"/>
          <w:szCs w:val="20"/>
        </w:rPr>
        <w:t>CNPJ: 11.496.829/0001-43</w:t>
      </w:r>
    </w:p>
    <w:p w14:paraId="4473C602">
      <w:pPr>
        <w:jc w:val="both"/>
        <w:rPr>
          <w:rFonts w:ascii="Book Antiqua" w:hAnsi="Book Antiqua"/>
          <w:bCs/>
          <w:color w:val="000000" w:themeColor="text1"/>
          <w:sz w:val="20"/>
          <w:szCs w:val="20"/>
          <w14:textFill>
            <w14:solidFill>
              <w14:schemeClr w14:val="tx1"/>
            </w14:solidFill>
          </w14:textFill>
        </w:rPr>
      </w:pPr>
      <w:r>
        <w:rPr>
          <w:rFonts w:ascii="Book Antiqua" w:hAnsi="Book Antiqua"/>
          <w:b/>
          <w:bCs/>
          <w:sz w:val="20"/>
          <w:szCs w:val="20"/>
        </w:rPr>
        <w:t>Endereço: AV. Pedro Ferreira, s/n – Centro - São José de Mipibu/RN - CEP 59.162-000</w:t>
      </w:r>
      <w:r>
        <w:rPr>
          <w:rFonts w:ascii="Book Antiqua" w:hAnsi="Book Antiqua"/>
          <w:bCs/>
          <w:color w:val="000000" w:themeColor="text1"/>
          <w:sz w:val="20"/>
          <w:szCs w:val="20"/>
          <w14:textFill>
            <w14:solidFill>
              <w14:schemeClr w14:val="tx1"/>
            </w14:solidFill>
          </w14:textFill>
        </w:rPr>
        <w:t xml:space="preserve">, </w:t>
      </w:r>
      <w:r>
        <w:rPr>
          <w:rFonts w:ascii="Book Antiqua" w:hAnsi="Book Antiqua"/>
          <w:b/>
          <w:bCs/>
          <w:sz w:val="20"/>
          <w:szCs w:val="20"/>
        </w:rPr>
        <w:t>São José de Mipibu/RN.</w:t>
      </w:r>
    </w:p>
    <w:p w14:paraId="288002A9">
      <w:pPr>
        <w:pStyle w:val="66"/>
        <w:numPr>
          <w:ilvl w:val="1"/>
          <w:numId w:val="10"/>
        </w:numPr>
        <w:tabs>
          <w:tab w:val="left" w:pos="284"/>
          <w:tab w:val="left" w:pos="426"/>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O pagamento será efetuado por meio de Pagamento Eletrônico emitida por processamento eletrônico, a crédito do Contratado, no prazo de até 30 (trinta) dias, contados do recebimento dos itens, com base no Documento Auxiliar de Nota Fiscal devidamente conferida e atestada pela comissão responsável pelo recebimento.</w:t>
      </w:r>
    </w:p>
    <w:p w14:paraId="51F2CF41">
      <w:pPr>
        <w:pStyle w:val="66"/>
        <w:numPr>
          <w:ilvl w:val="1"/>
          <w:numId w:val="10"/>
        </w:numPr>
        <w:tabs>
          <w:tab w:val="left" w:pos="426"/>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As Notas Fiscais que apresentarem incorreções serão devolvidas a empresa para as devidas correções e o prazo para o pagamento passará a correr a partir da data da reapresentação do documento, considerado válido pelo Contratante.</w:t>
      </w:r>
    </w:p>
    <w:p w14:paraId="6B05E3DA">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142"/>
        </w:tabs>
        <w:ind w:left="0" w:firstLine="0"/>
        <w:jc w:val="both"/>
        <w:rPr>
          <w:rFonts w:ascii="Book Antiqua" w:hAnsi="Book Antiqua"/>
          <w:b/>
          <w:sz w:val="20"/>
          <w:szCs w:val="20"/>
          <w:u w:val="single"/>
        </w:rPr>
      </w:pPr>
      <w:r>
        <w:rPr>
          <w:rFonts w:ascii="Book Antiqua" w:hAnsi="Book Antiqua"/>
          <w:b/>
          <w:sz w:val="20"/>
          <w:szCs w:val="20"/>
          <w:u w:val="single"/>
          <w:shd w:val="clear" w:color="auto" w:fill="D8D8D8" w:themeFill="background1" w:themeFillShade="D9"/>
        </w:rPr>
        <w:t>DO REAJUSTE</w:t>
      </w:r>
    </w:p>
    <w:p w14:paraId="5C0309F8">
      <w:pPr>
        <w:pStyle w:val="66"/>
        <w:numPr>
          <w:ilvl w:val="1"/>
          <w:numId w:val="10"/>
        </w:numPr>
        <w:tabs>
          <w:tab w:val="left" w:pos="284"/>
          <w:tab w:val="left" w:pos="426"/>
        </w:tabs>
        <w:spacing w:after="0" w:line="240" w:lineRule="auto"/>
        <w:ind w:left="0" w:firstLine="0"/>
        <w:jc w:val="both"/>
        <w:rPr>
          <w:rFonts w:ascii="Book Antiqua" w:hAnsi="Book Antiqua"/>
          <w:sz w:val="20"/>
          <w:szCs w:val="20"/>
        </w:rPr>
      </w:pPr>
      <w:r>
        <w:rPr>
          <w:rFonts w:ascii="Book Antiqua" w:hAnsi="Book Antiqua"/>
          <w:sz w:val="20"/>
          <w:szCs w:val="20"/>
        </w:rPr>
        <w:t>Os preços são fixos e irreajustáveis no prazo de um ano contado da data limite para a apresentação das propostas.</w:t>
      </w:r>
    </w:p>
    <w:p w14:paraId="7BA25EF5">
      <w:pPr>
        <w:pStyle w:val="66"/>
        <w:numPr>
          <w:ilvl w:val="1"/>
          <w:numId w:val="10"/>
        </w:numPr>
        <w:tabs>
          <w:tab w:val="left" w:pos="142"/>
          <w:tab w:val="left" w:pos="284"/>
          <w:tab w:val="left" w:pos="426"/>
        </w:tabs>
        <w:spacing w:after="0" w:line="240" w:lineRule="auto"/>
        <w:ind w:left="0" w:firstLine="0"/>
        <w:jc w:val="both"/>
        <w:rPr>
          <w:rFonts w:ascii="Book Antiqua" w:hAnsi="Book Antiqua"/>
          <w:sz w:val="20"/>
          <w:szCs w:val="20"/>
        </w:rPr>
      </w:pPr>
      <w:bookmarkStart w:id="13" w:name="_Ref109740890"/>
      <w:r>
        <w:rPr>
          <w:rFonts w:ascii="Book Antiqua" w:hAnsi="Book Antiqua"/>
          <w:sz w:val="20"/>
          <w:szCs w:val="20"/>
        </w:rPr>
        <w:t>Dentro do prazo de vigência do contrato e mediante solicitação da contratada, os preços contratados poderão sofrer reajuste após o interregno de um ano, aplicando-se o índice Nacional de Preços ao Consumidor Amplo - IPCA/IBGE, exclusivamente para as obrigações iniciadas e concluídas após a ocorrência da anualidade</w:t>
      </w:r>
      <w:bookmarkEnd w:id="13"/>
    </w:p>
    <w:p w14:paraId="1F21E47A">
      <w:pPr>
        <w:pStyle w:val="66"/>
        <w:numPr>
          <w:ilvl w:val="1"/>
          <w:numId w:val="10"/>
        </w:numPr>
        <w:tabs>
          <w:tab w:val="left" w:pos="284"/>
        </w:tabs>
        <w:spacing w:after="0" w:line="240" w:lineRule="auto"/>
        <w:ind w:left="0" w:firstLine="0"/>
        <w:jc w:val="both"/>
        <w:rPr>
          <w:rFonts w:ascii="Book Antiqua" w:hAnsi="Book Antiqua"/>
          <w:sz w:val="20"/>
          <w:szCs w:val="20"/>
        </w:rPr>
      </w:pPr>
      <w:r>
        <w:rPr>
          <w:rFonts w:ascii="Book Antiqua" w:hAnsi="Book Antiqua"/>
          <w:sz w:val="20"/>
          <w:szCs w:val="20"/>
        </w:rPr>
        <w:t xml:space="preserve">Nos reajustes subsequentes ao primeiro, o interregno mínimo de um ano será contado a partir dos efeitos financeiros do último reajuste. </w:t>
      </w:r>
    </w:p>
    <w:p w14:paraId="7246DF61">
      <w:pPr>
        <w:pStyle w:val="66"/>
        <w:numPr>
          <w:ilvl w:val="1"/>
          <w:numId w:val="10"/>
        </w:numPr>
        <w:tabs>
          <w:tab w:val="left" w:pos="284"/>
        </w:tabs>
        <w:spacing w:after="0" w:line="240" w:lineRule="auto"/>
        <w:ind w:left="0" w:firstLine="0"/>
        <w:jc w:val="both"/>
        <w:rPr>
          <w:rFonts w:ascii="Book Antiqua" w:hAnsi="Book Antiqua"/>
          <w:sz w:val="20"/>
          <w:szCs w:val="20"/>
        </w:rPr>
      </w:pPr>
      <w:r>
        <w:rPr>
          <w:rFonts w:ascii="Book Antiqua" w:hAnsi="Book Antiqua"/>
          <w:sz w:val="20"/>
          <w:szCs w:val="20"/>
        </w:rPr>
        <w:t>No caso de atraso ou não divulgação do índice de reajustamento, o CONTRATANTE pagará à CONTRATADA a importância calculada pela última variação conhecida, liquidando a diferença correspondente tão logo seja divulgado o índice definitivo.</w:t>
      </w:r>
    </w:p>
    <w:p w14:paraId="23F47BE2">
      <w:pPr>
        <w:pStyle w:val="66"/>
        <w:numPr>
          <w:ilvl w:val="1"/>
          <w:numId w:val="10"/>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Entende-se por reajuste, a forma de manutenção do equilíbrio econômico-financeiro de contrato consistente na aplicação do índice de correção monetária previsto no item 8.2 deste termo, que deve retratar a variação efetiva do custo de produção, admitida a adoção de índices específicos ou setoriais, em conformidade com o Art. 6°, LVIII da Lei 14.133/2021.</w:t>
      </w:r>
    </w:p>
    <w:p w14:paraId="75415973">
      <w:pPr>
        <w:pStyle w:val="66"/>
        <w:numPr>
          <w:ilvl w:val="1"/>
          <w:numId w:val="10"/>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 xml:space="preserve">Fica a CONTRATADA obrigada a apresentar memória de cálculo referente ao reajustamento de preços do valor remanescente, sempre que este ocorrer. </w:t>
      </w:r>
    </w:p>
    <w:p w14:paraId="67119480">
      <w:pPr>
        <w:pStyle w:val="66"/>
        <w:numPr>
          <w:ilvl w:val="1"/>
          <w:numId w:val="10"/>
        </w:numPr>
        <w:tabs>
          <w:tab w:val="left" w:pos="284"/>
          <w:tab w:val="left" w:pos="426"/>
        </w:tabs>
        <w:spacing w:after="0" w:line="240" w:lineRule="auto"/>
        <w:ind w:left="0" w:firstLine="0"/>
        <w:jc w:val="both"/>
        <w:rPr>
          <w:rFonts w:ascii="Book Antiqua" w:hAnsi="Book Antiqua"/>
          <w:sz w:val="20"/>
          <w:szCs w:val="20"/>
        </w:rPr>
      </w:pPr>
      <w:r>
        <w:rPr>
          <w:rFonts w:ascii="Book Antiqua" w:hAnsi="Book Antiqua"/>
          <w:sz w:val="20"/>
          <w:szCs w:val="20"/>
        </w:rPr>
        <w:t xml:space="preserve">Nas aferições finais, o índice utilizado para reajuste será, obrigatoriamente, o definitivo. </w:t>
      </w:r>
    </w:p>
    <w:p w14:paraId="287AD8EE">
      <w:pPr>
        <w:pStyle w:val="66"/>
        <w:numPr>
          <w:ilvl w:val="1"/>
          <w:numId w:val="10"/>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Caso o índice estabelecido para reajustamento venha a ser extinto ou de qualquer forma não possa mais ser utilizado, será adotado, em substituição, o que vier a ser determinado pela legislação então em vigor.</w:t>
      </w:r>
    </w:p>
    <w:p w14:paraId="0BE0E18E">
      <w:pPr>
        <w:pStyle w:val="66"/>
        <w:numPr>
          <w:ilvl w:val="1"/>
          <w:numId w:val="10"/>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 xml:space="preserve">Na ausência de previsão legal quanto ao índice substituto, as partes elegerão novo índice oficial, para reajustamento do preço do valor remanescente. </w:t>
      </w:r>
    </w:p>
    <w:p w14:paraId="4D39B5D0">
      <w:pPr>
        <w:pStyle w:val="66"/>
        <w:numPr>
          <w:ilvl w:val="1"/>
          <w:numId w:val="10"/>
        </w:numPr>
        <w:tabs>
          <w:tab w:val="left" w:pos="284"/>
          <w:tab w:val="left" w:pos="426"/>
        </w:tabs>
        <w:spacing w:after="0" w:line="240" w:lineRule="auto"/>
        <w:ind w:left="0" w:firstLine="0"/>
        <w:jc w:val="both"/>
        <w:rPr>
          <w:rFonts w:ascii="Book Antiqua" w:hAnsi="Book Antiqua"/>
          <w:sz w:val="20"/>
          <w:szCs w:val="20"/>
        </w:rPr>
      </w:pPr>
      <w:r>
        <w:rPr>
          <w:rFonts w:ascii="Book Antiqua" w:hAnsi="Book Antiqua"/>
          <w:sz w:val="20"/>
          <w:szCs w:val="20"/>
        </w:rPr>
        <w:t xml:space="preserve"> O reajuste será realizado por termo aditivo.</w:t>
      </w:r>
    </w:p>
    <w:p w14:paraId="3A00D35D">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284"/>
        </w:tabs>
        <w:ind w:left="0" w:firstLine="0"/>
        <w:jc w:val="both"/>
        <w:rPr>
          <w:rFonts w:ascii="Book Antiqua" w:hAnsi="Book Antiqua"/>
          <w:b/>
          <w:sz w:val="20"/>
          <w:szCs w:val="20"/>
          <w:u w:val="single"/>
        </w:rPr>
      </w:pPr>
      <w:r>
        <w:rPr>
          <w:rFonts w:ascii="Book Antiqua" w:hAnsi="Book Antiqua"/>
          <w:b/>
          <w:sz w:val="20"/>
          <w:szCs w:val="20"/>
          <w:u w:val="single"/>
          <w:shd w:val="clear" w:color="auto" w:fill="D8D8D8" w:themeFill="background1" w:themeFillShade="D9"/>
        </w:rPr>
        <w:t>CLASSIFICAÇÃO DOS BENS COMUNS</w:t>
      </w:r>
      <w:r>
        <w:rPr>
          <w:rFonts w:ascii="Book Antiqua" w:hAnsi="Book Antiqua"/>
          <w:b/>
          <w:sz w:val="20"/>
          <w:szCs w:val="20"/>
          <w:u w:val="single"/>
        </w:rPr>
        <w:t xml:space="preserve"> </w:t>
      </w:r>
    </w:p>
    <w:p w14:paraId="4CB978B7">
      <w:pPr>
        <w:pStyle w:val="66"/>
        <w:numPr>
          <w:ilvl w:val="1"/>
          <w:numId w:val="10"/>
        </w:numPr>
        <w:tabs>
          <w:tab w:val="left" w:pos="426"/>
        </w:tabs>
        <w:spacing w:after="0" w:line="240" w:lineRule="auto"/>
        <w:ind w:left="0" w:firstLine="0"/>
        <w:jc w:val="both"/>
        <w:rPr>
          <w:rFonts w:ascii="Book Antiqua" w:hAnsi="Book Antiqua"/>
          <w:b/>
          <w:sz w:val="20"/>
          <w:szCs w:val="20"/>
        </w:rPr>
      </w:pPr>
      <w:r>
        <w:rPr>
          <w:rFonts w:ascii="Book Antiqua" w:hAnsi="Book Antiqua"/>
          <w:sz w:val="20"/>
          <w:szCs w:val="20"/>
        </w:rPr>
        <w:t xml:space="preserve"> Os bens a serem adquiridos enquadram-se na classificação de bens comuns, nos termos do Art. 6º, Inciso VIII da Lei Federal 14.133, de 2021 e De acordo com o Decreto Federal 10.818/2021 que regulamenta o art. 20 da Lei 14.133/2021.</w:t>
      </w:r>
    </w:p>
    <w:p w14:paraId="0258EDD5">
      <w:pPr>
        <w:pStyle w:val="66"/>
        <w:numPr>
          <w:ilvl w:val="0"/>
          <w:numId w:val="10"/>
        </w:numPr>
        <w:tabs>
          <w:tab w:val="left" w:pos="284"/>
          <w:tab w:val="left" w:pos="426"/>
        </w:tabs>
        <w:spacing w:after="0" w:line="240" w:lineRule="auto"/>
        <w:ind w:left="0" w:firstLine="0"/>
        <w:jc w:val="both"/>
        <w:rPr>
          <w:rFonts w:ascii="Book Antiqua" w:hAnsi="Book Antiqua"/>
          <w:b/>
          <w:color w:val="000000"/>
          <w:sz w:val="20"/>
          <w:szCs w:val="20"/>
          <w:u w:val="single"/>
        </w:rPr>
      </w:pPr>
      <w:bookmarkStart w:id="14" w:name="_Hlk120606862"/>
      <w:r>
        <w:rPr>
          <w:rFonts w:ascii="Book Antiqua" w:hAnsi="Book Antiqua"/>
          <w:b/>
          <w:color w:val="000000"/>
          <w:sz w:val="20"/>
          <w:szCs w:val="20"/>
          <w:u w:val="single"/>
          <w:shd w:val="clear" w:color="auto" w:fill="D8D8D8" w:themeFill="background1" w:themeFillShade="D9"/>
        </w:rPr>
        <w:t>RECEBIMENTO E CRITÉRIO DE ACEITAÇÃO DO OBJETO</w:t>
      </w:r>
    </w:p>
    <w:p w14:paraId="28A8C6B1">
      <w:pPr>
        <w:pStyle w:val="66"/>
        <w:numPr>
          <w:ilvl w:val="1"/>
          <w:numId w:val="10"/>
        </w:numPr>
        <w:tabs>
          <w:tab w:val="left" w:pos="426"/>
        </w:tabs>
        <w:spacing w:after="0" w:line="240" w:lineRule="auto"/>
        <w:ind w:left="0" w:firstLine="0"/>
        <w:jc w:val="both"/>
        <w:rPr>
          <w:rFonts w:ascii="Book Antiqua" w:hAnsi="Book Antiqua"/>
          <w:b/>
          <w:color w:val="000000"/>
          <w:sz w:val="20"/>
          <w:szCs w:val="20"/>
          <w:u w:val="single"/>
        </w:rPr>
      </w:pPr>
      <w:r>
        <w:rPr>
          <w:rFonts w:ascii="Book Antiqua" w:hAnsi="Book Antiqua" w:eastAsia="Book Antiqua"/>
          <w:sz w:val="20"/>
          <w:szCs w:val="20"/>
        </w:rPr>
        <w:t>Os bens objeto deste Termo de Referência serão recebidos:</w:t>
      </w:r>
    </w:p>
    <w:p w14:paraId="6DDB44A0">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eastAsia="Book Antiqua"/>
          <w:sz w:val="20"/>
          <w:szCs w:val="20"/>
        </w:rPr>
        <w:t>Provisoriamente, a partir da entrega, para efeito de verificação da conformidade com as especificações constantes neste Termo de Referência e da proposta.</w:t>
      </w:r>
    </w:p>
    <w:p w14:paraId="0FE4942E">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eastAsia="Book Antiqua"/>
          <w:sz w:val="20"/>
          <w:szCs w:val="20"/>
        </w:rPr>
        <w:t xml:space="preserve">Definitivamente, após a verificação da conformidade com as especificações constantes do Termo de Referência da proposta, e sua consequente aceitação, que se dará até </w:t>
      </w:r>
      <w:r>
        <w:rPr>
          <w:rFonts w:ascii="Book Antiqua" w:hAnsi="Book Antiqua" w:eastAsia="Book Antiqua"/>
          <w:b/>
          <w:sz w:val="20"/>
          <w:szCs w:val="20"/>
        </w:rPr>
        <w:t>02 (dois) dias</w:t>
      </w:r>
      <w:r>
        <w:rPr>
          <w:rFonts w:ascii="Book Antiqua" w:hAnsi="Book Antiqua" w:eastAsia="Book Antiqua"/>
          <w:sz w:val="20"/>
          <w:szCs w:val="20"/>
        </w:rPr>
        <w:t xml:space="preserve"> do recebimento provisório.</w:t>
      </w:r>
    </w:p>
    <w:p w14:paraId="4F156B79">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eastAsia="Book Antiqua"/>
          <w:sz w:val="20"/>
          <w:szCs w:val="20"/>
        </w:rPr>
        <w:t>Na hipótese de a verificação a que se refere o subitem anterior não ser procedida dentro do prazo fixado, reputar-se-á como realizada, consumando-se o recebimento definitivo no dia do esgotamento do prazo.</w:t>
      </w:r>
    </w:p>
    <w:p w14:paraId="4F65A110">
      <w:pPr>
        <w:jc w:val="both"/>
        <w:rPr>
          <w:rFonts w:ascii="Book Antiqua" w:hAnsi="Book Antiqua" w:eastAsia="Book Antiqua"/>
          <w:sz w:val="20"/>
          <w:szCs w:val="20"/>
        </w:rPr>
      </w:pPr>
      <w:r>
        <w:rPr>
          <w:rFonts w:ascii="Book Antiqua" w:hAnsi="Book Antiqua" w:eastAsia="Book Antiqua"/>
          <w:sz w:val="20"/>
          <w:szCs w:val="20"/>
        </w:rPr>
        <w:t>A Administração rejeitará, no todo ou em parte, a entrega dos bens em desacordo com as especificações técnicas exigidas.</w:t>
      </w:r>
    </w:p>
    <w:p w14:paraId="4A95C042">
      <w:pPr>
        <w:pStyle w:val="66"/>
        <w:numPr>
          <w:ilvl w:val="0"/>
          <w:numId w:val="10"/>
        </w:numPr>
        <w:tabs>
          <w:tab w:val="left" w:pos="284"/>
        </w:tabs>
        <w:spacing w:after="0" w:line="240" w:lineRule="auto"/>
        <w:ind w:left="0" w:firstLine="0"/>
        <w:jc w:val="both"/>
        <w:rPr>
          <w:rFonts w:ascii="Book Antiqua" w:hAnsi="Book Antiqua"/>
          <w:b/>
          <w:color w:val="000000"/>
          <w:sz w:val="20"/>
          <w:szCs w:val="20"/>
          <w:u w:val="single"/>
        </w:rPr>
      </w:pPr>
      <w:r>
        <w:rPr>
          <w:rFonts w:ascii="Book Antiqua" w:hAnsi="Book Antiqua"/>
          <w:b/>
          <w:color w:val="000000"/>
          <w:sz w:val="20"/>
          <w:szCs w:val="20"/>
          <w:u w:val="single"/>
          <w:shd w:val="clear" w:color="auto" w:fill="D8D8D8" w:themeFill="background1" w:themeFillShade="D9"/>
        </w:rPr>
        <w:t>DAS OBRIGAÇÕES DA CONTRATANTE</w:t>
      </w:r>
    </w:p>
    <w:p w14:paraId="6DFD71E6">
      <w:pPr>
        <w:pStyle w:val="66"/>
        <w:numPr>
          <w:ilvl w:val="1"/>
          <w:numId w:val="10"/>
        </w:numPr>
        <w:tabs>
          <w:tab w:val="left" w:pos="426"/>
        </w:tabs>
        <w:spacing w:after="0" w:line="240" w:lineRule="auto"/>
        <w:ind w:left="0" w:firstLine="0"/>
        <w:jc w:val="both"/>
        <w:rPr>
          <w:rFonts w:ascii="Book Antiqua" w:hAnsi="Book Antiqua"/>
          <w:b/>
          <w:color w:val="000000"/>
          <w:sz w:val="20"/>
          <w:szCs w:val="20"/>
          <w:u w:val="single"/>
        </w:rPr>
      </w:pPr>
      <w:r>
        <w:rPr>
          <w:rFonts w:ascii="Book Antiqua" w:hAnsi="Book Antiqua"/>
          <w:b/>
          <w:bCs/>
          <w:color w:val="000000" w:themeColor="text1"/>
          <w:sz w:val="20"/>
          <w:szCs w:val="20"/>
          <w14:textFill>
            <w14:solidFill>
              <w14:schemeClr w14:val="tx1"/>
            </w14:solidFill>
          </w14:textFill>
        </w:rPr>
        <w:t>São obrigações do CONTRATANTE</w:t>
      </w:r>
      <w:r>
        <w:rPr>
          <w:rFonts w:ascii="Book Antiqua" w:hAnsi="Book Antiqua"/>
          <w:color w:val="000000" w:themeColor="text1"/>
          <w:sz w:val="20"/>
          <w:szCs w:val="20"/>
          <w14:textFill>
            <w14:solidFill>
              <w14:schemeClr w14:val="tx1"/>
            </w14:solidFill>
          </w14:textFill>
        </w:rPr>
        <w:t>:</w:t>
      </w:r>
    </w:p>
    <w:p w14:paraId="2F078129">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Acompanhar e fiscalizar a execução do presente contrato, bem como efetuar o pagamento de acordo com a forma convencionada;</w:t>
      </w:r>
    </w:p>
    <w:p w14:paraId="4DF2DE6E">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 xml:space="preserve">Proporcionar todas as facilidades para que a CONTRATADA possa realizar a entrega dos itens contratados, dentro das condições pactuadas; </w:t>
      </w:r>
    </w:p>
    <w:p w14:paraId="794C084F">
      <w:pPr>
        <w:pStyle w:val="66"/>
        <w:numPr>
          <w:ilvl w:val="2"/>
          <w:numId w:val="10"/>
        </w:numPr>
        <w:tabs>
          <w:tab w:val="left" w:pos="426"/>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Notificar a CONTRATADA, por escrito, acerca da ocorrência de eventuais irregularidades nas entregas dos produtos, fixando o prazo máximo de 24 (vinte e quatro) horas para sua substituição;</w:t>
      </w:r>
    </w:p>
    <w:p w14:paraId="74E7C38B">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Ordenar, se for o caso, a imediata substituição de empregado da CONTRATADA que embaraçar ou dificultar a sua fiscalização;</w:t>
      </w:r>
    </w:p>
    <w:p w14:paraId="7A45ADA5">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sz w:val="20"/>
          <w:szCs w:val="20"/>
        </w:rPr>
        <w:t>Observar para que durante toda a validade do Contrato Administrativo e/ou Atas de Registros de preços, oriundos deste Termo de Referência. Sejam mantidas todas as condições de habilitação e qualificação da CONTRATADA, exigíveis neste Termo e demais documentos por ele orientado, solicitando desta, quando for o caso, a documentação que substitua aquela com prazo de validade vencida.</w:t>
      </w:r>
    </w:p>
    <w:p w14:paraId="5E238069">
      <w:pPr>
        <w:pStyle w:val="66"/>
        <w:numPr>
          <w:ilvl w:val="0"/>
          <w:numId w:val="10"/>
        </w:numPr>
        <w:tabs>
          <w:tab w:val="left" w:pos="426"/>
        </w:tabs>
        <w:spacing w:after="0" w:line="240" w:lineRule="auto"/>
        <w:ind w:left="0" w:firstLine="0"/>
        <w:jc w:val="both"/>
        <w:rPr>
          <w:rFonts w:ascii="Book Antiqua" w:hAnsi="Book Antiqua"/>
          <w:b/>
          <w:color w:val="000000"/>
          <w:sz w:val="20"/>
          <w:szCs w:val="20"/>
          <w:u w:val="single"/>
        </w:rPr>
      </w:pPr>
      <w:r>
        <w:rPr>
          <w:rFonts w:ascii="Book Antiqua" w:hAnsi="Book Antiqua"/>
          <w:b/>
          <w:color w:val="000000"/>
          <w:sz w:val="20"/>
          <w:szCs w:val="20"/>
          <w:u w:val="single"/>
          <w:shd w:val="clear" w:color="auto" w:fill="D8D8D8" w:themeFill="background1" w:themeFillShade="D9"/>
        </w:rPr>
        <w:t>DAS OBRIGAÇÕES DA CONTRATADA E EXECUÇÃO DO OBJETO</w:t>
      </w:r>
    </w:p>
    <w:p w14:paraId="13022486">
      <w:pPr>
        <w:pStyle w:val="66"/>
        <w:numPr>
          <w:ilvl w:val="1"/>
          <w:numId w:val="10"/>
        </w:numPr>
        <w:tabs>
          <w:tab w:val="left" w:pos="426"/>
        </w:tabs>
        <w:spacing w:after="0" w:line="240" w:lineRule="auto"/>
        <w:ind w:left="0" w:firstLine="0"/>
        <w:jc w:val="both"/>
        <w:rPr>
          <w:rFonts w:ascii="Book Antiqua" w:hAnsi="Book Antiqua"/>
          <w:b/>
          <w:bCs/>
          <w:color w:val="000000"/>
          <w:sz w:val="20"/>
          <w:szCs w:val="20"/>
          <w:u w:val="single"/>
        </w:rPr>
      </w:pPr>
      <w:r>
        <w:rPr>
          <w:rFonts w:ascii="Book Antiqua" w:hAnsi="Book Antiqua"/>
          <w:b/>
          <w:bCs/>
          <w:color w:val="000000" w:themeColor="text1"/>
          <w:sz w:val="20"/>
          <w:szCs w:val="20"/>
          <w14:textFill>
            <w14:solidFill>
              <w14:schemeClr w14:val="tx1"/>
            </w14:solidFill>
          </w14:textFill>
        </w:rPr>
        <w:t>A Contratada obriga-se a:</w:t>
      </w:r>
    </w:p>
    <w:p w14:paraId="543FDD21">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Efetuar a entrega dos bens de acordo com o exigido neste Termo de Referência;</w:t>
      </w:r>
    </w:p>
    <w:p w14:paraId="31131A86">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Os materiais requisitados e entregues deverão ser exatamente em conformidade e quantidade, com o constante da requisição/ordem de fornecimento, emitida por servidor devidamente credenciado pela Secretaria Municipal de Administração, devendo substituí-lo sempre que ocorrer qualquer desconformidade, com prazo de entrega de no máximo 48 (quarenta e oito) horas a contar da notificação.</w:t>
      </w:r>
    </w:p>
    <w:p w14:paraId="44ED50DC">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Manter, durante toda a execução do contrato, em compatibilidade com as obrigações assumidas, todas as condições de habilitação e qualificação exigidas na licitação;</w:t>
      </w:r>
    </w:p>
    <w:p w14:paraId="5F43DB04">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Não transferir a terceiros, por qualquer forma, nem mesmo parcialmente, as obrigações assumidas, nem subcontratar qualquer das prestações a que está obrigada, exceto nas condições autorizadas no Termo de Referência ou na minuta de contrato;</w:t>
      </w:r>
    </w:p>
    <w:p w14:paraId="49361327">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Não permitir a utilização de qualquer trabalho do menor de dezesseis anos, exceto na condição de aprendiz para os maiores de quatorze anos; nem permitir a utilização do trabalho do menor de dezoito anos em trabalho noturno, perigoso ou insalubre;</w:t>
      </w:r>
    </w:p>
    <w:p w14:paraId="3A898BD2">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Responsabilizarem-se pelas despesas dos tributos, encargos trabalhistas, previdenciários, fiscais, comerciais, taxas, fretes, seguros, deslocamento de pessoal, prestação de garantia e quaisquer outras que incidam ou venham a incidir na execução do contrato</w:t>
      </w:r>
    </w:p>
    <w:p w14:paraId="49C5CA29">
      <w:pPr>
        <w:pStyle w:val="66"/>
        <w:numPr>
          <w:ilvl w:val="2"/>
          <w:numId w:val="10"/>
        </w:numPr>
        <w:tabs>
          <w:tab w:val="left" w:pos="567"/>
        </w:tabs>
        <w:spacing w:after="0" w:line="240" w:lineRule="auto"/>
        <w:ind w:left="0" w:firstLine="0"/>
        <w:jc w:val="both"/>
        <w:rPr>
          <w:rFonts w:ascii="Book Antiqua" w:hAnsi="Book Antiqua"/>
          <w:b/>
          <w:color w:val="000000"/>
          <w:sz w:val="20"/>
          <w:szCs w:val="20"/>
          <w:u w:val="single"/>
        </w:rPr>
      </w:pPr>
      <w:r>
        <w:rPr>
          <w:rFonts w:ascii="Book Antiqua" w:hAnsi="Book Antiqua"/>
          <w:color w:val="000000" w:themeColor="text1"/>
          <w:sz w:val="20"/>
          <w:szCs w:val="20"/>
          <w14:textFill>
            <w14:solidFill>
              <w14:schemeClr w14:val="tx1"/>
            </w14:solidFill>
          </w14:textFill>
        </w:rPr>
        <w:t>Indenizar o Município por todo e qualquer dano decorrente, direta e indiretamente, da execução do objeto, por culpa ou dolo de seus empregados ou prepostos. Avocar para si os ônus decorrentes de todas as reclamações e /ou ações judiciais e/ou extrajudiciais, por culpa ou dolo, que possam eventualmente ser alegadas por terceiros, em decorrência do objeto do presente termo contra a Prefeitura Municipal;</w:t>
      </w:r>
    </w:p>
    <w:bookmarkEnd w:id="14"/>
    <w:p w14:paraId="43E95CB0">
      <w:pPr>
        <w:pStyle w:val="66"/>
        <w:numPr>
          <w:ilvl w:val="0"/>
          <w:numId w:val="10"/>
        </w:numPr>
        <w:tabs>
          <w:tab w:val="left" w:pos="284"/>
        </w:tabs>
        <w:spacing w:after="0" w:line="240" w:lineRule="auto"/>
        <w:ind w:left="0" w:firstLine="0"/>
        <w:jc w:val="both"/>
        <w:rPr>
          <w:rFonts w:ascii="Book Antiqua" w:hAnsi="Book Antiqua"/>
          <w:b/>
          <w:color w:val="000000"/>
          <w:sz w:val="20"/>
          <w:szCs w:val="20"/>
          <w:u w:val="single"/>
        </w:rPr>
      </w:pPr>
      <w:r>
        <w:rPr>
          <w:rFonts w:ascii="Book Antiqua" w:hAnsi="Book Antiqua"/>
          <w:b/>
          <w:color w:val="000000"/>
          <w:sz w:val="20"/>
          <w:szCs w:val="20"/>
          <w:u w:val="single"/>
          <w:shd w:val="clear" w:color="auto" w:fill="D8D8D8" w:themeFill="background1" w:themeFillShade="D9"/>
        </w:rPr>
        <w:t>DAS INFRAÇÕES E DAS SANÇÕES ADMINISTRATIVAS</w:t>
      </w:r>
    </w:p>
    <w:p w14:paraId="6A95A4F3">
      <w:pPr>
        <w:pStyle w:val="66"/>
        <w:numPr>
          <w:ilvl w:val="1"/>
          <w:numId w:val="10"/>
        </w:numPr>
        <w:tabs>
          <w:tab w:val="left" w:pos="284"/>
          <w:tab w:val="left" w:pos="426"/>
        </w:tabs>
        <w:spacing w:after="0" w:line="240" w:lineRule="auto"/>
        <w:ind w:left="0" w:firstLine="0"/>
        <w:jc w:val="both"/>
        <w:rPr>
          <w:rFonts w:ascii="Book Antiqua" w:hAnsi="Book Antiqua"/>
          <w:b/>
          <w:i/>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Comete infração administrativa, nos termos do Art. 155 da Lei nº 14.133, de 2021, a Contratada que, no decorrer da contratação:</w:t>
      </w:r>
    </w:p>
    <w:p w14:paraId="09E5F664">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I - Dar causa à inexecução parcial do contrato;</w:t>
      </w:r>
    </w:p>
    <w:p w14:paraId="562A1452">
      <w:pPr>
        <w:tabs>
          <w:tab w:val="left" w:pos="567"/>
        </w:tabs>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II - Dar causa à inexecução parcial do contrato que cause grave dano à Administração, ao funcionamento dos serviços públicos ou ao interesse coletivo;</w:t>
      </w:r>
    </w:p>
    <w:p w14:paraId="275A7E42">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III - Dar causa à inexecução total do contrato;</w:t>
      </w:r>
    </w:p>
    <w:p w14:paraId="55AA761A">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IV - Deixar de entregar a documentação exigida para o certame;</w:t>
      </w:r>
    </w:p>
    <w:p w14:paraId="0781B245">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V - Não manter a proposta, salvo em decorrência de fato superveniente devidamente justificado;</w:t>
      </w:r>
    </w:p>
    <w:p w14:paraId="15A0A6FC">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VI - Não celebrar o contrato ou não entregar a documentação exigida para a contratação, quando convocado dentro do prazo de validade de sua proposta;</w:t>
      </w:r>
    </w:p>
    <w:p w14:paraId="4F32C193">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VII - Ensejar o retardamento da execução ou da entrega do objeto da licitação sem motivo justificado;</w:t>
      </w:r>
    </w:p>
    <w:p w14:paraId="69390ECC">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VIII - Apresentar declaração ou documentação falsa exigida para o certame ou prestar declaração falsa durante a licitação ou a execução do contrato;</w:t>
      </w:r>
    </w:p>
    <w:p w14:paraId="4CF9A59D">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IX - Fraudar a licitação ou praticar ato fraudulento na execução do contrato;</w:t>
      </w:r>
    </w:p>
    <w:p w14:paraId="20535B64">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X - Comportar-se de modo inidôneo ou cometer fraude de qualquer natureza;</w:t>
      </w:r>
    </w:p>
    <w:p w14:paraId="38E5DFA0">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XI - Praticar atos ilícitos com vistas a frustrar os objetivos da licitação;</w:t>
      </w:r>
    </w:p>
    <w:p w14:paraId="65C0BDDC">
      <w:pPr>
        <w:autoSpaceDE w:val="0"/>
        <w:autoSpaceDN w:val="0"/>
        <w:adjustRightInd w:val="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XII - Praticar ato lesivo previsto no art. 5º da Lei nº 12.846, de 1º de agosto de 2013.</w:t>
      </w:r>
    </w:p>
    <w:p w14:paraId="2E409EBA">
      <w:pPr>
        <w:pStyle w:val="66"/>
        <w:widowControl w:val="0"/>
        <w:numPr>
          <w:ilvl w:val="1"/>
          <w:numId w:val="10"/>
        </w:numPr>
        <w:pBdr>
          <w:top w:val="none" w:color="auto" w:sz="0" w:space="0"/>
          <w:left w:val="none" w:color="auto" w:sz="0" w:space="0"/>
          <w:bottom w:val="none" w:color="auto" w:sz="0" w:space="0"/>
          <w:right w:val="none" w:color="auto" w:sz="0" w:space="0"/>
          <w:between w:val="none" w:color="auto" w:sz="0" w:space="0"/>
        </w:pBdr>
        <w:tabs>
          <w:tab w:val="left" w:pos="284"/>
          <w:tab w:val="left" w:pos="426"/>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Serão aplicadas ao responsável pelas infrações administrativas previstas neste TR as seguintes sanções:</w:t>
      </w:r>
    </w:p>
    <w:p w14:paraId="00161E71">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tabs>
          <w:tab w:val="left" w:pos="426"/>
          <w:tab w:val="left" w:pos="567"/>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Advertência por faltas leves, assim entendidas como aquelas que não acarretarem prejuízos significativos ao objeto da contratação;</w:t>
      </w:r>
    </w:p>
    <w:p w14:paraId="6B9A727F">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tabs>
          <w:tab w:val="left" w:pos="567"/>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 xml:space="preserve"> Multa:</w:t>
      </w:r>
    </w:p>
    <w:p w14:paraId="1F275ABE">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tabs>
          <w:tab w:val="left" w:pos="567"/>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 xml:space="preserve"> Moratória de 0,5% (cinco décimos por cento) por dia de atraso injustificado sobre o valor da contratação, até o limite de 60 (sessenta) dias;</w:t>
      </w:r>
    </w:p>
    <w:p w14:paraId="43D0DBCD">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Compensatória de até 10% (dez por cento) sobre o valor total do contrato, no caso de inexecução total ou parcial da obrigação assumida, podendo ser cumulada com a multa moratória, desde que o valor cumulado das penalidades não supere o valor total do contrato</w:t>
      </w:r>
    </w:p>
    <w:p w14:paraId="3E8D2AD4">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Suspensão de licitar e impedimento de licitar e contratar com a Prefeitura Municipal de São José de Mipibu/RN, pelo prazo de 3 (três) anos.</w:t>
      </w:r>
    </w:p>
    <w:p w14:paraId="48B0DB4F">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Declaração de inidoneidade para licitar ou contratar com a Administração Pública direta e indireta de todos os entes federativos, pelo prazo mínimo de 3 (três) anos e máximo de 6 (seis) anos, enquanto perdurarem os motivos determinantes da punição ou até que seja promovida a reabilitação perante a própria autoridade que aplicou a penalidade, que será concedida sempre que a Contratada ressarcir a Administração pelos prejuízos causados.</w:t>
      </w:r>
    </w:p>
    <w:p w14:paraId="43DA4CCD">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tabs>
          <w:tab w:val="left" w:pos="567"/>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A penalidade de multa pode ser aplicada cumulativamente com as demais sanções.</w:t>
      </w:r>
    </w:p>
    <w:p w14:paraId="28C12BEA">
      <w:pPr>
        <w:pStyle w:val="66"/>
        <w:widowControl w:val="0"/>
        <w:numPr>
          <w:ilvl w:val="2"/>
          <w:numId w:val="10"/>
        </w:numPr>
        <w:pBdr>
          <w:top w:val="none" w:color="auto" w:sz="0" w:space="0"/>
          <w:left w:val="none" w:color="auto" w:sz="0" w:space="0"/>
          <w:bottom w:val="none" w:color="auto" w:sz="0" w:space="0"/>
          <w:right w:val="none" w:color="auto" w:sz="0" w:space="0"/>
          <w:between w:val="none" w:color="auto" w:sz="0" w:space="0"/>
        </w:pBdr>
        <w:tabs>
          <w:tab w:val="left" w:pos="284"/>
          <w:tab w:val="left" w:pos="567"/>
        </w:tabs>
        <w:spacing w:after="0" w:line="240" w:lineRule="auto"/>
        <w:ind w:left="0" w:firstLine="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A aplicação de qualquer das penalidades previstas realizar-se-á em processo administrativo de responsabilização, que assegurará o contraditório e a ampla defesa, observando-se o procedimento previsto na Lei nº 14.133/2021 e o regulamento municipal, se for o caso.</w:t>
      </w:r>
    </w:p>
    <w:p w14:paraId="15BE88E0">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284"/>
          <w:tab w:val="left" w:pos="426"/>
        </w:tabs>
        <w:ind w:left="0" w:firstLine="0"/>
        <w:jc w:val="both"/>
        <w:rPr>
          <w:rFonts w:ascii="Book Antiqua" w:hAnsi="Book Antiqua"/>
          <w:b/>
          <w:sz w:val="20"/>
          <w:szCs w:val="20"/>
          <w:u w:val="single"/>
        </w:rPr>
      </w:pPr>
      <w:r>
        <w:rPr>
          <w:rFonts w:ascii="Book Antiqua" w:hAnsi="Book Antiqua"/>
          <w:b/>
          <w:sz w:val="20"/>
          <w:szCs w:val="20"/>
          <w:u w:val="single"/>
          <w:shd w:val="clear" w:color="auto" w:fill="D8D8D8" w:themeFill="background1" w:themeFillShade="D9"/>
        </w:rPr>
        <w:t>DA SUBCONTRATAÇÃO</w:t>
      </w:r>
    </w:p>
    <w:p w14:paraId="4995BD2F">
      <w:pPr>
        <w:numPr>
          <w:ilvl w:val="1"/>
          <w:numId w:val="10"/>
        </w:numPr>
        <w:tabs>
          <w:tab w:val="left" w:pos="426"/>
        </w:tabs>
        <w:ind w:left="0" w:firstLine="0"/>
        <w:contextualSpacing/>
        <w:jc w:val="both"/>
        <w:rPr>
          <w:rFonts w:ascii="Book Antiqua" w:hAnsi="Book Antiqua" w:eastAsia="Book Antiqua"/>
          <w:sz w:val="20"/>
          <w:szCs w:val="20"/>
        </w:rPr>
      </w:pPr>
      <w:r>
        <w:rPr>
          <w:rFonts w:ascii="Book Antiqua" w:hAnsi="Book Antiqua" w:eastAsia="Book Antiqua"/>
          <w:sz w:val="20"/>
          <w:szCs w:val="20"/>
        </w:rPr>
        <w:t>Não será admitida a subcontratação total do referido objeto.</w:t>
      </w:r>
    </w:p>
    <w:p w14:paraId="10879CAD">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142"/>
          <w:tab w:val="left" w:pos="284"/>
        </w:tabs>
        <w:ind w:left="0" w:firstLine="0"/>
        <w:jc w:val="both"/>
        <w:rPr>
          <w:rFonts w:ascii="Book Antiqua" w:hAnsi="Book Antiqua"/>
          <w:b/>
          <w:sz w:val="20"/>
          <w:szCs w:val="20"/>
          <w:u w:val="single"/>
        </w:rPr>
      </w:pPr>
      <w:r>
        <w:rPr>
          <w:rFonts w:ascii="Book Antiqua" w:hAnsi="Book Antiqua"/>
          <w:b/>
          <w:sz w:val="20"/>
          <w:szCs w:val="20"/>
          <w:u w:val="single"/>
          <w:shd w:val="clear" w:color="auto" w:fill="D8D8D8" w:themeFill="background1" w:themeFillShade="D9"/>
        </w:rPr>
        <w:t>MEDIDAS ACAUTELADORAS</w:t>
      </w:r>
    </w:p>
    <w:p w14:paraId="3D926234">
      <w:pPr>
        <w:pStyle w:val="66"/>
        <w:numPr>
          <w:ilvl w:val="1"/>
          <w:numId w:val="10"/>
        </w:numPr>
        <w:tabs>
          <w:tab w:val="left" w:pos="284"/>
          <w:tab w:val="left" w:pos="426"/>
        </w:tabs>
        <w:spacing w:after="0" w:line="240" w:lineRule="auto"/>
        <w:ind w:left="0" w:firstLine="0"/>
        <w:jc w:val="both"/>
        <w:rPr>
          <w:rFonts w:ascii="Book Antiqua" w:hAnsi="Book Antiqua" w:eastAsia="Book Antiqua"/>
          <w:sz w:val="20"/>
          <w:szCs w:val="20"/>
        </w:rPr>
      </w:pPr>
      <w:r>
        <w:rPr>
          <w:rFonts w:ascii="Book Antiqua" w:hAnsi="Book Antiqua" w:eastAsia="Book Antiqua"/>
          <w:sz w:val="20"/>
          <w:szCs w:val="20"/>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3CE3810">
      <w:pPr>
        <w:numPr>
          <w:ilvl w:val="0"/>
          <w:numId w:val="10"/>
        </w:numPr>
        <w:pBdr>
          <w:top w:val="none" w:color="auto" w:sz="0" w:space="0"/>
          <w:left w:val="none" w:color="auto" w:sz="0" w:space="0"/>
          <w:bottom w:val="none" w:color="auto" w:sz="0" w:space="0"/>
          <w:right w:val="none" w:color="auto" w:sz="0" w:space="0"/>
          <w:between w:val="none" w:color="auto" w:sz="0" w:space="0"/>
        </w:pBdr>
        <w:tabs>
          <w:tab w:val="left" w:pos="284"/>
        </w:tabs>
        <w:ind w:left="0" w:firstLine="0"/>
        <w:jc w:val="both"/>
        <w:rPr>
          <w:rFonts w:ascii="Book Antiqua" w:hAnsi="Book Antiqua"/>
          <w:b/>
          <w:sz w:val="20"/>
          <w:szCs w:val="20"/>
          <w:u w:val="single"/>
        </w:rPr>
      </w:pPr>
      <w:r>
        <w:rPr>
          <w:rFonts w:ascii="Book Antiqua" w:hAnsi="Book Antiqua"/>
          <w:b/>
          <w:sz w:val="20"/>
          <w:szCs w:val="20"/>
          <w:u w:val="single"/>
          <w:shd w:val="clear" w:color="auto" w:fill="D8D8D8" w:themeFill="background1" w:themeFillShade="D9"/>
        </w:rPr>
        <w:t>CONTROLE DA EXECUÇÃO</w:t>
      </w:r>
    </w:p>
    <w:p w14:paraId="0949891E">
      <w:pPr>
        <w:widowControl w:val="0"/>
        <w:numPr>
          <w:ilvl w:val="1"/>
          <w:numId w:val="10"/>
        </w:numPr>
        <w:pBdr>
          <w:top w:val="none" w:color="auto" w:sz="0" w:space="0"/>
          <w:left w:val="none" w:color="auto" w:sz="0" w:space="0"/>
          <w:bottom w:val="none" w:color="auto" w:sz="0" w:space="0"/>
          <w:right w:val="none" w:color="auto" w:sz="0" w:space="0"/>
          <w:between w:val="none" w:color="auto" w:sz="0" w:space="0"/>
        </w:pBdr>
        <w:tabs>
          <w:tab w:val="left" w:pos="426"/>
        </w:tabs>
        <w:ind w:left="0" w:firstLine="0"/>
        <w:jc w:val="both"/>
        <w:rPr>
          <w:rFonts w:ascii="Book Antiqua" w:hAnsi="Book Antiqua"/>
          <w:sz w:val="20"/>
          <w:szCs w:val="20"/>
        </w:rPr>
      </w:pPr>
      <w:r>
        <w:rPr>
          <w:rFonts w:ascii="Book Antiqua" w:hAnsi="Book Antiqua"/>
          <w:sz w:val="20"/>
          <w:szCs w:val="20"/>
        </w:rPr>
        <w:t xml:space="preserve">A fiscalização da contratação será exercida por um representante da Administração, ao qual competirá dirimir as dúvidas que surgirem no curso da execução do contrato, e de tudo dará ciência à Administração. </w:t>
      </w:r>
    </w:p>
    <w:p w14:paraId="651E0C6D">
      <w:pPr>
        <w:widowControl w:val="0"/>
        <w:numPr>
          <w:ilvl w:val="1"/>
          <w:numId w:val="10"/>
        </w:numPr>
        <w:pBdr>
          <w:top w:val="none" w:color="auto" w:sz="0" w:space="0"/>
          <w:left w:val="none" w:color="auto" w:sz="0" w:space="0"/>
          <w:bottom w:val="none" w:color="auto" w:sz="0" w:space="0"/>
          <w:right w:val="none" w:color="auto" w:sz="0" w:space="0"/>
          <w:between w:val="none" w:color="auto" w:sz="0" w:space="0"/>
        </w:pBdr>
        <w:tabs>
          <w:tab w:val="left" w:pos="426"/>
        </w:tabs>
        <w:ind w:left="0" w:firstLine="0"/>
        <w:jc w:val="both"/>
        <w:rPr>
          <w:rFonts w:ascii="Book Antiqua" w:hAnsi="Book Antiqua"/>
          <w:sz w:val="20"/>
          <w:szCs w:val="20"/>
        </w:rPr>
      </w:pPr>
      <w:r>
        <w:rPr>
          <w:rFonts w:ascii="Book Antiqua" w:hAnsi="Book Antiqua"/>
          <w:sz w:val="20"/>
          <w:szCs w:val="20"/>
        </w:rPr>
        <w:t>O representante da Contratante deverá ter a experiência necessária para o acompanhamento e controle da execução do contrato.</w:t>
      </w:r>
    </w:p>
    <w:p w14:paraId="4CCFAB35">
      <w:pPr>
        <w:widowControl w:val="0"/>
        <w:numPr>
          <w:ilvl w:val="1"/>
          <w:numId w:val="10"/>
        </w:numPr>
        <w:pBdr>
          <w:top w:val="none" w:color="auto" w:sz="0" w:space="0"/>
          <w:left w:val="none" w:color="auto" w:sz="0" w:space="0"/>
          <w:bottom w:val="none" w:color="auto" w:sz="0" w:space="0"/>
          <w:right w:val="none" w:color="auto" w:sz="0" w:space="0"/>
          <w:between w:val="none" w:color="auto" w:sz="0" w:space="0"/>
        </w:pBdr>
        <w:tabs>
          <w:tab w:val="left" w:pos="426"/>
        </w:tabs>
        <w:ind w:left="0" w:firstLine="0"/>
        <w:jc w:val="both"/>
        <w:rPr>
          <w:rFonts w:ascii="Book Antiqua" w:hAnsi="Book Antiqua"/>
          <w:sz w:val="20"/>
          <w:szCs w:val="20"/>
        </w:rPr>
      </w:pPr>
      <w:r>
        <w:rPr>
          <w:rFonts w:ascii="Book Antiqua" w:hAnsi="Book Antiqua"/>
          <w:sz w:val="20"/>
          <w:szCs w:val="20"/>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55E7E286">
      <w:pPr>
        <w:widowControl w:val="0"/>
        <w:numPr>
          <w:ilvl w:val="1"/>
          <w:numId w:val="10"/>
        </w:numPr>
        <w:pBdr>
          <w:top w:val="none" w:color="auto" w:sz="0" w:space="0"/>
          <w:left w:val="none" w:color="auto" w:sz="0" w:space="0"/>
          <w:bottom w:val="none" w:color="auto" w:sz="0" w:space="0"/>
          <w:right w:val="none" w:color="auto" w:sz="0" w:space="0"/>
          <w:between w:val="none" w:color="auto" w:sz="0" w:space="0"/>
        </w:pBdr>
        <w:tabs>
          <w:tab w:val="left" w:pos="426"/>
        </w:tabs>
        <w:ind w:left="0" w:firstLine="0"/>
        <w:jc w:val="both"/>
        <w:rPr>
          <w:rFonts w:ascii="Book Antiqua" w:hAnsi="Book Antiqua"/>
          <w:sz w:val="20"/>
          <w:szCs w:val="20"/>
        </w:rPr>
      </w:pPr>
      <w:r>
        <w:rPr>
          <w:rFonts w:ascii="Book Antiqua" w:hAnsi="Book Antiqua"/>
          <w:sz w:val="20"/>
          <w:szCs w:val="20"/>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bookmarkStart w:id="15" w:name="_heading=h.30j0zll" w:colFirst="0" w:colLast="0"/>
      <w:bookmarkEnd w:id="15"/>
    </w:p>
    <w:p w14:paraId="7CF7DA1C">
      <w:pPr>
        <w:jc w:val="center"/>
        <w:rPr>
          <w:rFonts w:ascii="Book Antiqua" w:hAnsi="Book Antiqua"/>
          <w:bCs/>
          <w:sz w:val="20"/>
          <w:szCs w:val="20"/>
        </w:rPr>
      </w:pPr>
    </w:p>
    <w:p w14:paraId="416B9D3A">
      <w:pPr>
        <w:jc w:val="center"/>
        <w:rPr>
          <w:rFonts w:ascii="Book Antiqua" w:hAnsi="Book Antiqua"/>
          <w:bCs/>
          <w:sz w:val="20"/>
          <w:szCs w:val="20"/>
        </w:rPr>
      </w:pPr>
    </w:p>
    <w:p w14:paraId="1EDF4AC3">
      <w:pPr>
        <w:jc w:val="center"/>
        <w:rPr>
          <w:rFonts w:ascii="Book Antiqua" w:hAnsi="Book Antiqua"/>
          <w:bCs/>
          <w:sz w:val="20"/>
          <w:szCs w:val="20"/>
        </w:rPr>
      </w:pPr>
      <w:r>
        <w:rPr>
          <w:rFonts w:ascii="Book Antiqua" w:hAnsi="Book Antiqua"/>
          <w:bCs/>
          <w:sz w:val="20"/>
          <w:szCs w:val="20"/>
        </w:rPr>
        <w:t>São José de Mipibu/RN, 28 de outubro de 2025</w:t>
      </w:r>
    </w:p>
    <w:p w14:paraId="692EDA47">
      <w:pPr>
        <w:jc w:val="center"/>
        <w:rPr>
          <w:rFonts w:ascii="Book Antiqua" w:hAnsi="Book Antiqua"/>
          <w:bCs/>
          <w:sz w:val="20"/>
          <w:szCs w:val="20"/>
        </w:rPr>
      </w:pPr>
    </w:p>
    <w:p w14:paraId="467757AA">
      <w:pPr>
        <w:jc w:val="center"/>
        <w:rPr>
          <w:rFonts w:ascii="Book Antiqua" w:hAnsi="Book Antiqua"/>
          <w:bCs/>
          <w:sz w:val="20"/>
          <w:szCs w:val="20"/>
        </w:rPr>
      </w:pPr>
    </w:p>
    <w:p w14:paraId="03651C07">
      <w:pPr>
        <w:jc w:val="center"/>
        <w:rPr>
          <w:rFonts w:ascii="Book Antiqua" w:hAnsi="Book Antiqua"/>
          <w:b/>
          <w:sz w:val="20"/>
          <w:szCs w:val="20"/>
        </w:rPr>
      </w:pPr>
      <w:bookmarkStart w:id="16" w:name="_Hlk208917125"/>
      <w:r>
        <w:rPr>
          <w:rFonts w:ascii="Book Antiqua" w:hAnsi="Book Antiqua"/>
          <w:b/>
          <w:sz w:val="20"/>
          <w:szCs w:val="20"/>
        </w:rPr>
        <w:t>JEFFERSON SOUZA DE OLIVEIRA</w:t>
      </w:r>
    </w:p>
    <w:p w14:paraId="7B637644">
      <w:pPr>
        <w:jc w:val="center"/>
        <w:rPr>
          <w:rFonts w:ascii="Book Antiqua" w:hAnsi="Book Antiqua"/>
          <w:b/>
          <w:sz w:val="20"/>
          <w:szCs w:val="20"/>
        </w:rPr>
      </w:pPr>
      <w:r>
        <w:rPr>
          <w:rFonts w:ascii="Book Antiqua" w:hAnsi="Book Antiqua"/>
          <w:b/>
          <w:sz w:val="20"/>
          <w:szCs w:val="20"/>
        </w:rPr>
        <w:t>Secretário Municipal de Saúde</w:t>
      </w:r>
    </w:p>
    <w:bookmarkEnd w:id="16"/>
    <w:p w14:paraId="3CD7CD44">
      <w:pPr>
        <w:jc w:val="center"/>
        <w:rPr>
          <w:rFonts w:ascii="Book Antiqua" w:hAnsi="Book Antiqua"/>
          <w:b/>
          <w:sz w:val="20"/>
          <w:szCs w:val="20"/>
        </w:rPr>
      </w:pPr>
    </w:p>
    <w:p w14:paraId="6A99C816">
      <w:pPr>
        <w:jc w:val="center"/>
        <w:rPr>
          <w:rFonts w:ascii="Book Antiqua" w:hAnsi="Book Antiqua"/>
          <w:b/>
          <w:sz w:val="20"/>
          <w:szCs w:val="20"/>
        </w:rPr>
      </w:pPr>
    </w:p>
    <w:p w14:paraId="5656E531">
      <w:pPr>
        <w:jc w:val="center"/>
        <w:rPr>
          <w:rFonts w:ascii="Book Antiqua" w:hAnsi="Book Antiqua"/>
          <w:b/>
          <w:bCs/>
          <w:color w:val="000000" w:themeColor="text1"/>
          <w:sz w:val="20"/>
          <w:szCs w:val="20"/>
          <w:u w:val="single"/>
          <w14:textFill>
            <w14:solidFill>
              <w14:schemeClr w14:val="tx1"/>
            </w14:solidFill>
          </w14:textFill>
        </w:rPr>
      </w:pPr>
      <w:bookmarkStart w:id="17" w:name="_Hlk164381226"/>
    </w:p>
    <w:p w14:paraId="1FF61567">
      <w:pPr>
        <w:jc w:val="center"/>
        <w:rPr>
          <w:rFonts w:ascii="Book Antiqua" w:hAnsi="Book Antiqua"/>
          <w:b/>
          <w:bCs/>
          <w:color w:val="000000" w:themeColor="text1"/>
          <w:sz w:val="20"/>
          <w:szCs w:val="20"/>
          <w:u w:val="single"/>
          <w14:textFill>
            <w14:solidFill>
              <w14:schemeClr w14:val="tx1"/>
            </w14:solidFill>
          </w14:textFill>
        </w:rPr>
      </w:pPr>
    </w:p>
    <w:p w14:paraId="168C076E">
      <w:pPr>
        <w:jc w:val="center"/>
        <w:rPr>
          <w:rFonts w:ascii="Book Antiqua" w:hAnsi="Book Antiqua"/>
          <w:b/>
          <w:bCs/>
          <w:color w:val="000000" w:themeColor="text1"/>
          <w:sz w:val="20"/>
          <w:szCs w:val="20"/>
          <w:u w:val="single"/>
          <w14:textFill>
            <w14:solidFill>
              <w14:schemeClr w14:val="tx1"/>
            </w14:solidFill>
          </w14:textFill>
        </w:rPr>
      </w:pPr>
    </w:p>
    <w:p w14:paraId="18582628">
      <w:pPr>
        <w:jc w:val="center"/>
        <w:rPr>
          <w:rFonts w:ascii="Book Antiqua" w:hAnsi="Book Antiqua"/>
          <w:b/>
          <w:bCs/>
          <w:color w:val="000000" w:themeColor="text1"/>
          <w:sz w:val="20"/>
          <w:szCs w:val="20"/>
          <w:u w:val="single"/>
          <w14:textFill>
            <w14:solidFill>
              <w14:schemeClr w14:val="tx1"/>
            </w14:solidFill>
          </w14:textFill>
        </w:rPr>
      </w:pPr>
    </w:p>
    <w:p w14:paraId="41906985">
      <w:pPr>
        <w:jc w:val="center"/>
        <w:rPr>
          <w:rFonts w:ascii="Book Antiqua" w:hAnsi="Book Antiqua"/>
          <w:b/>
          <w:bCs/>
          <w:color w:val="000000" w:themeColor="text1"/>
          <w:sz w:val="20"/>
          <w:szCs w:val="20"/>
          <w:u w:val="single"/>
          <w14:textFill>
            <w14:solidFill>
              <w14:schemeClr w14:val="tx1"/>
            </w14:solidFill>
          </w14:textFill>
        </w:rPr>
      </w:pPr>
    </w:p>
    <w:p w14:paraId="43E05A34">
      <w:pPr>
        <w:jc w:val="center"/>
        <w:rPr>
          <w:rFonts w:ascii="Book Antiqua" w:hAnsi="Book Antiqua"/>
          <w:b/>
          <w:bCs/>
          <w:color w:val="000000" w:themeColor="text1"/>
          <w:sz w:val="20"/>
          <w:szCs w:val="20"/>
          <w:u w:val="single"/>
          <w14:textFill>
            <w14:solidFill>
              <w14:schemeClr w14:val="tx1"/>
            </w14:solidFill>
          </w14:textFill>
        </w:rPr>
      </w:pPr>
    </w:p>
    <w:p w14:paraId="12E174E8">
      <w:pPr>
        <w:jc w:val="center"/>
        <w:rPr>
          <w:rFonts w:ascii="Book Antiqua" w:hAnsi="Book Antiqua"/>
          <w:b/>
          <w:bCs/>
          <w:color w:val="000000" w:themeColor="text1"/>
          <w:sz w:val="20"/>
          <w:szCs w:val="20"/>
          <w:u w:val="single"/>
          <w14:textFill>
            <w14:solidFill>
              <w14:schemeClr w14:val="tx1"/>
            </w14:solidFill>
          </w14:textFill>
        </w:rPr>
      </w:pPr>
    </w:p>
    <w:p w14:paraId="58A3342F">
      <w:pPr>
        <w:jc w:val="center"/>
        <w:rPr>
          <w:rFonts w:ascii="Book Antiqua" w:hAnsi="Book Antiqua"/>
          <w:b/>
          <w:bCs/>
          <w:color w:val="000000" w:themeColor="text1"/>
          <w:sz w:val="20"/>
          <w:szCs w:val="20"/>
          <w:u w:val="single"/>
          <w14:textFill>
            <w14:solidFill>
              <w14:schemeClr w14:val="tx1"/>
            </w14:solidFill>
          </w14:textFill>
        </w:rPr>
      </w:pPr>
    </w:p>
    <w:p w14:paraId="6D40D7FD">
      <w:pPr>
        <w:jc w:val="center"/>
        <w:rPr>
          <w:rFonts w:ascii="Book Antiqua" w:hAnsi="Book Antiqua"/>
          <w:b/>
          <w:bCs/>
          <w:color w:val="000000" w:themeColor="text1"/>
          <w:sz w:val="20"/>
          <w:szCs w:val="20"/>
          <w:u w:val="single"/>
          <w14:textFill>
            <w14:solidFill>
              <w14:schemeClr w14:val="tx1"/>
            </w14:solidFill>
          </w14:textFill>
        </w:rPr>
      </w:pPr>
      <w:r>
        <w:rPr>
          <w:rFonts w:ascii="Book Antiqua" w:hAnsi="Book Antiqua"/>
          <w:b/>
          <w:bCs/>
          <w:color w:val="000000" w:themeColor="text1"/>
          <w:sz w:val="20"/>
          <w:szCs w:val="20"/>
          <w:u w:val="single"/>
          <w14:textFill>
            <w14:solidFill>
              <w14:schemeClr w14:val="tx1"/>
            </w14:solidFill>
          </w14:textFill>
        </w:rPr>
        <w:t>ANEXO II – MINUTA DE ATA DE REGISTRO DE PREÇO</w:t>
      </w:r>
    </w:p>
    <w:p w14:paraId="485FBF6E">
      <w:pPr>
        <w:jc w:val="center"/>
        <w:rPr>
          <w:rFonts w:ascii="Book Antiqua" w:hAnsi="Book Antiqua"/>
          <w:b/>
          <w:bCs/>
          <w:color w:val="000000" w:themeColor="text1"/>
          <w:sz w:val="20"/>
          <w:szCs w:val="20"/>
          <w:u w:val="single"/>
          <w14:textFill>
            <w14:solidFill>
              <w14:schemeClr w14:val="tx1"/>
            </w14:solidFill>
          </w14:textFill>
        </w:rPr>
      </w:pPr>
    </w:p>
    <w:p w14:paraId="1DF7834A">
      <w:pPr>
        <w:jc w:val="both"/>
        <w:rPr>
          <w:rFonts w:ascii="Book Antiqua" w:hAnsi="Book Antiqua"/>
          <w:b/>
          <w:bCs/>
          <w:sz w:val="20"/>
          <w:szCs w:val="20"/>
        </w:rPr>
      </w:pPr>
    </w:p>
    <w:p w14:paraId="3B745D76">
      <w:pPr>
        <w:ind w:firstLine="1701"/>
        <w:jc w:val="both"/>
        <w:rPr>
          <w:rFonts w:ascii="Book Antiqua" w:hAnsi="Book Antiqua"/>
          <w:sz w:val="20"/>
          <w:szCs w:val="20"/>
        </w:rPr>
      </w:pPr>
      <w:r>
        <w:rPr>
          <w:rFonts w:ascii="Book Antiqua" w:hAnsi="Book Antiqua"/>
          <w:sz w:val="20"/>
          <w:szCs w:val="20"/>
        </w:rPr>
        <w:t xml:space="preserve">Aos </w:t>
      </w:r>
      <w:r>
        <w:rPr>
          <w:rFonts w:ascii="Book Antiqua" w:hAnsi="Book Antiqua"/>
          <w:b/>
          <w:sz w:val="20"/>
          <w:szCs w:val="20"/>
        </w:rPr>
        <w:t>XX</w:t>
      </w:r>
      <w:r>
        <w:rPr>
          <w:rFonts w:ascii="Book Antiqua" w:hAnsi="Book Antiqua"/>
          <w:sz w:val="20"/>
          <w:szCs w:val="20"/>
        </w:rPr>
        <w:t xml:space="preserve"> dias do mês de </w:t>
      </w:r>
      <w:r>
        <w:rPr>
          <w:rFonts w:ascii="Book Antiqua" w:hAnsi="Book Antiqua"/>
          <w:b/>
          <w:sz w:val="20"/>
          <w:szCs w:val="20"/>
        </w:rPr>
        <w:t>XXXX</w:t>
      </w:r>
      <w:r>
        <w:rPr>
          <w:rFonts w:ascii="Book Antiqua" w:hAnsi="Book Antiqua"/>
          <w:sz w:val="20"/>
          <w:szCs w:val="20"/>
        </w:rPr>
        <w:t xml:space="preserve"> de </w:t>
      </w:r>
      <w:r>
        <w:rPr>
          <w:rFonts w:ascii="Book Antiqua" w:hAnsi="Book Antiqua"/>
          <w:b/>
          <w:sz w:val="20"/>
          <w:szCs w:val="20"/>
        </w:rPr>
        <w:t>XXXX</w:t>
      </w:r>
      <w:r>
        <w:rPr>
          <w:rFonts w:ascii="Book Antiqua" w:hAnsi="Book Antiqua"/>
          <w:sz w:val="20"/>
          <w:szCs w:val="20"/>
        </w:rPr>
        <w:t xml:space="preserve">, o Município de o </w:t>
      </w:r>
      <w:r>
        <w:rPr>
          <w:rFonts w:ascii="Book Antiqua" w:hAnsi="Book Antiqua"/>
          <w:b/>
          <w:bCs/>
          <w:sz w:val="20"/>
          <w:szCs w:val="20"/>
        </w:rPr>
        <w:t>Município de São José de Mipibu</w:t>
      </w:r>
      <w:r>
        <w:rPr>
          <w:rFonts w:ascii="Book Antiqua" w:hAnsi="Book Antiqua"/>
          <w:sz w:val="20"/>
          <w:szCs w:val="20"/>
        </w:rPr>
        <w:t xml:space="preserve">, Estado do Rio Grande do Norte, através da Prefeitura Municipal, Pessoa jurídica de Direito Público, inscrita no CNPJ/MF sob o nº 08.365.850/0001-03, com sede à Rua 26 de Julho, 08 – Centro - São José de Mipibu/RN, neste ato representado pelo seu </w:t>
      </w:r>
      <w:r>
        <w:rPr>
          <w:rFonts w:ascii="Book Antiqua" w:hAnsi="Book Antiqua"/>
          <w:b/>
          <w:bCs/>
          <w:sz w:val="20"/>
          <w:szCs w:val="20"/>
        </w:rPr>
        <w:t>Secretário Geral</w:t>
      </w:r>
      <w:r>
        <w:rPr>
          <w:rFonts w:ascii="Book Antiqua" w:hAnsi="Book Antiqua"/>
          <w:sz w:val="20"/>
          <w:szCs w:val="20"/>
        </w:rPr>
        <w:t xml:space="preserve">, Senhor </w:t>
      </w:r>
      <w:r>
        <w:rPr>
          <w:rFonts w:ascii="Book Antiqua" w:hAnsi="Book Antiqua"/>
          <w:b/>
          <w:bCs/>
          <w:sz w:val="20"/>
          <w:szCs w:val="20"/>
        </w:rPr>
        <w:t>Maurício José Gomes de Melo</w:t>
      </w:r>
      <w:r>
        <w:rPr>
          <w:rFonts w:ascii="Book Antiqua" w:hAnsi="Book Antiqua"/>
          <w:sz w:val="20"/>
          <w:szCs w:val="20"/>
        </w:rPr>
        <w:t>, brasileiro, casado, funcionário público, inscrito no CPF (MF) sob o nº 435.323.147-20 e portador do RG nº 1.697.761-SSP/RN</w:t>
      </w:r>
      <w:r>
        <w:rPr>
          <w:rFonts w:ascii="Book Antiqua" w:hAnsi="Book Antiqua"/>
          <w:bCs/>
          <w:sz w:val="20"/>
          <w:szCs w:val="20"/>
          <w:lang w:eastAsia="ar-SA"/>
        </w:rPr>
        <w:t xml:space="preserve">. </w:t>
      </w:r>
      <w:r>
        <w:rPr>
          <w:rFonts w:ascii="Book Antiqua" w:hAnsi="Book Antiqua"/>
          <w:sz w:val="20"/>
          <w:szCs w:val="20"/>
        </w:rPr>
        <w:t xml:space="preserve">Nos termos da Lei Federal nº 14.133 de 01 de Abril de </w:t>
      </w:r>
      <w:r>
        <w:rPr>
          <w:rFonts w:ascii="Book Antiqua" w:hAnsi="Book Antiqua"/>
          <w:color w:val="000000" w:themeColor="text1"/>
          <w:sz w:val="20"/>
          <w:szCs w:val="20"/>
          <w14:textFill>
            <w14:solidFill>
              <w14:schemeClr w14:val="tx1"/>
            </w14:solidFill>
          </w14:textFill>
        </w:rPr>
        <w:t xml:space="preserve">2021; Decreto Municipal nº 008, de 05 de Fevereiro de 2024; </w:t>
      </w:r>
      <w:r>
        <w:rPr>
          <w:rFonts w:ascii="Book Antiqua" w:hAnsi="Book Antiqua"/>
          <w:sz w:val="20"/>
          <w:szCs w:val="20"/>
        </w:rPr>
        <w:t xml:space="preserve">à Lei nº 8.078/1990 - Código de Defesa do Consumidor, e as demais normas legais correlatas, em face da classificação das propostas apresentadas no </w:t>
      </w:r>
      <w:r>
        <w:rPr>
          <w:rFonts w:ascii="Book Antiqua" w:hAnsi="Book Antiqua"/>
          <w:b/>
          <w:sz w:val="20"/>
          <w:szCs w:val="20"/>
          <w:highlight w:val="yellow"/>
        </w:rPr>
        <w:t>Pregão Eletrônico para Registro de Preços nº XXXX/XXXX</w:t>
      </w:r>
      <w:r>
        <w:rPr>
          <w:rFonts w:ascii="Book Antiqua" w:hAnsi="Book Antiqua"/>
          <w:sz w:val="20"/>
          <w:szCs w:val="20"/>
        </w:rPr>
        <w:t>, resolve REGISTRAR OS PREÇOS para a eventual contratação dos itens elencados em anexo, conforme especificações do Termo de Referência, que passa a fazer parte integrante desta, tendo sido, os referidos preços, oferecidos pela empresa:</w:t>
      </w:r>
    </w:p>
    <w:p w14:paraId="7A325ED1">
      <w:pPr>
        <w:jc w:val="both"/>
        <w:rPr>
          <w:rFonts w:ascii="Book Antiqua" w:hAnsi="Book Antiqua"/>
          <w:sz w:val="20"/>
          <w:szCs w:val="20"/>
        </w:rPr>
      </w:pPr>
    </w:p>
    <w:p w14:paraId="796C67CA">
      <w:pPr>
        <w:ind w:firstLine="1701"/>
        <w:jc w:val="both"/>
        <w:rPr>
          <w:rFonts w:ascii="Book Antiqua" w:hAnsi="Book Antiqua"/>
          <w:sz w:val="20"/>
          <w:szCs w:val="20"/>
        </w:rPr>
      </w:pPr>
      <w:r>
        <w:rPr>
          <w:rFonts w:ascii="Book Antiqua" w:hAnsi="Book Antiqua"/>
          <w:b/>
          <w:bCs/>
          <w:sz w:val="20"/>
          <w:szCs w:val="20"/>
          <w:highlight w:val="yellow"/>
          <w:lang w:eastAsia="ar-SA"/>
        </w:rPr>
        <w:t>XXXX</w:t>
      </w:r>
      <w:r>
        <w:rPr>
          <w:rFonts w:ascii="Book Antiqua" w:hAnsi="Book Antiqua"/>
          <w:sz w:val="20"/>
          <w:szCs w:val="20"/>
          <w:highlight w:val="yellow"/>
          <w:lang w:eastAsia="ar-SA"/>
        </w:rPr>
        <w:t>, inscrita no CNPJ</w:t>
      </w:r>
      <w:r>
        <w:rPr>
          <w:rFonts w:ascii="Book Antiqua" w:hAnsi="Book Antiqua"/>
          <w:iCs/>
          <w:sz w:val="20"/>
          <w:szCs w:val="20"/>
          <w:highlight w:val="yellow"/>
          <w:lang w:eastAsia="ar-SA"/>
        </w:rPr>
        <w:t xml:space="preserve"> sob o nº </w:t>
      </w:r>
      <w:r>
        <w:rPr>
          <w:rFonts w:ascii="Book Antiqua" w:hAnsi="Book Antiqua"/>
          <w:b/>
          <w:bCs/>
          <w:iCs/>
          <w:sz w:val="20"/>
          <w:szCs w:val="20"/>
          <w:highlight w:val="yellow"/>
          <w:lang w:eastAsia="ar-SA"/>
        </w:rPr>
        <w:t>XXXX</w:t>
      </w:r>
      <w:r>
        <w:rPr>
          <w:rFonts w:ascii="Book Antiqua" w:hAnsi="Book Antiqua"/>
          <w:iCs/>
          <w:sz w:val="20"/>
          <w:szCs w:val="20"/>
          <w:highlight w:val="yellow"/>
          <w:lang w:eastAsia="ar-SA"/>
        </w:rPr>
        <w:t xml:space="preserve">, com sede na </w:t>
      </w:r>
      <w:r>
        <w:rPr>
          <w:rFonts w:ascii="Book Antiqua" w:hAnsi="Book Antiqua"/>
          <w:b/>
          <w:bCs/>
          <w:iCs/>
          <w:sz w:val="20"/>
          <w:szCs w:val="20"/>
          <w:highlight w:val="yellow"/>
          <w:lang w:eastAsia="ar-SA"/>
        </w:rPr>
        <w:t>XXXX</w:t>
      </w:r>
      <w:r>
        <w:rPr>
          <w:rFonts w:ascii="Book Antiqua" w:hAnsi="Book Antiqua"/>
          <w:iCs/>
          <w:sz w:val="20"/>
          <w:szCs w:val="20"/>
          <w:highlight w:val="yellow"/>
          <w:lang w:eastAsia="ar-SA"/>
        </w:rPr>
        <w:t xml:space="preserve">, CEP </w:t>
      </w:r>
      <w:r>
        <w:rPr>
          <w:rFonts w:ascii="Book Antiqua" w:hAnsi="Book Antiqua"/>
          <w:b/>
          <w:bCs/>
          <w:iCs/>
          <w:sz w:val="20"/>
          <w:szCs w:val="20"/>
          <w:highlight w:val="yellow"/>
          <w:lang w:eastAsia="ar-SA"/>
        </w:rPr>
        <w:t>XXXX</w:t>
      </w:r>
      <w:r>
        <w:rPr>
          <w:rFonts w:ascii="Book Antiqua" w:hAnsi="Book Antiqua"/>
          <w:iCs/>
          <w:sz w:val="20"/>
          <w:szCs w:val="20"/>
          <w:highlight w:val="yellow"/>
          <w:lang w:eastAsia="ar-SA"/>
        </w:rPr>
        <w:t xml:space="preserve">, no Município de </w:t>
      </w:r>
      <w:r>
        <w:rPr>
          <w:rFonts w:ascii="Book Antiqua" w:hAnsi="Book Antiqua"/>
          <w:b/>
          <w:bCs/>
          <w:iCs/>
          <w:sz w:val="20"/>
          <w:szCs w:val="20"/>
          <w:highlight w:val="yellow"/>
          <w:lang w:eastAsia="ar-SA"/>
        </w:rPr>
        <w:t>XXXX</w:t>
      </w:r>
      <w:r>
        <w:rPr>
          <w:rFonts w:ascii="Book Antiqua" w:hAnsi="Book Antiqua"/>
          <w:iCs/>
          <w:sz w:val="20"/>
          <w:szCs w:val="20"/>
          <w:highlight w:val="yellow"/>
          <w:lang w:eastAsia="ar-SA"/>
        </w:rPr>
        <w:t xml:space="preserve">, </w:t>
      </w:r>
      <w:r>
        <w:rPr>
          <w:rFonts w:ascii="Book Antiqua" w:hAnsi="Book Antiqua"/>
          <w:sz w:val="20"/>
          <w:szCs w:val="20"/>
          <w:highlight w:val="yellow"/>
          <w:lang w:eastAsia="ar-SA"/>
        </w:rPr>
        <w:t xml:space="preserve">neste ato representada pelo(a) Sr(a). </w:t>
      </w:r>
      <w:r>
        <w:rPr>
          <w:rFonts w:ascii="Book Antiqua" w:hAnsi="Book Antiqua"/>
          <w:b/>
          <w:bCs/>
          <w:sz w:val="20"/>
          <w:szCs w:val="20"/>
          <w:highlight w:val="yellow"/>
          <w:lang w:eastAsia="ar-SA"/>
        </w:rPr>
        <w:t>XXXX</w:t>
      </w:r>
      <w:r>
        <w:rPr>
          <w:rFonts w:ascii="Book Antiqua" w:hAnsi="Book Antiqua"/>
          <w:sz w:val="20"/>
          <w:szCs w:val="20"/>
          <w:highlight w:val="yellow"/>
          <w:lang w:eastAsia="ar-SA"/>
        </w:rPr>
        <w:t xml:space="preserve">, portador(a) da Cédula de Identidade nº </w:t>
      </w:r>
      <w:r>
        <w:rPr>
          <w:rFonts w:ascii="Book Antiqua" w:hAnsi="Book Antiqua"/>
          <w:b/>
          <w:bCs/>
          <w:sz w:val="20"/>
          <w:szCs w:val="20"/>
          <w:highlight w:val="yellow"/>
          <w:lang w:eastAsia="ar-SA"/>
        </w:rPr>
        <w:t>XXXX</w:t>
      </w:r>
      <w:r>
        <w:rPr>
          <w:rFonts w:ascii="Book Antiqua" w:hAnsi="Book Antiqua"/>
          <w:sz w:val="20"/>
          <w:szCs w:val="20"/>
          <w:highlight w:val="yellow"/>
          <w:lang w:eastAsia="ar-SA"/>
        </w:rPr>
        <w:t xml:space="preserve"> e CPF nº </w:t>
      </w:r>
      <w:r>
        <w:rPr>
          <w:rFonts w:ascii="Book Antiqua" w:hAnsi="Book Antiqua"/>
          <w:b/>
          <w:bCs/>
          <w:sz w:val="20"/>
          <w:szCs w:val="20"/>
          <w:highlight w:val="yellow"/>
          <w:lang w:eastAsia="ar-SA"/>
        </w:rPr>
        <w:t>XXXX</w:t>
      </w:r>
      <w:r>
        <w:rPr>
          <w:rFonts w:ascii="Book Antiqua" w:hAnsi="Book Antiqua"/>
          <w:sz w:val="20"/>
          <w:szCs w:val="20"/>
          <w:highlight w:val="yellow"/>
          <w:lang w:eastAsia="ar-SA"/>
        </w:rPr>
        <w:t>,</w:t>
      </w:r>
      <w:r>
        <w:rPr>
          <w:rFonts w:ascii="Book Antiqua" w:hAnsi="Book Antiqua"/>
          <w:sz w:val="20"/>
          <w:szCs w:val="20"/>
          <w:highlight w:val="yellow"/>
        </w:rPr>
        <w:t xml:space="preserve"> cuja proposta foi classificada em </w:t>
      </w:r>
      <w:r>
        <w:rPr>
          <w:rFonts w:ascii="Book Antiqua" w:hAnsi="Book Antiqua"/>
          <w:b/>
          <w:sz w:val="20"/>
          <w:szCs w:val="20"/>
          <w:highlight w:val="yellow"/>
        </w:rPr>
        <w:t>XX</w:t>
      </w:r>
      <w:r>
        <w:rPr>
          <w:rFonts w:ascii="Book Antiqua" w:hAnsi="Book Antiqua"/>
          <w:sz w:val="20"/>
          <w:szCs w:val="20"/>
          <w:highlight w:val="yellow"/>
        </w:rPr>
        <w:t xml:space="preserve"> lugar no certame nos itens: </w:t>
      </w:r>
      <w:r>
        <w:rPr>
          <w:rFonts w:ascii="Book Antiqua" w:hAnsi="Book Antiqua"/>
          <w:b/>
          <w:sz w:val="20"/>
          <w:szCs w:val="20"/>
          <w:highlight w:val="yellow"/>
        </w:rPr>
        <w:t xml:space="preserve">XXXXXXXXXXXX </w:t>
      </w:r>
      <w:r>
        <w:rPr>
          <w:rFonts w:ascii="Book Antiqua" w:hAnsi="Book Antiqua"/>
          <w:sz w:val="20"/>
          <w:szCs w:val="20"/>
          <w:highlight w:val="yellow"/>
        </w:rPr>
        <w:t xml:space="preserve">totalizando um valor de </w:t>
      </w:r>
      <w:r>
        <w:rPr>
          <w:rFonts w:ascii="Book Antiqua" w:hAnsi="Book Antiqua"/>
          <w:b/>
          <w:sz w:val="20"/>
          <w:szCs w:val="20"/>
          <w:highlight w:val="yellow"/>
        </w:rPr>
        <w:t>XXXXXXXXX</w:t>
      </w:r>
      <w:r>
        <w:rPr>
          <w:rFonts w:ascii="Book Antiqua" w:hAnsi="Book Antiqua"/>
          <w:sz w:val="20"/>
          <w:szCs w:val="20"/>
          <w:highlight w:val="yellow"/>
        </w:rPr>
        <w:t xml:space="preserve"> conforme planilha abaixo:</w:t>
      </w:r>
    </w:p>
    <w:tbl>
      <w:tblPr>
        <w:tblStyle w:val="12"/>
        <w:tblW w:w="9483" w:type="dxa"/>
        <w:jc w:val="center"/>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Layout w:type="fixed"/>
        <w:tblCellMar>
          <w:top w:w="0" w:type="dxa"/>
          <w:left w:w="108" w:type="dxa"/>
          <w:bottom w:w="0" w:type="dxa"/>
          <w:right w:w="108" w:type="dxa"/>
        </w:tblCellMar>
      </w:tblPr>
      <w:tblGrid>
        <w:gridCol w:w="683"/>
        <w:gridCol w:w="5398"/>
        <w:gridCol w:w="609"/>
        <w:gridCol w:w="698"/>
        <w:gridCol w:w="850"/>
        <w:gridCol w:w="1245"/>
      </w:tblGrid>
      <w:tr w14:paraId="25FB86CC">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trHeight w:val="175" w:hRule="atLeast"/>
          <w:jc w:val="center"/>
        </w:trPr>
        <w:tc>
          <w:tcPr>
            <w:tcW w:w="683" w:type="dxa"/>
            <w:shd w:val="clear" w:color="auto" w:fill="A3DBFF"/>
            <w:vAlign w:val="center"/>
          </w:tcPr>
          <w:p w14:paraId="1861D35C">
            <w:pPr>
              <w:tabs>
                <w:tab w:val="left" w:pos="9639"/>
              </w:tabs>
              <w:jc w:val="center"/>
              <w:rPr>
                <w:rFonts w:ascii="Book Antiqua" w:hAnsi="Book Antiqua" w:cs="Gisha"/>
                <w:b/>
                <w:sz w:val="20"/>
                <w:szCs w:val="20"/>
              </w:rPr>
            </w:pPr>
            <w:bookmarkStart w:id="18" w:name="_Hlk211425309"/>
            <w:r>
              <w:rPr>
                <w:rFonts w:ascii="Book Antiqua" w:hAnsi="Book Antiqua" w:cs="Gisha"/>
                <w:b/>
                <w:sz w:val="20"/>
                <w:szCs w:val="20"/>
              </w:rPr>
              <w:t>ITEM</w:t>
            </w:r>
          </w:p>
        </w:tc>
        <w:tc>
          <w:tcPr>
            <w:tcW w:w="5398" w:type="dxa"/>
            <w:shd w:val="clear" w:color="auto" w:fill="A3DBFF"/>
            <w:vAlign w:val="center"/>
          </w:tcPr>
          <w:p w14:paraId="7BF6373A">
            <w:pPr>
              <w:tabs>
                <w:tab w:val="left" w:pos="9639"/>
              </w:tabs>
              <w:jc w:val="center"/>
              <w:rPr>
                <w:rFonts w:ascii="Book Antiqua" w:hAnsi="Book Antiqua" w:cs="Gisha"/>
                <w:b/>
                <w:sz w:val="20"/>
                <w:szCs w:val="20"/>
              </w:rPr>
            </w:pPr>
            <w:r>
              <w:rPr>
                <w:rFonts w:ascii="Book Antiqua" w:hAnsi="Book Antiqua" w:cs="Gisha"/>
                <w:b/>
                <w:sz w:val="20"/>
                <w:szCs w:val="20"/>
              </w:rPr>
              <w:t>DESCRIÇÃO</w:t>
            </w:r>
          </w:p>
        </w:tc>
        <w:tc>
          <w:tcPr>
            <w:tcW w:w="609" w:type="dxa"/>
            <w:shd w:val="clear" w:color="auto" w:fill="A3DBFF"/>
            <w:vAlign w:val="center"/>
          </w:tcPr>
          <w:p w14:paraId="2FB19EDD">
            <w:pPr>
              <w:tabs>
                <w:tab w:val="left" w:pos="9639"/>
              </w:tabs>
              <w:jc w:val="center"/>
              <w:rPr>
                <w:rFonts w:ascii="Book Antiqua" w:hAnsi="Book Antiqua" w:cs="Gisha"/>
                <w:b/>
                <w:sz w:val="20"/>
                <w:szCs w:val="20"/>
              </w:rPr>
            </w:pPr>
            <w:r>
              <w:rPr>
                <w:rFonts w:ascii="Book Antiqua" w:hAnsi="Book Antiqua" w:cs="Gisha"/>
                <w:b/>
                <w:sz w:val="20"/>
                <w:szCs w:val="20"/>
              </w:rPr>
              <w:t>QT</w:t>
            </w:r>
          </w:p>
        </w:tc>
        <w:tc>
          <w:tcPr>
            <w:tcW w:w="698" w:type="dxa"/>
            <w:shd w:val="clear" w:color="auto" w:fill="A3DBFF"/>
            <w:vAlign w:val="center"/>
          </w:tcPr>
          <w:p w14:paraId="4C284240">
            <w:pPr>
              <w:tabs>
                <w:tab w:val="left" w:pos="9639"/>
              </w:tabs>
              <w:jc w:val="center"/>
              <w:rPr>
                <w:rFonts w:ascii="Book Antiqua" w:hAnsi="Book Antiqua" w:cs="Gisha"/>
                <w:b/>
                <w:sz w:val="20"/>
                <w:szCs w:val="20"/>
              </w:rPr>
            </w:pPr>
            <w:r>
              <w:rPr>
                <w:rFonts w:ascii="Book Antiqua" w:hAnsi="Book Antiqua" w:cs="Gisha"/>
                <w:b/>
                <w:sz w:val="20"/>
                <w:szCs w:val="20"/>
              </w:rPr>
              <w:t>UND</w:t>
            </w:r>
          </w:p>
        </w:tc>
        <w:tc>
          <w:tcPr>
            <w:tcW w:w="850" w:type="dxa"/>
            <w:shd w:val="clear" w:color="auto" w:fill="A3DBFF"/>
          </w:tcPr>
          <w:p w14:paraId="3F827368">
            <w:pPr>
              <w:tabs>
                <w:tab w:val="left" w:pos="9639"/>
              </w:tabs>
              <w:jc w:val="center"/>
              <w:rPr>
                <w:rFonts w:ascii="Book Antiqua" w:hAnsi="Book Antiqua" w:cs="Gisha"/>
                <w:b/>
                <w:sz w:val="20"/>
                <w:szCs w:val="20"/>
              </w:rPr>
            </w:pPr>
            <w:r>
              <w:rPr>
                <w:rFonts w:ascii="Book Antiqua" w:hAnsi="Book Antiqua" w:cs="Gisha"/>
                <w:b/>
                <w:sz w:val="20"/>
                <w:szCs w:val="20"/>
              </w:rPr>
              <w:t>V. U.</w:t>
            </w:r>
          </w:p>
        </w:tc>
        <w:tc>
          <w:tcPr>
            <w:tcW w:w="1245" w:type="dxa"/>
            <w:shd w:val="clear" w:color="auto" w:fill="A3DBFF"/>
          </w:tcPr>
          <w:p w14:paraId="0A9234AD">
            <w:pPr>
              <w:tabs>
                <w:tab w:val="left" w:pos="9639"/>
              </w:tabs>
              <w:jc w:val="center"/>
              <w:rPr>
                <w:rFonts w:ascii="Book Antiqua" w:hAnsi="Book Antiqua" w:cs="Gisha"/>
                <w:b/>
                <w:sz w:val="20"/>
                <w:szCs w:val="20"/>
              </w:rPr>
            </w:pPr>
            <w:r>
              <w:rPr>
                <w:rFonts w:ascii="Book Antiqua" w:hAnsi="Book Antiqua" w:cs="Gisha"/>
                <w:b/>
                <w:sz w:val="20"/>
                <w:szCs w:val="20"/>
              </w:rPr>
              <w:t>TOTAL</w:t>
            </w:r>
          </w:p>
        </w:tc>
      </w:tr>
      <w:tr w14:paraId="36ECEFAD">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jc w:val="center"/>
        </w:trPr>
        <w:tc>
          <w:tcPr>
            <w:tcW w:w="683" w:type="dxa"/>
            <w:vAlign w:val="center"/>
          </w:tcPr>
          <w:p w14:paraId="3D6F118F">
            <w:pPr>
              <w:tabs>
                <w:tab w:val="left" w:pos="9639"/>
              </w:tabs>
              <w:jc w:val="center"/>
              <w:rPr>
                <w:rFonts w:ascii="Book Antiqua" w:hAnsi="Book Antiqua" w:cs="Gisha"/>
                <w:b/>
                <w:sz w:val="20"/>
                <w:szCs w:val="20"/>
              </w:rPr>
            </w:pPr>
          </w:p>
        </w:tc>
        <w:tc>
          <w:tcPr>
            <w:tcW w:w="5398" w:type="dxa"/>
            <w:tcBorders>
              <w:top w:val="single" w:color="000000" w:sz="4" w:space="0"/>
              <w:left w:val="single" w:color="000000" w:sz="4" w:space="0"/>
              <w:bottom w:val="single" w:color="000000" w:sz="4" w:space="0"/>
              <w:right w:val="single" w:color="000000" w:sz="4" w:space="0"/>
            </w:tcBorders>
          </w:tcPr>
          <w:p w14:paraId="69015F6E">
            <w:pPr>
              <w:jc w:val="both"/>
              <w:rPr>
                <w:rFonts w:ascii="Book Antiqua" w:hAnsi="Book Antiqua" w:cs="Arial"/>
                <w:bCs/>
                <w:sz w:val="20"/>
                <w:szCs w:val="20"/>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74B6FFE9">
            <w:pPr>
              <w:tabs>
                <w:tab w:val="left" w:pos="9639"/>
              </w:tabs>
              <w:jc w:val="center"/>
              <w:rPr>
                <w:rFonts w:ascii="Book Antiqua" w:hAnsi="Book Antiqua" w:cs="Gisha"/>
                <w:sz w:val="20"/>
                <w:szCs w:val="20"/>
              </w:rPr>
            </w:pPr>
          </w:p>
        </w:tc>
        <w:tc>
          <w:tcPr>
            <w:tcW w:w="698" w:type="dxa"/>
            <w:vAlign w:val="center"/>
          </w:tcPr>
          <w:p w14:paraId="2B847EA3">
            <w:pPr>
              <w:tabs>
                <w:tab w:val="left" w:pos="9639"/>
              </w:tabs>
              <w:jc w:val="center"/>
              <w:rPr>
                <w:rFonts w:ascii="Book Antiqua" w:hAnsi="Book Antiqua" w:cs="Gisha"/>
                <w:sz w:val="20"/>
                <w:szCs w:val="20"/>
              </w:rPr>
            </w:pPr>
          </w:p>
        </w:tc>
        <w:tc>
          <w:tcPr>
            <w:tcW w:w="850" w:type="dxa"/>
            <w:vAlign w:val="center"/>
          </w:tcPr>
          <w:p w14:paraId="14FB09C3">
            <w:pPr>
              <w:tabs>
                <w:tab w:val="left" w:pos="9639"/>
              </w:tabs>
              <w:jc w:val="right"/>
              <w:rPr>
                <w:rFonts w:ascii="Book Antiqua" w:hAnsi="Book Antiqua" w:cs="Gisha"/>
                <w:b/>
                <w:bCs/>
                <w:sz w:val="20"/>
                <w:szCs w:val="20"/>
              </w:rPr>
            </w:pPr>
          </w:p>
        </w:tc>
        <w:tc>
          <w:tcPr>
            <w:tcW w:w="1245" w:type="dxa"/>
            <w:vAlign w:val="center"/>
          </w:tcPr>
          <w:p w14:paraId="7DB22972">
            <w:pPr>
              <w:tabs>
                <w:tab w:val="left" w:pos="9639"/>
              </w:tabs>
              <w:jc w:val="right"/>
              <w:rPr>
                <w:rFonts w:ascii="Book Antiqua" w:hAnsi="Book Antiqua" w:cs="Gisha"/>
                <w:b/>
                <w:bCs/>
                <w:sz w:val="20"/>
                <w:szCs w:val="20"/>
              </w:rPr>
            </w:pPr>
          </w:p>
        </w:tc>
      </w:tr>
      <w:tr w14:paraId="45DE7FB2">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jc w:val="center"/>
        </w:trPr>
        <w:tc>
          <w:tcPr>
            <w:tcW w:w="683" w:type="dxa"/>
            <w:vAlign w:val="center"/>
          </w:tcPr>
          <w:p w14:paraId="3AB3A407">
            <w:pPr>
              <w:tabs>
                <w:tab w:val="left" w:pos="9639"/>
              </w:tabs>
              <w:jc w:val="center"/>
              <w:rPr>
                <w:rFonts w:ascii="Book Antiqua" w:hAnsi="Book Antiqua" w:cs="Gisha"/>
                <w:sz w:val="20"/>
                <w:szCs w:val="20"/>
              </w:rPr>
            </w:pPr>
          </w:p>
        </w:tc>
        <w:tc>
          <w:tcPr>
            <w:tcW w:w="5398" w:type="dxa"/>
            <w:tcBorders>
              <w:top w:val="single" w:color="000000" w:sz="4" w:space="0"/>
              <w:left w:val="single" w:color="000000" w:sz="4" w:space="0"/>
              <w:bottom w:val="single" w:color="000000" w:sz="4" w:space="0"/>
              <w:right w:val="single" w:color="000000" w:sz="4" w:space="0"/>
            </w:tcBorders>
          </w:tcPr>
          <w:p w14:paraId="18A874C4">
            <w:pPr>
              <w:jc w:val="both"/>
              <w:rPr>
                <w:rFonts w:ascii="Book Antiqua" w:hAnsi="Book Antiqua"/>
                <w:bCs/>
                <w:sz w:val="20"/>
                <w:szCs w:val="20"/>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11943CFA">
            <w:pPr>
              <w:jc w:val="center"/>
              <w:rPr>
                <w:rFonts w:ascii="Book Antiqua" w:hAnsi="Book Antiqua"/>
                <w:sz w:val="20"/>
                <w:szCs w:val="20"/>
              </w:rPr>
            </w:pPr>
          </w:p>
        </w:tc>
        <w:tc>
          <w:tcPr>
            <w:tcW w:w="698" w:type="dxa"/>
            <w:vAlign w:val="center"/>
          </w:tcPr>
          <w:p w14:paraId="7EF3F804">
            <w:pPr>
              <w:jc w:val="center"/>
              <w:rPr>
                <w:rFonts w:ascii="Book Antiqua" w:hAnsi="Book Antiqua"/>
                <w:sz w:val="20"/>
                <w:szCs w:val="20"/>
              </w:rPr>
            </w:pPr>
          </w:p>
        </w:tc>
        <w:tc>
          <w:tcPr>
            <w:tcW w:w="850" w:type="dxa"/>
            <w:vAlign w:val="center"/>
          </w:tcPr>
          <w:p w14:paraId="707EB04E">
            <w:pPr>
              <w:jc w:val="center"/>
              <w:rPr>
                <w:rFonts w:ascii="Book Antiqua" w:hAnsi="Book Antiqua" w:cs="Gisha"/>
                <w:b/>
                <w:bCs/>
                <w:sz w:val="20"/>
                <w:szCs w:val="20"/>
              </w:rPr>
            </w:pPr>
          </w:p>
        </w:tc>
        <w:tc>
          <w:tcPr>
            <w:tcW w:w="1245" w:type="dxa"/>
            <w:vAlign w:val="center"/>
          </w:tcPr>
          <w:p w14:paraId="473E8E1B">
            <w:pPr>
              <w:jc w:val="right"/>
              <w:rPr>
                <w:rFonts w:ascii="Book Antiqua" w:hAnsi="Book Antiqua" w:cs="Gisha"/>
                <w:b/>
                <w:bCs/>
                <w:sz w:val="20"/>
                <w:szCs w:val="20"/>
              </w:rPr>
            </w:pPr>
          </w:p>
        </w:tc>
      </w:tr>
      <w:tr w14:paraId="7BA705DE">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jc w:val="center"/>
        </w:trPr>
        <w:tc>
          <w:tcPr>
            <w:tcW w:w="683" w:type="dxa"/>
            <w:vAlign w:val="center"/>
          </w:tcPr>
          <w:p w14:paraId="03D599FF">
            <w:pPr>
              <w:tabs>
                <w:tab w:val="left" w:pos="9639"/>
              </w:tabs>
              <w:jc w:val="center"/>
              <w:rPr>
                <w:rFonts w:ascii="Book Antiqua" w:hAnsi="Book Antiqua" w:cs="Gisha"/>
                <w:sz w:val="20"/>
                <w:szCs w:val="20"/>
              </w:rPr>
            </w:pPr>
          </w:p>
        </w:tc>
        <w:tc>
          <w:tcPr>
            <w:tcW w:w="5398" w:type="dxa"/>
            <w:tcBorders>
              <w:top w:val="single" w:color="000000" w:sz="4" w:space="0"/>
              <w:left w:val="single" w:color="000000" w:sz="4" w:space="0"/>
              <w:bottom w:val="single" w:color="000000" w:sz="4" w:space="0"/>
              <w:right w:val="single" w:color="000000" w:sz="4" w:space="0"/>
            </w:tcBorders>
          </w:tcPr>
          <w:p w14:paraId="3481864E">
            <w:pPr>
              <w:jc w:val="both"/>
              <w:rPr>
                <w:rFonts w:ascii="Book Antiqua" w:hAnsi="Book Antiqua"/>
                <w:sz w:val="20"/>
                <w:szCs w:val="20"/>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680A40CA">
            <w:pPr>
              <w:jc w:val="center"/>
              <w:rPr>
                <w:rFonts w:ascii="Book Antiqua" w:hAnsi="Book Antiqua"/>
                <w:sz w:val="20"/>
                <w:szCs w:val="20"/>
              </w:rPr>
            </w:pPr>
          </w:p>
        </w:tc>
        <w:tc>
          <w:tcPr>
            <w:tcW w:w="698" w:type="dxa"/>
            <w:vAlign w:val="center"/>
          </w:tcPr>
          <w:p w14:paraId="6C647925">
            <w:pPr>
              <w:jc w:val="center"/>
              <w:rPr>
                <w:rFonts w:ascii="Book Antiqua" w:hAnsi="Book Antiqua"/>
                <w:sz w:val="20"/>
                <w:szCs w:val="20"/>
              </w:rPr>
            </w:pPr>
          </w:p>
        </w:tc>
        <w:tc>
          <w:tcPr>
            <w:tcW w:w="850" w:type="dxa"/>
            <w:vAlign w:val="center"/>
          </w:tcPr>
          <w:p w14:paraId="658872A1">
            <w:pPr>
              <w:jc w:val="center"/>
              <w:rPr>
                <w:rFonts w:ascii="Book Antiqua" w:hAnsi="Book Antiqua" w:cs="Gisha"/>
                <w:b/>
                <w:bCs/>
                <w:sz w:val="20"/>
                <w:szCs w:val="20"/>
              </w:rPr>
            </w:pPr>
          </w:p>
        </w:tc>
        <w:tc>
          <w:tcPr>
            <w:tcW w:w="1245" w:type="dxa"/>
            <w:vAlign w:val="center"/>
          </w:tcPr>
          <w:p w14:paraId="3EA283CC">
            <w:pPr>
              <w:jc w:val="right"/>
              <w:rPr>
                <w:rFonts w:ascii="Book Antiqua" w:hAnsi="Book Antiqua" w:cs="Gisha"/>
                <w:b/>
                <w:bCs/>
                <w:sz w:val="20"/>
                <w:szCs w:val="20"/>
              </w:rPr>
            </w:pPr>
          </w:p>
        </w:tc>
      </w:tr>
      <w:tr w14:paraId="24D60340">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jc w:val="center"/>
        </w:trPr>
        <w:tc>
          <w:tcPr>
            <w:tcW w:w="683" w:type="dxa"/>
            <w:vAlign w:val="center"/>
          </w:tcPr>
          <w:p w14:paraId="519910E8">
            <w:pPr>
              <w:tabs>
                <w:tab w:val="left" w:pos="9639"/>
              </w:tabs>
              <w:jc w:val="center"/>
              <w:rPr>
                <w:rFonts w:ascii="Book Antiqua" w:hAnsi="Book Antiqua" w:cs="Gisha"/>
                <w:sz w:val="20"/>
                <w:szCs w:val="20"/>
              </w:rPr>
            </w:pPr>
          </w:p>
        </w:tc>
        <w:tc>
          <w:tcPr>
            <w:tcW w:w="5398" w:type="dxa"/>
            <w:tcBorders>
              <w:top w:val="single" w:color="000000" w:sz="4" w:space="0"/>
              <w:left w:val="single" w:color="000000" w:sz="4" w:space="0"/>
              <w:bottom w:val="single" w:color="000000" w:sz="4" w:space="0"/>
              <w:right w:val="single" w:color="000000" w:sz="4" w:space="0"/>
            </w:tcBorders>
          </w:tcPr>
          <w:p w14:paraId="782A6679">
            <w:pPr>
              <w:jc w:val="both"/>
              <w:rPr>
                <w:rFonts w:ascii="Book Antiqua" w:hAnsi="Book Antiqua" w:cs="Arial"/>
                <w:b/>
                <w:sz w:val="20"/>
                <w:szCs w:val="20"/>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0DAA3A21">
            <w:pPr>
              <w:jc w:val="center"/>
              <w:rPr>
                <w:rFonts w:ascii="Book Antiqua" w:hAnsi="Book Antiqua"/>
                <w:sz w:val="20"/>
                <w:szCs w:val="20"/>
              </w:rPr>
            </w:pPr>
          </w:p>
        </w:tc>
        <w:tc>
          <w:tcPr>
            <w:tcW w:w="698" w:type="dxa"/>
            <w:vAlign w:val="center"/>
          </w:tcPr>
          <w:p w14:paraId="5684B55D">
            <w:pPr>
              <w:jc w:val="center"/>
              <w:rPr>
                <w:rFonts w:ascii="Book Antiqua" w:hAnsi="Book Antiqua"/>
                <w:sz w:val="20"/>
                <w:szCs w:val="20"/>
              </w:rPr>
            </w:pPr>
          </w:p>
        </w:tc>
        <w:tc>
          <w:tcPr>
            <w:tcW w:w="850" w:type="dxa"/>
            <w:vAlign w:val="center"/>
          </w:tcPr>
          <w:p w14:paraId="3C2EA586">
            <w:pPr>
              <w:jc w:val="center"/>
              <w:rPr>
                <w:rFonts w:ascii="Book Antiqua" w:hAnsi="Book Antiqua" w:cs="Gisha"/>
                <w:b/>
                <w:bCs/>
                <w:sz w:val="20"/>
                <w:szCs w:val="20"/>
              </w:rPr>
            </w:pPr>
          </w:p>
        </w:tc>
        <w:tc>
          <w:tcPr>
            <w:tcW w:w="1245" w:type="dxa"/>
            <w:vAlign w:val="center"/>
          </w:tcPr>
          <w:p w14:paraId="6490DF5E">
            <w:pPr>
              <w:jc w:val="right"/>
              <w:rPr>
                <w:rFonts w:ascii="Book Antiqua" w:hAnsi="Book Antiqua" w:cs="Gisha"/>
                <w:b/>
                <w:bCs/>
                <w:sz w:val="20"/>
                <w:szCs w:val="20"/>
              </w:rPr>
            </w:pPr>
          </w:p>
        </w:tc>
      </w:tr>
      <w:tr w14:paraId="0C8F13AE">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jc w:val="center"/>
        </w:trPr>
        <w:tc>
          <w:tcPr>
            <w:tcW w:w="683" w:type="dxa"/>
            <w:vAlign w:val="center"/>
          </w:tcPr>
          <w:p w14:paraId="41476985">
            <w:pPr>
              <w:tabs>
                <w:tab w:val="left" w:pos="9639"/>
              </w:tabs>
              <w:jc w:val="center"/>
              <w:rPr>
                <w:rFonts w:ascii="Book Antiqua" w:hAnsi="Book Antiqua" w:cs="Gisha"/>
                <w:sz w:val="20"/>
                <w:szCs w:val="20"/>
              </w:rPr>
            </w:pPr>
          </w:p>
        </w:tc>
        <w:tc>
          <w:tcPr>
            <w:tcW w:w="5398" w:type="dxa"/>
            <w:tcBorders>
              <w:top w:val="single" w:color="000000" w:sz="4" w:space="0"/>
              <w:left w:val="single" w:color="000000" w:sz="4" w:space="0"/>
              <w:bottom w:val="single" w:color="000000" w:sz="4" w:space="0"/>
              <w:right w:val="single" w:color="000000" w:sz="4" w:space="0"/>
            </w:tcBorders>
          </w:tcPr>
          <w:p w14:paraId="6BA7E0CA">
            <w:pPr>
              <w:jc w:val="both"/>
              <w:rPr>
                <w:rFonts w:ascii="Book Antiqua" w:hAnsi="Book Antiqua" w:cs="Arial"/>
                <w:bCs/>
                <w:sz w:val="20"/>
                <w:szCs w:val="20"/>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22679E8B">
            <w:pPr>
              <w:jc w:val="center"/>
              <w:rPr>
                <w:rFonts w:ascii="Book Antiqua" w:hAnsi="Book Antiqua"/>
                <w:sz w:val="20"/>
                <w:szCs w:val="20"/>
              </w:rPr>
            </w:pPr>
          </w:p>
        </w:tc>
        <w:tc>
          <w:tcPr>
            <w:tcW w:w="698" w:type="dxa"/>
            <w:vAlign w:val="center"/>
          </w:tcPr>
          <w:p w14:paraId="7C3A0964">
            <w:pPr>
              <w:jc w:val="center"/>
              <w:rPr>
                <w:rFonts w:ascii="Book Antiqua" w:hAnsi="Book Antiqua"/>
                <w:sz w:val="20"/>
                <w:szCs w:val="20"/>
              </w:rPr>
            </w:pPr>
          </w:p>
        </w:tc>
        <w:tc>
          <w:tcPr>
            <w:tcW w:w="850" w:type="dxa"/>
            <w:vAlign w:val="center"/>
          </w:tcPr>
          <w:p w14:paraId="59874BCB">
            <w:pPr>
              <w:jc w:val="center"/>
              <w:rPr>
                <w:rFonts w:ascii="Book Antiqua" w:hAnsi="Book Antiqua" w:cs="Gisha"/>
                <w:b/>
                <w:bCs/>
                <w:sz w:val="20"/>
                <w:szCs w:val="20"/>
              </w:rPr>
            </w:pPr>
          </w:p>
        </w:tc>
        <w:tc>
          <w:tcPr>
            <w:tcW w:w="1245" w:type="dxa"/>
            <w:vAlign w:val="center"/>
          </w:tcPr>
          <w:p w14:paraId="36739E5D">
            <w:pPr>
              <w:jc w:val="right"/>
              <w:rPr>
                <w:rFonts w:ascii="Book Antiqua" w:hAnsi="Book Antiqua" w:cs="Gisha"/>
                <w:b/>
                <w:bCs/>
                <w:sz w:val="20"/>
                <w:szCs w:val="20"/>
              </w:rPr>
            </w:pPr>
          </w:p>
        </w:tc>
      </w:tr>
      <w:tr w14:paraId="238A8137">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jc w:val="center"/>
        </w:trPr>
        <w:tc>
          <w:tcPr>
            <w:tcW w:w="683" w:type="dxa"/>
            <w:vAlign w:val="center"/>
          </w:tcPr>
          <w:p w14:paraId="67F2AF09">
            <w:pPr>
              <w:tabs>
                <w:tab w:val="left" w:pos="9639"/>
              </w:tabs>
              <w:jc w:val="center"/>
              <w:rPr>
                <w:rFonts w:ascii="Book Antiqua" w:hAnsi="Book Antiqua" w:cs="Gisha"/>
                <w:sz w:val="20"/>
                <w:szCs w:val="20"/>
              </w:rPr>
            </w:pPr>
          </w:p>
        </w:tc>
        <w:tc>
          <w:tcPr>
            <w:tcW w:w="5398" w:type="dxa"/>
            <w:tcBorders>
              <w:top w:val="single" w:color="000000" w:sz="4" w:space="0"/>
              <w:left w:val="single" w:color="000000" w:sz="4" w:space="0"/>
              <w:bottom w:val="single" w:color="000000" w:sz="4" w:space="0"/>
              <w:right w:val="single" w:color="000000" w:sz="4" w:space="0"/>
            </w:tcBorders>
          </w:tcPr>
          <w:p w14:paraId="6431C848">
            <w:pPr>
              <w:jc w:val="both"/>
              <w:rPr>
                <w:rFonts w:ascii="Book Antiqua" w:hAnsi="Book Antiqua" w:cs="Arial"/>
                <w:bCs/>
                <w:sz w:val="20"/>
                <w:szCs w:val="20"/>
              </w:rPr>
            </w:pPr>
          </w:p>
        </w:tc>
        <w:tc>
          <w:tcPr>
            <w:tcW w:w="609" w:type="dxa"/>
            <w:vAlign w:val="center"/>
          </w:tcPr>
          <w:p w14:paraId="64DD4E17">
            <w:pPr>
              <w:jc w:val="center"/>
              <w:rPr>
                <w:rFonts w:ascii="Book Antiqua" w:hAnsi="Book Antiqua" w:cs="Gisha"/>
                <w:sz w:val="20"/>
                <w:szCs w:val="20"/>
              </w:rPr>
            </w:pPr>
          </w:p>
        </w:tc>
        <w:tc>
          <w:tcPr>
            <w:tcW w:w="698" w:type="dxa"/>
            <w:vAlign w:val="center"/>
          </w:tcPr>
          <w:p w14:paraId="1909C3B1">
            <w:pPr>
              <w:jc w:val="center"/>
              <w:rPr>
                <w:rFonts w:ascii="Book Antiqua" w:hAnsi="Book Antiqua" w:cs="Gisha"/>
                <w:sz w:val="20"/>
                <w:szCs w:val="20"/>
              </w:rPr>
            </w:pPr>
          </w:p>
        </w:tc>
        <w:tc>
          <w:tcPr>
            <w:tcW w:w="850" w:type="dxa"/>
            <w:vAlign w:val="center"/>
          </w:tcPr>
          <w:p w14:paraId="26A51007">
            <w:pPr>
              <w:jc w:val="center"/>
              <w:rPr>
                <w:rFonts w:ascii="Book Antiqua" w:hAnsi="Book Antiqua" w:cs="Gisha"/>
                <w:b/>
                <w:bCs/>
                <w:sz w:val="20"/>
                <w:szCs w:val="20"/>
              </w:rPr>
            </w:pPr>
          </w:p>
        </w:tc>
        <w:tc>
          <w:tcPr>
            <w:tcW w:w="1245" w:type="dxa"/>
            <w:vAlign w:val="center"/>
          </w:tcPr>
          <w:p w14:paraId="2564B543">
            <w:pPr>
              <w:jc w:val="right"/>
              <w:rPr>
                <w:rFonts w:ascii="Book Antiqua" w:hAnsi="Book Antiqua" w:cs="Gisha"/>
                <w:b/>
                <w:bCs/>
                <w:sz w:val="20"/>
                <w:szCs w:val="20"/>
              </w:rPr>
            </w:pPr>
          </w:p>
        </w:tc>
      </w:tr>
      <w:tr w14:paraId="332B1AFB">
        <w:tblPrEx>
          <w:tblBorders>
            <w:top w:val="double" w:color="76923C" w:themeColor="accent3" w:themeShade="BF" w:sz="4" w:space="0"/>
            <w:left w:val="double" w:color="76923C" w:themeColor="accent3" w:themeShade="BF" w:sz="4" w:space="0"/>
            <w:bottom w:val="double" w:color="76923C" w:themeColor="accent3" w:themeShade="BF" w:sz="4" w:space="0"/>
            <w:right w:val="double" w:color="76923C" w:themeColor="accent3" w:themeShade="BF" w:sz="4" w:space="0"/>
            <w:insideH w:val="double" w:color="76923C" w:themeColor="accent3" w:themeShade="BF" w:sz="4" w:space="0"/>
            <w:insideV w:val="double" w:color="76923C" w:themeColor="accent3" w:themeShade="BF" w:sz="4" w:space="0"/>
          </w:tblBorders>
          <w:tblCellMar>
            <w:top w:w="0" w:type="dxa"/>
            <w:left w:w="108" w:type="dxa"/>
            <w:bottom w:w="0" w:type="dxa"/>
            <w:right w:w="108" w:type="dxa"/>
          </w:tblCellMar>
        </w:tblPrEx>
        <w:trPr>
          <w:jc w:val="center"/>
        </w:trPr>
        <w:tc>
          <w:tcPr>
            <w:tcW w:w="683" w:type="dxa"/>
            <w:vAlign w:val="center"/>
          </w:tcPr>
          <w:p w14:paraId="138BE576">
            <w:pPr>
              <w:tabs>
                <w:tab w:val="left" w:pos="9639"/>
              </w:tabs>
              <w:jc w:val="center"/>
              <w:rPr>
                <w:rFonts w:ascii="Book Antiqua" w:hAnsi="Book Antiqua" w:cs="Gisha"/>
                <w:sz w:val="20"/>
                <w:szCs w:val="20"/>
              </w:rPr>
            </w:pPr>
          </w:p>
        </w:tc>
        <w:tc>
          <w:tcPr>
            <w:tcW w:w="5398" w:type="dxa"/>
            <w:tcBorders>
              <w:top w:val="single" w:color="000000" w:sz="4" w:space="0"/>
              <w:left w:val="single" w:color="000000" w:sz="4" w:space="0"/>
              <w:bottom w:val="single" w:color="000000" w:sz="4" w:space="0"/>
              <w:right w:val="single" w:color="000000" w:sz="4" w:space="0"/>
            </w:tcBorders>
          </w:tcPr>
          <w:p w14:paraId="78EEA878">
            <w:pPr>
              <w:jc w:val="both"/>
              <w:rPr>
                <w:rFonts w:ascii="Book Antiqua" w:hAnsi="Book Antiqua" w:cs="Arial"/>
                <w:bCs/>
                <w:sz w:val="20"/>
                <w:szCs w:val="20"/>
              </w:rPr>
            </w:pPr>
          </w:p>
        </w:tc>
        <w:tc>
          <w:tcPr>
            <w:tcW w:w="609" w:type="dxa"/>
            <w:vAlign w:val="center"/>
          </w:tcPr>
          <w:p w14:paraId="76C2042B">
            <w:pPr>
              <w:jc w:val="center"/>
              <w:rPr>
                <w:rFonts w:ascii="Book Antiqua" w:hAnsi="Book Antiqua" w:cs="Gisha"/>
                <w:sz w:val="20"/>
                <w:szCs w:val="20"/>
              </w:rPr>
            </w:pPr>
          </w:p>
        </w:tc>
        <w:tc>
          <w:tcPr>
            <w:tcW w:w="698" w:type="dxa"/>
            <w:vAlign w:val="center"/>
          </w:tcPr>
          <w:p w14:paraId="0C26DA23">
            <w:pPr>
              <w:jc w:val="center"/>
              <w:rPr>
                <w:rFonts w:ascii="Book Antiqua" w:hAnsi="Book Antiqua" w:cs="Gisha"/>
                <w:sz w:val="20"/>
                <w:szCs w:val="20"/>
              </w:rPr>
            </w:pPr>
          </w:p>
        </w:tc>
        <w:tc>
          <w:tcPr>
            <w:tcW w:w="850" w:type="dxa"/>
            <w:vAlign w:val="center"/>
          </w:tcPr>
          <w:p w14:paraId="498B3593">
            <w:pPr>
              <w:jc w:val="center"/>
              <w:rPr>
                <w:rFonts w:ascii="Book Antiqua" w:hAnsi="Book Antiqua" w:cs="Gisha"/>
                <w:b/>
                <w:bCs/>
                <w:sz w:val="20"/>
                <w:szCs w:val="20"/>
              </w:rPr>
            </w:pPr>
          </w:p>
        </w:tc>
        <w:tc>
          <w:tcPr>
            <w:tcW w:w="1245" w:type="dxa"/>
            <w:vAlign w:val="center"/>
          </w:tcPr>
          <w:p w14:paraId="7C931F77">
            <w:pPr>
              <w:jc w:val="right"/>
              <w:rPr>
                <w:rFonts w:ascii="Book Antiqua" w:hAnsi="Book Antiqua" w:cs="Gisha"/>
                <w:b/>
                <w:bCs/>
                <w:sz w:val="20"/>
                <w:szCs w:val="20"/>
              </w:rPr>
            </w:pPr>
          </w:p>
        </w:tc>
      </w:tr>
      <w:bookmarkEnd w:id="18"/>
    </w:tbl>
    <w:p w14:paraId="1E5AEF91">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PRIMEIRA - DO OBJETO</w:t>
      </w:r>
    </w:p>
    <w:p w14:paraId="21A559CE">
      <w:pPr>
        <w:numPr>
          <w:ilvl w:val="1"/>
          <w:numId w:val="11"/>
        </w:numPr>
        <w:ind w:left="0"/>
        <w:jc w:val="both"/>
        <w:rPr>
          <w:rFonts w:ascii="Book Antiqua" w:hAnsi="Book Antiqua"/>
          <w:sz w:val="20"/>
          <w:szCs w:val="20"/>
        </w:rPr>
      </w:pPr>
      <w:r>
        <w:rPr>
          <w:rFonts w:ascii="Book Antiqua" w:hAnsi="Book Antiqua"/>
          <w:sz w:val="20"/>
          <w:szCs w:val="20"/>
        </w:rPr>
        <w:t xml:space="preserve">O objeto desta Ata é o registro de preços para futura </w:t>
      </w:r>
      <w:r>
        <w:rPr>
          <w:rFonts w:ascii="Book Antiqua" w:hAnsi="Book Antiqua"/>
          <w:b/>
          <w:bCs/>
          <w:color w:val="000000" w:themeColor="text1"/>
          <w:sz w:val="20"/>
          <w:szCs w:val="20"/>
          <w14:textFill>
            <w14:solidFill>
              <w14:schemeClr w14:val="tx1"/>
            </w14:solidFill>
          </w14:textFill>
        </w:rPr>
        <w:t>contratação de Pessoa Jurídica para o fornecimento de Medicamentos Anti-Hipertensivos</w:t>
      </w:r>
      <w:r>
        <w:rPr>
          <w:rFonts w:ascii="Book Antiqua" w:hAnsi="Book Antiqua"/>
          <w:b/>
          <w:bCs/>
          <w:sz w:val="20"/>
          <w:szCs w:val="20"/>
        </w:rPr>
        <w:t xml:space="preserve">, destinados às Unidades de Saúde e aos seus usuários, </w:t>
      </w:r>
      <w:r>
        <w:rPr>
          <w:rFonts w:ascii="Book Antiqua" w:hAnsi="Book Antiqua"/>
          <w:b/>
          <w:bCs/>
          <w:color w:val="000000" w:themeColor="text1"/>
          <w:sz w:val="20"/>
          <w:szCs w:val="20"/>
          <w14:textFill>
            <w14:solidFill>
              <w14:schemeClr w14:val="tx1"/>
            </w14:solidFill>
          </w14:textFill>
        </w:rPr>
        <w:t>pertencentes à Secretaria Municipal de Saúde de São José de Mipibu/RN</w:t>
      </w:r>
      <w:r>
        <w:rPr>
          <w:rFonts w:ascii="Book Antiqua" w:hAnsi="Book Antiqua"/>
          <w:sz w:val="20"/>
          <w:szCs w:val="20"/>
        </w:rPr>
        <w:t>, conforme especificações do Termo de Referência e quantidades estabelecidas no anexo (encarte) que é parte integrante desta ata.</w:t>
      </w:r>
    </w:p>
    <w:p w14:paraId="5F72FC4A">
      <w:pPr>
        <w:numPr>
          <w:ilvl w:val="1"/>
          <w:numId w:val="11"/>
        </w:numPr>
        <w:ind w:left="0"/>
        <w:jc w:val="both"/>
        <w:rPr>
          <w:rFonts w:ascii="Book Antiqua" w:hAnsi="Book Antiqua"/>
          <w:sz w:val="20"/>
          <w:szCs w:val="20"/>
        </w:rPr>
      </w:pPr>
      <w:r>
        <w:rPr>
          <w:rFonts w:ascii="Book Antiqua" w:hAnsi="Book Antiqua"/>
          <w:bCs/>
          <w:sz w:val="20"/>
          <w:szCs w:val="20"/>
        </w:rPr>
        <w:t>A</w:t>
      </w:r>
      <w:r>
        <w:rPr>
          <w:rFonts w:ascii="Book Antiqua" w:hAnsi="Book Antiqua"/>
          <w:sz w:val="20"/>
          <w:szCs w:val="20"/>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5D860C12">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SEGUNDA - DOS ÓRGÃOS PARTICIPANTES</w:t>
      </w:r>
    </w:p>
    <w:p w14:paraId="159C13A3">
      <w:pPr>
        <w:numPr>
          <w:ilvl w:val="1"/>
          <w:numId w:val="11"/>
        </w:numPr>
        <w:ind w:left="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 xml:space="preserve">O órgão gerenciador será a </w:t>
      </w:r>
      <w:r>
        <w:rPr>
          <w:rFonts w:ascii="Book Antiqua" w:hAnsi="Book Antiqua"/>
          <w:b/>
          <w:color w:val="000000" w:themeColor="text1"/>
          <w:sz w:val="20"/>
          <w:szCs w:val="20"/>
          <w14:textFill>
            <w14:solidFill>
              <w14:schemeClr w14:val="tx1"/>
            </w14:solidFill>
          </w14:textFill>
        </w:rPr>
        <w:t>PREFEITURA MUNICIPAL DE SÃO JOSÉ DE MIPIBU/RN</w:t>
      </w:r>
      <w:r>
        <w:rPr>
          <w:rFonts w:ascii="Book Antiqua" w:hAnsi="Book Antiqua"/>
          <w:color w:val="000000" w:themeColor="text1"/>
          <w:sz w:val="20"/>
          <w:szCs w:val="20"/>
          <w14:textFill>
            <w14:solidFill>
              <w14:schemeClr w14:val="tx1"/>
            </w14:solidFill>
          </w14:textFill>
        </w:rPr>
        <w:t>.</w:t>
      </w:r>
    </w:p>
    <w:p w14:paraId="1FAA0479">
      <w:pPr>
        <w:numPr>
          <w:ilvl w:val="1"/>
          <w:numId w:val="11"/>
        </w:numPr>
        <w:ind w:left="0"/>
        <w:jc w:val="both"/>
        <w:rPr>
          <w:rFonts w:ascii="Book Antiqua" w:hAnsi="Book Antiqua"/>
          <w:color w:val="000000" w:themeColor="text1"/>
          <w:sz w:val="20"/>
          <w:szCs w:val="20"/>
          <w14:textFill>
            <w14:solidFill>
              <w14:schemeClr w14:val="tx1"/>
            </w14:solidFill>
          </w14:textFill>
        </w:rPr>
      </w:pPr>
      <w:r>
        <w:rPr>
          <w:rFonts w:ascii="Book Antiqua" w:hAnsi="Book Antiqua"/>
          <w:color w:val="000000" w:themeColor="text1"/>
          <w:sz w:val="20"/>
          <w:szCs w:val="20"/>
          <w14:textFill>
            <w14:solidFill>
              <w14:schemeClr w14:val="tx1"/>
            </w14:solidFill>
          </w14:textFill>
        </w:rPr>
        <w:t>São participantes os seguintes órgãos:</w:t>
      </w:r>
    </w:p>
    <w:p w14:paraId="587A4888">
      <w:pPr>
        <w:numPr>
          <w:ilvl w:val="2"/>
          <w:numId w:val="11"/>
        </w:numPr>
        <w:ind w:left="0"/>
        <w:jc w:val="both"/>
        <w:rPr>
          <w:rFonts w:ascii="Book Antiqua" w:hAnsi="Book Antiqua"/>
          <w:b/>
          <w:color w:val="000000" w:themeColor="text1"/>
          <w:sz w:val="20"/>
          <w:szCs w:val="20"/>
          <w:u w:val="single"/>
          <w14:textFill>
            <w14:solidFill>
              <w14:schemeClr w14:val="tx1"/>
            </w14:solidFill>
          </w14:textFill>
        </w:rPr>
      </w:pPr>
      <w:r>
        <w:rPr>
          <w:rFonts w:ascii="Book Antiqua" w:hAnsi="Book Antiqua"/>
          <w:b/>
          <w:color w:val="000000" w:themeColor="text1"/>
          <w:sz w:val="20"/>
          <w:szCs w:val="20"/>
          <w:u w:val="single"/>
          <w14:textFill>
            <w14:solidFill>
              <w14:schemeClr w14:val="tx1"/>
            </w14:solidFill>
          </w14:textFill>
        </w:rPr>
        <w:t>FUNDO MUNICIPAL DE SAÚDE DE SÃO JOSÉ DE MIPIBU/RN;</w:t>
      </w:r>
    </w:p>
    <w:p w14:paraId="663D7A8C">
      <w:pPr>
        <w:numPr>
          <w:ilvl w:val="1"/>
          <w:numId w:val="11"/>
        </w:numPr>
        <w:ind w:left="0"/>
        <w:jc w:val="both"/>
        <w:rPr>
          <w:rFonts w:ascii="Book Antiqua" w:hAnsi="Book Antiqua"/>
          <w:color w:val="000000" w:themeColor="text1"/>
          <w:sz w:val="20"/>
          <w:szCs w:val="20"/>
          <w14:textFill>
            <w14:solidFill>
              <w14:schemeClr w14:val="tx1"/>
            </w14:solidFill>
          </w14:textFill>
        </w:rPr>
      </w:pPr>
      <w:r>
        <w:rPr>
          <w:rFonts w:ascii="Book Antiqua" w:hAnsi="Book Antiqua"/>
          <w:sz w:val="20"/>
          <w:szCs w:val="20"/>
        </w:rPr>
        <w:t xml:space="preserve">Poderá utilizar-se da Ata de Registro de Preços, ainda, qualquer órgão ou entidade da Administração que não tenha participado </w:t>
      </w:r>
      <w:r>
        <w:rPr>
          <w:rFonts w:ascii="Book Antiqua" w:hAnsi="Book Antiqua"/>
          <w:color w:val="000000" w:themeColor="text1"/>
          <w:sz w:val="20"/>
          <w:szCs w:val="20"/>
          <w14:textFill>
            <w14:solidFill>
              <w14:schemeClr w14:val="tx1"/>
            </w14:solidFill>
          </w14:textFill>
        </w:rPr>
        <w:t>do certame, mediante prévia consulta ao órgão gerenciador, desde que devidamente comprovada à vantagem e respeitadas as regras estabelecidas na Lei Federal 14.133/2021 e no Decreto Municipal 008/2024.</w:t>
      </w:r>
    </w:p>
    <w:p w14:paraId="5F933156">
      <w:pPr>
        <w:numPr>
          <w:ilvl w:val="2"/>
          <w:numId w:val="11"/>
        </w:numPr>
        <w:ind w:left="0"/>
        <w:jc w:val="both"/>
        <w:rPr>
          <w:rFonts w:ascii="Book Antiqua" w:hAnsi="Book Antiqua"/>
          <w:sz w:val="20"/>
          <w:szCs w:val="20"/>
        </w:rPr>
      </w:pPr>
      <w:r>
        <w:rPr>
          <w:rFonts w:ascii="Book Antiqua" w:hAnsi="Book Antiqua"/>
          <w:sz w:val="20"/>
          <w:szCs w:val="20"/>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2CD8A056">
      <w:pPr>
        <w:numPr>
          <w:ilvl w:val="2"/>
          <w:numId w:val="11"/>
        </w:numPr>
        <w:ind w:left="0"/>
        <w:jc w:val="both"/>
        <w:rPr>
          <w:rFonts w:ascii="Book Antiqua" w:hAnsi="Book Antiqua"/>
          <w:sz w:val="20"/>
          <w:szCs w:val="20"/>
        </w:rPr>
      </w:pPr>
      <w:r>
        <w:rPr>
          <w:rFonts w:ascii="Book Antiqua" w:hAnsi="Book Antiqua"/>
          <w:sz w:val="20"/>
          <w:szCs w:val="20"/>
        </w:rPr>
        <w:t>As aquisições ou contratações adicionais a que se refere este item não poderão exceder, por órgão ou entidade, a 50% (cinquenta por cento) dos quantitativos registrados na Ata de Registro de Preços.</w:t>
      </w:r>
    </w:p>
    <w:p w14:paraId="0D8BD2E5">
      <w:pPr>
        <w:numPr>
          <w:ilvl w:val="2"/>
          <w:numId w:val="11"/>
        </w:numPr>
        <w:ind w:left="0"/>
        <w:jc w:val="both"/>
        <w:rPr>
          <w:rFonts w:ascii="Book Antiqua" w:hAnsi="Book Antiqua"/>
          <w:sz w:val="20"/>
          <w:szCs w:val="20"/>
        </w:rPr>
      </w:pPr>
      <w:r>
        <w:rPr>
          <w:rFonts w:ascii="Book Antiqua" w:hAnsi="Book Antiqua"/>
          <w:sz w:val="20"/>
          <w:szCs w:val="20"/>
        </w:rPr>
        <w:t>Em caso de eventual inadimplemento contratual, caberá ao órgão aderente a responsabilidade pela imposição de penalidade ao fornecedor faltoso, comunicando o fato ao órgão gerenciador.</w:t>
      </w:r>
    </w:p>
    <w:p w14:paraId="482651E4">
      <w:pPr>
        <w:numPr>
          <w:ilvl w:val="1"/>
          <w:numId w:val="11"/>
        </w:numPr>
        <w:ind w:left="0"/>
        <w:jc w:val="both"/>
        <w:rPr>
          <w:rFonts w:ascii="Book Antiqua" w:hAnsi="Book Antiqua"/>
          <w:sz w:val="20"/>
          <w:szCs w:val="20"/>
        </w:rPr>
      </w:pPr>
      <w:r>
        <w:rPr>
          <w:rFonts w:ascii="Book Antiqua" w:hAnsi="Book Antiqua"/>
          <w:sz w:val="20"/>
          <w:szCs w:val="20"/>
        </w:rPr>
        <w:t>Todo órgão, antes de contratar com o fornecedor registrado, deve assegurar-se que a contratação atende a seus interesses, sobretudo quanto aos valores praticados.</w:t>
      </w:r>
    </w:p>
    <w:p w14:paraId="624F6C5E">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TERCEIRA - DA VIGÊNCIA DA ATA DE REGISTRO DE PREÇOS</w:t>
      </w:r>
    </w:p>
    <w:p w14:paraId="1465D832">
      <w:pPr>
        <w:numPr>
          <w:ilvl w:val="1"/>
          <w:numId w:val="11"/>
        </w:numPr>
        <w:ind w:left="0"/>
        <w:jc w:val="both"/>
        <w:rPr>
          <w:rFonts w:ascii="Book Antiqua" w:hAnsi="Book Antiqua"/>
          <w:sz w:val="20"/>
          <w:szCs w:val="20"/>
        </w:rPr>
      </w:pPr>
      <w:r>
        <w:rPr>
          <w:rFonts w:ascii="Book Antiqua" w:hAnsi="Book Antiqua"/>
          <w:sz w:val="20"/>
          <w:szCs w:val="20"/>
        </w:rPr>
        <w:t xml:space="preserve">A Ata de Registro de Preços terá vigência de </w:t>
      </w:r>
      <w:r>
        <w:rPr>
          <w:rFonts w:ascii="Book Antiqua" w:hAnsi="Book Antiqua"/>
          <w:b/>
          <w:sz w:val="20"/>
          <w:szCs w:val="20"/>
        </w:rPr>
        <w:t>1 (um) ano</w:t>
      </w:r>
      <w:r>
        <w:rPr>
          <w:rFonts w:ascii="Book Antiqua" w:hAnsi="Book Antiqua"/>
          <w:sz w:val="20"/>
          <w:szCs w:val="20"/>
        </w:rPr>
        <w:t>, a contar da data de sua assinatura, podendo ser prorrogada/renovada por igual período, desde que comprovada a vantajosidade da ata.</w:t>
      </w:r>
    </w:p>
    <w:p w14:paraId="2223AC1D">
      <w:pPr>
        <w:numPr>
          <w:ilvl w:val="2"/>
          <w:numId w:val="11"/>
        </w:numPr>
        <w:ind w:left="0"/>
        <w:jc w:val="both"/>
        <w:rPr>
          <w:rFonts w:ascii="Book Antiqua" w:hAnsi="Book Antiqua"/>
          <w:sz w:val="20"/>
          <w:szCs w:val="20"/>
        </w:rPr>
      </w:pPr>
      <w:r>
        <w:rPr>
          <w:rFonts w:ascii="Book Antiqua" w:hAnsi="Book Antiqua"/>
          <w:sz w:val="20"/>
          <w:szCs w:val="20"/>
        </w:rPr>
        <w:t>Na hipótese de renovação prevista no Item 3.1, todos os quantitativos licitados serão restabelecidos, assim como todas as demais cláusulas previstas na Ata de Registro de Preços serão renovadas.</w:t>
      </w:r>
    </w:p>
    <w:p w14:paraId="4D8EA5FB">
      <w:pPr>
        <w:numPr>
          <w:ilvl w:val="2"/>
          <w:numId w:val="11"/>
        </w:numPr>
        <w:ind w:left="0"/>
        <w:jc w:val="both"/>
        <w:rPr>
          <w:rFonts w:ascii="Book Antiqua" w:hAnsi="Book Antiqua"/>
          <w:sz w:val="20"/>
          <w:szCs w:val="20"/>
        </w:rPr>
      </w:pPr>
      <w:r>
        <w:rPr>
          <w:rFonts w:ascii="Book Antiqua" w:hAnsi="Book Antiqua"/>
          <w:sz w:val="20"/>
          <w:szCs w:val="20"/>
        </w:rPr>
        <w:t>Os quantitativos serão restabelecidos a quantidade inicial licitada, não havendo possibilidade de somatório com o saldo não utilizado no período inicial da Ata.</w:t>
      </w:r>
    </w:p>
    <w:p w14:paraId="74827907">
      <w:pPr>
        <w:numPr>
          <w:ilvl w:val="2"/>
          <w:numId w:val="11"/>
        </w:numPr>
        <w:ind w:left="0"/>
        <w:jc w:val="both"/>
        <w:rPr>
          <w:rFonts w:ascii="Book Antiqua" w:hAnsi="Book Antiqua"/>
          <w:sz w:val="20"/>
          <w:szCs w:val="20"/>
        </w:rPr>
      </w:pPr>
      <w:r>
        <w:rPr>
          <w:rFonts w:ascii="Book Antiqua" w:hAnsi="Book Antiqua"/>
          <w:sz w:val="20"/>
          <w:szCs w:val="20"/>
        </w:rPr>
        <w:t>Na hipótese de prorrogação apenas de prazo prevista no Item 3.1, o quantitativo permanecerá de acordo com o saldo disponível no momento da prorrogação, apenas para que se possa concluir a aquisição de acordo com a demanda inicial licitada.</w:t>
      </w:r>
    </w:p>
    <w:p w14:paraId="08AC65D3">
      <w:pPr>
        <w:pStyle w:val="66"/>
        <w:numPr>
          <w:ilvl w:val="2"/>
          <w:numId w:val="11"/>
        </w:numPr>
        <w:autoSpaceDE w:val="0"/>
        <w:autoSpaceDN w:val="0"/>
        <w:adjustRightInd w:val="0"/>
        <w:spacing w:after="0" w:line="240" w:lineRule="auto"/>
        <w:ind w:left="0"/>
        <w:jc w:val="both"/>
        <w:rPr>
          <w:rFonts w:ascii="Book Antiqua" w:hAnsi="Book Antiqua" w:cs="TimesNewRomanPSMT" w:eastAsiaTheme="minorHAnsi"/>
          <w:sz w:val="20"/>
          <w:szCs w:val="20"/>
          <w:lang w:eastAsia="en-US"/>
        </w:rPr>
      </w:pPr>
      <w:r>
        <w:rPr>
          <w:rFonts w:ascii="Book Antiqua" w:hAnsi="Book Antiqua" w:cs="TimesNewRomanPSMT" w:eastAsiaTheme="minorHAnsi"/>
          <w:sz w:val="20"/>
          <w:szCs w:val="20"/>
          <w:lang w:eastAsia="en-US"/>
        </w:rPr>
        <w:t>O contrato decorrente da Ata de Registro de Preços terá sua vigência estabelecida em conformidade com as disposições nela contidas.</w:t>
      </w:r>
    </w:p>
    <w:p w14:paraId="3C30C004">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QUARTA - DA ALTERAÇÃO DA ATA DE REGISTRO DE PREÇOS</w:t>
      </w:r>
    </w:p>
    <w:p w14:paraId="35433517">
      <w:pPr>
        <w:numPr>
          <w:ilvl w:val="1"/>
          <w:numId w:val="11"/>
        </w:numPr>
        <w:ind w:left="0"/>
        <w:jc w:val="both"/>
        <w:rPr>
          <w:rFonts w:ascii="Book Antiqua" w:hAnsi="Book Antiqua"/>
          <w:sz w:val="20"/>
          <w:szCs w:val="20"/>
        </w:rPr>
      </w:pPr>
      <w:r>
        <w:rPr>
          <w:rFonts w:ascii="Book Antiqua" w:hAnsi="Book Antiqua"/>
          <w:sz w:val="20"/>
          <w:szCs w:val="20"/>
        </w:rPr>
        <w:t>É vedado efetuar acréscimos nos quantitativos fixados na ata de registro de preços.</w:t>
      </w:r>
    </w:p>
    <w:p w14:paraId="6E5892D0">
      <w:pPr>
        <w:numPr>
          <w:ilvl w:val="1"/>
          <w:numId w:val="11"/>
        </w:numPr>
        <w:ind w:left="0"/>
        <w:jc w:val="both"/>
        <w:rPr>
          <w:rFonts w:ascii="Book Antiqua" w:hAnsi="Book Antiqua"/>
          <w:sz w:val="20"/>
          <w:szCs w:val="20"/>
        </w:rPr>
      </w:pPr>
      <w:r>
        <w:rPr>
          <w:rFonts w:ascii="Book Antiqua" w:hAnsi="Book Antiqua"/>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2BC5B3EB">
      <w:pPr>
        <w:numPr>
          <w:ilvl w:val="2"/>
          <w:numId w:val="11"/>
        </w:numPr>
        <w:ind w:left="0"/>
        <w:jc w:val="both"/>
        <w:rPr>
          <w:rFonts w:ascii="Book Antiqua" w:hAnsi="Book Antiqua"/>
          <w:sz w:val="20"/>
          <w:szCs w:val="20"/>
        </w:rPr>
      </w:pPr>
      <w:r>
        <w:rPr>
          <w:rFonts w:ascii="Book Antiqua" w:hAnsi="Book Antiqua"/>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 ;</w:t>
      </w:r>
    </w:p>
    <w:p w14:paraId="5A94119D">
      <w:pPr>
        <w:numPr>
          <w:ilvl w:val="2"/>
          <w:numId w:val="11"/>
        </w:numPr>
        <w:ind w:left="0"/>
        <w:jc w:val="both"/>
        <w:rPr>
          <w:rFonts w:ascii="Book Antiqua" w:hAnsi="Book Antiqua"/>
          <w:sz w:val="20"/>
          <w:szCs w:val="20"/>
        </w:rPr>
      </w:pPr>
      <w:r>
        <w:rPr>
          <w:rFonts w:ascii="Book Antiqua" w:hAnsi="Book Antiqua"/>
          <w:sz w:val="20"/>
          <w:szCs w:val="20"/>
        </w:rPr>
        <w:t xml:space="preserve">Em caso de criação, alteração ou extinção de quaisquer tributos ou encargos legais ou a superveniência de disposições legais, com comprovada repercussão sobre os preços registrados; </w:t>
      </w:r>
    </w:p>
    <w:p w14:paraId="7D74ACAB">
      <w:pPr>
        <w:numPr>
          <w:ilvl w:val="2"/>
          <w:numId w:val="11"/>
        </w:numPr>
        <w:ind w:left="0"/>
        <w:jc w:val="both"/>
        <w:rPr>
          <w:rFonts w:ascii="Book Antiqua" w:hAnsi="Book Antiqua"/>
          <w:sz w:val="20"/>
          <w:szCs w:val="20"/>
        </w:rPr>
      </w:pPr>
      <w:r>
        <w:rPr>
          <w:rFonts w:ascii="Book Antiqua" w:hAnsi="Book Antiqua"/>
          <w:sz w:val="20"/>
          <w:szCs w:val="20"/>
        </w:rPr>
        <w:t>Na hipótese de previsão no edital ou no aviso de contratação direta de cláusula de reajustamento ou repactuação sobre os preços registrados, nos termos da Lei nº 14.133, de 2021.</w:t>
      </w:r>
    </w:p>
    <w:p w14:paraId="001106E6">
      <w:pPr>
        <w:numPr>
          <w:ilvl w:val="2"/>
          <w:numId w:val="11"/>
        </w:numPr>
        <w:ind w:left="0"/>
        <w:jc w:val="both"/>
        <w:rPr>
          <w:rFonts w:ascii="Book Antiqua" w:hAnsi="Book Antiqua"/>
          <w:sz w:val="20"/>
          <w:szCs w:val="20"/>
        </w:rPr>
      </w:pPr>
      <w:r>
        <w:rPr>
          <w:rFonts w:ascii="Book Antiqua" w:hAnsi="Book Antiqua"/>
          <w:sz w:val="20"/>
          <w:szCs w:val="20"/>
        </w:rPr>
        <w:t xml:space="preserve">No caso do reajustamento, deverá ser respeitada a contagem da anualidade e o índice previstos para a contratação;  </w:t>
      </w:r>
    </w:p>
    <w:p w14:paraId="714F9A19">
      <w:pPr>
        <w:numPr>
          <w:ilvl w:val="2"/>
          <w:numId w:val="11"/>
        </w:numPr>
        <w:ind w:left="0"/>
        <w:jc w:val="both"/>
        <w:rPr>
          <w:rFonts w:ascii="Book Antiqua" w:hAnsi="Book Antiqua"/>
          <w:sz w:val="20"/>
          <w:szCs w:val="20"/>
        </w:rPr>
      </w:pPr>
      <w:r>
        <w:rPr>
          <w:rFonts w:ascii="Book Antiqua" w:hAnsi="Book Antiqua"/>
          <w:sz w:val="20"/>
          <w:szCs w:val="20"/>
        </w:rPr>
        <w:t xml:space="preserve">No caso da repactuação, poderá ser a pedido do interessado, conforme critérios definidos para a contratação. </w:t>
      </w:r>
    </w:p>
    <w:p w14:paraId="3215F9D9">
      <w:pPr>
        <w:numPr>
          <w:ilvl w:val="1"/>
          <w:numId w:val="11"/>
        </w:numPr>
        <w:ind w:left="0"/>
        <w:jc w:val="both"/>
        <w:rPr>
          <w:rFonts w:ascii="Book Antiqua" w:hAnsi="Book Antiqua"/>
          <w:sz w:val="20"/>
          <w:szCs w:val="20"/>
        </w:rPr>
      </w:pPr>
      <w:r>
        <w:rPr>
          <w:rFonts w:ascii="Book Antiqua" w:hAnsi="Book Antiqua"/>
          <w:sz w:val="20"/>
          <w:szCs w:val="20"/>
        </w:rPr>
        <w:t>Na hipótese de o preço registrado tornar-se superior ao preço praticado no mercado por motivo superveniente, o órgão ou entidade gerenciadora convocará o fornecedor para negociar a redução do preço registrado.</w:t>
      </w:r>
    </w:p>
    <w:p w14:paraId="101EB554">
      <w:pPr>
        <w:numPr>
          <w:ilvl w:val="1"/>
          <w:numId w:val="11"/>
        </w:numPr>
        <w:ind w:left="0"/>
        <w:jc w:val="both"/>
        <w:rPr>
          <w:rFonts w:ascii="Book Antiqua" w:hAnsi="Book Antiqua"/>
          <w:sz w:val="20"/>
          <w:szCs w:val="20"/>
        </w:rPr>
      </w:pPr>
      <w:r>
        <w:rPr>
          <w:rFonts w:ascii="Book Antiqua" w:hAnsi="Book Antiqua"/>
          <w:sz w:val="20"/>
          <w:szCs w:val="20"/>
        </w:rPr>
        <w:t>Caso não aceite reduzir seu preço aos valores praticados pelo mercado, o fornecedor será liberado do compromisso assumido quanto ao item registrado, sem aplicação de penalidades administrativas.</w:t>
      </w:r>
    </w:p>
    <w:p w14:paraId="051F138A">
      <w:pPr>
        <w:numPr>
          <w:ilvl w:val="1"/>
          <w:numId w:val="11"/>
        </w:numPr>
        <w:ind w:left="0"/>
        <w:jc w:val="both"/>
        <w:rPr>
          <w:rFonts w:ascii="Book Antiqua" w:hAnsi="Book Antiqua"/>
          <w:sz w:val="20"/>
          <w:szCs w:val="20"/>
        </w:rPr>
      </w:pPr>
      <w:r>
        <w:rPr>
          <w:rFonts w:ascii="Book Antiqua" w:hAnsi="Book Antiqua"/>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43D3535">
      <w:pPr>
        <w:numPr>
          <w:ilvl w:val="1"/>
          <w:numId w:val="11"/>
        </w:numPr>
        <w:ind w:left="0"/>
        <w:jc w:val="both"/>
        <w:rPr>
          <w:rFonts w:ascii="Book Antiqua" w:hAnsi="Book Antiqua"/>
          <w:sz w:val="20"/>
          <w:szCs w:val="20"/>
        </w:rPr>
      </w:pPr>
      <w:r>
        <w:rPr>
          <w:rFonts w:ascii="Book Antiqua" w:hAnsi="Book Antiqua"/>
          <w:sz w:val="20"/>
          <w:szCs w:val="20"/>
        </w:rPr>
        <w:t>Se não obtiver êxito nas negociações, o órgão ou entidade gerenciadora procederá ao cancelamento da ata de registro de preços, adotando as medidas cabíveis para obtenção de contratação mais vantajosa.</w:t>
      </w:r>
    </w:p>
    <w:p w14:paraId="0B2EDBD8">
      <w:pPr>
        <w:numPr>
          <w:ilvl w:val="1"/>
          <w:numId w:val="11"/>
        </w:numPr>
        <w:ind w:left="0"/>
        <w:jc w:val="both"/>
        <w:rPr>
          <w:rFonts w:ascii="Book Antiqua" w:hAnsi="Book Antiqua"/>
          <w:sz w:val="20"/>
          <w:szCs w:val="20"/>
        </w:rPr>
      </w:pPr>
      <w:r>
        <w:rPr>
          <w:rFonts w:ascii="Book Antiqua" w:hAnsi="Book Antiqua"/>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1FB499AE">
      <w:pPr>
        <w:numPr>
          <w:ilvl w:val="1"/>
          <w:numId w:val="11"/>
        </w:numPr>
        <w:ind w:left="0"/>
        <w:jc w:val="both"/>
        <w:rPr>
          <w:rFonts w:ascii="Book Antiqua" w:hAnsi="Book Antiqua"/>
          <w:sz w:val="20"/>
          <w:szCs w:val="20"/>
        </w:rPr>
      </w:pPr>
      <w:r>
        <w:rPr>
          <w:rFonts w:ascii="Book Antiqua" w:hAnsi="Book Antiqua"/>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E786221">
      <w:pPr>
        <w:numPr>
          <w:ilvl w:val="1"/>
          <w:numId w:val="11"/>
        </w:numPr>
        <w:ind w:left="0"/>
        <w:jc w:val="both"/>
        <w:rPr>
          <w:rFonts w:ascii="Book Antiqua" w:hAnsi="Book Antiqua"/>
          <w:sz w:val="20"/>
          <w:szCs w:val="20"/>
        </w:rPr>
      </w:pPr>
      <w:r>
        <w:rPr>
          <w:rFonts w:ascii="Book Antiqua" w:hAnsi="Book Antiqua"/>
          <w:sz w:val="20"/>
          <w:szCs w:val="20"/>
        </w:rPr>
        <w:t>Neste caso, o fornecedor encaminhará, juntamente com o pedido de alteração, a documentação comprobatória ou a planilha de custos que demonstre a inviabilidade do preço registrado em relação às condições inicialmente pactuadas.</w:t>
      </w:r>
    </w:p>
    <w:p w14:paraId="1B59757D">
      <w:pPr>
        <w:numPr>
          <w:ilvl w:val="1"/>
          <w:numId w:val="11"/>
        </w:numPr>
        <w:ind w:left="0"/>
        <w:jc w:val="both"/>
        <w:rPr>
          <w:rFonts w:ascii="Book Antiqua" w:hAnsi="Book Antiqua"/>
          <w:sz w:val="20"/>
          <w:szCs w:val="20"/>
        </w:rPr>
      </w:pPr>
      <w:r>
        <w:rPr>
          <w:rFonts w:ascii="Book Antiqua" w:hAnsi="Book Antiqua"/>
          <w:sz w:val="20"/>
          <w:szCs w:val="20"/>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5.1, sem prejuízo das sanções previstas na Lei nº 14.133, de 2021, e na legislação aplicável.</w:t>
      </w:r>
    </w:p>
    <w:p w14:paraId="51FD0CA8">
      <w:pPr>
        <w:numPr>
          <w:ilvl w:val="1"/>
          <w:numId w:val="11"/>
        </w:numPr>
        <w:ind w:left="0"/>
        <w:jc w:val="both"/>
        <w:rPr>
          <w:rFonts w:ascii="Book Antiqua" w:hAnsi="Book Antiqua"/>
          <w:sz w:val="20"/>
          <w:szCs w:val="20"/>
        </w:rPr>
      </w:pPr>
      <w:r>
        <w:rPr>
          <w:rFonts w:ascii="Book Antiqua" w:hAnsi="Book Antiqua"/>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DB7779">
      <w:pPr>
        <w:numPr>
          <w:ilvl w:val="1"/>
          <w:numId w:val="11"/>
        </w:numPr>
        <w:ind w:left="0"/>
        <w:jc w:val="both"/>
        <w:rPr>
          <w:rFonts w:ascii="Book Antiqua" w:hAnsi="Book Antiqua"/>
          <w:sz w:val="20"/>
          <w:szCs w:val="20"/>
        </w:rPr>
      </w:pPr>
      <w:r>
        <w:rPr>
          <w:rFonts w:ascii="Book Antiqua" w:hAnsi="Book Antiqua"/>
          <w:sz w:val="20"/>
          <w:szCs w:val="20"/>
        </w:rPr>
        <w:t>Se não obtiver êxito nas negociações, o órgão ou entidade gerenciadora procederá ao cancelamento da ata de registro de preços, nos termos do item 5.4, e adotará as medidas cabíveis para a obtenção da contratação mais vantajosa.</w:t>
      </w:r>
    </w:p>
    <w:p w14:paraId="4583531E">
      <w:pPr>
        <w:numPr>
          <w:ilvl w:val="1"/>
          <w:numId w:val="11"/>
        </w:numPr>
        <w:ind w:left="0"/>
        <w:jc w:val="both"/>
        <w:rPr>
          <w:rFonts w:ascii="Book Antiqua" w:hAnsi="Book Antiqua"/>
          <w:sz w:val="20"/>
          <w:szCs w:val="20"/>
        </w:rPr>
      </w:pPr>
      <w:r>
        <w:rPr>
          <w:rFonts w:ascii="Book Antiqua" w:hAnsi="Book Antiqua"/>
          <w:sz w:val="20"/>
          <w:szCs w:val="20"/>
        </w:rPr>
        <w:t>Na hipótese de comprovação da majoração do preço de mercado que inviabilize o preço registrado, conforme previsto no item 4.2 e no item 4.2.1, o órgão ou entidade gerenciadora atualizará o preço registrado, de acordo com a realidade dos valores praticados pelo mercado.</w:t>
      </w:r>
    </w:p>
    <w:p w14:paraId="6C4E0A2C">
      <w:pPr>
        <w:numPr>
          <w:ilvl w:val="1"/>
          <w:numId w:val="11"/>
        </w:numPr>
        <w:ind w:left="0"/>
        <w:jc w:val="both"/>
        <w:rPr>
          <w:rFonts w:ascii="Book Antiqua" w:hAnsi="Book Antiqua"/>
          <w:sz w:val="20"/>
          <w:szCs w:val="20"/>
        </w:rPr>
      </w:pPr>
      <w:r>
        <w:rPr>
          <w:rFonts w:ascii="Book Antiqua" w:hAnsi="Book Antiqua"/>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7419085D">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QUINTA - DO CANCELAMENTO DO REGISTRO</w:t>
      </w:r>
    </w:p>
    <w:p w14:paraId="7F62D284">
      <w:pPr>
        <w:numPr>
          <w:ilvl w:val="1"/>
          <w:numId w:val="11"/>
        </w:numPr>
        <w:ind w:left="0"/>
        <w:jc w:val="both"/>
        <w:rPr>
          <w:rFonts w:ascii="Book Antiqua" w:hAnsi="Book Antiqua"/>
          <w:sz w:val="20"/>
          <w:szCs w:val="20"/>
        </w:rPr>
      </w:pPr>
      <w:r>
        <w:rPr>
          <w:rFonts w:ascii="Book Antiqua" w:hAnsi="Book Antiqua"/>
          <w:sz w:val="20"/>
          <w:szCs w:val="20"/>
        </w:rPr>
        <w:t>O fornecedor terá o seu registro cancelado, por intermédio de processo administrativo específico, assegurado o contraditório e a ampla defesa, quando:</w:t>
      </w:r>
    </w:p>
    <w:p w14:paraId="0D33002D">
      <w:pPr>
        <w:numPr>
          <w:ilvl w:val="2"/>
          <w:numId w:val="11"/>
        </w:numPr>
        <w:ind w:left="0"/>
        <w:jc w:val="both"/>
        <w:rPr>
          <w:rFonts w:ascii="Book Antiqua" w:hAnsi="Book Antiqua"/>
          <w:sz w:val="20"/>
          <w:szCs w:val="20"/>
        </w:rPr>
      </w:pPr>
      <w:r>
        <w:rPr>
          <w:rFonts w:ascii="Book Antiqua" w:hAnsi="Book Antiqua"/>
          <w:sz w:val="20"/>
          <w:szCs w:val="20"/>
        </w:rPr>
        <w:t>Não cumprir as condições da Ata de Registro de Preços;</w:t>
      </w:r>
    </w:p>
    <w:p w14:paraId="789A7950">
      <w:pPr>
        <w:numPr>
          <w:ilvl w:val="2"/>
          <w:numId w:val="11"/>
        </w:numPr>
        <w:ind w:left="0"/>
        <w:jc w:val="both"/>
        <w:rPr>
          <w:rFonts w:ascii="Book Antiqua" w:hAnsi="Book Antiqua"/>
          <w:sz w:val="20"/>
          <w:szCs w:val="20"/>
        </w:rPr>
      </w:pPr>
      <w:r>
        <w:rPr>
          <w:rFonts w:ascii="Book Antiqua" w:hAnsi="Book Antiqua"/>
          <w:sz w:val="20"/>
          <w:szCs w:val="20"/>
        </w:rPr>
        <w:t>Não retirar a respectiva nota de empenho ou instrumento equivalente, ou não assinar o contrato, no prazo estabelecido pela Administração, sem justificativa aceitável;</w:t>
      </w:r>
    </w:p>
    <w:p w14:paraId="592CF064">
      <w:pPr>
        <w:numPr>
          <w:ilvl w:val="2"/>
          <w:numId w:val="11"/>
        </w:numPr>
        <w:ind w:left="0"/>
        <w:jc w:val="both"/>
        <w:rPr>
          <w:rFonts w:ascii="Book Antiqua" w:hAnsi="Book Antiqua"/>
          <w:sz w:val="20"/>
          <w:szCs w:val="20"/>
        </w:rPr>
      </w:pPr>
      <w:r>
        <w:rPr>
          <w:rFonts w:ascii="Book Antiqua" w:hAnsi="Book Antiqua"/>
          <w:sz w:val="20"/>
          <w:szCs w:val="20"/>
        </w:rPr>
        <w:t>Não aceitar reduzir o preço registrado, na hipótese deste se tornar superior àqueles praticados no mercado;</w:t>
      </w:r>
    </w:p>
    <w:p w14:paraId="2C0F0FC2">
      <w:pPr>
        <w:numPr>
          <w:ilvl w:val="2"/>
          <w:numId w:val="11"/>
        </w:numPr>
        <w:ind w:left="0"/>
        <w:jc w:val="both"/>
        <w:rPr>
          <w:rFonts w:ascii="Book Antiqua" w:hAnsi="Book Antiqua"/>
          <w:sz w:val="20"/>
          <w:szCs w:val="20"/>
        </w:rPr>
      </w:pPr>
      <w:r>
        <w:rPr>
          <w:rFonts w:ascii="Book Antiqua" w:hAnsi="Book Antiqua"/>
          <w:sz w:val="20"/>
          <w:szCs w:val="20"/>
        </w:rPr>
        <w:t>Por razões de interesse público, devidamente motivadas e justificadas;</w:t>
      </w:r>
    </w:p>
    <w:p w14:paraId="58DC60BD">
      <w:pPr>
        <w:numPr>
          <w:ilvl w:val="2"/>
          <w:numId w:val="11"/>
        </w:numPr>
        <w:ind w:left="0"/>
        <w:jc w:val="both"/>
        <w:rPr>
          <w:rFonts w:ascii="Book Antiqua" w:hAnsi="Book Antiqua"/>
          <w:sz w:val="20"/>
          <w:szCs w:val="20"/>
        </w:rPr>
      </w:pPr>
      <w:r>
        <w:rPr>
          <w:rFonts w:ascii="Book Antiqua" w:hAnsi="Book Antiqua"/>
          <w:sz w:val="20"/>
          <w:szCs w:val="20"/>
        </w:rPr>
        <w:t>Não mantiver as condições de habilitação durante a vigência da Ata de Registro de Preços.</w:t>
      </w:r>
    </w:p>
    <w:p w14:paraId="197815A5">
      <w:pPr>
        <w:numPr>
          <w:ilvl w:val="1"/>
          <w:numId w:val="11"/>
        </w:numPr>
        <w:ind w:left="0"/>
        <w:jc w:val="both"/>
        <w:rPr>
          <w:rFonts w:ascii="Book Antiqua" w:hAnsi="Book Antiqua"/>
          <w:sz w:val="20"/>
          <w:szCs w:val="20"/>
        </w:rPr>
      </w:pPr>
      <w:r>
        <w:rPr>
          <w:rFonts w:ascii="Book Antiqua" w:hAnsi="Book Antiqua"/>
          <w:sz w:val="20"/>
          <w:szCs w:val="20"/>
        </w:rPr>
        <w:t>O fornecedor poderá solicitar o cancelamento do seu registro de preços na ocorrência de fato superveniente que venha comprometer a perfeita execução contratual, decorrente de caso fortuito ou de força maior.</w:t>
      </w:r>
    </w:p>
    <w:p w14:paraId="2EE30C65">
      <w:pPr>
        <w:numPr>
          <w:ilvl w:val="1"/>
          <w:numId w:val="11"/>
        </w:numPr>
        <w:ind w:left="0"/>
        <w:jc w:val="both"/>
        <w:rPr>
          <w:rFonts w:ascii="Book Antiqua" w:hAnsi="Book Antiqua"/>
          <w:sz w:val="20"/>
          <w:szCs w:val="20"/>
        </w:rPr>
      </w:pPr>
      <w:r>
        <w:rPr>
          <w:rFonts w:ascii="Book Antiqua" w:hAnsi="Book Antiqua"/>
          <w:sz w:val="20"/>
          <w:szCs w:val="20"/>
        </w:rPr>
        <w:t>Em qualquer das hipóteses acima, o órgão gerenciador comunicará o cancelamento do registro do fornecedor aos órgãos participantes, se houver.</w:t>
      </w:r>
    </w:p>
    <w:p w14:paraId="7F27B2D6">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SEXTA - DA CONTRATAÇÃO COM OS FORNECEDORES</w:t>
      </w:r>
    </w:p>
    <w:p w14:paraId="1869C77F">
      <w:pPr>
        <w:numPr>
          <w:ilvl w:val="1"/>
          <w:numId w:val="11"/>
        </w:numPr>
        <w:ind w:left="0"/>
        <w:jc w:val="both"/>
        <w:rPr>
          <w:rFonts w:ascii="Book Antiqua" w:hAnsi="Book Antiqua"/>
          <w:sz w:val="20"/>
          <w:szCs w:val="20"/>
        </w:rPr>
      </w:pPr>
      <w:r>
        <w:rPr>
          <w:rFonts w:ascii="Book Antiqua" w:hAnsi="Book Antiqua"/>
          <w:sz w:val="20"/>
          <w:szCs w:val="20"/>
        </w:rPr>
        <w:t>A contratação com o fornecedor registrado, de acordo com a necessidade do órgão, será formalizada por intermédio de instrumento contratual, emissão de nota de empenho de despesa, autorização de compra ou outro instrumento similar, conforme disposto no artigo 95 da Lei nº 14.133/2021.</w:t>
      </w:r>
    </w:p>
    <w:p w14:paraId="2D170B2F">
      <w:pPr>
        <w:numPr>
          <w:ilvl w:val="2"/>
          <w:numId w:val="11"/>
        </w:numPr>
        <w:ind w:left="0"/>
        <w:jc w:val="both"/>
        <w:rPr>
          <w:rFonts w:ascii="Book Antiqua" w:hAnsi="Book Antiqua"/>
          <w:sz w:val="20"/>
          <w:szCs w:val="20"/>
        </w:rPr>
      </w:pPr>
      <w:r>
        <w:rPr>
          <w:rFonts w:ascii="Book Antiqua" w:hAnsi="Book Antiqua"/>
          <w:sz w:val="20"/>
          <w:szCs w:val="20"/>
        </w:rPr>
        <w:t>As condições de fornecimento constam do Termo de Referência e da Ata de Registro de Preços, e poderão ser detalhadas, em cada contratação específica, no respectivo pedido de contratação.</w:t>
      </w:r>
    </w:p>
    <w:p w14:paraId="6814DED1">
      <w:pPr>
        <w:numPr>
          <w:ilvl w:val="1"/>
          <w:numId w:val="11"/>
        </w:numPr>
        <w:ind w:left="0"/>
        <w:jc w:val="both"/>
        <w:rPr>
          <w:rFonts w:ascii="Book Antiqua" w:hAnsi="Book Antiqua"/>
          <w:sz w:val="20"/>
          <w:szCs w:val="20"/>
          <w:lang w:bidi="pt-BR"/>
        </w:rPr>
      </w:pPr>
      <w:r>
        <w:rPr>
          <w:rFonts w:ascii="Book Antiqua" w:hAnsi="Book Antiqua"/>
          <w:sz w:val="20"/>
          <w:szCs w:val="20"/>
        </w:rPr>
        <w:t xml:space="preserve">O órgão convocará a fornecedora com preço registrado em Ata para, a cada contratação, no prazo máximo de </w:t>
      </w:r>
      <w:r>
        <w:rPr>
          <w:rFonts w:ascii="Book Antiqua" w:hAnsi="Book Antiqua"/>
          <w:b/>
          <w:sz w:val="20"/>
          <w:szCs w:val="20"/>
          <w:lang w:bidi="pt-BR"/>
        </w:rPr>
        <w:t>02 (dois) dias úteis</w:t>
      </w:r>
      <w:r>
        <w:rPr>
          <w:rFonts w:ascii="Book Antiqua" w:hAnsi="Book Antiqua"/>
          <w:sz w:val="20"/>
          <w:szCs w:val="20"/>
          <w:lang w:bidi="pt-BR"/>
        </w:rPr>
        <w:t xml:space="preserve">, </w:t>
      </w:r>
      <w:r>
        <w:rPr>
          <w:rFonts w:ascii="Book Antiqua" w:hAnsi="Book Antiqua"/>
          <w:sz w:val="20"/>
          <w:szCs w:val="20"/>
        </w:rPr>
        <w:t xml:space="preserve">efetuar a retirada da Nota de Empenho ou instrumento equivalente, ou assinar o Contrato, se for o caso, </w:t>
      </w:r>
      <w:r>
        <w:rPr>
          <w:rFonts w:ascii="Book Antiqua" w:hAnsi="Book Antiqua"/>
          <w:sz w:val="20"/>
          <w:szCs w:val="20"/>
          <w:lang w:bidi="pt-BR"/>
        </w:rPr>
        <w:t>sob pena de decair do direito à contratação, sem prejuízo das sanções previstas no Edital e na Ata de Registro de Preços.</w:t>
      </w:r>
    </w:p>
    <w:p w14:paraId="03B4E27A">
      <w:pPr>
        <w:numPr>
          <w:ilvl w:val="2"/>
          <w:numId w:val="11"/>
        </w:numPr>
        <w:ind w:left="0"/>
        <w:jc w:val="both"/>
        <w:rPr>
          <w:rFonts w:ascii="Book Antiqua" w:hAnsi="Book Antiqua"/>
          <w:sz w:val="20"/>
          <w:szCs w:val="20"/>
          <w:lang w:bidi="pt-BR"/>
        </w:rPr>
      </w:pPr>
      <w:r>
        <w:rPr>
          <w:rFonts w:ascii="Book Antiqua" w:hAnsi="Book Antiqua"/>
          <w:bCs/>
          <w:sz w:val="20"/>
          <w:szCs w:val="20"/>
          <w:lang w:bidi="pt-BR"/>
        </w:rPr>
        <w:t xml:space="preserve">Esse </w:t>
      </w:r>
      <w:r>
        <w:rPr>
          <w:rFonts w:ascii="Book Antiqua" w:hAnsi="Book Antiqua"/>
          <w:sz w:val="20"/>
          <w:szCs w:val="20"/>
          <w:lang w:bidi="pt-BR"/>
        </w:rPr>
        <w:t>prazo poderá ser prorrogado, por igual período, por solicitação justificada do fornecedor e aceita pela Administração.</w:t>
      </w:r>
    </w:p>
    <w:p w14:paraId="360ACCC4">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SETIMA - DA VIGÊNCIA DA CONTRATAÇÃO</w:t>
      </w:r>
    </w:p>
    <w:p w14:paraId="575E3A37">
      <w:pPr>
        <w:numPr>
          <w:ilvl w:val="1"/>
          <w:numId w:val="11"/>
        </w:numPr>
        <w:ind w:left="0"/>
        <w:jc w:val="both"/>
        <w:rPr>
          <w:rFonts w:ascii="Book Antiqua" w:hAnsi="Book Antiqua"/>
          <w:sz w:val="20"/>
          <w:szCs w:val="20"/>
        </w:rPr>
      </w:pPr>
      <w:r>
        <w:rPr>
          <w:rFonts w:ascii="Book Antiqua" w:hAnsi="Book Antiqua"/>
          <w:sz w:val="20"/>
          <w:szCs w:val="20"/>
          <w:lang w:bidi="pt-BR"/>
        </w:rPr>
        <w:t xml:space="preserve">Cada </w:t>
      </w:r>
      <w:r>
        <w:rPr>
          <w:rFonts w:ascii="Book Antiqua" w:hAnsi="Book Antiqua"/>
          <w:bCs/>
          <w:sz w:val="20"/>
          <w:szCs w:val="20"/>
          <w:lang w:bidi="pt-BR"/>
        </w:rPr>
        <w:t xml:space="preserve">contrato firmado com a fornecedora terá vigência de acordo com as disposições definidas na minuta de contrato ou instrumento equivalente, ou, na omissão deste, pelo prazo de </w:t>
      </w:r>
      <w:r>
        <w:rPr>
          <w:rFonts w:ascii="Book Antiqua" w:hAnsi="Book Antiqua"/>
          <w:b/>
          <w:bCs/>
          <w:sz w:val="20"/>
          <w:szCs w:val="20"/>
          <w:lang w:bidi="pt-BR"/>
        </w:rPr>
        <w:t>30 (trinta) dias</w:t>
      </w:r>
      <w:r>
        <w:rPr>
          <w:rFonts w:ascii="Book Antiqua" w:hAnsi="Book Antiqua"/>
          <w:bCs/>
          <w:sz w:val="20"/>
          <w:szCs w:val="20"/>
          <w:lang w:bidi="pt-BR"/>
        </w:rPr>
        <w:t>,</w:t>
      </w:r>
      <w:r>
        <w:rPr>
          <w:rFonts w:ascii="Book Antiqua" w:hAnsi="Book Antiqua"/>
          <w:sz w:val="20"/>
          <w:szCs w:val="20"/>
        </w:rPr>
        <w:t xml:space="preserve"> a partir da data da assinatura ou retirada do instrumento</w:t>
      </w:r>
    </w:p>
    <w:p w14:paraId="68CADC9E">
      <w:pPr>
        <w:numPr>
          <w:ilvl w:val="2"/>
          <w:numId w:val="11"/>
        </w:numPr>
        <w:ind w:left="0"/>
        <w:jc w:val="both"/>
        <w:rPr>
          <w:rFonts w:ascii="Book Antiqua" w:hAnsi="Book Antiqua"/>
          <w:sz w:val="20"/>
          <w:szCs w:val="20"/>
        </w:rPr>
      </w:pPr>
      <w:r>
        <w:rPr>
          <w:rFonts w:ascii="Book Antiqua" w:hAnsi="Book Antiqua"/>
          <w:bCs/>
          <w:sz w:val="20"/>
          <w:szCs w:val="20"/>
        </w:rPr>
        <w:t>A vigência poderá ultrapassar o exercício financeiro, desde que as despesas referentes à contratação sejam integralmente empenhadas até 31 de dezembro, para fins de inscrição em restos a pagar, e o objeto esteja previsto no Plano Plurianual.</w:t>
      </w:r>
    </w:p>
    <w:p w14:paraId="76FA2E8B">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OITAVA - DO PAGAMENTO</w:t>
      </w:r>
    </w:p>
    <w:p w14:paraId="29BC46B3">
      <w:pPr>
        <w:numPr>
          <w:ilvl w:val="1"/>
          <w:numId w:val="11"/>
        </w:numPr>
        <w:ind w:left="0"/>
        <w:jc w:val="both"/>
        <w:rPr>
          <w:rFonts w:ascii="Book Antiqua" w:hAnsi="Book Antiqua"/>
          <w:sz w:val="20"/>
          <w:szCs w:val="20"/>
        </w:rPr>
      </w:pPr>
      <w:bookmarkStart w:id="19" w:name="_Hlk21861649"/>
      <w:r>
        <w:rPr>
          <w:rFonts w:ascii="Book Antiqua" w:hAnsi="Book Antiqua"/>
          <w:sz w:val="20"/>
          <w:szCs w:val="20"/>
        </w:rPr>
        <w:t>Todas as condições de pagamento estão previstas no Termo de Referência, que é parte integrante desta ARP.</w:t>
      </w:r>
    </w:p>
    <w:bookmarkEnd w:id="19"/>
    <w:p w14:paraId="76BFFB79">
      <w:pPr>
        <w:numPr>
          <w:ilvl w:val="0"/>
          <w:numId w:val="11"/>
        </w:numPr>
        <w:jc w:val="both"/>
        <w:rPr>
          <w:rFonts w:ascii="Book Antiqua" w:hAnsi="Book Antiqua"/>
          <w:b/>
          <w:sz w:val="20"/>
          <w:szCs w:val="20"/>
          <w:u w:val="single"/>
          <w:shd w:val="clear" w:color="auto" w:fill="B3B3B3"/>
        </w:rPr>
      </w:pPr>
      <w:r>
        <w:rPr>
          <w:rFonts w:ascii="Book Antiqua" w:hAnsi="Book Antiqua"/>
          <w:b/>
          <w:sz w:val="20"/>
          <w:szCs w:val="20"/>
          <w:u w:val="single"/>
          <w:shd w:val="clear" w:color="auto" w:fill="B3B3B3"/>
        </w:rPr>
        <w:t>CLÁUSULA NONA - DAS PENALIDADES</w:t>
      </w:r>
    </w:p>
    <w:p w14:paraId="238F58B6">
      <w:pPr>
        <w:numPr>
          <w:ilvl w:val="1"/>
          <w:numId w:val="11"/>
        </w:numPr>
        <w:ind w:left="0"/>
        <w:jc w:val="both"/>
        <w:rPr>
          <w:rFonts w:ascii="Book Antiqua" w:hAnsi="Book Antiqua"/>
          <w:sz w:val="20"/>
          <w:szCs w:val="20"/>
        </w:rPr>
      </w:pPr>
      <w:r>
        <w:rPr>
          <w:rFonts w:ascii="Book Antiqua" w:hAnsi="Book Antiqua"/>
          <w:sz w:val="20"/>
          <w:szCs w:val="20"/>
        </w:rPr>
        <w:t>O descumprimento da Ata de Registro de Preços ensejará aplicação das penalidades estabelecidas no TERMO DE REFERÊNCIA.</w:t>
      </w:r>
    </w:p>
    <w:p w14:paraId="4D4AF4AA">
      <w:pPr>
        <w:numPr>
          <w:ilvl w:val="1"/>
          <w:numId w:val="11"/>
        </w:numPr>
        <w:ind w:left="0"/>
        <w:jc w:val="both"/>
        <w:rPr>
          <w:rFonts w:ascii="Book Antiqua" w:hAnsi="Book Antiqua"/>
          <w:sz w:val="20"/>
          <w:szCs w:val="20"/>
        </w:rPr>
      </w:pPr>
      <w:r>
        <w:rPr>
          <w:rFonts w:ascii="Book Antiqua" w:hAnsi="Book Antiqua"/>
          <w:sz w:val="20"/>
          <w:szCs w:val="20"/>
        </w:rPr>
        <w:t xml:space="preserve">As sanções também se aplicam aos integrantes do cadastro de reserva no registro de preços que, convocados, não honrarem o compromisso assumido injustificadamente após terem assinado a ata. </w:t>
      </w:r>
    </w:p>
    <w:p w14:paraId="4F990096">
      <w:pPr>
        <w:numPr>
          <w:ilvl w:val="1"/>
          <w:numId w:val="11"/>
        </w:numPr>
        <w:ind w:left="0"/>
        <w:jc w:val="both"/>
        <w:rPr>
          <w:rFonts w:ascii="Book Antiqua" w:hAnsi="Book Antiqua"/>
          <w:sz w:val="20"/>
          <w:szCs w:val="20"/>
        </w:rPr>
      </w:pPr>
      <w:r>
        <w:rPr>
          <w:rFonts w:ascii="Book Antiqua" w:hAnsi="Book Antiqua"/>
          <w:sz w:val="20"/>
          <w:szCs w:val="20"/>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4FD11FBF">
      <w:pPr>
        <w:numPr>
          <w:ilvl w:val="1"/>
          <w:numId w:val="11"/>
        </w:numPr>
        <w:ind w:left="0"/>
        <w:jc w:val="both"/>
        <w:rPr>
          <w:rFonts w:ascii="Book Antiqua" w:hAnsi="Book Antiqua"/>
          <w:sz w:val="20"/>
          <w:szCs w:val="20"/>
        </w:rPr>
      </w:pPr>
      <w:r>
        <w:rPr>
          <w:rFonts w:ascii="Book Antiqua" w:hAnsi="Book Antiqua"/>
          <w:sz w:val="20"/>
          <w:szCs w:val="20"/>
        </w:rPr>
        <w:t>O órgão ou entidade participante deverá comunicar ao órgão gerenciador qualquer das ocorrências previstas no item 5.1, dada a necessidade de instauração de procedimento para cancelamento do registro do fornecedor.</w:t>
      </w:r>
    </w:p>
    <w:p w14:paraId="699C5955">
      <w:pPr>
        <w:jc w:val="both"/>
        <w:rPr>
          <w:rFonts w:ascii="Book Antiqua" w:hAnsi="Book Antiqua"/>
          <w:color w:val="000000"/>
          <w:sz w:val="20"/>
          <w:szCs w:val="20"/>
          <w:u w:val="single"/>
        </w:rPr>
      </w:pPr>
      <w:r>
        <w:rPr>
          <w:rFonts w:ascii="Book Antiqua" w:hAnsi="Book Antiqua"/>
          <w:b/>
          <w:bCs/>
          <w:color w:val="000000"/>
          <w:sz w:val="20"/>
          <w:szCs w:val="20"/>
        </w:rPr>
        <w:t>10.</w:t>
      </w:r>
      <w:r>
        <w:rPr>
          <w:rFonts w:ascii="Book Antiqua" w:hAnsi="Book Antiqua"/>
          <w:b/>
          <w:bCs/>
          <w:color w:val="000000"/>
          <w:sz w:val="20"/>
          <w:szCs w:val="20"/>
          <w:u w:val="single"/>
          <w:shd w:val="clear" w:color="auto" w:fill="BABABA"/>
        </w:rPr>
        <w:t xml:space="preserve"> CLÁUSULA DÉCIMA - DA DOTAÇÃO ORÇAMENTÁRIA</w:t>
      </w:r>
    </w:p>
    <w:p w14:paraId="2E1BF17D">
      <w:pPr>
        <w:jc w:val="both"/>
        <w:rPr>
          <w:rFonts w:ascii="Book Antiqua" w:hAnsi="Book Antiqua"/>
          <w:sz w:val="20"/>
          <w:szCs w:val="20"/>
        </w:rPr>
      </w:pPr>
      <w:r>
        <w:rPr>
          <w:rFonts w:ascii="Book Antiqua" w:hAnsi="Book Antiqua"/>
          <w:b/>
          <w:bCs/>
          <w:sz w:val="20"/>
          <w:szCs w:val="20"/>
        </w:rPr>
        <w:t>10.1.</w:t>
      </w:r>
      <w:r>
        <w:rPr>
          <w:rFonts w:ascii="Book Antiqua" w:hAnsi="Book Antiqua"/>
          <w:sz w:val="20"/>
          <w:szCs w:val="20"/>
        </w:rPr>
        <w:t xml:space="preserve">  As despesas decorrentes da presente licitação, no presente exercício, correrão por conta de recursos específicos, consignados no Orçamento Geral do Município para o exercício 2025. </w:t>
      </w:r>
    </w:p>
    <w:p w14:paraId="010C1990">
      <w:pPr>
        <w:jc w:val="both"/>
        <w:rPr>
          <w:rFonts w:ascii="Book Antiqua" w:hAnsi="Book Antiqua"/>
          <w:sz w:val="20"/>
          <w:szCs w:val="20"/>
        </w:rPr>
      </w:pPr>
      <w:r>
        <w:rPr>
          <w:rFonts w:ascii="Book Antiqua" w:hAnsi="Book Antiqua"/>
          <w:b/>
          <w:bCs/>
          <w:sz w:val="20"/>
          <w:szCs w:val="20"/>
        </w:rPr>
        <w:t>10.2.</w:t>
      </w:r>
      <w:r>
        <w:rPr>
          <w:rFonts w:ascii="Book Antiqua" w:hAnsi="Book Antiqua"/>
          <w:sz w:val="20"/>
          <w:szCs w:val="20"/>
        </w:rPr>
        <w:t xml:space="preserve"> É dispensada a certificação de dotação orçamentária nos processos licitatórios para registro de preços, nos termos do art. 7º, §2º, do Decreto Federal nº 7.892/2013, que somente será exigida para a formalização do contrato ou outro instrumento hábil.</w:t>
      </w:r>
    </w:p>
    <w:p w14:paraId="483D51EC">
      <w:pPr>
        <w:jc w:val="both"/>
        <w:rPr>
          <w:rFonts w:ascii="Book Antiqua" w:hAnsi="Book Antiqua"/>
          <w:sz w:val="20"/>
          <w:szCs w:val="20"/>
        </w:rPr>
      </w:pPr>
      <w:r>
        <w:rPr>
          <w:rFonts w:ascii="Book Antiqua" w:hAnsi="Book Antiqua"/>
          <w:b/>
          <w:bCs/>
          <w:sz w:val="20"/>
          <w:szCs w:val="20"/>
        </w:rPr>
        <w:t>10.3.</w:t>
      </w:r>
      <w:r>
        <w:rPr>
          <w:rFonts w:ascii="Book Antiqua" w:hAnsi="Book Antiqua"/>
          <w:sz w:val="20"/>
          <w:szCs w:val="20"/>
        </w:rPr>
        <w:t xml:space="preserve"> Natureza da Despesa: 3.3.90.39 – </w:t>
      </w:r>
      <w:r>
        <w:rPr>
          <w:rFonts w:ascii="Book Antiqua" w:hAnsi="Book Antiqua" w:cs="Gisha"/>
          <w:sz w:val="20"/>
          <w:szCs w:val="20"/>
        </w:rPr>
        <w:t>Outros Serviços de Terceiros – Pessoa Jurídica (PJ).</w:t>
      </w:r>
    </w:p>
    <w:p w14:paraId="737CB5CE">
      <w:pPr>
        <w:pStyle w:val="66"/>
        <w:spacing w:after="0" w:line="240" w:lineRule="auto"/>
        <w:ind w:left="0"/>
        <w:jc w:val="both"/>
        <w:rPr>
          <w:rFonts w:ascii="Book Antiqua" w:hAnsi="Book Antiqua"/>
          <w:sz w:val="20"/>
          <w:szCs w:val="20"/>
        </w:rPr>
      </w:pPr>
      <w:r>
        <w:rPr>
          <w:rFonts w:ascii="Book Antiqua" w:hAnsi="Book Antiqua"/>
          <w:b/>
          <w:bCs/>
          <w:sz w:val="20"/>
          <w:szCs w:val="20"/>
        </w:rPr>
        <w:t xml:space="preserve">10.4. </w:t>
      </w:r>
      <w:r>
        <w:rPr>
          <w:rFonts w:ascii="Book Antiqua" w:hAnsi="Book Antiqua"/>
          <w:sz w:val="20"/>
          <w:szCs w:val="20"/>
        </w:rPr>
        <w:t>Nos exercícios subsequentes correrão à conta da dotação apropriada a ser indicada na Lei Orçamentária do referido exercício.</w:t>
      </w:r>
    </w:p>
    <w:p w14:paraId="3B11C93D">
      <w:pPr>
        <w:jc w:val="both"/>
        <w:rPr>
          <w:rFonts w:ascii="Book Antiqua" w:hAnsi="Book Antiqua"/>
          <w:sz w:val="20"/>
          <w:szCs w:val="20"/>
        </w:rPr>
      </w:pPr>
      <w:bookmarkStart w:id="20" w:name="_Hlk211416872"/>
      <w:r>
        <w:rPr>
          <w:rFonts w:ascii="Book Antiqua" w:hAnsi="Book Antiqua" w:eastAsia="Book Antiqua" w:cs="Book Antiqua"/>
          <w:b/>
          <w:color w:val="000000"/>
          <w:sz w:val="20"/>
          <w:szCs w:val="20"/>
        </w:rPr>
        <w:t>11.</w:t>
      </w:r>
      <w:r>
        <w:rPr>
          <w:rFonts w:ascii="Book Antiqua" w:hAnsi="Book Antiqua" w:eastAsia="Book Antiqua" w:cs="Book Antiqua"/>
          <w:b/>
          <w:color w:val="000000"/>
          <w:sz w:val="20"/>
          <w:szCs w:val="20"/>
          <w:shd w:val="clear" w:color="auto" w:fill="BABABA"/>
        </w:rPr>
        <w:t xml:space="preserve"> CLÁUSULA DÉCIMA PRIMEIRA - </w:t>
      </w:r>
      <w:bookmarkEnd w:id="20"/>
      <w:r>
        <w:rPr>
          <w:rFonts w:ascii="Book Antiqua" w:hAnsi="Book Antiqua" w:eastAsia="Book Antiqua" w:cs="Book Antiqua"/>
          <w:b/>
          <w:color w:val="000000"/>
          <w:sz w:val="20"/>
          <w:szCs w:val="20"/>
          <w:shd w:val="clear" w:color="auto" w:fill="BABABA"/>
        </w:rPr>
        <w:t>DAS OBRIGAÇÕES DA CONTRATANTE</w:t>
      </w:r>
    </w:p>
    <w:p w14:paraId="3461F297">
      <w:pPr>
        <w:jc w:val="both"/>
        <w:rPr>
          <w:rFonts w:ascii="Book Antiqua" w:hAnsi="Book Antiqua" w:eastAsia="Book Antiqua" w:cs="Book Antiqua"/>
          <w:sz w:val="20"/>
          <w:szCs w:val="20"/>
        </w:rPr>
      </w:pPr>
      <w:r>
        <w:rPr>
          <w:rFonts w:ascii="Book Antiqua" w:hAnsi="Book Antiqua" w:eastAsia="Book Antiqua" w:cs="Book Antiqua"/>
          <w:b/>
          <w:bCs/>
          <w:sz w:val="20"/>
          <w:szCs w:val="20"/>
        </w:rPr>
        <w:t>11.1.</w:t>
      </w:r>
      <w:r>
        <w:rPr>
          <w:rFonts w:ascii="Book Antiqua" w:hAnsi="Book Antiqua" w:eastAsia="Book Antiqua" w:cs="Book Antiqua"/>
          <w:sz w:val="20"/>
          <w:szCs w:val="20"/>
        </w:rPr>
        <w:tab/>
      </w:r>
      <w:r>
        <w:rPr>
          <w:rFonts w:ascii="Book Antiqua" w:hAnsi="Book Antiqua" w:eastAsia="Book Antiqua" w:cs="Book Antiqua"/>
          <w:sz w:val="20"/>
          <w:szCs w:val="20"/>
        </w:rPr>
        <w:t xml:space="preserve">São obrigações da Contratante: </w:t>
      </w:r>
    </w:p>
    <w:p w14:paraId="2CA464FF">
      <w:pPr>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11.1.1.</w:t>
      </w:r>
      <w:r>
        <w:rPr>
          <w:rFonts w:ascii="Book Antiqua" w:hAnsi="Book Antiqua" w:eastAsia="Book Antiqua" w:cs="Book Antiqua"/>
          <w:sz w:val="20"/>
          <w:szCs w:val="20"/>
        </w:rPr>
        <w:t xml:space="preserve"> Receber o objeto no prazo e condições estabelecidas no Edital e seus anexos; </w:t>
      </w:r>
    </w:p>
    <w:p w14:paraId="39C351D2">
      <w:pPr>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11.1.2</w:t>
      </w:r>
      <w:r>
        <w:rPr>
          <w:rFonts w:ascii="Book Antiqua" w:hAnsi="Book Antiqua" w:eastAsia="Book Antiqua" w:cs="Book Antiqua"/>
          <w:sz w:val="20"/>
          <w:szCs w:val="20"/>
        </w:rPr>
        <w:t xml:space="preserve">. Verificar minuciosamente, no prazo fixado, a conformidade dos bens recebidos provisoriamente com as especificações constantes do Edital e da proposta, para fins de aceitação e recebimento definitivo; </w:t>
      </w:r>
    </w:p>
    <w:p w14:paraId="1526AE32">
      <w:pPr>
        <w:tabs>
          <w:tab w:val="left" w:pos="567"/>
          <w:tab w:val="left" w:pos="851"/>
          <w:tab w:val="left" w:pos="993"/>
          <w:tab w:val="left" w:pos="1276"/>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11.1.3</w:t>
      </w:r>
      <w:r>
        <w:rPr>
          <w:rFonts w:ascii="Book Antiqua" w:hAnsi="Book Antiqua" w:eastAsia="Book Antiqua" w:cs="Book Antiqua"/>
          <w:sz w:val="20"/>
          <w:szCs w:val="20"/>
        </w:rPr>
        <w:t>.</w:t>
      </w:r>
      <w:r>
        <w:rPr>
          <w:rFonts w:ascii="Book Antiqua" w:hAnsi="Book Antiqua" w:eastAsia="Book Antiqua" w:cs="Book Antiqua"/>
          <w:sz w:val="20"/>
          <w:szCs w:val="20"/>
        </w:rPr>
        <w:tab/>
      </w:r>
      <w:r>
        <w:rPr>
          <w:rFonts w:ascii="Book Antiqua" w:hAnsi="Book Antiqua" w:eastAsia="Book Antiqua" w:cs="Book Antiqua"/>
          <w:sz w:val="20"/>
          <w:szCs w:val="20"/>
        </w:rPr>
        <w:t xml:space="preserve">Comunicar à Contratada, por escrito, sobre imperfeições, falhas ou irregularidades verificadas no objeto fornecido, para que seja substituído, reparado ou corrigido; </w:t>
      </w:r>
    </w:p>
    <w:p w14:paraId="07F583E4">
      <w:pPr>
        <w:tabs>
          <w:tab w:val="left" w:pos="567"/>
          <w:tab w:val="left" w:pos="709"/>
          <w:tab w:val="left" w:pos="851"/>
          <w:tab w:val="left" w:pos="993"/>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11.1.4.</w:t>
      </w:r>
      <w:r>
        <w:rPr>
          <w:rFonts w:ascii="Book Antiqua" w:hAnsi="Book Antiqua" w:eastAsia="Book Antiqua" w:cs="Book Antiqua"/>
          <w:b/>
          <w:bCs/>
          <w:sz w:val="20"/>
          <w:szCs w:val="20"/>
        </w:rPr>
        <w:tab/>
      </w:r>
      <w:r>
        <w:rPr>
          <w:rFonts w:ascii="Book Antiqua" w:hAnsi="Book Antiqua" w:eastAsia="Book Antiqua" w:cs="Book Antiqua"/>
          <w:sz w:val="20"/>
          <w:szCs w:val="20"/>
        </w:rPr>
        <w:t>Acompanhar e fiscalizar o cumprimento das obrigações da Contratada, através de comissão/servidor especialmente designado; e</w:t>
      </w:r>
    </w:p>
    <w:p w14:paraId="70D17F7E">
      <w:pPr>
        <w:tabs>
          <w:tab w:val="left" w:pos="567"/>
          <w:tab w:val="left" w:pos="851"/>
          <w:tab w:val="left" w:pos="993"/>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11.1.5</w:t>
      </w:r>
      <w:r>
        <w:rPr>
          <w:rFonts w:ascii="Book Antiqua" w:hAnsi="Book Antiqua" w:eastAsia="Book Antiqua" w:cs="Book Antiqua"/>
          <w:sz w:val="20"/>
          <w:szCs w:val="20"/>
        </w:rPr>
        <w:t>.</w:t>
      </w:r>
      <w:r>
        <w:rPr>
          <w:rFonts w:ascii="Book Antiqua" w:hAnsi="Book Antiqua" w:eastAsia="Book Antiqua" w:cs="Book Antiqua"/>
          <w:sz w:val="20"/>
          <w:szCs w:val="20"/>
        </w:rPr>
        <w:tab/>
      </w:r>
      <w:r>
        <w:rPr>
          <w:rFonts w:ascii="Book Antiqua" w:hAnsi="Book Antiqua" w:eastAsia="Book Antiqua" w:cs="Book Antiqua"/>
          <w:sz w:val="20"/>
          <w:szCs w:val="20"/>
        </w:rPr>
        <w:t xml:space="preserve">efetuar o pagamento à Contratada no valor correspondente ao fornecimento do objeto, no prazo e forma estabelecidos no Edital e seus anexos, respeitando sempre a Ordem Cronológica de Pagamentos. </w:t>
      </w:r>
    </w:p>
    <w:p w14:paraId="3014F16C">
      <w:pPr>
        <w:tabs>
          <w:tab w:val="left" w:pos="567"/>
        </w:tabs>
        <w:jc w:val="both"/>
        <w:rPr>
          <w:rFonts w:ascii="Book Antiqua" w:hAnsi="Book Antiqua" w:eastAsia="Book Antiqua" w:cs="Book Antiqua"/>
          <w:sz w:val="20"/>
          <w:szCs w:val="20"/>
        </w:rPr>
      </w:pPr>
      <w:r>
        <w:rPr>
          <w:rFonts w:ascii="Book Antiqua" w:hAnsi="Book Antiqua" w:eastAsia="Book Antiqua" w:cs="Book Antiqua"/>
          <w:b/>
          <w:bCs/>
          <w:sz w:val="20"/>
          <w:szCs w:val="20"/>
        </w:rPr>
        <w:t>11.2.</w:t>
      </w:r>
      <w:r>
        <w:rPr>
          <w:rFonts w:ascii="Book Antiqua" w:hAnsi="Book Antiqua" w:eastAsia="Book Antiqua" w:cs="Book Antiqua"/>
          <w:sz w:val="20"/>
          <w:szCs w:val="20"/>
        </w:rPr>
        <w:tab/>
      </w:r>
      <w:r>
        <w:rPr>
          <w:rFonts w:ascii="Book Antiqua" w:hAnsi="Book Antiqua" w:eastAsia="Book Antiqua" w:cs="Book Antiqua"/>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4604A3EE">
      <w:pPr>
        <w:pStyle w:val="66"/>
        <w:spacing w:after="0" w:line="240" w:lineRule="auto"/>
        <w:ind w:left="0"/>
        <w:jc w:val="both"/>
        <w:rPr>
          <w:rFonts w:ascii="Book Antiqua" w:hAnsi="Book Antiqua" w:eastAsia="Book Antiqua" w:cs="Book Antiqua"/>
          <w:sz w:val="20"/>
          <w:szCs w:val="20"/>
        </w:rPr>
      </w:pPr>
      <w:r>
        <w:rPr>
          <w:rFonts w:ascii="Book Antiqua" w:hAnsi="Book Antiqua" w:eastAsia="Book Antiqua" w:cs="Book Antiqua"/>
          <w:b/>
          <w:bCs/>
          <w:sz w:val="20"/>
          <w:szCs w:val="20"/>
        </w:rPr>
        <w:t>11.3</w:t>
      </w:r>
      <w:r>
        <w:rPr>
          <w:rFonts w:ascii="Book Antiqua" w:hAnsi="Book Antiqua" w:eastAsia="Book Antiqua" w:cs="Book Antiqua"/>
          <w:sz w:val="20"/>
          <w:szCs w:val="20"/>
        </w:rPr>
        <w:t>. Rejeitar o fornecimento dos materiais/produtos/serviços que não atendam aos requisitos constantes das especificações do Termo de Referência.</w:t>
      </w:r>
    </w:p>
    <w:p w14:paraId="776447CE">
      <w:pPr>
        <w:jc w:val="both"/>
        <w:rPr>
          <w:rFonts w:ascii="Book Antiqua" w:hAnsi="Book Antiqua" w:eastAsia="Book Antiqua" w:cs="Book Antiqua"/>
          <w:b/>
          <w:sz w:val="20"/>
          <w:szCs w:val="20"/>
          <w:u w:val="single"/>
        </w:rPr>
      </w:pPr>
      <w:r>
        <w:rPr>
          <w:rFonts w:ascii="Book Antiqua" w:hAnsi="Book Antiqua" w:eastAsia="Book Antiqua" w:cs="Book Antiqua"/>
          <w:b/>
          <w:color w:val="000000"/>
          <w:sz w:val="20"/>
          <w:szCs w:val="20"/>
        </w:rPr>
        <w:t>12.</w:t>
      </w:r>
      <w:r>
        <w:rPr>
          <w:rFonts w:ascii="Book Antiqua" w:hAnsi="Book Antiqua" w:eastAsia="Book Antiqua" w:cs="Book Antiqua"/>
          <w:b/>
          <w:color w:val="000000"/>
          <w:sz w:val="20"/>
          <w:szCs w:val="20"/>
          <w:u w:val="single"/>
          <w:shd w:val="clear" w:color="auto" w:fill="BABABA"/>
        </w:rPr>
        <w:t xml:space="preserve"> CLÁUSULA DÉCIMA SEGUNDA - DAS OBRIGAÇÕES DA CONTRATADA</w:t>
      </w:r>
    </w:p>
    <w:p w14:paraId="5D23A551">
      <w:pPr>
        <w:tabs>
          <w:tab w:val="left" w:pos="426"/>
          <w:tab w:val="left" w:pos="567"/>
        </w:tabs>
        <w:jc w:val="both"/>
        <w:rPr>
          <w:rFonts w:ascii="Book Antiqua" w:hAnsi="Book Antiqua" w:eastAsia="Book Antiqua" w:cs="Book Antiqua"/>
          <w:sz w:val="20"/>
          <w:szCs w:val="20"/>
        </w:rPr>
      </w:pPr>
      <w:r>
        <w:rPr>
          <w:rFonts w:ascii="Book Antiqua" w:hAnsi="Book Antiqua" w:eastAsia="Book Antiqua" w:cs="Book Antiqua"/>
          <w:b/>
          <w:bCs/>
          <w:sz w:val="20"/>
          <w:szCs w:val="20"/>
        </w:rPr>
        <w:t>12.1.</w:t>
      </w:r>
      <w:r>
        <w:rPr>
          <w:rFonts w:ascii="Book Antiqua" w:hAnsi="Book Antiqua" w:eastAsia="Book Antiqua" w:cs="Book Antiqua"/>
          <w:sz w:val="20"/>
          <w:szCs w:val="20"/>
        </w:rPr>
        <w:tab/>
      </w:r>
      <w:r>
        <w:rPr>
          <w:rFonts w:ascii="Book Antiqua" w:hAnsi="Book Antiqua" w:eastAsia="Book Antiqua" w:cs="Book Antiqua"/>
          <w:sz w:val="20"/>
          <w:szCs w:val="20"/>
        </w:rPr>
        <w:t xml:space="preserve">A Contratada deve cumprir todas as obrigações constantes no Edital, seus anexos e sua proposta, assumindo como exclusivamente seus os riscos e as despesas decorrentes da boa e perfeita execução do objeto e, ainda: </w:t>
      </w:r>
    </w:p>
    <w:p w14:paraId="3B89FB74">
      <w:pPr>
        <w:tabs>
          <w:tab w:val="left" w:pos="709"/>
          <w:tab w:val="left" w:pos="851"/>
          <w:tab w:val="left" w:pos="1134"/>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12.1.1</w:t>
      </w:r>
      <w:r>
        <w:rPr>
          <w:rFonts w:ascii="Book Antiqua" w:hAnsi="Book Antiqua" w:eastAsia="Book Antiqua" w:cs="Book Antiqua"/>
          <w:sz w:val="20"/>
          <w:szCs w:val="20"/>
        </w:rPr>
        <w:t>.</w:t>
      </w:r>
      <w:r>
        <w:rPr>
          <w:rFonts w:ascii="Book Antiqua" w:hAnsi="Book Antiqua" w:eastAsia="Book Antiqua" w:cs="Book Antiqua"/>
          <w:sz w:val="20"/>
          <w:szCs w:val="20"/>
        </w:rPr>
        <w:tab/>
      </w:r>
      <w:r>
        <w:rPr>
          <w:rFonts w:ascii="Book Antiqua" w:hAnsi="Book Antiqua" w:eastAsia="Book Antiqua" w:cs="Book Antiqua"/>
          <w:sz w:val="20"/>
          <w:szCs w:val="20"/>
        </w:rPr>
        <w:t xml:space="preserve">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3780619D">
      <w:pPr>
        <w:tabs>
          <w:tab w:val="left" w:pos="567"/>
          <w:tab w:val="left" w:pos="851"/>
          <w:tab w:val="left" w:pos="1134"/>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12.1.2.</w:t>
      </w:r>
      <w:r>
        <w:rPr>
          <w:rFonts w:ascii="Book Antiqua" w:hAnsi="Book Antiqua" w:eastAsia="Book Antiqua" w:cs="Book Antiqua"/>
          <w:sz w:val="20"/>
          <w:szCs w:val="20"/>
        </w:rPr>
        <w:tab/>
      </w:r>
      <w:r>
        <w:rPr>
          <w:rFonts w:ascii="Book Antiqua" w:hAnsi="Book Antiqua" w:eastAsia="Book Antiqua" w:cs="Book Antiqua"/>
          <w:sz w:val="20"/>
          <w:szCs w:val="20"/>
        </w:rPr>
        <w:t xml:space="preserve">Responsabilizar-se pelos vícios e danos decorrentes do objeto, de acordo com os artigos 12, 13 e 17 a 27, do Código de Defesa do Consumidor (Lei nº 8.078, de 1990); </w:t>
      </w:r>
    </w:p>
    <w:p w14:paraId="532DA105">
      <w:pPr>
        <w:tabs>
          <w:tab w:val="left" w:pos="993"/>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12.1.3</w:t>
      </w:r>
      <w:r>
        <w:rPr>
          <w:rFonts w:ascii="Book Antiqua" w:hAnsi="Book Antiqua" w:eastAsia="Book Antiqua" w:cs="Book Antiqua"/>
          <w:sz w:val="20"/>
          <w:szCs w:val="20"/>
        </w:rPr>
        <w:t>.</w:t>
      </w:r>
      <w:r>
        <w:rPr>
          <w:rFonts w:ascii="Book Antiqua" w:hAnsi="Book Antiqua" w:eastAsia="Book Antiqua" w:cs="Book Antiqua"/>
          <w:sz w:val="20"/>
          <w:szCs w:val="20"/>
        </w:rPr>
        <w:tab/>
      </w:r>
      <w:r>
        <w:rPr>
          <w:rFonts w:ascii="Book Antiqua" w:hAnsi="Book Antiqua" w:eastAsia="Book Antiqua" w:cs="Book Antiqua"/>
          <w:sz w:val="20"/>
          <w:szCs w:val="20"/>
        </w:rPr>
        <w:t xml:space="preserve">Substituir, reparar ou corrigir, às suas expensas, no prazo fixado neste Termo de Referência, o objeto com avarias ou defeitos; </w:t>
      </w:r>
    </w:p>
    <w:p w14:paraId="1887269E">
      <w:pPr>
        <w:tabs>
          <w:tab w:val="left" w:pos="426"/>
          <w:tab w:val="left" w:pos="709"/>
          <w:tab w:val="left" w:pos="851"/>
          <w:tab w:val="left" w:pos="1134"/>
          <w:tab w:val="left" w:pos="1276"/>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12.1.4.</w:t>
      </w:r>
      <w:r>
        <w:rPr>
          <w:rFonts w:ascii="Book Antiqua" w:hAnsi="Book Antiqua" w:eastAsia="Book Antiqua" w:cs="Book Antiqua"/>
          <w:sz w:val="20"/>
          <w:szCs w:val="20"/>
        </w:rPr>
        <w:tab/>
      </w:r>
      <w:r>
        <w:rPr>
          <w:rFonts w:ascii="Book Antiqua" w:hAnsi="Book Antiqua" w:eastAsia="Book Antiqua" w:cs="Book Antiqua"/>
          <w:sz w:val="20"/>
          <w:szCs w:val="20"/>
        </w:rPr>
        <w:t xml:space="preserve">Comunicar à Contratante, no prazo máximo de 24 (vinte e quatro) horas que antecede a data da entrega, os motivos que impossibilitem o cumprimento do prazo previsto, com a devida comprovação; </w:t>
      </w:r>
    </w:p>
    <w:p w14:paraId="13E14129">
      <w:pPr>
        <w:tabs>
          <w:tab w:val="left" w:pos="567"/>
          <w:tab w:val="left" w:pos="851"/>
          <w:tab w:val="left" w:pos="1134"/>
        </w:tabs>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12.1.5</w:t>
      </w:r>
      <w:r>
        <w:rPr>
          <w:rFonts w:ascii="Book Antiqua" w:hAnsi="Book Antiqua" w:eastAsia="Book Antiqua" w:cs="Book Antiqua"/>
          <w:sz w:val="20"/>
          <w:szCs w:val="20"/>
        </w:rPr>
        <w:t>.</w:t>
      </w:r>
      <w:r>
        <w:rPr>
          <w:rFonts w:ascii="Book Antiqua" w:hAnsi="Book Antiqua" w:eastAsia="Book Antiqua" w:cs="Book Antiqua"/>
          <w:sz w:val="20"/>
          <w:szCs w:val="20"/>
        </w:rPr>
        <w:tab/>
      </w:r>
      <w:r>
        <w:rPr>
          <w:rFonts w:ascii="Book Antiqua" w:hAnsi="Book Antiqua" w:eastAsia="Book Antiqua" w:cs="Book Antiqua"/>
          <w:sz w:val="20"/>
          <w:szCs w:val="20"/>
        </w:rPr>
        <w:t xml:space="preserve">Manter, durante toda a execução do contrato, em compatibilidade com as obrigações assumidas, todas as condições de habilitação e qualificação exigidas na licitação; </w:t>
      </w:r>
    </w:p>
    <w:p w14:paraId="438D797E">
      <w:pPr>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12.1.6.</w:t>
      </w:r>
      <w:r>
        <w:rPr>
          <w:rFonts w:ascii="Book Antiqua" w:hAnsi="Book Antiqua" w:eastAsia="Book Antiqua" w:cs="Book Antiqua"/>
          <w:b/>
          <w:sz w:val="20"/>
          <w:szCs w:val="20"/>
        </w:rPr>
        <w:t xml:space="preserve"> </w:t>
      </w:r>
      <w:r>
        <w:rPr>
          <w:rFonts w:ascii="Book Antiqua" w:hAnsi="Book Antiqua" w:eastAsia="Book Antiqua" w:cs="Book Antiqua"/>
          <w:sz w:val="20"/>
          <w:szCs w:val="20"/>
        </w:rPr>
        <w:t xml:space="preserve">Por ocasião da celebração do contrato e/ou Ata de Registro de Preço a empresa vencedora do certame deverá disponibilizar/cadastrar junto ao Município Contratante, </w:t>
      </w:r>
      <w:r>
        <w:rPr>
          <w:rFonts w:ascii="Book Antiqua" w:hAnsi="Book Antiqua" w:eastAsia="Book Antiqua" w:cs="Book Antiqua"/>
          <w:b/>
          <w:bCs/>
          <w:sz w:val="20"/>
          <w:szCs w:val="20"/>
        </w:rPr>
        <w:t>OBRIGATORIAMENTE</w:t>
      </w:r>
      <w:r>
        <w:rPr>
          <w:rFonts w:ascii="Book Antiqua" w:hAnsi="Book Antiqua" w:eastAsia="Book Antiqua" w:cs="Book Antiqua"/>
          <w:sz w:val="20"/>
          <w:szCs w:val="20"/>
        </w:rPr>
        <w:t>, e-mail e contato telefônico com aplicativo de mensagem, tipo WhatsApp, pelos quais receberão as ordens de serviços e/ou notificações por eventual descumprimento contratual.</w:t>
      </w:r>
    </w:p>
    <w:p w14:paraId="257AA813">
      <w:pPr>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12.1.7.</w:t>
      </w:r>
      <w:r>
        <w:rPr>
          <w:rFonts w:ascii="Book Antiqua" w:hAnsi="Book Antiqua" w:eastAsia="Book Antiqua" w:cs="Book Antiqua"/>
          <w:sz w:val="20"/>
          <w:szCs w:val="20"/>
        </w:rPr>
        <w:t xml:space="preserve"> Executar o fornecimento dentro das melhores técnicas, zelo e ética, com assiduidade e pontualidade, garantia e qualidade, obedecendo rigorosamente às especificações estabelecidas pela Contratante.</w:t>
      </w:r>
    </w:p>
    <w:p w14:paraId="6D8E9773">
      <w:pPr>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12.1.8</w:t>
      </w:r>
      <w:r>
        <w:rPr>
          <w:rFonts w:ascii="Book Antiqua" w:hAnsi="Book Antiqua" w:eastAsia="Book Antiqua" w:cs="Book Antiqua"/>
          <w:sz w:val="20"/>
          <w:szCs w:val="20"/>
        </w:rPr>
        <w:t>. Cumprir fielmente o presente registro de preços, inclusive os prazos de execução do fornecimento nos termos acordados, executando-os sobre sua inteira responsabilidade.</w:t>
      </w:r>
    </w:p>
    <w:p w14:paraId="1254F99C">
      <w:pPr>
        <w:ind w:firstLine="142"/>
        <w:jc w:val="both"/>
        <w:rPr>
          <w:rFonts w:ascii="Book Antiqua" w:hAnsi="Book Antiqua" w:eastAsia="Book Antiqua" w:cs="Book Antiqua"/>
          <w:sz w:val="20"/>
          <w:szCs w:val="20"/>
        </w:rPr>
      </w:pPr>
      <w:r>
        <w:rPr>
          <w:rFonts w:ascii="Book Antiqua" w:hAnsi="Book Antiqua" w:eastAsia="Book Antiqua" w:cs="Book Antiqua"/>
          <w:b/>
          <w:bCs/>
          <w:sz w:val="20"/>
          <w:szCs w:val="20"/>
        </w:rPr>
        <w:t>12.1.9</w:t>
      </w:r>
      <w:r>
        <w:rPr>
          <w:rFonts w:ascii="Book Antiqua" w:hAnsi="Book Antiqua" w:eastAsia="Book Antiqua" w:cs="Book Antiqua"/>
          <w:sz w:val="20"/>
          <w:szCs w:val="20"/>
        </w:rPr>
        <w:t>. Responsabilizar-se pelos danos causados diretamente à Administração ou a terceiros, decorrente de sua culpa ou dolo no seu fornecimento.</w:t>
      </w:r>
    </w:p>
    <w:p w14:paraId="0368B0AF">
      <w:pPr>
        <w:pStyle w:val="66"/>
        <w:spacing w:after="0" w:line="240" w:lineRule="auto"/>
        <w:ind w:left="0" w:firstLine="142"/>
        <w:jc w:val="both"/>
        <w:rPr>
          <w:rFonts w:ascii="Book Antiqua" w:hAnsi="Book Antiqua" w:eastAsia="Book Antiqua" w:cs="Book Antiqua"/>
          <w:sz w:val="20"/>
          <w:szCs w:val="20"/>
        </w:rPr>
      </w:pPr>
      <w:r>
        <w:rPr>
          <w:rFonts w:ascii="Book Antiqua" w:hAnsi="Book Antiqua" w:eastAsia="Book Antiqua" w:cs="Book Antiqua"/>
          <w:b/>
          <w:bCs/>
          <w:color w:val="000000"/>
          <w:sz w:val="20"/>
          <w:szCs w:val="20"/>
        </w:rPr>
        <w:t>12.1.10</w:t>
      </w:r>
      <w:r>
        <w:rPr>
          <w:rFonts w:ascii="Book Antiqua" w:hAnsi="Book Antiqua" w:eastAsia="Book Antiqua" w:cs="Book Antiqua"/>
          <w:color w:val="000000"/>
          <w:sz w:val="20"/>
          <w:szCs w:val="20"/>
        </w:rPr>
        <w:t>. Responsabilizar-se pela entrega dos bens na sede do Município, através de transporte adequado, no endereço e horário citados na Ordem de Serviços</w:t>
      </w:r>
    </w:p>
    <w:p w14:paraId="53CCC9C2">
      <w:pPr>
        <w:jc w:val="both"/>
        <w:rPr>
          <w:rFonts w:ascii="Book Antiqua" w:hAnsi="Book Antiqua" w:eastAsia="Book Antiqua" w:cs="Book Antiqua"/>
          <w:b/>
          <w:color w:val="0000CC"/>
          <w:sz w:val="20"/>
          <w:szCs w:val="20"/>
          <w:u w:val="single"/>
        </w:rPr>
      </w:pPr>
      <w:r>
        <w:rPr>
          <w:rFonts w:ascii="Book Antiqua" w:hAnsi="Book Antiqua" w:eastAsia="Book Antiqua" w:cs="Book Antiqua"/>
          <w:b/>
          <w:color w:val="000000"/>
          <w:sz w:val="20"/>
          <w:szCs w:val="20"/>
          <w:u w:val="single"/>
        </w:rPr>
        <w:t>13.</w:t>
      </w:r>
      <w:r>
        <w:rPr>
          <w:rFonts w:ascii="Book Antiqua" w:hAnsi="Book Antiqua" w:eastAsia="Book Antiqua" w:cs="Book Antiqua"/>
          <w:b/>
          <w:color w:val="000000"/>
          <w:sz w:val="20"/>
          <w:szCs w:val="20"/>
          <w:u w:val="single"/>
          <w:shd w:val="clear" w:color="auto" w:fill="BABABA"/>
        </w:rPr>
        <w:t xml:space="preserve"> CLÁUSULA DÉCIMA TERCEIRA - DO REAJUSTE</w:t>
      </w:r>
    </w:p>
    <w:p w14:paraId="7265083E">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b/>
          <w:bCs/>
          <w:color w:val="000000"/>
          <w:sz w:val="20"/>
          <w:szCs w:val="20"/>
        </w:rPr>
        <w:t>13.1</w:t>
      </w:r>
      <w:r>
        <w:rPr>
          <w:rFonts w:ascii="Book Antiqua" w:hAnsi="Book Antiqua" w:eastAsia="Book Antiqua" w:cs="Book Antiqua"/>
          <w:color w:val="000000"/>
          <w:sz w:val="20"/>
          <w:szCs w:val="20"/>
        </w:rPr>
        <w:t>. Os preços são fixos e irreajustáveis no prazo de um ano da elaboração do valor estimado.</w:t>
      </w:r>
    </w:p>
    <w:p w14:paraId="28FA1A87">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b/>
          <w:bCs/>
          <w:color w:val="000000"/>
          <w:sz w:val="20"/>
          <w:szCs w:val="20"/>
        </w:rPr>
        <w:t>13.2</w:t>
      </w:r>
      <w:r>
        <w:rPr>
          <w:rFonts w:ascii="Book Antiqua" w:hAnsi="Book Antiqua" w:eastAsia="Book Antiqua" w:cs="Book Antiqua"/>
          <w:color w:val="000000"/>
          <w:sz w:val="20"/>
          <w:szCs w:val="20"/>
        </w:rPr>
        <w:t>. Dentro do prazo de vigência do contrato e mediante solicitação da contratada, os preços contratados poderão sofrer reajuste após o interregno de um ano, aplicando-se o índice IPCA-E e exclusivamente para as obrigações iniciadas e concluídas após a ocorrência da anualidade.</w:t>
      </w:r>
    </w:p>
    <w:p w14:paraId="1DD86504">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b/>
          <w:bCs/>
          <w:color w:val="000000"/>
          <w:sz w:val="20"/>
          <w:szCs w:val="20"/>
        </w:rPr>
        <w:t>13.3</w:t>
      </w:r>
      <w:r>
        <w:rPr>
          <w:rFonts w:ascii="Book Antiqua" w:hAnsi="Book Antiqua" w:eastAsia="Book Antiqua" w:cs="Book Antiqua"/>
          <w:color w:val="000000"/>
          <w:sz w:val="20"/>
          <w:szCs w:val="20"/>
        </w:rPr>
        <w:t>. Nos reajustes subsequentes ao primeiro, o interregno mínimo de um ano será contado a partir dos efeitos financeiros do último reajuste.</w:t>
      </w:r>
    </w:p>
    <w:p w14:paraId="11A8183B">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b/>
          <w:bCs/>
          <w:color w:val="000000"/>
          <w:sz w:val="20"/>
          <w:szCs w:val="20"/>
        </w:rPr>
        <w:t>13.4</w:t>
      </w:r>
      <w:r>
        <w:rPr>
          <w:rFonts w:ascii="Book Antiqua" w:hAnsi="Book Antiqua" w:eastAsia="Book Antiqua" w:cs="Book Antiqua"/>
          <w:color w:val="000000"/>
          <w:sz w:val="20"/>
          <w:szCs w:val="20"/>
        </w:rPr>
        <w:t xml:space="preserve">.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78B657BC">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b/>
          <w:bCs/>
          <w:color w:val="000000"/>
          <w:sz w:val="20"/>
          <w:szCs w:val="20"/>
        </w:rPr>
        <w:t>13.5.</w:t>
      </w:r>
      <w:r>
        <w:rPr>
          <w:rFonts w:ascii="Book Antiqua" w:hAnsi="Book Antiqua" w:eastAsia="Book Antiqua" w:cs="Book Antiqua"/>
          <w:color w:val="000000"/>
          <w:sz w:val="20"/>
          <w:szCs w:val="20"/>
        </w:rPr>
        <w:t xml:space="preserve"> Nas aferições finais, o índice utilizado para reajuste será, obrigatoriamente, o definitivo.</w:t>
      </w:r>
    </w:p>
    <w:p w14:paraId="0650D25E">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b/>
          <w:bCs/>
          <w:color w:val="000000"/>
          <w:sz w:val="20"/>
          <w:szCs w:val="20"/>
        </w:rPr>
        <w:t>13.6</w:t>
      </w:r>
      <w:r>
        <w:rPr>
          <w:rFonts w:ascii="Book Antiqua" w:hAnsi="Book Antiqua" w:eastAsia="Book Antiqua" w:cs="Book Antiqua"/>
          <w:color w:val="000000"/>
          <w:sz w:val="20"/>
          <w:szCs w:val="20"/>
        </w:rPr>
        <w:t>. Caso o índice estabelecido para reajustamento venha a ser extinto ou de qualquer forma não possa mais ser utilizado, será adotado, em substituição, o que vier a ser determinado pela legislação então em vigor.</w:t>
      </w:r>
    </w:p>
    <w:p w14:paraId="65A3186B">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eastAsia="Book Antiqua" w:cs="Book Antiqua"/>
          <w:b/>
          <w:bCs/>
          <w:color w:val="000000"/>
          <w:sz w:val="20"/>
          <w:szCs w:val="20"/>
        </w:rPr>
        <w:t>13.7.</w:t>
      </w:r>
      <w:r>
        <w:rPr>
          <w:rFonts w:ascii="Book Antiqua" w:hAnsi="Book Antiqua" w:eastAsia="Book Antiqua" w:cs="Book Antiqua"/>
          <w:color w:val="000000"/>
          <w:sz w:val="20"/>
          <w:szCs w:val="20"/>
        </w:rPr>
        <w:t xml:space="preserve"> Na ausência de previsão legal quanto ao índice substituto, as partes elegerão novo índice oficial, para reajustamento do preço do valor remanescente, por meio de termo aditivo.</w:t>
      </w:r>
    </w:p>
    <w:p w14:paraId="0A1ECB2F">
      <w:pPr>
        <w:pStyle w:val="66"/>
        <w:numPr>
          <w:ilvl w:val="1"/>
          <w:numId w:val="12"/>
        </w:numPr>
        <w:tabs>
          <w:tab w:val="left" w:pos="426"/>
        </w:tabs>
        <w:spacing w:after="0" w:line="240" w:lineRule="auto"/>
        <w:ind w:left="0" w:firstLine="0"/>
        <w:jc w:val="both"/>
        <w:rPr>
          <w:rFonts w:ascii="Book Antiqua" w:hAnsi="Book Antiqua"/>
          <w:sz w:val="20"/>
          <w:szCs w:val="20"/>
        </w:rPr>
      </w:pPr>
      <w:bookmarkStart w:id="21" w:name="_Hlk159935335"/>
      <w:r>
        <w:rPr>
          <w:rFonts w:ascii="Book Antiqua" w:hAnsi="Book Antiqua"/>
          <w:sz w:val="20"/>
          <w:szCs w:val="20"/>
        </w:rPr>
        <w:t xml:space="preserve"> Na hipótese de sobrevirem fatos imprevisíveis, ou previsíveis, porém de consequências incalculáveis, retardadores ou impeditivos da execução do ajustado, ou, ainda, em caso de força maior, caso fortuito ou fato do príncipe, configurando área econômica extraordinária e extracontratual será concedido reequilíbrio econômico-financeiro do contrato, </w:t>
      </w:r>
      <w:r>
        <w:rPr>
          <w:rFonts w:ascii="Book Antiqua" w:hAnsi="Book Antiqua"/>
          <w:b/>
          <w:bCs/>
          <w:sz w:val="20"/>
          <w:szCs w:val="20"/>
        </w:rPr>
        <w:t>requerido pela Contratada</w:t>
      </w:r>
      <w:r>
        <w:rPr>
          <w:rFonts w:ascii="Book Antiqua" w:hAnsi="Book Antiqua"/>
          <w:sz w:val="20"/>
          <w:szCs w:val="20"/>
        </w:rPr>
        <w:t xml:space="preserve">, desde que documental e suficientemente comprovado o desequilíbrio contratual, </w:t>
      </w:r>
      <w:bookmarkEnd w:id="21"/>
      <w:r>
        <w:rPr>
          <w:rFonts w:ascii="Book Antiqua" w:hAnsi="Book Antiqua" w:cs="Arial"/>
          <w:color w:val="001D35"/>
          <w:sz w:val="20"/>
          <w:szCs w:val="20"/>
          <w:shd w:val="clear" w:color="auto" w:fill="FFFFFF"/>
        </w:rPr>
        <w:t>garantia está prevista no artigo 37, inciso 21 da Constituição Federal, reforçada pelo Art. 131, Parágrafo Único da  Lei nº 14.133/2021</w:t>
      </w:r>
    </w:p>
    <w:p w14:paraId="5A65899D">
      <w:pPr>
        <w:pStyle w:val="66"/>
        <w:numPr>
          <w:ilvl w:val="1"/>
          <w:numId w:val="12"/>
        </w:numPr>
        <w:tabs>
          <w:tab w:val="left" w:pos="426"/>
        </w:tabs>
        <w:spacing w:after="0" w:line="240" w:lineRule="auto"/>
        <w:ind w:left="0" w:firstLine="0"/>
        <w:jc w:val="both"/>
        <w:rPr>
          <w:rFonts w:ascii="Book Antiqua" w:hAnsi="Book Antiqua"/>
          <w:sz w:val="20"/>
          <w:szCs w:val="20"/>
        </w:rPr>
      </w:pPr>
      <w:r>
        <w:rPr>
          <w:rFonts w:ascii="Book Antiqua" w:hAnsi="Book Antiqua"/>
          <w:sz w:val="20"/>
          <w:szCs w:val="20"/>
        </w:rPr>
        <w:t xml:space="preserve"> O reajuste será realizado mediante Termo Aditivo.</w:t>
      </w:r>
    </w:p>
    <w:p w14:paraId="70E787F5">
      <w:pPr>
        <w:pStyle w:val="57"/>
        <w:jc w:val="both"/>
        <w:rPr>
          <w:rFonts w:ascii="Book Antiqua" w:hAnsi="Book Antiqua"/>
          <w:b/>
          <w:bCs/>
          <w:color w:val="0000CC"/>
          <w:sz w:val="20"/>
          <w:szCs w:val="20"/>
          <w:u w:val="single"/>
        </w:rPr>
      </w:pPr>
      <w:r>
        <w:rPr>
          <w:rFonts w:ascii="Book Antiqua" w:hAnsi="Book Antiqua"/>
          <w:b/>
          <w:bCs/>
          <w:sz w:val="20"/>
          <w:szCs w:val="20"/>
        </w:rPr>
        <w:t>14.</w:t>
      </w:r>
      <w:r>
        <w:rPr>
          <w:rFonts w:ascii="Book Antiqua" w:hAnsi="Book Antiqua"/>
          <w:b/>
          <w:bCs/>
          <w:sz w:val="20"/>
          <w:szCs w:val="20"/>
          <w:u w:val="single"/>
          <w:shd w:val="clear" w:color="auto" w:fill="BABABA"/>
        </w:rPr>
        <w:t xml:space="preserve"> CLÁUSULA DÉCIMA QUARTA </w:t>
      </w:r>
      <w:r>
        <w:rPr>
          <w:rFonts w:ascii="Book Antiqua" w:hAnsi="Book Antiqua"/>
          <w:b/>
          <w:bCs/>
          <w:i/>
          <w:iCs/>
          <w:sz w:val="20"/>
          <w:szCs w:val="20"/>
          <w:u w:val="single"/>
          <w:shd w:val="clear" w:color="auto" w:fill="BABABA"/>
        </w:rPr>
        <w:t xml:space="preserve">– </w:t>
      </w:r>
      <w:r>
        <w:rPr>
          <w:rFonts w:ascii="Book Antiqua" w:hAnsi="Book Antiqua"/>
          <w:b/>
          <w:bCs/>
          <w:sz w:val="20"/>
          <w:szCs w:val="20"/>
          <w:u w:val="single"/>
          <w:shd w:val="clear" w:color="auto" w:fill="BABABA"/>
        </w:rPr>
        <w:t>DOS USUÁRIOS PARTICIPANTES EXTRAORDINÁRIOS</w:t>
      </w:r>
    </w:p>
    <w:p w14:paraId="7D57BF0E">
      <w:pPr>
        <w:pStyle w:val="57"/>
        <w:jc w:val="both"/>
        <w:rPr>
          <w:rFonts w:ascii="Book Antiqua" w:hAnsi="Book Antiqua"/>
          <w:sz w:val="20"/>
          <w:szCs w:val="20"/>
        </w:rPr>
      </w:pPr>
      <w:r>
        <w:rPr>
          <w:rFonts w:ascii="Book Antiqua" w:hAnsi="Book Antiqua"/>
          <w:b/>
          <w:sz w:val="20"/>
          <w:szCs w:val="20"/>
        </w:rPr>
        <w:t xml:space="preserve">14.1. </w:t>
      </w:r>
      <w:r>
        <w:rPr>
          <w:rFonts w:ascii="Book Antiqua" w:hAnsi="Book Antiqua"/>
          <w:sz w:val="20"/>
          <w:szCs w:val="20"/>
        </w:rPr>
        <w:t>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n. º 8.666/93, no Decreto n º 3.931/01 e na IN-MARE nº 08/98 e IN-SEAP nº 04/99, relativas à utilização do Sistema de Registro de Preços.</w:t>
      </w:r>
    </w:p>
    <w:p w14:paraId="2A49826F">
      <w:pPr>
        <w:autoSpaceDE w:val="0"/>
        <w:autoSpaceDN w:val="0"/>
        <w:adjustRightInd w:val="0"/>
        <w:jc w:val="both"/>
        <w:rPr>
          <w:rFonts w:ascii="Book Antiqua" w:hAnsi="Book Antiqua"/>
          <w:color w:val="000000"/>
          <w:sz w:val="20"/>
          <w:szCs w:val="20"/>
        </w:rPr>
      </w:pPr>
      <w:r>
        <w:rPr>
          <w:rFonts w:ascii="Book Antiqua" w:hAnsi="Book Antiqua"/>
          <w:b/>
          <w:bCs/>
          <w:color w:val="000000"/>
          <w:sz w:val="20"/>
          <w:szCs w:val="20"/>
        </w:rPr>
        <w:t xml:space="preserve">  14.1.1. </w:t>
      </w:r>
      <w:r>
        <w:rPr>
          <w:rFonts w:ascii="Book Antiqua" w:hAnsi="Book Antiqua"/>
          <w:color w:val="000000"/>
          <w:sz w:val="20"/>
          <w:szCs w:val="20"/>
        </w:rPr>
        <w:t>Os órgãos e entidades que não participaram do registro de preços, quando desejarem fazer uso da presente Ata de Registro de Preços, deverão manifestar seu interesse junto à CONTRATANTE, para que esta indique os possíveis fornecedores e respectivos preços a serem praticados, obedecida a ordem de classificação.</w:t>
      </w:r>
    </w:p>
    <w:p w14:paraId="611DAA06">
      <w:pPr>
        <w:autoSpaceDE w:val="0"/>
        <w:autoSpaceDN w:val="0"/>
        <w:adjustRightInd w:val="0"/>
        <w:jc w:val="both"/>
        <w:rPr>
          <w:rFonts w:ascii="Book Antiqua" w:hAnsi="Book Antiqua"/>
          <w:color w:val="000000"/>
          <w:sz w:val="20"/>
          <w:szCs w:val="20"/>
        </w:rPr>
      </w:pPr>
      <w:r>
        <w:rPr>
          <w:rFonts w:ascii="Book Antiqua" w:hAnsi="Book Antiqua"/>
          <w:b/>
          <w:bCs/>
          <w:color w:val="000000"/>
          <w:sz w:val="20"/>
          <w:szCs w:val="20"/>
        </w:rPr>
        <w:t xml:space="preserve">  14.1.2. </w:t>
      </w:r>
      <w:r>
        <w:rPr>
          <w:rFonts w:ascii="Book Antiqua" w:hAnsi="Book Antiqua"/>
          <w:color w:val="000000"/>
          <w:sz w:val="20"/>
          <w:szCs w:val="20"/>
        </w:rPr>
        <w:t>Caberá ao FORNECEDOR beneficiário da Ata de Registro de Preços, observadas as condições nela estabelecidas, optar pela aceitação ou não do fornecimento, independentemente dos quantitativos registrados em Ata, desde que este fornecimento não prejudique as obrigações assumidas com a CONTRATANTE.</w:t>
      </w:r>
    </w:p>
    <w:p w14:paraId="60F339D3">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eastAsia="Book Antiqua" w:cs="Book Antiqua"/>
          <w:color w:val="000000"/>
          <w:sz w:val="20"/>
          <w:szCs w:val="20"/>
        </w:rPr>
      </w:pPr>
      <w:r>
        <w:rPr>
          <w:rFonts w:ascii="Book Antiqua" w:hAnsi="Book Antiqua"/>
          <w:b/>
          <w:bCs/>
          <w:sz w:val="20"/>
          <w:szCs w:val="20"/>
        </w:rPr>
        <w:t xml:space="preserve">  14.1.3. </w:t>
      </w:r>
      <w:r>
        <w:rPr>
          <w:rFonts w:ascii="Book Antiqua" w:hAnsi="Book Antiqua"/>
          <w:sz w:val="20"/>
          <w:szCs w:val="20"/>
        </w:rPr>
        <w:t xml:space="preserve">As aquisições ou contratações adicionais por outros órgãos ou entidades não poderão exceder, por órgão ou entidade, </w:t>
      </w:r>
      <w:r>
        <w:rPr>
          <w:rFonts w:ascii="Book Antiqua" w:hAnsi="Book Antiqua"/>
          <w:b/>
          <w:bCs/>
          <w:sz w:val="20"/>
          <w:szCs w:val="20"/>
        </w:rPr>
        <w:t>a cinquenta por cento</w:t>
      </w:r>
      <w:r>
        <w:rPr>
          <w:rFonts w:ascii="Book Antiqua" w:hAnsi="Book Antiqua"/>
          <w:sz w:val="20"/>
          <w:szCs w:val="20"/>
        </w:rPr>
        <w:t xml:space="preserve"> dos quantitativos registrados na presente Ata de Registro de Preços</w:t>
      </w:r>
    </w:p>
    <w:p w14:paraId="59D825CD">
      <w:pPr>
        <w:pStyle w:val="57"/>
        <w:tabs>
          <w:tab w:val="left" w:pos="8789"/>
        </w:tabs>
        <w:jc w:val="both"/>
        <w:rPr>
          <w:rFonts w:ascii="Book Antiqua" w:hAnsi="Book Antiqua" w:cs="Gisha"/>
          <w:bCs/>
          <w:color w:val="0000CC"/>
          <w:sz w:val="20"/>
          <w:szCs w:val="20"/>
        </w:rPr>
      </w:pPr>
      <w:r>
        <w:rPr>
          <w:rFonts w:ascii="Book Antiqua" w:hAnsi="Book Antiqua"/>
          <w:b/>
          <w:sz w:val="20"/>
          <w:szCs w:val="20"/>
        </w:rPr>
        <w:t>15.</w:t>
      </w:r>
      <w:r>
        <w:rPr>
          <w:rFonts w:ascii="Book Antiqua" w:hAnsi="Book Antiqua"/>
          <w:b/>
          <w:sz w:val="20"/>
          <w:szCs w:val="20"/>
          <w:u w:val="single"/>
          <w:shd w:val="clear" w:color="auto" w:fill="BABABA"/>
        </w:rPr>
        <w:t xml:space="preserve"> CLÁUSULA DÉCIMA QUINTA</w:t>
      </w:r>
      <w:r>
        <w:rPr>
          <w:rFonts w:ascii="Book Antiqua" w:hAnsi="Book Antiqua" w:cs="Gisha"/>
          <w:b/>
          <w:bCs/>
          <w:sz w:val="20"/>
          <w:szCs w:val="20"/>
          <w:u w:val="single"/>
          <w:shd w:val="clear" w:color="auto" w:fill="BABABA"/>
        </w:rPr>
        <w:t xml:space="preserve"> – DA VINCULAÇÃO AO EDITAL</w:t>
      </w:r>
    </w:p>
    <w:p w14:paraId="542F1931">
      <w:pPr>
        <w:pBdr>
          <w:top w:val="none" w:color="auto" w:sz="0" w:space="0"/>
          <w:left w:val="none" w:color="auto" w:sz="0" w:space="0"/>
          <w:bottom w:val="none" w:color="auto" w:sz="0" w:space="0"/>
          <w:right w:val="none" w:color="auto" w:sz="0" w:space="0"/>
          <w:between w:val="none" w:color="auto" w:sz="0" w:space="0"/>
        </w:pBdr>
        <w:jc w:val="both"/>
        <w:rPr>
          <w:rFonts w:ascii="Book Antiqua" w:hAnsi="Book Antiqua" w:cs="Gisha"/>
          <w:bCs/>
          <w:sz w:val="20"/>
          <w:szCs w:val="20"/>
        </w:rPr>
      </w:pPr>
      <w:r>
        <w:rPr>
          <w:rFonts w:ascii="Book Antiqua" w:hAnsi="Book Antiqua" w:cs="Gisha"/>
          <w:b/>
          <w:bCs/>
          <w:sz w:val="20"/>
          <w:szCs w:val="20"/>
        </w:rPr>
        <w:t>15.1.</w:t>
      </w:r>
      <w:r>
        <w:rPr>
          <w:rFonts w:ascii="Book Antiqua" w:hAnsi="Book Antiqua" w:cs="Gisha"/>
          <w:bCs/>
          <w:sz w:val="20"/>
          <w:szCs w:val="20"/>
        </w:rPr>
        <w:t xml:space="preserve"> Este instrumento guarda inteira conformidade com os termos do </w:t>
      </w:r>
      <w:r>
        <w:rPr>
          <w:rFonts w:ascii="Book Antiqua" w:hAnsi="Book Antiqua" w:cs="Gisha"/>
          <w:b/>
          <w:bCs/>
          <w:sz w:val="20"/>
          <w:szCs w:val="20"/>
        </w:rPr>
        <w:t>Pregão Eletrônico para Registro de Preços nº __/2025 e seus Anexos</w:t>
      </w:r>
      <w:r>
        <w:rPr>
          <w:rFonts w:ascii="Book Antiqua" w:hAnsi="Book Antiqua" w:cs="Gisha"/>
          <w:bCs/>
          <w:sz w:val="20"/>
          <w:szCs w:val="20"/>
        </w:rPr>
        <w:t>, do qual é parte integrante e complementar, vinculando-se, ainda, à proposta da Contratada</w:t>
      </w:r>
    </w:p>
    <w:p w14:paraId="24A52BAE">
      <w:pPr>
        <w:jc w:val="both"/>
        <w:rPr>
          <w:rFonts w:ascii="Book Antiqua" w:hAnsi="Book Antiqua"/>
          <w:color w:val="000000"/>
          <w:sz w:val="20"/>
          <w:szCs w:val="20"/>
        </w:rPr>
      </w:pPr>
      <w:r>
        <w:rPr>
          <w:rFonts w:ascii="Book Antiqua" w:hAnsi="Book Antiqua"/>
          <w:b/>
          <w:color w:val="000000"/>
          <w:sz w:val="20"/>
          <w:szCs w:val="20"/>
        </w:rPr>
        <w:t>16.</w:t>
      </w:r>
      <w:r>
        <w:rPr>
          <w:rFonts w:ascii="Book Antiqua" w:hAnsi="Book Antiqua"/>
          <w:b/>
          <w:color w:val="000000"/>
          <w:sz w:val="20"/>
          <w:szCs w:val="20"/>
          <w:u w:val="single"/>
          <w:shd w:val="clear" w:color="auto" w:fill="BABABA"/>
        </w:rPr>
        <w:t xml:space="preserve"> CLÁUSULA DÉCIMA SEXTA   - </w:t>
      </w:r>
      <w:r>
        <w:rPr>
          <w:rFonts w:ascii="Book Antiqua" w:hAnsi="Book Antiqua" w:cs="Gisha"/>
          <w:b/>
          <w:bCs/>
          <w:color w:val="000000"/>
          <w:sz w:val="20"/>
          <w:szCs w:val="20"/>
          <w:u w:val="single"/>
          <w:shd w:val="clear" w:color="auto" w:fill="BABABA"/>
        </w:rPr>
        <w:t>DA PUBLICAÇÃO</w:t>
      </w:r>
    </w:p>
    <w:p w14:paraId="6F897E1C">
      <w:pPr>
        <w:autoSpaceDE w:val="0"/>
        <w:autoSpaceDN w:val="0"/>
        <w:adjustRightInd w:val="0"/>
        <w:jc w:val="both"/>
        <w:rPr>
          <w:rFonts w:ascii="Book Antiqua" w:hAnsi="Book Antiqua" w:cs="Gisha"/>
          <w:b/>
          <w:bCs/>
          <w:sz w:val="20"/>
          <w:szCs w:val="20"/>
        </w:rPr>
      </w:pPr>
      <w:r>
        <w:rPr>
          <w:rFonts w:ascii="Book Antiqua" w:hAnsi="Book Antiqua" w:cs="Gisha"/>
          <w:b/>
          <w:sz w:val="20"/>
          <w:szCs w:val="20"/>
        </w:rPr>
        <w:t>16.1 -</w:t>
      </w:r>
      <w:r>
        <w:rPr>
          <w:rFonts w:ascii="Book Antiqua" w:hAnsi="Book Antiqua" w:cs="Gisha"/>
          <w:sz w:val="20"/>
          <w:szCs w:val="20"/>
        </w:rPr>
        <w:t xml:space="preserve"> A publicação do presente Contrato no </w:t>
      </w:r>
      <w:bookmarkStart w:id="22" w:name="_Hlk149125141"/>
      <w:r>
        <w:rPr>
          <w:rFonts w:ascii="Book Antiqua" w:hAnsi="Book Antiqua" w:cs="Gisha"/>
          <w:sz w:val="20"/>
          <w:szCs w:val="20"/>
        </w:rPr>
        <w:t xml:space="preserve">Diário </w:t>
      </w:r>
      <w:r>
        <w:rPr>
          <w:rFonts w:ascii="Book Antiqua" w:hAnsi="Book Antiqua" w:cs="Arial"/>
          <w:sz w:val="20"/>
          <w:szCs w:val="20"/>
          <w:shd w:val="clear" w:color="auto" w:fill="FFFFFF"/>
        </w:rPr>
        <w:t>Eletrônico dos Municípios do Rio Grande do Norte</w:t>
      </w:r>
      <w:r>
        <w:rPr>
          <w:rFonts w:ascii="Book Antiqua" w:hAnsi="Book Antiqua" w:cs="Gisha"/>
          <w:sz w:val="20"/>
          <w:szCs w:val="20"/>
        </w:rPr>
        <w:t xml:space="preserve"> – FEMURN, por extrato, será providenciada até o 20° (vigésimo) dia de sua assinatura, correndo as despesas a expensas da </w:t>
      </w:r>
      <w:r>
        <w:rPr>
          <w:rFonts w:ascii="Book Antiqua" w:hAnsi="Book Antiqua" w:cs="Gisha"/>
          <w:b/>
          <w:bCs/>
          <w:sz w:val="20"/>
          <w:szCs w:val="20"/>
        </w:rPr>
        <w:t>Contratante</w:t>
      </w:r>
      <w:bookmarkEnd w:id="22"/>
      <w:r>
        <w:rPr>
          <w:rFonts w:ascii="Book Antiqua" w:hAnsi="Book Antiqua" w:cs="Gisha"/>
          <w:b/>
          <w:bCs/>
          <w:sz w:val="20"/>
          <w:szCs w:val="20"/>
        </w:rPr>
        <w:t xml:space="preserve">. </w:t>
      </w:r>
    </w:p>
    <w:p w14:paraId="0BF84280">
      <w:pPr>
        <w:autoSpaceDE w:val="0"/>
        <w:autoSpaceDN w:val="0"/>
        <w:adjustRightInd w:val="0"/>
        <w:jc w:val="both"/>
        <w:rPr>
          <w:rFonts w:ascii="Book Antiqua" w:hAnsi="Book Antiqua" w:cs="Gisha"/>
          <w:b/>
          <w:bCs/>
          <w:sz w:val="20"/>
          <w:szCs w:val="20"/>
        </w:rPr>
      </w:pPr>
      <w:bookmarkStart w:id="23" w:name="_Hlk190259691"/>
      <w:r>
        <w:rPr>
          <w:rFonts w:ascii="Book Antiqua" w:hAnsi="Book Antiqua"/>
          <w:b/>
          <w:color w:val="000000"/>
          <w:sz w:val="20"/>
          <w:szCs w:val="20"/>
        </w:rPr>
        <w:t>17.</w:t>
      </w:r>
      <w:r>
        <w:rPr>
          <w:rFonts w:ascii="Book Antiqua" w:hAnsi="Book Antiqua"/>
          <w:b/>
          <w:color w:val="000000"/>
          <w:sz w:val="20"/>
          <w:szCs w:val="20"/>
          <w:u w:val="single"/>
          <w:shd w:val="clear" w:color="auto" w:fill="BABABA"/>
        </w:rPr>
        <w:t xml:space="preserve"> CLÁUSULA DÉCIMA SÉTIMA </w:t>
      </w:r>
      <w:bookmarkEnd w:id="23"/>
      <w:r>
        <w:rPr>
          <w:rFonts w:ascii="Book Antiqua" w:hAnsi="Book Antiqua"/>
          <w:b/>
          <w:color w:val="000000"/>
          <w:sz w:val="20"/>
          <w:szCs w:val="20"/>
          <w:u w:val="single"/>
          <w:shd w:val="clear" w:color="auto" w:fill="BABABA"/>
        </w:rPr>
        <w:t>- DAS DISPOSIÇÕES GERAIS</w:t>
      </w:r>
    </w:p>
    <w:p w14:paraId="4E1BDB13">
      <w:pPr>
        <w:jc w:val="both"/>
        <w:rPr>
          <w:rFonts w:ascii="Book Antiqua" w:hAnsi="Book Antiqua"/>
          <w:sz w:val="20"/>
          <w:szCs w:val="20"/>
        </w:rPr>
      </w:pPr>
      <w:r>
        <w:rPr>
          <w:rFonts w:ascii="Book Antiqua" w:hAnsi="Book Antiqua"/>
          <w:b/>
          <w:sz w:val="20"/>
          <w:szCs w:val="20"/>
        </w:rPr>
        <w:t>17.1</w:t>
      </w:r>
      <w:r>
        <w:rPr>
          <w:rFonts w:ascii="Book Antiqua" w:hAnsi="Book Antiqua"/>
          <w:bCs/>
          <w:sz w:val="20"/>
          <w:szCs w:val="20"/>
        </w:rPr>
        <w:t>. Será anexada a esta Ata cópia do Termo de Referência.</w:t>
      </w:r>
    </w:p>
    <w:p w14:paraId="1DB0590C">
      <w:pPr>
        <w:pStyle w:val="66"/>
        <w:numPr>
          <w:ilvl w:val="1"/>
          <w:numId w:val="13"/>
        </w:numPr>
        <w:tabs>
          <w:tab w:val="left" w:pos="426"/>
        </w:tabs>
        <w:spacing w:after="0" w:line="240" w:lineRule="auto"/>
        <w:ind w:left="0" w:hanging="1853"/>
        <w:jc w:val="both"/>
        <w:rPr>
          <w:rFonts w:ascii="Book Antiqua" w:hAnsi="Book Antiqua"/>
          <w:sz w:val="20"/>
          <w:szCs w:val="20"/>
        </w:rPr>
      </w:pPr>
      <w:r>
        <w:rPr>
          <w:rFonts w:ascii="Book Antiqua" w:hAnsi="Book Antiqua"/>
          <w:b/>
          <w:bCs/>
          <w:sz w:val="20"/>
          <w:szCs w:val="20"/>
        </w:rPr>
        <w:t>17.2.</w:t>
      </w:r>
      <w:r>
        <w:rPr>
          <w:rFonts w:ascii="Book Antiqua" w:hAnsi="Book Antiqua"/>
          <w:sz w:val="20"/>
          <w:szCs w:val="20"/>
        </w:rPr>
        <w:t xml:space="preserve"> Integram esta Ata, independentemente de transcrição, o Edital e a proposta da empresa.</w:t>
      </w:r>
      <w:r>
        <w:rPr>
          <w:rFonts w:ascii="Book Antiqua" w:hAnsi="Book Antiqua"/>
          <w:bCs/>
          <w:sz w:val="20"/>
          <w:szCs w:val="20"/>
        </w:rPr>
        <w:t xml:space="preserve"> </w:t>
      </w:r>
    </w:p>
    <w:p w14:paraId="1154DF7A">
      <w:pPr>
        <w:tabs>
          <w:tab w:val="left" w:pos="426"/>
        </w:tabs>
        <w:jc w:val="both"/>
        <w:rPr>
          <w:rFonts w:ascii="Book Antiqua" w:hAnsi="Book Antiqua"/>
          <w:sz w:val="20"/>
          <w:szCs w:val="20"/>
        </w:rPr>
      </w:pPr>
      <w:r>
        <w:rPr>
          <w:rFonts w:ascii="Book Antiqua" w:hAnsi="Book Antiqua"/>
          <w:b/>
          <w:bCs/>
          <w:sz w:val="20"/>
          <w:szCs w:val="20"/>
        </w:rPr>
        <w:t>17.3.</w:t>
      </w:r>
      <w:r>
        <w:rPr>
          <w:rFonts w:ascii="Book Antiqua" w:hAnsi="Book Antiqua"/>
          <w:sz w:val="20"/>
          <w:szCs w:val="20"/>
        </w:rPr>
        <w:t xml:space="preserve"> As condições gerais de execução do objeto, tais como os prazos para entrega e recebimento, as obrigações da Administração e do fornecedor registrado, penalidades e demais condições do ajuste, encontram-se definidos no Termo de Referência.</w:t>
      </w:r>
    </w:p>
    <w:p w14:paraId="4ACAD1C9">
      <w:pPr>
        <w:pBdr>
          <w:top w:val="none" w:color="auto" w:sz="0" w:space="0"/>
          <w:left w:val="none" w:color="auto" w:sz="0" w:space="0"/>
          <w:bottom w:val="none" w:color="auto" w:sz="0" w:space="0"/>
          <w:right w:val="none" w:color="auto" w:sz="0" w:space="0"/>
          <w:between w:val="none" w:color="auto" w:sz="0" w:space="0"/>
        </w:pBdr>
        <w:ind w:firstLine="1134"/>
        <w:jc w:val="both"/>
        <w:rPr>
          <w:rFonts w:ascii="Book Antiqua" w:hAnsi="Book Antiqua" w:eastAsia="Book Antiqua" w:cs="Book Antiqua"/>
          <w:color w:val="000000"/>
          <w:sz w:val="20"/>
          <w:szCs w:val="20"/>
        </w:rPr>
      </w:pPr>
      <w:r>
        <w:rPr>
          <w:rFonts w:ascii="Book Antiqua" w:hAnsi="Book Antiqua"/>
          <w:sz w:val="20"/>
          <w:szCs w:val="20"/>
        </w:rPr>
        <w:t xml:space="preserve"> O foro para dirimir questões relativas a presente Ata será o Foro da Comarca de São José de Mipibu/RN, com exclusão de qualquer outro</w:t>
      </w:r>
    </w:p>
    <w:p w14:paraId="0CF518C3">
      <w:pPr>
        <w:jc w:val="both"/>
        <w:rPr>
          <w:rFonts w:ascii="Book Antiqua" w:hAnsi="Book Antiqua"/>
          <w:sz w:val="20"/>
          <w:szCs w:val="20"/>
        </w:rPr>
      </w:pPr>
    </w:p>
    <w:p w14:paraId="6C2936B5">
      <w:pPr>
        <w:jc w:val="center"/>
        <w:rPr>
          <w:rFonts w:ascii="Book Antiqua" w:hAnsi="Book Antiqua"/>
          <w:sz w:val="20"/>
          <w:szCs w:val="20"/>
        </w:rPr>
      </w:pPr>
      <w:r>
        <w:rPr>
          <w:rFonts w:ascii="Book Antiqua" w:hAnsi="Book Antiqua" w:cs="Gisha"/>
          <w:sz w:val="20"/>
          <w:szCs w:val="20"/>
        </w:rPr>
        <w:t>São José de Mipibu/RN, _____ de ______ de 2025</w:t>
      </w:r>
    </w:p>
    <w:p w14:paraId="0594994E">
      <w:pPr>
        <w:jc w:val="center"/>
        <w:rPr>
          <w:rFonts w:ascii="Book Antiqua" w:hAnsi="Book Antiqua"/>
          <w:sz w:val="20"/>
          <w:szCs w:val="20"/>
        </w:rPr>
      </w:pPr>
    </w:p>
    <w:p w14:paraId="1FFB347B">
      <w:pPr>
        <w:jc w:val="center"/>
        <w:rPr>
          <w:rFonts w:ascii="Book Antiqua" w:hAnsi="Book Antiqua"/>
          <w:sz w:val="20"/>
          <w:szCs w:val="20"/>
        </w:rPr>
      </w:pPr>
    </w:p>
    <w:p w14:paraId="16420E6E">
      <w:pPr>
        <w:jc w:val="center"/>
        <w:rPr>
          <w:rFonts w:ascii="Book Antiqua" w:hAnsi="Book Antiqua"/>
          <w:sz w:val="20"/>
          <w:szCs w:val="20"/>
        </w:rPr>
      </w:pPr>
    </w:p>
    <w:p w14:paraId="7749788A">
      <w:pPr>
        <w:jc w:val="center"/>
        <w:rPr>
          <w:rFonts w:ascii="Book Antiqua" w:hAnsi="Book Antiqua"/>
          <w:b/>
          <w:sz w:val="20"/>
          <w:szCs w:val="20"/>
        </w:rPr>
      </w:pPr>
      <w:r>
        <w:rPr>
          <w:rFonts w:ascii="Book Antiqua" w:hAnsi="Book Antiqua"/>
          <w:b/>
          <w:sz w:val="20"/>
          <w:szCs w:val="20"/>
        </w:rPr>
        <w:t>Maurício José Gomes de Melo</w:t>
      </w:r>
    </w:p>
    <w:p w14:paraId="7730FA47">
      <w:pPr>
        <w:jc w:val="center"/>
        <w:rPr>
          <w:rFonts w:ascii="Book Antiqua" w:hAnsi="Book Antiqua"/>
          <w:b/>
          <w:sz w:val="20"/>
          <w:szCs w:val="20"/>
        </w:rPr>
      </w:pPr>
      <w:r>
        <w:rPr>
          <w:rFonts w:ascii="Book Antiqua" w:hAnsi="Book Antiqua"/>
          <w:b/>
          <w:sz w:val="20"/>
          <w:szCs w:val="20"/>
        </w:rPr>
        <w:t>Secretário Geral do Município</w:t>
      </w:r>
    </w:p>
    <w:p w14:paraId="464965E3">
      <w:pPr>
        <w:jc w:val="center"/>
        <w:rPr>
          <w:rFonts w:ascii="Book Antiqua" w:hAnsi="Book Antiqua"/>
          <w:b/>
          <w:sz w:val="20"/>
          <w:szCs w:val="20"/>
        </w:rPr>
      </w:pPr>
    </w:p>
    <w:p w14:paraId="7339171D">
      <w:pPr>
        <w:jc w:val="center"/>
        <w:rPr>
          <w:rFonts w:ascii="Book Antiqua" w:hAnsi="Book Antiqua"/>
          <w:b/>
          <w:sz w:val="20"/>
          <w:szCs w:val="20"/>
        </w:rPr>
      </w:pPr>
    </w:p>
    <w:p w14:paraId="6B3B3938">
      <w:pPr>
        <w:jc w:val="center"/>
        <w:rPr>
          <w:rFonts w:ascii="Book Antiqua" w:hAnsi="Book Antiqua"/>
          <w:b/>
          <w:sz w:val="20"/>
          <w:szCs w:val="20"/>
        </w:rPr>
      </w:pPr>
    </w:p>
    <w:p w14:paraId="107FDACF">
      <w:pPr>
        <w:jc w:val="center"/>
        <w:rPr>
          <w:rFonts w:ascii="Book Antiqua" w:hAnsi="Book Antiqua"/>
          <w:b/>
          <w:sz w:val="20"/>
          <w:szCs w:val="20"/>
        </w:rPr>
      </w:pPr>
      <w:r>
        <w:rPr>
          <w:rFonts w:ascii="Book Antiqua" w:hAnsi="Book Antiqua"/>
          <w:b/>
          <w:sz w:val="20"/>
          <w:szCs w:val="20"/>
        </w:rPr>
        <w:t>Jefferson Souza de Oliveira</w:t>
      </w:r>
    </w:p>
    <w:p w14:paraId="271D6A26">
      <w:pPr>
        <w:jc w:val="center"/>
        <w:rPr>
          <w:rFonts w:ascii="Book Antiqua" w:hAnsi="Book Antiqua"/>
          <w:b/>
          <w:sz w:val="20"/>
          <w:szCs w:val="20"/>
        </w:rPr>
      </w:pPr>
      <w:r>
        <w:rPr>
          <w:rFonts w:ascii="Book Antiqua" w:hAnsi="Book Antiqua"/>
          <w:b/>
          <w:sz w:val="20"/>
          <w:szCs w:val="20"/>
        </w:rPr>
        <w:t>Secretário Municipal de Saúde</w:t>
      </w:r>
    </w:p>
    <w:p w14:paraId="29785E31">
      <w:pPr>
        <w:jc w:val="center"/>
        <w:rPr>
          <w:rFonts w:ascii="Book Antiqua" w:hAnsi="Book Antiqua"/>
          <w:b/>
          <w:sz w:val="20"/>
          <w:szCs w:val="20"/>
        </w:rPr>
      </w:pPr>
    </w:p>
    <w:bookmarkEnd w:id="17"/>
    <w:p w14:paraId="5BEDBE57">
      <w:pPr>
        <w:autoSpaceDE w:val="0"/>
        <w:autoSpaceDN w:val="0"/>
        <w:adjustRightInd w:val="0"/>
        <w:jc w:val="center"/>
        <w:rPr>
          <w:rFonts w:ascii="Book Antiqua" w:hAnsi="Book Antiqua" w:cs="Gisha"/>
          <w:b/>
          <w:sz w:val="20"/>
          <w:szCs w:val="20"/>
        </w:rPr>
      </w:pPr>
    </w:p>
    <w:p w14:paraId="49460E7E">
      <w:pPr>
        <w:autoSpaceDE w:val="0"/>
        <w:autoSpaceDN w:val="0"/>
        <w:adjustRightInd w:val="0"/>
        <w:jc w:val="center"/>
        <w:rPr>
          <w:rFonts w:ascii="Book Antiqua" w:hAnsi="Book Antiqua" w:cs="Gisha"/>
          <w:b/>
          <w:sz w:val="20"/>
          <w:szCs w:val="20"/>
        </w:rPr>
      </w:pPr>
    </w:p>
    <w:p w14:paraId="4AABFE20">
      <w:pPr>
        <w:pStyle w:val="57"/>
        <w:jc w:val="center"/>
        <w:rPr>
          <w:rFonts w:ascii="Book Antiqua" w:hAnsi="Book Antiqua" w:cs="Gisha"/>
          <w:b/>
          <w:color w:val="auto"/>
          <w:sz w:val="20"/>
          <w:szCs w:val="20"/>
        </w:rPr>
      </w:pPr>
      <w:r>
        <w:rPr>
          <w:rFonts w:ascii="Book Antiqua" w:hAnsi="Book Antiqua" w:cs="Gisha"/>
          <w:b/>
          <w:color w:val="auto"/>
          <w:sz w:val="20"/>
          <w:szCs w:val="20"/>
        </w:rPr>
        <w:t>CONTRATADA</w:t>
      </w:r>
    </w:p>
    <w:p w14:paraId="4340E864">
      <w:pPr>
        <w:pStyle w:val="57"/>
        <w:jc w:val="center"/>
        <w:rPr>
          <w:rFonts w:ascii="Book Antiqua" w:hAnsi="Book Antiqua" w:cs="Gisha"/>
          <w:b/>
          <w:color w:val="auto"/>
          <w:sz w:val="20"/>
          <w:szCs w:val="20"/>
        </w:rPr>
      </w:pPr>
    </w:p>
    <w:p w14:paraId="2C202B35">
      <w:pPr>
        <w:jc w:val="both"/>
        <w:rPr>
          <w:rFonts w:ascii="Book Antiqua" w:hAnsi="Book Antiqua"/>
          <w:b/>
          <w:color w:val="000000"/>
          <w:sz w:val="20"/>
          <w:szCs w:val="20"/>
        </w:rPr>
      </w:pPr>
      <w:r>
        <w:rPr>
          <w:rFonts w:ascii="Book Antiqua" w:hAnsi="Book Antiqua"/>
          <w:b/>
          <w:color w:val="000000"/>
          <w:sz w:val="20"/>
          <w:szCs w:val="20"/>
        </w:rPr>
        <w:t>TESTEMUNHAS:</w:t>
      </w:r>
    </w:p>
    <w:p w14:paraId="692652CA">
      <w:pPr>
        <w:jc w:val="both"/>
        <w:rPr>
          <w:rFonts w:ascii="Book Antiqua" w:hAnsi="Book Antiqua"/>
          <w:b/>
          <w:color w:val="000000"/>
          <w:sz w:val="20"/>
          <w:szCs w:val="20"/>
        </w:rPr>
      </w:pPr>
    </w:p>
    <w:p w14:paraId="7E42F49C">
      <w:pPr>
        <w:jc w:val="both"/>
        <w:rPr>
          <w:rFonts w:ascii="Book Antiqua" w:hAnsi="Book Antiqua"/>
          <w:color w:val="000000"/>
          <w:sz w:val="20"/>
          <w:szCs w:val="20"/>
        </w:rPr>
      </w:pPr>
      <w:r>
        <w:rPr>
          <w:rFonts w:ascii="Book Antiqua" w:hAnsi="Book Antiqua"/>
          <w:color w:val="000000"/>
          <w:sz w:val="20"/>
          <w:szCs w:val="20"/>
        </w:rPr>
        <w:t>_______________________________________</w:t>
      </w:r>
    </w:p>
    <w:p w14:paraId="69AEEDB8">
      <w:pPr>
        <w:jc w:val="both"/>
        <w:rPr>
          <w:rFonts w:ascii="Book Antiqua" w:hAnsi="Book Antiqua"/>
          <w:b/>
          <w:color w:val="000000"/>
          <w:sz w:val="20"/>
          <w:szCs w:val="20"/>
        </w:rPr>
      </w:pPr>
      <w:r>
        <w:rPr>
          <w:rFonts w:ascii="Book Antiqua" w:hAnsi="Book Antiqua"/>
          <w:b/>
          <w:color w:val="000000"/>
          <w:sz w:val="20"/>
          <w:szCs w:val="20"/>
        </w:rPr>
        <w:t>Nome:</w:t>
      </w:r>
    </w:p>
    <w:p w14:paraId="76E29F28">
      <w:pPr>
        <w:jc w:val="both"/>
        <w:rPr>
          <w:rFonts w:ascii="Book Antiqua" w:hAnsi="Book Antiqua"/>
          <w:b/>
          <w:color w:val="000000"/>
          <w:sz w:val="20"/>
          <w:szCs w:val="20"/>
        </w:rPr>
      </w:pPr>
      <w:r>
        <w:rPr>
          <w:rFonts w:ascii="Book Antiqua" w:hAnsi="Book Antiqua"/>
          <w:b/>
          <w:color w:val="000000"/>
          <w:sz w:val="20"/>
          <w:szCs w:val="20"/>
        </w:rPr>
        <w:t>CPF nº</w:t>
      </w:r>
    </w:p>
    <w:p w14:paraId="6F00B046">
      <w:pPr>
        <w:jc w:val="both"/>
        <w:rPr>
          <w:rFonts w:ascii="Book Antiqua" w:hAnsi="Book Antiqua"/>
          <w:b/>
          <w:color w:val="000000"/>
          <w:sz w:val="20"/>
          <w:szCs w:val="20"/>
        </w:rPr>
      </w:pPr>
      <w:r>
        <w:rPr>
          <w:rFonts w:ascii="Book Antiqua" w:hAnsi="Book Antiqua"/>
          <w:b/>
          <w:color w:val="000000"/>
          <w:sz w:val="20"/>
          <w:szCs w:val="20"/>
        </w:rPr>
        <w:t>RG nº</w:t>
      </w:r>
    </w:p>
    <w:p w14:paraId="08775941">
      <w:pPr>
        <w:jc w:val="both"/>
        <w:rPr>
          <w:rFonts w:ascii="Book Antiqua" w:hAnsi="Book Antiqua"/>
          <w:color w:val="000000"/>
          <w:sz w:val="20"/>
          <w:szCs w:val="20"/>
        </w:rPr>
      </w:pPr>
    </w:p>
    <w:p w14:paraId="65A7D4C6">
      <w:pPr>
        <w:jc w:val="both"/>
        <w:rPr>
          <w:rFonts w:ascii="Book Antiqua" w:hAnsi="Book Antiqua"/>
          <w:color w:val="000000"/>
          <w:sz w:val="20"/>
          <w:szCs w:val="20"/>
        </w:rPr>
      </w:pPr>
      <w:r>
        <w:rPr>
          <w:rFonts w:ascii="Book Antiqua" w:hAnsi="Book Antiqua"/>
          <w:color w:val="000000"/>
          <w:sz w:val="20"/>
          <w:szCs w:val="20"/>
        </w:rPr>
        <w:t>_______________________________________</w:t>
      </w:r>
    </w:p>
    <w:p w14:paraId="729A98AD">
      <w:pPr>
        <w:jc w:val="both"/>
        <w:rPr>
          <w:rFonts w:ascii="Book Antiqua" w:hAnsi="Book Antiqua"/>
          <w:b/>
          <w:color w:val="000000"/>
          <w:sz w:val="20"/>
          <w:szCs w:val="20"/>
        </w:rPr>
      </w:pPr>
      <w:r>
        <w:rPr>
          <w:rFonts w:ascii="Book Antiqua" w:hAnsi="Book Antiqua"/>
          <w:b/>
          <w:color w:val="000000"/>
          <w:sz w:val="20"/>
          <w:szCs w:val="20"/>
        </w:rPr>
        <w:t>Nome:</w:t>
      </w:r>
    </w:p>
    <w:p w14:paraId="2FE02281">
      <w:pPr>
        <w:jc w:val="both"/>
        <w:rPr>
          <w:rFonts w:ascii="Book Antiqua" w:hAnsi="Book Antiqua"/>
          <w:b/>
          <w:color w:val="000000"/>
          <w:sz w:val="20"/>
          <w:szCs w:val="20"/>
        </w:rPr>
      </w:pPr>
      <w:r>
        <w:rPr>
          <w:rFonts w:ascii="Book Antiqua" w:hAnsi="Book Antiqua"/>
          <w:b/>
          <w:color w:val="000000"/>
          <w:sz w:val="20"/>
          <w:szCs w:val="20"/>
        </w:rPr>
        <w:t>CPF nº</w:t>
      </w:r>
    </w:p>
    <w:p w14:paraId="449879DE">
      <w:pPr>
        <w:jc w:val="both"/>
        <w:rPr>
          <w:rFonts w:ascii="Book Antiqua" w:hAnsi="Book Antiqua"/>
          <w:color w:val="000000"/>
          <w:sz w:val="20"/>
          <w:szCs w:val="20"/>
        </w:rPr>
      </w:pPr>
      <w:r>
        <w:rPr>
          <w:rFonts w:ascii="Book Antiqua" w:hAnsi="Book Antiqua"/>
          <w:b/>
          <w:color w:val="000000"/>
          <w:sz w:val="20"/>
          <w:szCs w:val="20"/>
        </w:rPr>
        <w:t>RG nº</w:t>
      </w:r>
    </w:p>
    <w:p w14:paraId="1B9456D5">
      <w:pPr>
        <w:rPr>
          <w:rFonts w:ascii="Book Antiqua" w:hAnsi="Book Antiqua"/>
          <w:sz w:val="20"/>
          <w:szCs w:val="20"/>
        </w:rPr>
      </w:pPr>
    </w:p>
    <w:p w14:paraId="593902B7">
      <w:pPr>
        <w:tabs>
          <w:tab w:val="left" w:pos="1362"/>
        </w:tabs>
        <w:jc w:val="right"/>
        <w:rPr>
          <w:rFonts w:ascii="Book Antiqua" w:hAnsi="Book Antiqua"/>
          <w:sz w:val="20"/>
          <w:szCs w:val="20"/>
        </w:rPr>
      </w:pPr>
      <w:bookmarkStart w:id="24" w:name="_Hlk211425915"/>
      <w:r>
        <w:rPr>
          <w:rFonts w:ascii="Book Antiqua" w:hAnsi="Book Antiqua"/>
          <w:b/>
          <w:color w:val="0000CC"/>
          <w:sz w:val="20"/>
          <w:szCs w:val="20"/>
        </w:rPr>
        <w:t>PERP Nº __/2025-PMSJM/RN</w:t>
      </w:r>
      <w:bookmarkEnd w:id="24"/>
    </w:p>
    <w:sectPr>
      <w:headerReference r:id="rId5" w:type="default"/>
      <w:footerReference r:id="rId6" w:type="default"/>
      <w:type w:val="continuous"/>
      <w:pgSz w:w="11906" w:h="16838"/>
      <w:pgMar w:top="3261" w:right="991" w:bottom="851" w:left="1276" w:header="993" w:footer="36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Liberation Serif">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Ecofont_Spranq_eco_Sans">
    <w:altName w:val="Calibri"/>
    <w:panose1 w:val="00000000000000000000"/>
    <w:charset w:val="00"/>
    <w:family w:val="roman"/>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Tms Rmn">
    <w:altName w:val="Segoe Print"/>
    <w:panose1 w:val="02020603040505020304"/>
    <w:charset w:val="00"/>
    <w:family w:val="roman"/>
    <w:pitch w:val="default"/>
    <w:sig w:usb0="00000000" w:usb1="00000000" w:usb2="00000000" w:usb3="00000000" w:csb0="00000001" w:csb1="00000000"/>
  </w:font>
  <w:font w:name="font233">
    <w:altName w:val="Times New Roman"/>
    <w:panose1 w:val="00000000000000000000"/>
    <w:charset w:val="00"/>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Garamond">
    <w:panose1 w:val="02020502050306020203"/>
    <w:charset w:val="00"/>
    <w:family w:val="roman"/>
    <w:pitch w:val="default"/>
    <w:sig w:usb0="00000000" w:usb1="00000000" w:usb2="00000000" w:usb3="00000000" w:csb0="00000000" w:csb1="00000000"/>
  </w:font>
  <w:font w:name="Marlett">
    <w:panose1 w:val="00000000000000000000"/>
    <w:charset w:val="02"/>
    <w:family w:val="auto"/>
    <w:pitch w:val="default"/>
    <w:sig w:usb0="00000000" w:usb1="00000000" w:usb2="00000000" w:usb3="00000000" w:csb0="80000000" w:csb1="00000000"/>
  </w:font>
  <w:font w:name="DejaVu Sans">
    <w:altName w:val="Segoe Print"/>
    <w:panose1 w:val="00000000000000000000"/>
    <w:charset w:val="00"/>
    <w:family w:val="roman"/>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Gisha">
    <w:altName w:val="Segoe Print"/>
    <w:panose1 w:val="00000000000000000000"/>
    <w:charset w:val="B1"/>
    <w:family w:val="swiss"/>
    <w:pitch w:val="default"/>
    <w:sig w:usb0="00000000" w:usb1="00000000" w:usb2="00000000" w:usb3="00000000" w:csb0="00000021" w:csb1="00000000"/>
  </w:font>
  <w:font w:name="TimesNewRomanPSMT">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3492892"/>
      <w:docPartObj>
        <w:docPartGallery w:val="AutoText"/>
      </w:docPartObj>
    </w:sdtPr>
    <w:sdtContent>
      <w:p w14:paraId="4FC753AD">
        <w:pPr>
          <w:pStyle w:val="39"/>
          <w:jc w:val="right"/>
        </w:pPr>
        <w:r>
          <w:fldChar w:fldCharType="begin"/>
        </w:r>
        <w:r>
          <w:instrText xml:space="preserve">PAGE   \* MERGEFORMAT</w:instrText>
        </w:r>
        <w:r>
          <w:fldChar w:fldCharType="separate"/>
        </w:r>
        <w:r>
          <w:t>1</w:t>
        </w:r>
        <w:r>
          <w:fldChar w:fldCharType="end"/>
        </w:r>
      </w:p>
    </w:sdtContent>
  </w:sdt>
  <w:p w14:paraId="2CE1E5DC">
    <w:pPr>
      <w:pStyle w:val="39"/>
    </w:pPr>
  </w:p>
  <w:p w14:paraId="274F91C2"/>
  <w:p w14:paraId="4BBEC1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902D">
    <w:pPr>
      <w:ind w:right="-2"/>
      <w:jc w:val="center"/>
      <w:rPr>
        <w:rFonts w:ascii="Book Antiqua" w:hAnsi="Book Antiqua"/>
        <w:b/>
        <w:bCs/>
        <w:color w:val="000000" w:themeColor="text1"/>
        <w:sz w:val="20"/>
        <w:szCs w:val="20"/>
        <w14:textFill>
          <w14:solidFill>
            <w14:schemeClr w14:val="tx1"/>
          </w14:solidFill>
        </w14:textFill>
      </w:rPr>
    </w:pPr>
    <w:bookmarkStart w:id="25" w:name="_Hlk160434976"/>
    <w:bookmarkStart w:id="26" w:name="_Hlk160434977"/>
    <w:r>
      <w:rPr>
        <w:rFonts w:ascii="Book Antiqua" w:hAnsi="Book Antiqua"/>
        <w:b/>
        <w:bCs/>
        <w:color w:val="000000" w:themeColor="text1"/>
        <w:sz w:val="20"/>
        <w:szCs w:val="20"/>
        <w14:textFill>
          <w14:solidFill>
            <w14:schemeClr w14:val="tx1"/>
          </w14:solidFill>
        </w14:textFill>
      </w:rPr>
      <w:drawing>
        <wp:anchor distT="0" distB="0" distL="114300" distR="114300" simplePos="0" relativeHeight="251659264" behindDoc="1" locked="0" layoutInCell="1" allowOverlap="1">
          <wp:simplePos x="0" y="0"/>
          <wp:positionH relativeFrom="margin">
            <wp:posOffset>2736215</wp:posOffset>
          </wp:positionH>
          <wp:positionV relativeFrom="paragraph">
            <wp:posOffset>-489585</wp:posOffset>
          </wp:positionV>
          <wp:extent cx="800100" cy="723900"/>
          <wp:effectExtent l="0" t="0" r="0" b="0"/>
          <wp:wrapTopAndBottom/>
          <wp:docPr id="110313247" name="Imagem 110313247" descr="Mipi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3247" name="Imagem 110313247" descr="Mipibu"/>
                  <pic:cNvPicPr>
                    <a:picLocks noChangeAspect="1" noChangeArrowheads="1"/>
                  </pic:cNvPicPr>
                </pic:nvPicPr>
                <pic:blipFill>
                  <a:blip r:embed="rId1" cstate="print"/>
                  <a:srcRect/>
                  <a:stretch>
                    <a:fillRect/>
                  </a:stretch>
                </pic:blipFill>
                <pic:spPr>
                  <a:xfrm>
                    <a:off x="0" y="0"/>
                    <a:ext cx="800100" cy="723900"/>
                  </a:xfrm>
                  <a:prstGeom prst="rect">
                    <a:avLst/>
                  </a:prstGeom>
                  <a:noFill/>
                </pic:spPr>
              </pic:pic>
            </a:graphicData>
          </a:graphic>
        </wp:anchor>
      </w:drawing>
    </w:r>
    <w:r>
      <w:rPr>
        <w:rFonts w:ascii="Book Antiqua" w:hAnsi="Book Antiqua"/>
        <w:b/>
        <w:bCs/>
        <w:color w:val="000000" w:themeColor="text1"/>
        <w:sz w:val="20"/>
        <w:szCs w:val="20"/>
        <w14:textFill>
          <w14:solidFill>
            <w14:schemeClr w14:val="tx1"/>
          </w14:solidFill>
        </w14:textFill>
      </w:rPr>
      <w:t>ESTADO DO RIO GRANDE DO NORTE</w:t>
    </w:r>
  </w:p>
  <w:p w14:paraId="09E2EA97">
    <w:pPr>
      <w:ind w:right="-2"/>
      <w:jc w:val="center"/>
      <w:rPr>
        <w:rFonts w:ascii="Book Antiqua" w:hAnsi="Book Antiqua"/>
        <w:b/>
        <w:bCs/>
        <w:color w:val="000000" w:themeColor="text1"/>
        <w:sz w:val="20"/>
        <w:szCs w:val="20"/>
        <w14:textFill>
          <w14:solidFill>
            <w14:schemeClr w14:val="tx1"/>
          </w14:solidFill>
        </w14:textFill>
      </w:rPr>
    </w:pPr>
    <w:r>
      <w:rPr>
        <w:rFonts w:ascii="Book Antiqua" w:hAnsi="Book Antiqua"/>
        <w:b/>
        <w:bCs/>
        <w:color w:val="000000" w:themeColor="text1"/>
        <w:sz w:val="20"/>
        <w:szCs w:val="20"/>
        <w14:textFill>
          <w14:solidFill>
            <w14:schemeClr w14:val="tx1"/>
          </w14:solidFill>
        </w14:textFill>
      </w:rPr>
      <w:t>PREFEITURA MUNICIPAL DE SÃO JOSÉ DE MIPIBU</w:t>
    </w:r>
  </w:p>
  <w:p w14:paraId="614E46F8">
    <w:pPr>
      <w:tabs>
        <w:tab w:val="center" w:pos="4252"/>
        <w:tab w:val="right" w:pos="8504"/>
      </w:tabs>
      <w:ind w:right="-2"/>
      <w:jc w:val="center"/>
      <w:rPr>
        <w:rFonts w:ascii="Book Antiqua" w:hAnsi="Book Antiqua"/>
        <w:b/>
        <w:color w:val="0000CC"/>
        <w:sz w:val="20"/>
        <w:szCs w:val="20"/>
      </w:rPr>
    </w:pPr>
    <w:r>
      <w:rPr>
        <w:rFonts w:ascii="Book Antiqua" w:hAnsi="Book Antiqua"/>
        <w:b/>
        <w:bCs/>
        <w:color w:val="0000CC"/>
        <w:sz w:val="20"/>
        <w:szCs w:val="20"/>
      </w:rPr>
      <w:t>FUNDO MUNICIPAL DE SAÚDE</w:t>
    </w:r>
  </w:p>
  <w:bookmarkEnd w:id="25"/>
  <w:bookmarkEnd w:id="26"/>
  <w:p w14:paraId="008373B1">
    <w:pPr>
      <w:jc w:val="center"/>
      <w:rPr>
        <w:rFonts w:ascii="Book Antiqua" w:hAnsi="Book Antiqua"/>
        <w:b/>
        <w:bCs/>
        <w:color w:val="000000" w:themeColor="text1"/>
        <w:sz w:val="20"/>
        <w:szCs w:val="20"/>
        <w14:textFill>
          <w14:solidFill>
            <w14:schemeClr w14:val="tx1"/>
          </w14:solidFill>
        </w14:textFill>
      </w:rPr>
    </w:pPr>
    <w:r>
      <w:rPr>
        <w:rFonts w:ascii="Book Antiqua" w:hAnsi="Book Antiqua"/>
        <w:b/>
        <w:bCs/>
        <w:color w:val="000000" w:themeColor="text1"/>
        <w:sz w:val="20"/>
        <w:szCs w:val="20"/>
        <w14:textFill>
          <w14:solidFill>
            <w14:schemeClr w14:val="tx1"/>
          </w14:solidFill>
        </w14:textFill>
      </w:rPr>
      <w:t>Avenida Pedro Ferreira, s/n – Centro - São José de Mipibu/RN</w:t>
    </w:r>
  </w:p>
  <w:p w14:paraId="4DFA0619">
    <w:pPr>
      <w:jc w:val="center"/>
      <w:rPr>
        <w:rFonts w:ascii="Book Antiqua" w:hAnsi="Book Antiqua"/>
        <w:b/>
        <w:bCs/>
        <w:sz w:val="20"/>
        <w:szCs w:val="20"/>
      </w:rPr>
    </w:pPr>
    <w:r>
      <w:rPr>
        <w:rFonts w:ascii="Book Antiqua" w:hAnsi="Book Antiqua"/>
        <w:b/>
        <w:bCs/>
        <w:color w:val="000000" w:themeColor="text1"/>
        <w:sz w:val="20"/>
        <w:szCs w:val="20"/>
        <w14:textFill>
          <w14:solidFill>
            <w14:schemeClr w14:val="tx1"/>
          </w14:solidFill>
        </w14:textFill>
      </w:rPr>
      <w:t xml:space="preserve">CEP 59.162-000 - CNPJ </w:t>
    </w:r>
    <w:bookmarkStart w:id="27" w:name="_Hlk160435179"/>
    <w:r>
      <w:rPr>
        <w:rFonts w:ascii="Book Antiqua" w:hAnsi="Book Antiqua"/>
        <w:b/>
        <w:bCs/>
        <w:color w:val="000000" w:themeColor="text1"/>
        <w:sz w:val="20"/>
        <w:szCs w:val="20"/>
        <w14:textFill>
          <w14:solidFill>
            <w14:schemeClr w14:val="tx1"/>
          </w14:solidFill>
        </w14:textFill>
      </w:rPr>
      <w:t>11.496.829/0001-43</w:t>
    </w:r>
    <w:bookmarkEnd w:id="27"/>
  </w:p>
  <w:p w14:paraId="2B96A6A9">
    <w:pPr>
      <w:ind w:right="-2"/>
      <w:jc w:val="center"/>
      <w:rPr>
        <w:rFonts w:ascii="Book Antiqua" w:hAnsi="Book Antiqua"/>
        <w:sz w:val="20"/>
        <w:szCs w:val="20"/>
      </w:rPr>
    </w:pPr>
  </w:p>
  <w:p w14:paraId="188D664B">
    <w:pPr>
      <w:jc w:val="center"/>
      <w:rPr>
        <w:rFonts w:ascii="Book Antiqua" w:hAnsi="Book Antiqua"/>
        <w:b/>
        <w:color w:val="0000CC"/>
        <w:sz w:val="20"/>
        <w:szCs w:val="20"/>
      </w:rPr>
    </w:pPr>
    <w:r>
      <w:rPr>
        <w:rFonts w:ascii="Book Antiqua" w:hAnsi="Book Antiqua"/>
        <w:b/>
        <w:color w:val="0000CC"/>
        <w:sz w:val="20"/>
        <w:szCs w:val="20"/>
      </w:rPr>
      <w:t>EDITAL DE PREGÃO ELETRÔNICO Nº 24/2025</w:t>
    </w:r>
  </w:p>
  <w:p w14:paraId="67319F72">
    <w:pPr>
      <w:jc w:val="center"/>
      <w:rPr>
        <w:rFonts w:ascii="Book Antiqua" w:hAnsi="Book Antiqua"/>
        <w:b/>
        <w:color w:val="0000CC"/>
        <w:sz w:val="20"/>
        <w:szCs w:val="20"/>
      </w:rPr>
    </w:pPr>
    <w:r>
      <w:rPr>
        <w:rFonts w:ascii="Book Antiqua" w:hAnsi="Book Antiqua"/>
        <w:b/>
        <w:color w:val="0000CC"/>
        <w:sz w:val="20"/>
        <w:szCs w:val="20"/>
      </w:rPr>
      <w:t>PROCESSO ADMINISTRATIVO N° 6358/2025</w:t>
    </w:r>
  </w:p>
  <w:p w14:paraId="109362FF">
    <w:pPr>
      <w:jc w:val="center"/>
      <w:rPr>
        <w:rFonts w:ascii="Book Antiqua" w:hAnsi="Book Antiqua"/>
        <w:b/>
        <w:color w:val="0000CC"/>
        <w:sz w:val="20"/>
        <w:szCs w:val="20"/>
      </w:rPr>
    </w:pPr>
  </w:p>
  <w:p w14:paraId="160711F5">
    <w:pPr>
      <w:rPr>
        <w:color w:val="0000C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47"/>
      <w:lvlText w:val=""/>
      <w:lvlJc w:val="left"/>
      <w:pPr>
        <w:tabs>
          <w:tab w:val="left" w:pos="360"/>
        </w:tabs>
        <w:ind w:left="360" w:hanging="360"/>
      </w:pPr>
      <w:rPr>
        <w:rFonts w:hint="default" w:ascii="Symbol" w:hAnsi="Symbol"/>
      </w:rPr>
    </w:lvl>
  </w:abstractNum>
  <w:abstractNum w:abstractNumId="1">
    <w:nsid w:val="00F56E8F"/>
    <w:multiLevelType w:val="multilevel"/>
    <w:tmpl w:val="00F56E8F"/>
    <w:lvl w:ilvl="0" w:tentative="0">
      <w:start w:val="8"/>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4392596"/>
    <w:multiLevelType w:val="multilevel"/>
    <w:tmpl w:val="34392596"/>
    <w:lvl w:ilvl="0" w:tentative="0">
      <w:start w:val="7"/>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3EB90DBC"/>
    <w:multiLevelType w:val="multilevel"/>
    <w:tmpl w:val="3EB90DBC"/>
    <w:lvl w:ilvl="0" w:tentative="0">
      <w:start w:val="8"/>
      <w:numFmt w:val="decimal"/>
      <w:lvlText w:val="%1"/>
      <w:lvlJc w:val="left"/>
      <w:pPr>
        <w:ind w:left="1353" w:hanging="360"/>
      </w:pPr>
      <w:rPr>
        <w:rFonts w:hint="default"/>
      </w:rPr>
    </w:lvl>
    <w:lvl w:ilvl="1" w:tentative="0">
      <w:start w:val="1"/>
      <w:numFmt w:val="decimal"/>
      <w:lvlText w:val="%1.%2"/>
      <w:lvlJc w:val="left"/>
      <w:pPr>
        <w:ind w:left="786" w:hanging="360"/>
      </w:pPr>
      <w:rPr>
        <w:rFonts w:hint="default"/>
        <w:b/>
        <w:bCs/>
        <w:i w:val="0"/>
        <w:iCs/>
      </w:rPr>
    </w:lvl>
    <w:lvl w:ilvl="2" w:tentative="0">
      <w:start w:val="1"/>
      <w:numFmt w:val="decimal"/>
      <w:lvlText w:val="%1.%2.%3"/>
      <w:lvlJc w:val="left"/>
      <w:pPr>
        <w:ind w:left="1004"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5206662B"/>
    <w:multiLevelType w:val="multilevel"/>
    <w:tmpl w:val="5206662B"/>
    <w:lvl w:ilvl="0" w:tentative="0">
      <w:start w:val="13"/>
      <w:numFmt w:val="decimal"/>
      <w:lvlText w:val="%1."/>
      <w:lvlJc w:val="left"/>
      <w:pPr>
        <w:ind w:left="435" w:hanging="435"/>
      </w:pPr>
      <w:rPr>
        <w:rFonts w:hint="default"/>
        <w:color w:val="000000"/>
      </w:rPr>
    </w:lvl>
    <w:lvl w:ilvl="1" w:tentative="0">
      <w:start w:val="8"/>
      <w:numFmt w:val="decimal"/>
      <w:lvlText w:val="%1.%2."/>
      <w:lvlJc w:val="left"/>
      <w:pPr>
        <w:ind w:left="719" w:hanging="435"/>
      </w:pPr>
      <w:rPr>
        <w:rFonts w:hint="default"/>
        <w:b/>
        <w:bCs/>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572" w:hanging="720"/>
      </w:pPr>
      <w:rPr>
        <w:rFonts w:hint="default"/>
      </w:rPr>
    </w:lvl>
    <w:lvl w:ilvl="4" w:tentative="0">
      <w:start w:val="1"/>
      <w:numFmt w:val="decimal"/>
      <w:lvlText w:val="%1.%2.%3.%4.%5."/>
      <w:lvlJc w:val="left"/>
      <w:pPr>
        <w:ind w:left="2216" w:hanging="1080"/>
      </w:pPr>
      <w:rPr>
        <w:rFonts w:hint="default"/>
      </w:rPr>
    </w:lvl>
    <w:lvl w:ilvl="5" w:tentative="0">
      <w:start w:val="1"/>
      <w:numFmt w:val="decimal"/>
      <w:lvlText w:val="%1.%2.%3.%4.%5.%6."/>
      <w:lvlJc w:val="left"/>
      <w:pPr>
        <w:ind w:left="2500" w:hanging="1080"/>
      </w:pPr>
      <w:rPr>
        <w:rFonts w:hint="default"/>
      </w:rPr>
    </w:lvl>
    <w:lvl w:ilvl="6" w:tentative="0">
      <w:start w:val="1"/>
      <w:numFmt w:val="decimal"/>
      <w:lvlText w:val="%1.%2.%3.%4.%5.%6.%7."/>
      <w:lvlJc w:val="left"/>
      <w:pPr>
        <w:ind w:left="3144" w:hanging="1440"/>
      </w:pPr>
      <w:rPr>
        <w:rFonts w:hint="default"/>
      </w:rPr>
    </w:lvl>
    <w:lvl w:ilvl="7" w:tentative="0">
      <w:start w:val="1"/>
      <w:numFmt w:val="decimal"/>
      <w:lvlText w:val="%1.%2.%3.%4.%5.%6.%7.%8."/>
      <w:lvlJc w:val="left"/>
      <w:pPr>
        <w:ind w:left="3428" w:hanging="1440"/>
      </w:pPr>
      <w:rPr>
        <w:rFonts w:hint="default"/>
      </w:rPr>
    </w:lvl>
    <w:lvl w:ilvl="8" w:tentative="0">
      <w:start w:val="1"/>
      <w:numFmt w:val="decimal"/>
      <w:lvlText w:val="%1.%2.%3.%4.%5.%6.%7.%8.%9."/>
      <w:lvlJc w:val="left"/>
      <w:pPr>
        <w:ind w:left="4072" w:hanging="1800"/>
      </w:pPr>
      <w:rPr>
        <w:rFonts w:hint="default"/>
      </w:rPr>
    </w:lvl>
  </w:abstractNum>
  <w:abstractNum w:abstractNumId="5">
    <w:nsid w:val="56180E53"/>
    <w:multiLevelType w:val="multilevel"/>
    <w:tmpl w:val="56180E53"/>
    <w:lvl w:ilvl="0" w:tentative="0">
      <w:start w:val="1"/>
      <w:numFmt w:val="decimal"/>
      <w:suff w:val="space"/>
      <w:lvlText w:val="%1."/>
      <w:lvlJc w:val="left"/>
      <w:pPr>
        <w:ind w:left="284" w:firstLine="0"/>
      </w:pPr>
      <w:rPr>
        <w:rFonts w:hint="default"/>
        <w:b/>
        <w:i w:val="0"/>
      </w:rPr>
    </w:lvl>
    <w:lvl w:ilvl="1" w:tentative="0">
      <w:start w:val="1"/>
      <w:numFmt w:val="decimal"/>
      <w:suff w:val="space"/>
      <w:lvlText w:val="%1.%2."/>
      <w:lvlJc w:val="left"/>
      <w:pPr>
        <w:ind w:left="710" w:firstLine="0"/>
      </w:pPr>
      <w:rPr>
        <w:rFonts w:hint="default"/>
        <w:b/>
        <w:i w:val="0"/>
      </w:rPr>
    </w:lvl>
    <w:lvl w:ilvl="2" w:tentative="0">
      <w:start w:val="1"/>
      <w:numFmt w:val="decimal"/>
      <w:suff w:val="space"/>
      <w:lvlText w:val="%1.%2.%3."/>
      <w:lvlJc w:val="left"/>
      <w:pPr>
        <w:ind w:left="142" w:firstLine="0"/>
      </w:pPr>
      <w:rPr>
        <w:rFonts w:hint="default"/>
        <w:b/>
        <w:i w:val="0"/>
      </w:rPr>
    </w:lvl>
    <w:lvl w:ilvl="3" w:tentative="0">
      <w:start w:val="1"/>
      <w:numFmt w:val="decimal"/>
      <w:suff w:val="space"/>
      <w:lvlText w:val="%1.%2.%3.%4."/>
      <w:lvlJc w:val="left"/>
      <w:pPr>
        <w:ind w:left="284" w:firstLine="0"/>
      </w:pPr>
      <w:rPr>
        <w:rFonts w:hint="default"/>
        <w:b/>
        <w:i w:val="0"/>
        <w:color w:val="auto"/>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6">
    <w:nsid w:val="60B305C0"/>
    <w:multiLevelType w:val="multilevel"/>
    <w:tmpl w:val="60B305C0"/>
    <w:lvl w:ilvl="0" w:tentative="0">
      <w:start w:val="16"/>
      <w:numFmt w:val="decimal"/>
      <w:lvlText w:val="%1."/>
      <w:lvlJc w:val="left"/>
      <w:pPr>
        <w:ind w:left="435" w:hanging="435"/>
      </w:pPr>
      <w:rPr>
        <w:rFonts w:hint="default"/>
      </w:rPr>
    </w:lvl>
    <w:lvl w:ilvl="1" w:tentative="0">
      <w:start w:val="2"/>
      <w:numFmt w:val="decimal"/>
      <w:lvlText w:val="%1.%2."/>
      <w:lvlJc w:val="left"/>
      <w:pPr>
        <w:ind w:left="1853" w:hanging="435"/>
      </w:pPr>
      <w:rPr>
        <w:rFonts w:hint="default"/>
        <w:b/>
        <w:bCs/>
      </w:rPr>
    </w:lvl>
    <w:lvl w:ilvl="2" w:tentative="0">
      <w:start w:val="1"/>
      <w:numFmt w:val="decimal"/>
      <w:lvlText w:val="%1.%2.%3."/>
      <w:lvlJc w:val="left"/>
      <w:pPr>
        <w:ind w:left="2990" w:hanging="720"/>
      </w:pPr>
      <w:rPr>
        <w:rFonts w:hint="default"/>
      </w:rPr>
    </w:lvl>
    <w:lvl w:ilvl="3" w:tentative="0">
      <w:start w:val="1"/>
      <w:numFmt w:val="decimal"/>
      <w:lvlText w:val="%1.%2.%3.%4."/>
      <w:lvlJc w:val="left"/>
      <w:pPr>
        <w:ind w:left="4125" w:hanging="720"/>
      </w:pPr>
      <w:rPr>
        <w:rFonts w:hint="default"/>
      </w:rPr>
    </w:lvl>
    <w:lvl w:ilvl="4" w:tentative="0">
      <w:start w:val="1"/>
      <w:numFmt w:val="decimal"/>
      <w:lvlText w:val="%1.%2.%3.%4.%5."/>
      <w:lvlJc w:val="left"/>
      <w:pPr>
        <w:ind w:left="5620" w:hanging="1080"/>
      </w:pPr>
      <w:rPr>
        <w:rFonts w:hint="default"/>
      </w:rPr>
    </w:lvl>
    <w:lvl w:ilvl="5" w:tentative="0">
      <w:start w:val="1"/>
      <w:numFmt w:val="decimal"/>
      <w:lvlText w:val="%1.%2.%3.%4.%5.%6."/>
      <w:lvlJc w:val="left"/>
      <w:pPr>
        <w:ind w:left="6755" w:hanging="1080"/>
      </w:pPr>
      <w:rPr>
        <w:rFonts w:hint="default"/>
      </w:rPr>
    </w:lvl>
    <w:lvl w:ilvl="6" w:tentative="0">
      <w:start w:val="1"/>
      <w:numFmt w:val="decimal"/>
      <w:lvlText w:val="%1.%2.%3.%4.%5.%6.%7."/>
      <w:lvlJc w:val="left"/>
      <w:pPr>
        <w:ind w:left="8250" w:hanging="1440"/>
      </w:pPr>
      <w:rPr>
        <w:rFonts w:hint="default"/>
      </w:rPr>
    </w:lvl>
    <w:lvl w:ilvl="7" w:tentative="0">
      <w:start w:val="1"/>
      <w:numFmt w:val="decimal"/>
      <w:lvlText w:val="%1.%2.%3.%4.%5.%6.%7.%8."/>
      <w:lvlJc w:val="left"/>
      <w:pPr>
        <w:ind w:left="9385" w:hanging="1440"/>
      </w:pPr>
      <w:rPr>
        <w:rFonts w:hint="default"/>
      </w:rPr>
    </w:lvl>
    <w:lvl w:ilvl="8" w:tentative="0">
      <w:start w:val="1"/>
      <w:numFmt w:val="decimal"/>
      <w:lvlText w:val="%1.%2.%3.%4.%5.%6.%7.%8.%9."/>
      <w:lvlJc w:val="left"/>
      <w:pPr>
        <w:ind w:left="10880" w:hanging="1800"/>
      </w:pPr>
      <w:rPr>
        <w:rFonts w:hint="default"/>
      </w:rPr>
    </w:lvl>
  </w:abstractNum>
  <w:abstractNum w:abstractNumId="7">
    <w:nsid w:val="60F907A1"/>
    <w:multiLevelType w:val="multilevel"/>
    <w:tmpl w:val="60F907A1"/>
    <w:lvl w:ilvl="0" w:tentative="0">
      <w:start w:val="5"/>
      <w:numFmt w:val="decimal"/>
      <w:lvlText w:val="%1."/>
      <w:lvlJc w:val="left"/>
      <w:pPr>
        <w:ind w:left="360" w:hanging="360"/>
      </w:pPr>
      <w:rPr>
        <w:rFonts w:hint="default" w:cs="Courier New"/>
      </w:rPr>
    </w:lvl>
    <w:lvl w:ilvl="1" w:tentative="0">
      <w:start w:val="3"/>
      <w:numFmt w:val="decimal"/>
      <w:lvlText w:val="%1.%2."/>
      <w:lvlJc w:val="left"/>
      <w:pPr>
        <w:ind w:left="1070" w:hanging="360"/>
      </w:pPr>
      <w:rPr>
        <w:rFonts w:hint="default" w:cs="Courier New"/>
        <w:b/>
        <w:bCs/>
      </w:rPr>
    </w:lvl>
    <w:lvl w:ilvl="2" w:tentative="0">
      <w:start w:val="1"/>
      <w:numFmt w:val="decimal"/>
      <w:lvlText w:val="%1.%2.%3."/>
      <w:lvlJc w:val="left"/>
      <w:pPr>
        <w:ind w:left="2140" w:hanging="720"/>
      </w:pPr>
      <w:rPr>
        <w:rFonts w:hint="default" w:cs="Courier New"/>
        <w:b/>
        <w:bCs/>
        <w:i w:val="0"/>
        <w:iCs w:val="0"/>
      </w:rPr>
    </w:lvl>
    <w:lvl w:ilvl="3" w:tentative="0">
      <w:start w:val="1"/>
      <w:numFmt w:val="decimal"/>
      <w:lvlText w:val="%1.%2.%3.%4."/>
      <w:lvlJc w:val="left"/>
      <w:pPr>
        <w:ind w:left="2850" w:hanging="720"/>
      </w:pPr>
      <w:rPr>
        <w:rFonts w:hint="default" w:cs="Courier New"/>
        <w:b/>
        <w:bCs/>
      </w:rPr>
    </w:lvl>
    <w:lvl w:ilvl="4" w:tentative="0">
      <w:start w:val="1"/>
      <w:numFmt w:val="decimal"/>
      <w:lvlText w:val="%1.%2.%3.%4.%5."/>
      <w:lvlJc w:val="left"/>
      <w:pPr>
        <w:ind w:left="3920" w:hanging="1080"/>
      </w:pPr>
      <w:rPr>
        <w:rFonts w:hint="default" w:cs="Courier New"/>
      </w:rPr>
    </w:lvl>
    <w:lvl w:ilvl="5" w:tentative="0">
      <w:start w:val="1"/>
      <w:numFmt w:val="decimal"/>
      <w:lvlText w:val="%1.%2.%3.%4.%5.%6."/>
      <w:lvlJc w:val="left"/>
      <w:pPr>
        <w:ind w:left="4630" w:hanging="1080"/>
      </w:pPr>
      <w:rPr>
        <w:rFonts w:hint="default" w:cs="Courier New"/>
      </w:rPr>
    </w:lvl>
    <w:lvl w:ilvl="6" w:tentative="0">
      <w:start w:val="1"/>
      <w:numFmt w:val="decimal"/>
      <w:lvlText w:val="%1.%2.%3.%4.%5.%6.%7."/>
      <w:lvlJc w:val="left"/>
      <w:pPr>
        <w:ind w:left="5700" w:hanging="1440"/>
      </w:pPr>
      <w:rPr>
        <w:rFonts w:hint="default" w:cs="Courier New"/>
      </w:rPr>
    </w:lvl>
    <w:lvl w:ilvl="7" w:tentative="0">
      <w:start w:val="1"/>
      <w:numFmt w:val="decimal"/>
      <w:lvlText w:val="%1.%2.%3.%4.%5.%6.%7.%8."/>
      <w:lvlJc w:val="left"/>
      <w:pPr>
        <w:ind w:left="6410" w:hanging="1440"/>
      </w:pPr>
      <w:rPr>
        <w:rFonts w:hint="default" w:cs="Courier New"/>
      </w:rPr>
    </w:lvl>
    <w:lvl w:ilvl="8" w:tentative="0">
      <w:start w:val="1"/>
      <w:numFmt w:val="decimal"/>
      <w:lvlText w:val="%1.%2.%3.%4.%5.%6.%7.%8.%9."/>
      <w:lvlJc w:val="left"/>
      <w:pPr>
        <w:ind w:left="7480" w:hanging="1800"/>
      </w:pPr>
      <w:rPr>
        <w:rFonts w:hint="default" w:cs="Courier New"/>
      </w:rPr>
    </w:lvl>
  </w:abstractNum>
  <w:abstractNum w:abstractNumId="8">
    <w:nsid w:val="61302AE8"/>
    <w:multiLevelType w:val="multilevel"/>
    <w:tmpl w:val="61302AE8"/>
    <w:lvl w:ilvl="0" w:tentative="0">
      <w:start w:val="6"/>
      <w:numFmt w:val="decimal"/>
      <w:lvlText w:val="%1."/>
      <w:lvlJc w:val="left"/>
      <w:pPr>
        <w:ind w:left="360" w:hanging="360"/>
      </w:pPr>
      <w:rPr>
        <w:rFonts w:hint="default" w:cs="Courier New"/>
      </w:rPr>
    </w:lvl>
    <w:lvl w:ilvl="1" w:tentative="0">
      <w:start w:val="1"/>
      <w:numFmt w:val="decimal"/>
      <w:lvlText w:val="%1.%2."/>
      <w:lvlJc w:val="left"/>
      <w:pPr>
        <w:ind w:left="1070" w:hanging="360"/>
      </w:pPr>
      <w:rPr>
        <w:rFonts w:hint="default" w:cs="Courier New"/>
        <w:b/>
        <w:bCs/>
      </w:rPr>
    </w:lvl>
    <w:lvl w:ilvl="2" w:tentative="0">
      <w:start w:val="1"/>
      <w:numFmt w:val="decimal"/>
      <w:lvlText w:val="%1.%2.%3."/>
      <w:lvlJc w:val="left"/>
      <w:pPr>
        <w:ind w:left="2140" w:hanging="720"/>
      </w:pPr>
      <w:rPr>
        <w:rFonts w:hint="default" w:cs="Courier New"/>
        <w:b/>
        <w:bCs/>
      </w:rPr>
    </w:lvl>
    <w:lvl w:ilvl="3" w:tentative="0">
      <w:start w:val="1"/>
      <w:numFmt w:val="decimal"/>
      <w:lvlText w:val="%1.%2.%3.%4."/>
      <w:lvlJc w:val="left"/>
      <w:pPr>
        <w:ind w:left="2850" w:hanging="720"/>
      </w:pPr>
      <w:rPr>
        <w:rFonts w:hint="default" w:cs="Courier New"/>
        <w:b/>
        <w:bCs/>
        <w:i w:val="0"/>
        <w:iCs w:val="0"/>
      </w:rPr>
    </w:lvl>
    <w:lvl w:ilvl="4" w:tentative="0">
      <w:start w:val="1"/>
      <w:numFmt w:val="decimal"/>
      <w:lvlText w:val="%1.%2.%3.%4.%5."/>
      <w:lvlJc w:val="left"/>
      <w:pPr>
        <w:ind w:left="3920" w:hanging="1080"/>
      </w:pPr>
      <w:rPr>
        <w:rFonts w:hint="default" w:cs="Courier New"/>
      </w:rPr>
    </w:lvl>
    <w:lvl w:ilvl="5" w:tentative="0">
      <w:start w:val="1"/>
      <w:numFmt w:val="decimal"/>
      <w:lvlText w:val="%1.%2.%3.%4.%5.%6."/>
      <w:lvlJc w:val="left"/>
      <w:pPr>
        <w:ind w:left="4630" w:hanging="1080"/>
      </w:pPr>
      <w:rPr>
        <w:rFonts w:hint="default" w:cs="Courier New"/>
      </w:rPr>
    </w:lvl>
    <w:lvl w:ilvl="6" w:tentative="0">
      <w:start w:val="1"/>
      <w:numFmt w:val="decimal"/>
      <w:lvlText w:val="%1.%2.%3.%4.%5.%6.%7."/>
      <w:lvlJc w:val="left"/>
      <w:pPr>
        <w:ind w:left="5700" w:hanging="1440"/>
      </w:pPr>
      <w:rPr>
        <w:rFonts w:hint="default" w:cs="Courier New"/>
      </w:rPr>
    </w:lvl>
    <w:lvl w:ilvl="7" w:tentative="0">
      <w:start w:val="1"/>
      <w:numFmt w:val="decimal"/>
      <w:lvlText w:val="%1.%2.%3.%4.%5.%6.%7.%8."/>
      <w:lvlJc w:val="left"/>
      <w:pPr>
        <w:ind w:left="6410" w:hanging="1440"/>
      </w:pPr>
      <w:rPr>
        <w:rFonts w:hint="default" w:cs="Courier New"/>
      </w:rPr>
    </w:lvl>
    <w:lvl w:ilvl="8" w:tentative="0">
      <w:start w:val="1"/>
      <w:numFmt w:val="decimal"/>
      <w:lvlText w:val="%1.%2.%3.%4.%5.%6.%7.%8.%9."/>
      <w:lvlJc w:val="left"/>
      <w:pPr>
        <w:ind w:left="7480" w:hanging="1800"/>
      </w:pPr>
      <w:rPr>
        <w:rFonts w:hint="default" w:cs="Courier New"/>
      </w:rPr>
    </w:lvl>
  </w:abstractNum>
  <w:abstractNum w:abstractNumId="9">
    <w:nsid w:val="645F5772"/>
    <w:multiLevelType w:val="multilevel"/>
    <w:tmpl w:val="645F5772"/>
    <w:lvl w:ilvl="0" w:tentative="0">
      <w:start w:val="1"/>
      <w:numFmt w:val="lowerLetter"/>
      <w:suff w:val="space"/>
      <w:lvlText w:val="%1)"/>
      <w:lvlJc w:val="left"/>
      <w:pPr>
        <w:ind w:left="851" w:firstLine="0"/>
      </w:pPr>
      <w:rPr>
        <w:rFonts w:hint="default"/>
        <w:b/>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0">
    <w:nsid w:val="6996675A"/>
    <w:multiLevelType w:val="multilevel"/>
    <w:tmpl w:val="6996675A"/>
    <w:lvl w:ilvl="0" w:tentative="0">
      <w:start w:val="1"/>
      <w:numFmt w:val="decimal"/>
      <w:suff w:val="space"/>
      <w:lvlText w:val="%1."/>
      <w:lvlJc w:val="left"/>
      <w:pPr>
        <w:ind w:left="0" w:firstLine="0"/>
      </w:pPr>
      <w:rPr>
        <w:rFonts w:hint="default"/>
        <w:b/>
        <w:i w:val="0"/>
      </w:rPr>
    </w:lvl>
    <w:lvl w:ilvl="1" w:tentative="0">
      <w:start w:val="1"/>
      <w:numFmt w:val="decimal"/>
      <w:suff w:val="space"/>
      <w:lvlText w:val="%1.%2."/>
      <w:lvlJc w:val="left"/>
      <w:pPr>
        <w:ind w:left="993" w:firstLine="0"/>
      </w:pPr>
      <w:rPr>
        <w:rFonts w:hint="default"/>
        <w:b/>
        <w:i w:val="0"/>
      </w:rPr>
    </w:lvl>
    <w:lvl w:ilvl="2" w:tentative="0">
      <w:start w:val="1"/>
      <w:numFmt w:val="decimal"/>
      <w:suff w:val="space"/>
      <w:lvlText w:val="%1.%2.%3."/>
      <w:lvlJc w:val="left"/>
      <w:pPr>
        <w:ind w:left="567" w:firstLine="0"/>
      </w:pPr>
      <w:rPr>
        <w:rFonts w:hint="default"/>
        <w:b/>
        <w:i w:val="0"/>
      </w:rPr>
    </w:lvl>
    <w:lvl w:ilvl="3" w:tentative="0">
      <w:start w:val="1"/>
      <w:numFmt w:val="decimal"/>
      <w:suff w:val="space"/>
      <w:lvlText w:val="%1.%2.%3.%4."/>
      <w:lvlJc w:val="left"/>
      <w:pPr>
        <w:ind w:left="851" w:firstLine="0"/>
      </w:pPr>
      <w:rPr>
        <w:rFonts w:hint="default"/>
        <w:b/>
        <w:i w:val="0"/>
        <w:color w:val="auto"/>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1">
    <w:nsid w:val="74263072"/>
    <w:multiLevelType w:val="multilevel"/>
    <w:tmpl w:val="74263072"/>
    <w:lvl w:ilvl="0" w:tentative="0">
      <w:start w:val="1"/>
      <w:numFmt w:val="decimal"/>
      <w:lvlText w:val="%1"/>
      <w:lvlJc w:val="left"/>
      <w:pPr>
        <w:ind w:left="360" w:hanging="360"/>
      </w:pPr>
      <w:rPr>
        <w:rFonts w:hint="default"/>
      </w:rPr>
    </w:lvl>
    <w:lvl w:ilvl="1" w:tentative="0">
      <w:start w:val="1"/>
      <w:numFmt w:val="decimal"/>
      <w:lvlText w:val="%1.%2."/>
      <w:lvlJc w:val="left"/>
      <w:pPr>
        <w:ind w:left="858" w:hanging="432"/>
      </w:pPr>
      <w:rPr>
        <w:b/>
        <w:bCs w:val="0"/>
      </w:rPr>
    </w:lvl>
    <w:lvl w:ilvl="2" w:tentative="0">
      <w:start w:val="1"/>
      <w:numFmt w:val="decimal"/>
      <w:lvlText w:val="%1.%2.%3."/>
      <w:lvlJc w:val="left"/>
      <w:pPr>
        <w:ind w:left="1224" w:hanging="504"/>
      </w:pPr>
      <w:rPr>
        <w:b/>
        <w:bCs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7E9D2C8F"/>
    <w:multiLevelType w:val="multilevel"/>
    <w:tmpl w:val="7E9D2C8F"/>
    <w:lvl w:ilvl="0" w:tentative="0">
      <w:start w:val="2"/>
      <w:numFmt w:val="decimal"/>
      <w:lvlText w:val="%1"/>
      <w:lvlJc w:val="left"/>
      <w:pPr>
        <w:ind w:left="720" w:hanging="360"/>
      </w:pPr>
      <w:rPr>
        <w:rFonts w:hint="default"/>
      </w:rPr>
    </w:lvl>
    <w:lvl w:ilvl="1" w:tentative="0">
      <w:start w:val="1"/>
      <w:numFmt w:val="decimal"/>
      <w:isLgl/>
      <w:lvlText w:val="%1.%2"/>
      <w:lvlJc w:val="left"/>
      <w:pPr>
        <w:ind w:left="975" w:hanging="615"/>
      </w:pPr>
      <w:rPr>
        <w:rFonts w:hint="default"/>
        <w:b/>
        <w:bCs w:val="0"/>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 w:numId="2">
    <w:abstractNumId w:val="5"/>
  </w:num>
  <w:num w:numId="3">
    <w:abstractNumId w:val="7"/>
  </w:num>
  <w:num w:numId="4">
    <w:abstractNumId w:val="8"/>
  </w:num>
  <w:num w:numId="5">
    <w:abstractNumId w:val="9"/>
  </w:num>
  <w:num w:numId="6">
    <w:abstractNumId w:val="11"/>
  </w:num>
  <w:num w:numId="7">
    <w:abstractNumId w:val="12"/>
  </w:num>
  <w:num w:numId="8">
    <w:abstractNumId w:val="2"/>
  </w:num>
  <w:num w:numId="9">
    <w:abstractNumId w:val="1"/>
  </w:num>
  <w:num w:numId="10">
    <w:abstractNumId w:val="3"/>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B6"/>
    <w:rsid w:val="000015DF"/>
    <w:rsid w:val="00011412"/>
    <w:rsid w:val="0001238E"/>
    <w:rsid w:val="000138E5"/>
    <w:rsid w:val="00013F63"/>
    <w:rsid w:val="000238C0"/>
    <w:rsid w:val="00025D2C"/>
    <w:rsid w:val="000323C3"/>
    <w:rsid w:val="000436C6"/>
    <w:rsid w:val="000542BC"/>
    <w:rsid w:val="00054E4E"/>
    <w:rsid w:val="0006416A"/>
    <w:rsid w:val="00066585"/>
    <w:rsid w:val="00072BA8"/>
    <w:rsid w:val="000747A8"/>
    <w:rsid w:val="00076928"/>
    <w:rsid w:val="000832F2"/>
    <w:rsid w:val="00085C54"/>
    <w:rsid w:val="00087064"/>
    <w:rsid w:val="00093F97"/>
    <w:rsid w:val="00095B83"/>
    <w:rsid w:val="000972E8"/>
    <w:rsid w:val="000A340D"/>
    <w:rsid w:val="000B0F5F"/>
    <w:rsid w:val="000B1CBB"/>
    <w:rsid w:val="000B2823"/>
    <w:rsid w:val="000B41D6"/>
    <w:rsid w:val="000B633C"/>
    <w:rsid w:val="000C3B06"/>
    <w:rsid w:val="000C65A4"/>
    <w:rsid w:val="000D6313"/>
    <w:rsid w:val="000E01AB"/>
    <w:rsid w:val="000E0B93"/>
    <w:rsid w:val="000E0B9D"/>
    <w:rsid w:val="000E3C28"/>
    <w:rsid w:val="000E5389"/>
    <w:rsid w:val="000F1DBA"/>
    <w:rsid w:val="00103B96"/>
    <w:rsid w:val="00103FC9"/>
    <w:rsid w:val="00104ABE"/>
    <w:rsid w:val="001168D2"/>
    <w:rsid w:val="00117133"/>
    <w:rsid w:val="00117413"/>
    <w:rsid w:val="001228ED"/>
    <w:rsid w:val="0012543D"/>
    <w:rsid w:val="00127215"/>
    <w:rsid w:val="001330ED"/>
    <w:rsid w:val="00151FEA"/>
    <w:rsid w:val="001552D0"/>
    <w:rsid w:val="001636DF"/>
    <w:rsid w:val="00165106"/>
    <w:rsid w:val="0016641D"/>
    <w:rsid w:val="00166D55"/>
    <w:rsid w:val="00173655"/>
    <w:rsid w:val="00182784"/>
    <w:rsid w:val="001834B0"/>
    <w:rsid w:val="00192379"/>
    <w:rsid w:val="001A3470"/>
    <w:rsid w:val="001A5927"/>
    <w:rsid w:val="001A6D7F"/>
    <w:rsid w:val="001B41E1"/>
    <w:rsid w:val="001B5936"/>
    <w:rsid w:val="001D51A0"/>
    <w:rsid w:val="001D52F6"/>
    <w:rsid w:val="001D7BEA"/>
    <w:rsid w:val="00202422"/>
    <w:rsid w:val="00203D57"/>
    <w:rsid w:val="00204A7E"/>
    <w:rsid w:val="00205774"/>
    <w:rsid w:val="002111BE"/>
    <w:rsid w:val="00211EC5"/>
    <w:rsid w:val="00214201"/>
    <w:rsid w:val="002175E5"/>
    <w:rsid w:val="00217FD8"/>
    <w:rsid w:val="002245A3"/>
    <w:rsid w:val="002330AF"/>
    <w:rsid w:val="002359CC"/>
    <w:rsid w:val="00237A39"/>
    <w:rsid w:val="00252CED"/>
    <w:rsid w:val="00254ECC"/>
    <w:rsid w:val="00255384"/>
    <w:rsid w:val="00262A72"/>
    <w:rsid w:val="002658AD"/>
    <w:rsid w:val="00267CEA"/>
    <w:rsid w:val="002708CD"/>
    <w:rsid w:val="00270B8E"/>
    <w:rsid w:val="00272F97"/>
    <w:rsid w:val="00281E73"/>
    <w:rsid w:val="002923B7"/>
    <w:rsid w:val="002A39A9"/>
    <w:rsid w:val="002C1E10"/>
    <w:rsid w:val="002C6B8B"/>
    <w:rsid w:val="002D57D3"/>
    <w:rsid w:val="002D5D25"/>
    <w:rsid w:val="002E3881"/>
    <w:rsid w:val="002E5A76"/>
    <w:rsid w:val="002E63A6"/>
    <w:rsid w:val="00301C9F"/>
    <w:rsid w:val="00302B23"/>
    <w:rsid w:val="00302D78"/>
    <w:rsid w:val="0030758B"/>
    <w:rsid w:val="003120E3"/>
    <w:rsid w:val="0032098D"/>
    <w:rsid w:val="003244D3"/>
    <w:rsid w:val="00325901"/>
    <w:rsid w:val="00327BBC"/>
    <w:rsid w:val="0033372B"/>
    <w:rsid w:val="00333C52"/>
    <w:rsid w:val="00334799"/>
    <w:rsid w:val="003425E5"/>
    <w:rsid w:val="003426DC"/>
    <w:rsid w:val="003474E3"/>
    <w:rsid w:val="003536F4"/>
    <w:rsid w:val="0035593B"/>
    <w:rsid w:val="00356B5E"/>
    <w:rsid w:val="00356D62"/>
    <w:rsid w:val="00357DA6"/>
    <w:rsid w:val="00360B27"/>
    <w:rsid w:val="0036712E"/>
    <w:rsid w:val="00367826"/>
    <w:rsid w:val="00370BE9"/>
    <w:rsid w:val="0038518B"/>
    <w:rsid w:val="0039140F"/>
    <w:rsid w:val="003925B0"/>
    <w:rsid w:val="003968AD"/>
    <w:rsid w:val="003A61D4"/>
    <w:rsid w:val="003C1D97"/>
    <w:rsid w:val="003C6E73"/>
    <w:rsid w:val="003C733B"/>
    <w:rsid w:val="003D09D4"/>
    <w:rsid w:val="003D0BB3"/>
    <w:rsid w:val="003D2AF5"/>
    <w:rsid w:val="003D5F8F"/>
    <w:rsid w:val="003D74FE"/>
    <w:rsid w:val="003D76BC"/>
    <w:rsid w:val="003D7C4B"/>
    <w:rsid w:val="003E71B7"/>
    <w:rsid w:val="003F3762"/>
    <w:rsid w:val="004043E6"/>
    <w:rsid w:val="00411E3F"/>
    <w:rsid w:val="00415254"/>
    <w:rsid w:val="00420DC4"/>
    <w:rsid w:val="0042206F"/>
    <w:rsid w:val="00425474"/>
    <w:rsid w:val="00426FE9"/>
    <w:rsid w:val="004372BF"/>
    <w:rsid w:val="00442F06"/>
    <w:rsid w:val="0044382F"/>
    <w:rsid w:val="00444277"/>
    <w:rsid w:val="004505F7"/>
    <w:rsid w:val="0045207C"/>
    <w:rsid w:val="0045305B"/>
    <w:rsid w:val="00453A75"/>
    <w:rsid w:val="00457799"/>
    <w:rsid w:val="00461008"/>
    <w:rsid w:val="0046256B"/>
    <w:rsid w:val="00462732"/>
    <w:rsid w:val="00463018"/>
    <w:rsid w:val="0046320E"/>
    <w:rsid w:val="004633F9"/>
    <w:rsid w:val="00470A08"/>
    <w:rsid w:val="00471E83"/>
    <w:rsid w:val="004774C5"/>
    <w:rsid w:val="004814AC"/>
    <w:rsid w:val="00481C93"/>
    <w:rsid w:val="004878B1"/>
    <w:rsid w:val="00490026"/>
    <w:rsid w:val="00492569"/>
    <w:rsid w:val="004964EF"/>
    <w:rsid w:val="004A1DF7"/>
    <w:rsid w:val="004B2589"/>
    <w:rsid w:val="004C6B55"/>
    <w:rsid w:val="004D30DF"/>
    <w:rsid w:val="004E1081"/>
    <w:rsid w:val="004E23E6"/>
    <w:rsid w:val="004E2ABA"/>
    <w:rsid w:val="004E2BFC"/>
    <w:rsid w:val="004E2D33"/>
    <w:rsid w:val="004E2F88"/>
    <w:rsid w:val="004E5214"/>
    <w:rsid w:val="004E555C"/>
    <w:rsid w:val="004F2B4C"/>
    <w:rsid w:val="0050255E"/>
    <w:rsid w:val="0050510C"/>
    <w:rsid w:val="005102FE"/>
    <w:rsid w:val="005107A5"/>
    <w:rsid w:val="00516286"/>
    <w:rsid w:val="00523686"/>
    <w:rsid w:val="00526526"/>
    <w:rsid w:val="005271DA"/>
    <w:rsid w:val="00530A46"/>
    <w:rsid w:val="0053113D"/>
    <w:rsid w:val="00533BD9"/>
    <w:rsid w:val="0053434A"/>
    <w:rsid w:val="005349B5"/>
    <w:rsid w:val="00540329"/>
    <w:rsid w:val="005450D8"/>
    <w:rsid w:val="00562665"/>
    <w:rsid w:val="0056271B"/>
    <w:rsid w:val="00562917"/>
    <w:rsid w:val="00563A38"/>
    <w:rsid w:val="00570676"/>
    <w:rsid w:val="00570B67"/>
    <w:rsid w:val="00572ECD"/>
    <w:rsid w:val="00575B7F"/>
    <w:rsid w:val="00583BD2"/>
    <w:rsid w:val="005860E4"/>
    <w:rsid w:val="00587205"/>
    <w:rsid w:val="00590C97"/>
    <w:rsid w:val="005925FF"/>
    <w:rsid w:val="00597AF1"/>
    <w:rsid w:val="005A4121"/>
    <w:rsid w:val="005B1D15"/>
    <w:rsid w:val="005B42C7"/>
    <w:rsid w:val="005C5423"/>
    <w:rsid w:val="005D2A9F"/>
    <w:rsid w:val="005D53CD"/>
    <w:rsid w:val="005E3202"/>
    <w:rsid w:val="005F2AD7"/>
    <w:rsid w:val="00600B5E"/>
    <w:rsid w:val="0060315B"/>
    <w:rsid w:val="0060468A"/>
    <w:rsid w:val="00606815"/>
    <w:rsid w:val="00620156"/>
    <w:rsid w:val="00624E8D"/>
    <w:rsid w:val="00627448"/>
    <w:rsid w:val="0063207A"/>
    <w:rsid w:val="00632523"/>
    <w:rsid w:val="00634048"/>
    <w:rsid w:val="006478DC"/>
    <w:rsid w:val="00655A1D"/>
    <w:rsid w:val="00656312"/>
    <w:rsid w:val="0066002D"/>
    <w:rsid w:val="00661215"/>
    <w:rsid w:val="00663811"/>
    <w:rsid w:val="00664300"/>
    <w:rsid w:val="00665A79"/>
    <w:rsid w:val="00676CCF"/>
    <w:rsid w:val="00676FCB"/>
    <w:rsid w:val="00681E1E"/>
    <w:rsid w:val="0069192F"/>
    <w:rsid w:val="0069286A"/>
    <w:rsid w:val="00696D23"/>
    <w:rsid w:val="006A1644"/>
    <w:rsid w:val="006A22B0"/>
    <w:rsid w:val="006A2DCF"/>
    <w:rsid w:val="006A713C"/>
    <w:rsid w:val="006B76E5"/>
    <w:rsid w:val="006B76E8"/>
    <w:rsid w:val="006C20B6"/>
    <w:rsid w:val="006C4031"/>
    <w:rsid w:val="006D0D2F"/>
    <w:rsid w:val="006D4676"/>
    <w:rsid w:val="006E0357"/>
    <w:rsid w:val="006E06E7"/>
    <w:rsid w:val="006E1651"/>
    <w:rsid w:val="006E792C"/>
    <w:rsid w:val="006F23DE"/>
    <w:rsid w:val="006F4F82"/>
    <w:rsid w:val="00703AAE"/>
    <w:rsid w:val="0070727D"/>
    <w:rsid w:val="00723F7F"/>
    <w:rsid w:val="00741050"/>
    <w:rsid w:val="00743FB8"/>
    <w:rsid w:val="00744C21"/>
    <w:rsid w:val="00754955"/>
    <w:rsid w:val="00754A34"/>
    <w:rsid w:val="00781981"/>
    <w:rsid w:val="00787581"/>
    <w:rsid w:val="00790B20"/>
    <w:rsid w:val="007A2085"/>
    <w:rsid w:val="007A5F61"/>
    <w:rsid w:val="007B0C13"/>
    <w:rsid w:val="007B5CCF"/>
    <w:rsid w:val="007B797B"/>
    <w:rsid w:val="007C3822"/>
    <w:rsid w:val="007C6E47"/>
    <w:rsid w:val="007D0480"/>
    <w:rsid w:val="007D23DE"/>
    <w:rsid w:val="007E1EF3"/>
    <w:rsid w:val="007E4DEF"/>
    <w:rsid w:val="007E7385"/>
    <w:rsid w:val="007F0C17"/>
    <w:rsid w:val="007F7DA7"/>
    <w:rsid w:val="00801E8A"/>
    <w:rsid w:val="00802B60"/>
    <w:rsid w:val="008111D9"/>
    <w:rsid w:val="00812D63"/>
    <w:rsid w:val="0081385C"/>
    <w:rsid w:val="00813ECB"/>
    <w:rsid w:val="00820E5C"/>
    <w:rsid w:val="00821C26"/>
    <w:rsid w:val="00822289"/>
    <w:rsid w:val="008308C7"/>
    <w:rsid w:val="00834209"/>
    <w:rsid w:val="008360A1"/>
    <w:rsid w:val="00844F16"/>
    <w:rsid w:val="0085681B"/>
    <w:rsid w:val="00856AE1"/>
    <w:rsid w:val="0085767F"/>
    <w:rsid w:val="00857BAC"/>
    <w:rsid w:val="00870280"/>
    <w:rsid w:val="008722E8"/>
    <w:rsid w:val="00873627"/>
    <w:rsid w:val="00876129"/>
    <w:rsid w:val="00876DD1"/>
    <w:rsid w:val="008908CE"/>
    <w:rsid w:val="008A09C0"/>
    <w:rsid w:val="008A0BFC"/>
    <w:rsid w:val="008A17C2"/>
    <w:rsid w:val="008A2C32"/>
    <w:rsid w:val="008A3C43"/>
    <w:rsid w:val="008B1452"/>
    <w:rsid w:val="008B48EE"/>
    <w:rsid w:val="008C13AD"/>
    <w:rsid w:val="008C3C7A"/>
    <w:rsid w:val="008C6EF7"/>
    <w:rsid w:val="008D5565"/>
    <w:rsid w:val="008D5EB2"/>
    <w:rsid w:val="008D6022"/>
    <w:rsid w:val="008E0A36"/>
    <w:rsid w:val="008E45BE"/>
    <w:rsid w:val="00902740"/>
    <w:rsid w:val="00904A9A"/>
    <w:rsid w:val="00904F94"/>
    <w:rsid w:val="00905F4E"/>
    <w:rsid w:val="00914920"/>
    <w:rsid w:val="00924E8D"/>
    <w:rsid w:val="00930694"/>
    <w:rsid w:val="00933A93"/>
    <w:rsid w:val="00934019"/>
    <w:rsid w:val="009345AC"/>
    <w:rsid w:val="00934894"/>
    <w:rsid w:val="00936588"/>
    <w:rsid w:val="00937FAE"/>
    <w:rsid w:val="009432AE"/>
    <w:rsid w:val="00943DCF"/>
    <w:rsid w:val="00947CE8"/>
    <w:rsid w:val="00956DED"/>
    <w:rsid w:val="009575BB"/>
    <w:rsid w:val="00964AB6"/>
    <w:rsid w:val="00965CCB"/>
    <w:rsid w:val="009719C8"/>
    <w:rsid w:val="009776AF"/>
    <w:rsid w:val="00982994"/>
    <w:rsid w:val="00983B44"/>
    <w:rsid w:val="00984257"/>
    <w:rsid w:val="009908F7"/>
    <w:rsid w:val="00991521"/>
    <w:rsid w:val="00992434"/>
    <w:rsid w:val="00996CAB"/>
    <w:rsid w:val="009A7711"/>
    <w:rsid w:val="009A7943"/>
    <w:rsid w:val="009C14F4"/>
    <w:rsid w:val="009C1C94"/>
    <w:rsid w:val="009D0A2D"/>
    <w:rsid w:val="009D14D5"/>
    <w:rsid w:val="009D2906"/>
    <w:rsid w:val="009D3F68"/>
    <w:rsid w:val="009D6EF3"/>
    <w:rsid w:val="009E27C2"/>
    <w:rsid w:val="009F0DD9"/>
    <w:rsid w:val="009F67B6"/>
    <w:rsid w:val="009F7AB5"/>
    <w:rsid w:val="00A039A8"/>
    <w:rsid w:val="00A07509"/>
    <w:rsid w:val="00A156CB"/>
    <w:rsid w:val="00A256FB"/>
    <w:rsid w:val="00A26CC8"/>
    <w:rsid w:val="00A329A6"/>
    <w:rsid w:val="00A36339"/>
    <w:rsid w:val="00A4301D"/>
    <w:rsid w:val="00A4669C"/>
    <w:rsid w:val="00A47974"/>
    <w:rsid w:val="00A5482E"/>
    <w:rsid w:val="00A56F4A"/>
    <w:rsid w:val="00A62027"/>
    <w:rsid w:val="00A64D51"/>
    <w:rsid w:val="00A652E3"/>
    <w:rsid w:val="00A700F5"/>
    <w:rsid w:val="00A720F0"/>
    <w:rsid w:val="00A731FB"/>
    <w:rsid w:val="00A76750"/>
    <w:rsid w:val="00A807C9"/>
    <w:rsid w:val="00A836B1"/>
    <w:rsid w:val="00A85615"/>
    <w:rsid w:val="00A8763F"/>
    <w:rsid w:val="00A9257D"/>
    <w:rsid w:val="00A92936"/>
    <w:rsid w:val="00A92C98"/>
    <w:rsid w:val="00A933C7"/>
    <w:rsid w:val="00AA1F1D"/>
    <w:rsid w:val="00AA28F9"/>
    <w:rsid w:val="00AA50EB"/>
    <w:rsid w:val="00AA6116"/>
    <w:rsid w:val="00AA6CBC"/>
    <w:rsid w:val="00AB10AF"/>
    <w:rsid w:val="00AC1F18"/>
    <w:rsid w:val="00AC64A2"/>
    <w:rsid w:val="00AC6AD4"/>
    <w:rsid w:val="00AD049C"/>
    <w:rsid w:val="00AD0B48"/>
    <w:rsid w:val="00AD32FA"/>
    <w:rsid w:val="00AD41E8"/>
    <w:rsid w:val="00AD789C"/>
    <w:rsid w:val="00AE01E4"/>
    <w:rsid w:val="00AE24EA"/>
    <w:rsid w:val="00AE2EC1"/>
    <w:rsid w:val="00AE66BC"/>
    <w:rsid w:val="00AE7F1C"/>
    <w:rsid w:val="00AF1324"/>
    <w:rsid w:val="00B07F6A"/>
    <w:rsid w:val="00B1168F"/>
    <w:rsid w:val="00B13E2F"/>
    <w:rsid w:val="00B14B0A"/>
    <w:rsid w:val="00B15E56"/>
    <w:rsid w:val="00B22EA7"/>
    <w:rsid w:val="00B33651"/>
    <w:rsid w:val="00B35D86"/>
    <w:rsid w:val="00B460E4"/>
    <w:rsid w:val="00B52F7E"/>
    <w:rsid w:val="00B70F44"/>
    <w:rsid w:val="00B81738"/>
    <w:rsid w:val="00B852CF"/>
    <w:rsid w:val="00B9490E"/>
    <w:rsid w:val="00BA2AD6"/>
    <w:rsid w:val="00BA30ED"/>
    <w:rsid w:val="00BA7643"/>
    <w:rsid w:val="00BB035B"/>
    <w:rsid w:val="00BB17CC"/>
    <w:rsid w:val="00BC108B"/>
    <w:rsid w:val="00BD2E3B"/>
    <w:rsid w:val="00BD4FE1"/>
    <w:rsid w:val="00BD64E4"/>
    <w:rsid w:val="00BE63A7"/>
    <w:rsid w:val="00BE67CA"/>
    <w:rsid w:val="00BF09DE"/>
    <w:rsid w:val="00BF4BA2"/>
    <w:rsid w:val="00C0553C"/>
    <w:rsid w:val="00C06119"/>
    <w:rsid w:val="00C109FB"/>
    <w:rsid w:val="00C149AD"/>
    <w:rsid w:val="00C17EA3"/>
    <w:rsid w:val="00C22D83"/>
    <w:rsid w:val="00C2377A"/>
    <w:rsid w:val="00C2385B"/>
    <w:rsid w:val="00C25CCD"/>
    <w:rsid w:val="00C30F04"/>
    <w:rsid w:val="00C31989"/>
    <w:rsid w:val="00C31FC5"/>
    <w:rsid w:val="00C42CA6"/>
    <w:rsid w:val="00C42E9E"/>
    <w:rsid w:val="00C50B3E"/>
    <w:rsid w:val="00C5478D"/>
    <w:rsid w:val="00C558D9"/>
    <w:rsid w:val="00C56362"/>
    <w:rsid w:val="00C71133"/>
    <w:rsid w:val="00C725FA"/>
    <w:rsid w:val="00C74221"/>
    <w:rsid w:val="00C77308"/>
    <w:rsid w:val="00C77824"/>
    <w:rsid w:val="00C8250F"/>
    <w:rsid w:val="00C833B9"/>
    <w:rsid w:val="00C83DA1"/>
    <w:rsid w:val="00C86490"/>
    <w:rsid w:val="00C91106"/>
    <w:rsid w:val="00C92CB7"/>
    <w:rsid w:val="00C9385F"/>
    <w:rsid w:val="00C93CED"/>
    <w:rsid w:val="00C96DEE"/>
    <w:rsid w:val="00CA3685"/>
    <w:rsid w:val="00CB217D"/>
    <w:rsid w:val="00CB446D"/>
    <w:rsid w:val="00CC3F90"/>
    <w:rsid w:val="00CC5665"/>
    <w:rsid w:val="00CC67D8"/>
    <w:rsid w:val="00CC68C5"/>
    <w:rsid w:val="00CD29C3"/>
    <w:rsid w:val="00CE0A92"/>
    <w:rsid w:val="00CF1BA8"/>
    <w:rsid w:val="00CF4024"/>
    <w:rsid w:val="00D03DBA"/>
    <w:rsid w:val="00D16159"/>
    <w:rsid w:val="00D22655"/>
    <w:rsid w:val="00D237E2"/>
    <w:rsid w:val="00D2474B"/>
    <w:rsid w:val="00D27B12"/>
    <w:rsid w:val="00D30B46"/>
    <w:rsid w:val="00D30D1A"/>
    <w:rsid w:val="00D37CE4"/>
    <w:rsid w:val="00D4357C"/>
    <w:rsid w:val="00D67756"/>
    <w:rsid w:val="00D730CA"/>
    <w:rsid w:val="00D73105"/>
    <w:rsid w:val="00D7410B"/>
    <w:rsid w:val="00D9183F"/>
    <w:rsid w:val="00D97D56"/>
    <w:rsid w:val="00DA6ABB"/>
    <w:rsid w:val="00DB23AC"/>
    <w:rsid w:val="00DB2DE3"/>
    <w:rsid w:val="00DB3228"/>
    <w:rsid w:val="00DB565A"/>
    <w:rsid w:val="00DC19BD"/>
    <w:rsid w:val="00DD5D0E"/>
    <w:rsid w:val="00DE6CD7"/>
    <w:rsid w:val="00DF0DE0"/>
    <w:rsid w:val="00DF17C2"/>
    <w:rsid w:val="00DF1C77"/>
    <w:rsid w:val="00DF33E7"/>
    <w:rsid w:val="00DF45EF"/>
    <w:rsid w:val="00DF6003"/>
    <w:rsid w:val="00E147BC"/>
    <w:rsid w:val="00E17773"/>
    <w:rsid w:val="00E20145"/>
    <w:rsid w:val="00E2026F"/>
    <w:rsid w:val="00E222CE"/>
    <w:rsid w:val="00E2334B"/>
    <w:rsid w:val="00E24BBD"/>
    <w:rsid w:val="00E37A07"/>
    <w:rsid w:val="00E40750"/>
    <w:rsid w:val="00E54BEA"/>
    <w:rsid w:val="00E641AD"/>
    <w:rsid w:val="00E72ED9"/>
    <w:rsid w:val="00E73D33"/>
    <w:rsid w:val="00E75043"/>
    <w:rsid w:val="00E750F9"/>
    <w:rsid w:val="00E81408"/>
    <w:rsid w:val="00E85806"/>
    <w:rsid w:val="00E90A44"/>
    <w:rsid w:val="00E93B52"/>
    <w:rsid w:val="00E965E5"/>
    <w:rsid w:val="00EA0D68"/>
    <w:rsid w:val="00EB4CE1"/>
    <w:rsid w:val="00EB7212"/>
    <w:rsid w:val="00EC75CB"/>
    <w:rsid w:val="00ED5537"/>
    <w:rsid w:val="00ED5953"/>
    <w:rsid w:val="00EE47B9"/>
    <w:rsid w:val="00EE770D"/>
    <w:rsid w:val="00EE7EDF"/>
    <w:rsid w:val="00EF2658"/>
    <w:rsid w:val="00EF2844"/>
    <w:rsid w:val="00EF33FC"/>
    <w:rsid w:val="00EF4E5A"/>
    <w:rsid w:val="00F01AE9"/>
    <w:rsid w:val="00F01E4A"/>
    <w:rsid w:val="00F05AFA"/>
    <w:rsid w:val="00F113B3"/>
    <w:rsid w:val="00F1203C"/>
    <w:rsid w:val="00F14051"/>
    <w:rsid w:val="00F17BDA"/>
    <w:rsid w:val="00F2111B"/>
    <w:rsid w:val="00F22530"/>
    <w:rsid w:val="00F23EFA"/>
    <w:rsid w:val="00F2467B"/>
    <w:rsid w:val="00F422F8"/>
    <w:rsid w:val="00F565F6"/>
    <w:rsid w:val="00F61E9C"/>
    <w:rsid w:val="00F647E7"/>
    <w:rsid w:val="00F73CF4"/>
    <w:rsid w:val="00F76946"/>
    <w:rsid w:val="00F80CB4"/>
    <w:rsid w:val="00F81524"/>
    <w:rsid w:val="00F81F96"/>
    <w:rsid w:val="00F84F58"/>
    <w:rsid w:val="00F86C9F"/>
    <w:rsid w:val="00F91E3F"/>
    <w:rsid w:val="00F93E37"/>
    <w:rsid w:val="00F941EE"/>
    <w:rsid w:val="00FA00B7"/>
    <w:rsid w:val="00FA014D"/>
    <w:rsid w:val="00FA09D2"/>
    <w:rsid w:val="00FA32E8"/>
    <w:rsid w:val="00FB1A45"/>
    <w:rsid w:val="00FB7219"/>
    <w:rsid w:val="00FC3DBA"/>
    <w:rsid w:val="00FD4A35"/>
    <w:rsid w:val="00FD55D3"/>
    <w:rsid w:val="00FD5AEA"/>
    <w:rsid w:val="00FD5D0D"/>
    <w:rsid w:val="00FF2DF8"/>
    <w:rsid w:val="00FF42F2"/>
    <w:rsid w:val="6FBE151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nhideWhenUsed="0" w:uiPriority="9" w:semiHidden="0" w:name="heading 7"/>
    <w:lsdException w:qFormat="1"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0" w:semiHidden="0"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nhideWhenUsed="0" w:uiPriority="0" w:semiHidden="0" w:name="List Bullet 2"/>
    <w:lsdException w:uiPriority="99" w:name="List Bullet 3"/>
    <w:lsdException w:uiPriority="99" w:name="List Bullet 4"/>
    <w:lsdException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unhideWhenUsed="0" w:uiPriority="0" w:semiHidden="0" w:name="Body Text Indent"/>
    <w:lsdException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paragraph" w:styleId="2">
    <w:name w:val="heading 1"/>
    <w:basedOn w:val="1"/>
    <w:next w:val="1"/>
    <w:link w:val="142"/>
    <w:qFormat/>
    <w:uiPriority w:val="0"/>
    <w:pPr>
      <w:keepNext/>
      <w:spacing w:before="240" w:after="60"/>
      <w:outlineLvl w:val="0"/>
    </w:pPr>
    <w:rPr>
      <w:rFonts w:ascii="Cambria" w:hAnsi="Cambria"/>
      <w:b/>
      <w:bCs/>
      <w:kern w:val="32"/>
      <w:sz w:val="32"/>
      <w:szCs w:val="32"/>
      <w:lang w:val="zh-CN" w:eastAsia="zh-CN"/>
    </w:rPr>
  </w:style>
  <w:style w:type="paragraph" w:styleId="3">
    <w:name w:val="heading 2"/>
    <w:basedOn w:val="1"/>
    <w:next w:val="1"/>
    <w:link w:val="54"/>
    <w:qFormat/>
    <w:uiPriority w:val="9"/>
    <w:pPr>
      <w:keepNext/>
      <w:spacing w:before="240" w:after="60"/>
      <w:outlineLvl w:val="1"/>
    </w:pPr>
    <w:rPr>
      <w:rFonts w:ascii="Arial" w:hAnsi="Arial"/>
      <w:b/>
      <w:bCs/>
      <w:i/>
      <w:iCs/>
      <w:sz w:val="28"/>
      <w:szCs w:val="28"/>
      <w:lang w:val="zh-CN" w:eastAsia="zh-CN"/>
    </w:rPr>
  </w:style>
  <w:style w:type="paragraph" w:styleId="4">
    <w:name w:val="heading 3"/>
    <w:basedOn w:val="1"/>
    <w:next w:val="1"/>
    <w:link w:val="197"/>
    <w:unhideWhenUsed/>
    <w:qFormat/>
    <w:uiPriority w:val="0"/>
    <w:pPr>
      <w:keepNext/>
      <w:spacing w:before="240" w:after="60"/>
      <w:outlineLvl w:val="2"/>
    </w:pPr>
    <w:rPr>
      <w:rFonts w:ascii="Cambria" w:hAnsi="Cambria"/>
      <w:b/>
      <w:bCs/>
      <w:sz w:val="26"/>
      <w:szCs w:val="26"/>
    </w:rPr>
  </w:style>
  <w:style w:type="paragraph" w:styleId="5">
    <w:name w:val="heading 4"/>
    <w:basedOn w:val="1"/>
    <w:next w:val="1"/>
    <w:link w:val="55"/>
    <w:qFormat/>
    <w:uiPriority w:val="0"/>
    <w:pPr>
      <w:keepNext/>
      <w:spacing w:before="240" w:after="60"/>
      <w:outlineLvl w:val="3"/>
    </w:pPr>
    <w:rPr>
      <w:rFonts w:ascii="Calibri" w:hAnsi="Calibri"/>
      <w:b/>
      <w:bCs/>
      <w:sz w:val="28"/>
      <w:szCs w:val="28"/>
      <w:lang w:val="zh-CN" w:eastAsia="zh-CN"/>
    </w:rPr>
  </w:style>
  <w:style w:type="paragraph" w:styleId="6">
    <w:name w:val="heading 5"/>
    <w:basedOn w:val="1"/>
    <w:next w:val="1"/>
    <w:link w:val="56"/>
    <w:qFormat/>
    <w:uiPriority w:val="0"/>
    <w:pPr>
      <w:keepNext/>
      <w:spacing w:line="240" w:lineRule="exact"/>
      <w:outlineLvl w:val="4"/>
    </w:pPr>
    <w:rPr>
      <w:color w:val="FF0000"/>
      <w:szCs w:val="20"/>
      <w:lang w:val="zh-CN" w:eastAsia="zh-CN"/>
    </w:rPr>
  </w:style>
  <w:style w:type="paragraph" w:styleId="7">
    <w:name w:val="heading 6"/>
    <w:basedOn w:val="1"/>
    <w:next w:val="1"/>
    <w:link w:val="134"/>
    <w:unhideWhenUsed/>
    <w:qFormat/>
    <w:uiPriority w:val="9"/>
    <w:pPr>
      <w:keepNext/>
      <w:keepLines/>
      <w:spacing w:before="200"/>
      <w:outlineLvl w:val="5"/>
    </w:pPr>
    <w:rPr>
      <w:rFonts w:ascii="Cambria" w:hAnsi="Cambria"/>
      <w:i/>
      <w:iCs/>
      <w:color w:val="243F60"/>
    </w:rPr>
  </w:style>
  <w:style w:type="paragraph" w:styleId="8">
    <w:name w:val="heading 7"/>
    <w:basedOn w:val="1"/>
    <w:next w:val="1"/>
    <w:link w:val="143"/>
    <w:qFormat/>
    <w:uiPriority w:val="9"/>
    <w:pPr>
      <w:keepNext/>
      <w:tabs>
        <w:tab w:val="left" w:pos="4536"/>
      </w:tabs>
      <w:jc w:val="center"/>
      <w:outlineLvl w:val="6"/>
    </w:pPr>
    <w:rPr>
      <w:b/>
      <w:sz w:val="20"/>
      <w:szCs w:val="20"/>
      <w:lang w:val="zh-CN" w:eastAsia="zh-CN"/>
    </w:rPr>
  </w:style>
  <w:style w:type="paragraph" w:styleId="9">
    <w:name w:val="heading 8"/>
    <w:basedOn w:val="1"/>
    <w:next w:val="1"/>
    <w:link w:val="144"/>
    <w:unhideWhenUsed/>
    <w:qFormat/>
    <w:uiPriority w:val="9"/>
    <w:pPr>
      <w:spacing w:before="240" w:after="60"/>
      <w:outlineLvl w:val="7"/>
    </w:pPr>
    <w:rPr>
      <w:rFonts w:ascii="Calibri" w:hAnsi="Calibri"/>
      <w:i/>
      <w:iCs/>
      <w:lang w:val="zh-CN" w:eastAsia="zh-CN"/>
    </w:rPr>
  </w:style>
  <w:style w:type="paragraph" w:styleId="10">
    <w:name w:val="heading 9"/>
    <w:basedOn w:val="1"/>
    <w:link w:val="198"/>
    <w:qFormat/>
    <w:uiPriority w:val="9"/>
    <w:pPr>
      <w:spacing w:before="100" w:beforeAutospacing="1" w:after="100" w:afterAutospacing="1"/>
      <w:outlineLvl w:val="8"/>
    </w:p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character" w:styleId="14">
    <w:name w:val="annotation reference"/>
    <w:basedOn w:val="11"/>
    <w:unhideWhenUsed/>
    <w:qFormat/>
    <w:uiPriority w:val="99"/>
    <w:rPr>
      <w:sz w:val="16"/>
      <w:szCs w:val="16"/>
    </w:rPr>
  </w:style>
  <w:style w:type="character" w:styleId="15">
    <w:name w:val="FollowedHyperlink"/>
    <w:unhideWhenUsed/>
    <w:uiPriority w:val="99"/>
    <w:rPr>
      <w:color w:val="800080"/>
      <w:u w:val="single"/>
    </w:rPr>
  </w:style>
  <w:style w:type="character" w:styleId="16">
    <w:name w:val="Emphasis"/>
    <w:basedOn w:val="11"/>
    <w:qFormat/>
    <w:uiPriority w:val="0"/>
    <w:rPr>
      <w:i/>
      <w:iCs/>
    </w:rPr>
  </w:style>
  <w:style w:type="character" w:styleId="17">
    <w:name w:val="line number"/>
    <w:basedOn w:val="11"/>
    <w:semiHidden/>
    <w:unhideWhenUsed/>
    <w:uiPriority w:val="99"/>
  </w:style>
  <w:style w:type="character" w:styleId="18">
    <w:name w:val="HTML Typewriter"/>
    <w:uiPriority w:val="0"/>
    <w:rPr>
      <w:rFonts w:hint="default" w:ascii="Courier New" w:hAnsi="Courier New" w:eastAsia="Times New Roman" w:cs="Courier New"/>
      <w:sz w:val="20"/>
      <w:szCs w:val="20"/>
    </w:rPr>
  </w:style>
  <w:style w:type="character" w:styleId="19">
    <w:name w:val="footnote reference"/>
    <w:unhideWhenUsed/>
    <w:uiPriority w:val="0"/>
    <w:rPr>
      <w:vertAlign w:val="superscript"/>
    </w:rPr>
  </w:style>
  <w:style w:type="character" w:styleId="20">
    <w:name w:val="Hyperlink"/>
    <w:uiPriority w:val="99"/>
    <w:rPr>
      <w:color w:val="0000FF"/>
      <w:u w:val="single"/>
    </w:rPr>
  </w:style>
  <w:style w:type="character" w:styleId="21">
    <w:name w:val="page number"/>
    <w:basedOn w:val="11"/>
    <w:uiPriority w:val="0"/>
  </w:style>
  <w:style w:type="paragraph" w:styleId="22">
    <w:name w:val="toc 2"/>
    <w:basedOn w:val="1"/>
    <w:next w:val="1"/>
    <w:autoRedefine/>
    <w:unhideWhenUsed/>
    <w:qFormat/>
    <w:uiPriority w:val="39"/>
    <w:pPr>
      <w:spacing w:after="100"/>
      <w:ind w:left="240"/>
      <w:jc w:val="both"/>
    </w:pPr>
  </w:style>
  <w:style w:type="paragraph" w:styleId="23">
    <w:name w:val="List"/>
    <w:basedOn w:val="1"/>
    <w:uiPriority w:val="0"/>
    <w:pPr>
      <w:tabs>
        <w:tab w:val="left" w:pos="720"/>
      </w:tabs>
      <w:ind w:left="720" w:hanging="360"/>
    </w:pPr>
    <w:rPr>
      <w:szCs w:val="20"/>
    </w:rPr>
  </w:style>
  <w:style w:type="paragraph" w:styleId="24">
    <w:name w:val="Body Text"/>
    <w:basedOn w:val="1"/>
    <w:link w:val="61"/>
    <w:uiPriority w:val="99"/>
    <w:pPr>
      <w:spacing w:line="240" w:lineRule="exact"/>
      <w:jc w:val="both"/>
    </w:pPr>
    <w:rPr>
      <w:sz w:val="23"/>
      <w:szCs w:val="20"/>
      <w:lang w:val="zh-CN" w:eastAsia="zh-CN"/>
    </w:rPr>
  </w:style>
  <w:style w:type="paragraph" w:styleId="25">
    <w:name w:val="Block Text"/>
    <w:basedOn w:val="1"/>
    <w:uiPriority w:val="0"/>
    <w:pPr>
      <w:spacing w:line="240" w:lineRule="exact"/>
      <w:ind w:left="-567" w:right="-567"/>
      <w:jc w:val="both"/>
    </w:pPr>
    <w:rPr>
      <w:sz w:val="23"/>
      <w:szCs w:val="20"/>
    </w:rPr>
  </w:style>
  <w:style w:type="paragraph" w:styleId="26">
    <w:name w:val="annotation text"/>
    <w:basedOn w:val="1"/>
    <w:link w:val="51"/>
    <w:unhideWhenUsed/>
    <w:uiPriority w:val="99"/>
    <w:rPr>
      <w:sz w:val="20"/>
      <w:szCs w:val="20"/>
    </w:rPr>
  </w:style>
  <w:style w:type="paragraph" w:styleId="27">
    <w:name w:val="Body Text Indent 2"/>
    <w:basedOn w:val="1"/>
    <w:link w:val="146"/>
    <w:uiPriority w:val="0"/>
    <w:pPr>
      <w:ind w:firstLine="1920"/>
      <w:jc w:val="both"/>
    </w:pPr>
    <w:rPr>
      <w:lang w:val="zh-CN" w:eastAsia="zh-CN"/>
    </w:rPr>
  </w:style>
  <w:style w:type="paragraph" w:styleId="28">
    <w:name w:val="Title"/>
    <w:basedOn w:val="1"/>
    <w:link w:val="149"/>
    <w:qFormat/>
    <w:uiPriority w:val="0"/>
    <w:pPr>
      <w:spacing w:after="360"/>
      <w:jc w:val="center"/>
    </w:pPr>
    <w:rPr>
      <w:b/>
      <w:bCs/>
      <w:u w:val="single"/>
      <w:shd w:val="clear" w:color="auto" w:fill="B3B3B3"/>
      <w:lang w:val="zh-CN"/>
    </w:rPr>
  </w:style>
  <w:style w:type="paragraph" w:styleId="29">
    <w:name w:val="List Bullet 5"/>
    <w:basedOn w:val="1"/>
    <w:uiPriority w:val="0"/>
    <w:pPr>
      <w:contextualSpacing/>
    </w:pPr>
    <w:rPr>
      <w:rFonts w:ascii="Ecofont_Spranq_eco_Sans" w:hAnsi="Ecofont_Spranq_eco_Sans" w:eastAsia="Ecofont_Spranq_eco_Sans" w:cs="Tahoma"/>
    </w:rPr>
  </w:style>
  <w:style w:type="paragraph" w:styleId="30">
    <w:name w:val="Normal (Web)"/>
    <w:basedOn w:val="1"/>
    <w:uiPriority w:val="99"/>
    <w:pPr>
      <w:spacing w:before="100" w:beforeAutospacing="1" w:after="100" w:afterAutospacing="1"/>
    </w:pPr>
    <w:rPr>
      <w:rFonts w:ascii="Arial Unicode MS" w:hAnsi="Arial Unicode MS" w:eastAsia="Arial Unicode MS" w:cs="Arial Unicode MS"/>
    </w:rPr>
  </w:style>
  <w:style w:type="paragraph" w:styleId="31">
    <w:name w:val="List Bullet 2"/>
    <w:basedOn w:val="1"/>
    <w:autoRedefine/>
    <w:uiPriority w:val="0"/>
    <w:pPr>
      <w:jc w:val="both"/>
    </w:pPr>
    <w:rPr>
      <w:rFonts w:ascii="Arial" w:hAnsi="Arial" w:cs="Arial"/>
      <w:b/>
      <w:sz w:val="20"/>
      <w:szCs w:val="20"/>
    </w:rPr>
  </w:style>
  <w:style w:type="paragraph" w:styleId="32">
    <w:name w:val="Plain Text"/>
    <w:basedOn w:val="1"/>
    <w:link w:val="60"/>
    <w:qFormat/>
    <w:uiPriority w:val="0"/>
    <w:rPr>
      <w:rFonts w:ascii="Courier New" w:hAnsi="Courier New"/>
      <w:sz w:val="20"/>
      <w:szCs w:val="20"/>
      <w:lang w:val="zh-CN" w:eastAsia="zh-CN"/>
    </w:rPr>
  </w:style>
  <w:style w:type="paragraph" w:styleId="33">
    <w:name w:val="List Continue"/>
    <w:basedOn w:val="1"/>
    <w:uiPriority w:val="0"/>
    <w:pPr>
      <w:spacing w:after="120"/>
      <w:ind w:left="283"/>
    </w:pPr>
  </w:style>
  <w:style w:type="paragraph" w:styleId="34">
    <w:name w:val="Body Text 3"/>
    <w:basedOn w:val="1"/>
    <w:link w:val="239"/>
    <w:uiPriority w:val="0"/>
    <w:pPr>
      <w:jc w:val="both"/>
    </w:pPr>
    <w:rPr>
      <w:rFonts w:asciiTheme="minorHAnsi" w:hAnsiTheme="minorHAnsi" w:eastAsiaTheme="minorHAnsi" w:cstheme="minorBidi"/>
      <w:sz w:val="16"/>
      <w:szCs w:val="16"/>
      <w:lang w:eastAsia="en-US"/>
    </w:rPr>
  </w:style>
  <w:style w:type="paragraph" w:styleId="35">
    <w:name w:val="HTML Preformatted"/>
    <w:basedOn w:val="1"/>
    <w:link w:val="60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olor w:val="000000"/>
      <w:sz w:val="20"/>
      <w:szCs w:val="20"/>
    </w:rPr>
  </w:style>
  <w:style w:type="paragraph" w:styleId="36">
    <w:name w:val="Body Text 2"/>
    <w:basedOn w:val="1"/>
    <w:link w:val="63"/>
    <w:qFormat/>
    <w:uiPriority w:val="99"/>
    <w:pPr>
      <w:spacing w:after="120" w:line="480" w:lineRule="auto"/>
    </w:pPr>
    <w:rPr>
      <w:sz w:val="20"/>
      <w:szCs w:val="20"/>
    </w:rPr>
  </w:style>
  <w:style w:type="paragraph" w:styleId="37">
    <w:name w:val="header"/>
    <w:basedOn w:val="1"/>
    <w:link w:val="58"/>
    <w:uiPriority w:val="99"/>
    <w:pPr>
      <w:tabs>
        <w:tab w:val="center" w:pos="4419"/>
        <w:tab w:val="right" w:pos="8838"/>
      </w:tabs>
    </w:pPr>
    <w:rPr>
      <w:sz w:val="20"/>
      <w:szCs w:val="20"/>
    </w:rPr>
  </w:style>
  <w:style w:type="paragraph" w:styleId="38">
    <w:name w:val="annotation subject"/>
    <w:basedOn w:val="26"/>
    <w:next w:val="26"/>
    <w:link w:val="52"/>
    <w:unhideWhenUsed/>
    <w:qFormat/>
    <w:uiPriority w:val="99"/>
    <w:rPr>
      <w:b/>
      <w:bCs/>
    </w:rPr>
  </w:style>
  <w:style w:type="paragraph" w:styleId="39">
    <w:name w:val="footer"/>
    <w:basedOn w:val="1"/>
    <w:link w:val="59"/>
    <w:uiPriority w:val="99"/>
    <w:pPr>
      <w:tabs>
        <w:tab w:val="center" w:pos="4419"/>
        <w:tab w:val="right" w:pos="8838"/>
      </w:tabs>
    </w:pPr>
    <w:rPr>
      <w:sz w:val="20"/>
      <w:szCs w:val="20"/>
    </w:rPr>
  </w:style>
  <w:style w:type="paragraph" w:styleId="40">
    <w:name w:val="Document Map"/>
    <w:basedOn w:val="1"/>
    <w:link w:val="625"/>
    <w:uiPriority w:val="0"/>
    <w:pPr>
      <w:shd w:val="clear" w:color="auto" w:fill="000080"/>
    </w:pPr>
    <w:rPr>
      <w:rFonts w:ascii="Tahoma" w:hAnsi="Tahoma"/>
      <w:sz w:val="20"/>
      <w:szCs w:val="20"/>
    </w:rPr>
  </w:style>
  <w:style w:type="paragraph" w:styleId="41">
    <w:name w:val="caption"/>
    <w:basedOn w:val="1"/>
    <w:next w:val="1"/>
    <w:qFormat/>
    <w:uiPriority w:val="0"/>
    <w:pPr>
      <w:tabs>
        <w:tab w:val="left" w:pos="4536"/>
      </w:tabs>
      <w:jc w:val="center"/>
    </w:pPr>
    <w:rPr>
      <w:bCs/>
      <w:szCs w:val="20"/>
    </w:rPr>
  </w:style>
  <w:style w:type="paragraph" w:styleId="42">
    <w:name w:val="Body Text Indent 3"/>
    <w:basedOn w:val="1"/>
    <w:link w:val="62"/>
    <w:uiPriority w:val="0"/>
    <w:pPr>
      <w:spacing w:line="240" w:lineRule="exact"/>
      <w:ind w:left="142" w:hanging="142"/>
      <w:jc w:val="both"/>
    </w:pPr>
    <w:rPr>
      <w:color w:val="008000"/>
      <w:sz w:val="23"/>
      <w:szCs w:val="20"/>
      <w:lang w:val="zh-CN" w:eastAsia="zh-CN"/>
    </w:rPr>
  </w:style>
  <w:style w:type="paragraph" w:styleId="43">
    <w:name w:val="Balloon Text"/>
    <w:basedOn w:val="1"/>
    <w:link w:val="53"/>
    <w:unhideWhenUsed/>
    <w:uiPriority w:val="99"/>
    <w:rPr>
      <w:rFonts w:ascii="Tahoma" w:hAnsi="Tahoma" w:cs="Tahoma"/>
      <w:sz w:val="16"/>
      <w:szCs w:val="16"/>
    </w:rPr>
  </w:style>
  <w:style w:type="paragraph" w:styleId="44">
    <w:name w:val="Subtitle"/>
    <w:basedOn w:val="1"/>
    <w:link w:val="139"/>
    <w:qFormat/>
    <w:uiPriority w:val="11"/>
    <w:pPr>
      <w:jc w:val="center"/>
    </w:pPr>
    <w:rPr>
      <w:b/>
      <w:bCs/>
      <w:sz w:val="28"/>
    </w:rPr>
  </w:style>
  <w:style w:type="paragraph" w:styleId="45">
    <w:name w:val="List 2"/>
    <w:basedOn w:val="1"/>
    <w:uiPriority w:val="0"/>
    <w:pPr>
      <w:ind w:left="566" w:hanging="283"/>
    </w:pPr>
    <w:rPr>
      <w:sz w:val="20"/>
      <w:szCs w:val="20"/>
    </w:rPr>
  </w:style>
  <w:style w:type="paragraph" w:styleId="46">
    <w:name w:val="footnote text"/>
    <w:basedOn w:val="1"/>
    <w:link w:val="232"/>
    <w:unhideWhenUsed/>
    <w:uiPriority w:val="99"/>
    <w:rPr>
      <w:sz w:val="20"/>
      <w:szCs w:val="20"/>
    </w:rPr>
  </w:style>
  <w:style w:type="paragraph" w:styleId="47">
    <w:name w:val="List Bullet"/>
    <w:basedOn w:val="1"/>
    <w:unhideWhenUsed/>
    <w:uiPriority w:val="0"/>
    <w:pPr>
      <w:numPr>
        <w:ilvl w:val="0"/>
        <w:numId w:val="1"/>
      </w:numPr>
      <w:contextualSpacing/>
    </w:pPr>
  </w:style>
  <w:style w:type="paragraph" w:styleId="48">
    <w:name w:val="toc 1"/>
    <w:basedOn w:val="1"/>
    <w:next w:val="1"/>
    <w:autoRedefine/>
    <w:qFormat/>
    <w:uiPriority w:val="39"/>
    <w:pPr>
      <w:tabs>
        <w:tab w:val="left" w:pos="440"/>
        <w:tab w:val="right" w:leader="dot" w:pos="9737"/>
      </w:tabs>
      <w:spacing w:after="100"/>
      <w:ind w:left="142" w:hanging="142"/>
      <w:jc w:val="both"/>
    </w:pPr>
  </w:style>
  <w:style w:type="paragraph" w:styleId="49">
    <w:name w:val="Body Text Indent"/>
    <w:basedOn w:val="1"/>
    <w:link w:val="64"/>
    <w:uiPriority w:val="0"/>
    <w:pPr>
      <w:spacing w:after="120"/>
      <w:ind w:left="283"/>
    </w:pPr>
    <w:rPr>
      <w:sz w:val="20"/>
      <w:szCs w:val="20"/>
    </w:rPr>
  </w:style>
  <w:style w:type="table" w:styleId="50">
    <w:name w:val="Table Grid"/>
    <w:basedOn w:val="12"/>
    <w:qFormat/>
    <w:uiPriority w:val="39"/>
    <w:rPr>
      <w:rFonts w:ascii="Times New Roman" w:hAnsi="Times New Roman" w:eastAsia="Times New Roman" w:cs="Times New Roman"/>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Texto de comentário Char"/>
    <w:basedOn w:val="11"/>
    <w:link w:val="26"/>
    <w:uiPriority w:val="99"/>
    <w:rPr>
      <w:rFonts w:ascii="Times New Roman" w:hAnsi="Times New Roman" w:eastAsia="Times New Roman" w:cs="Times New Roman"/>
      <w:sz w:val="20"/>
      <w:szCs w:val="20"/>
      <w:lang w:eastAsia="pt-BR"/>
    </w:rPr>
  </w:style>
  <w:style w:type="character" w:customStyle="1" w:styleId="52">
    <w:name w:val="Assunto do comentário Char"/>
    <w:basedOn w:val="51"/>
    <w:link w:val="38"/>
    <w:uiPriority w:val="99"/>
    <w:rPr>
      <w:rFonts w:ascii="Times New Roman" w:hAnsi="Times New Roman" w:eastAsia="Times New Roman" w:cs="Times New Roman"/>
      <w:b/>
      <w:bCs/>
      <w:sz w:val="20"/>
      <w:szCs w:val="20"/>
      <w:lang w:eastAsia="pt-BR"/>
    </w:rPr>
  </w:style>
  <w:style w:type="character" w:customStyle="1" w:styleId="53">
    <w:name w:val="Texto de balão Char"/>
    <w:basedOn w:val="11"/>
    <w:link w:val="43"/>
    <w:uiPriority w:val="99"/>
    <w:rPr>
      <w:rFonts w:ascii="Tahoma" w:hAnsi="Tahoma" w:eastAsia="Times New Roman" w:cs="Tahoma"/>
      <w:sz w:val="16"/>
      <w:szCs w:val="16"/>
      <w:lang w:eastAsia="pt-BR"/>
    </w:rPr>
  </w:style>
  <w:style w:type="character" w:customStyle="1" w:styleId="54">
    <w:name w:val="Título 2 Char"/>
    <w:basedOn w:val="11"/>
    <w:link w:val="3"/>
    <w:qFormat/>
    <w:uiPriority w:val="9"/>
    <w:rPr>
      <w:rFonts w:ascii="Arial" w:hAnsi="Arial" w:eastAsia="Times New Roman" w:cs="Times New Roman"/>
      <w:b/>
      <w:bCs/>
      <w:i/>
      <w:iCs/>
      <w:sz w:val="28"/>
      <w:szCs w:val="28"/>
      <w:lang w:val="zh-CN" w:eastAsia="zh-CN"/>
    </w:rPr>
  </w:style>
  <w:style w:type="character" w:customStyle="1" w:styleId="55">
    <w:name w:val="Título 4 Char"/>
    <w:basedOn w:val="11"/>
    <w:link w:val="5"/>
    <w:uiPriority w:val="0"/>
    <w:rPr>
      <w:rFonts w:ascii="Calibri" w:hAnsi="Calibri" w:eastAsia="Times New Roman" w:cs="Times New Roman"/>
      <w:b/>
      <w:bCs/>
      <w:sz w:val="28"/>
      <w:szCs w:val="28"/>
      <w:lang w:val="zh-CN" w:eastAsia="zh-CN"/>
    </w:rPr>
  </w:style>
  <w:style w:type="character" w:customStyle="1" w:styleId="56">
    <w:name w:val="Título 5 Char"/>
    <w:basedOn w:val="11"/>
    <w:link w:val="6"/>
    <w:qFormat/>
    <w:uiPriority w:val="0"/>
    <w:rPr>
      <w:rFonts w:ascii="Times New Roman" w:hAnsi="Times New Roman" w:eastAsia="Times New Roman" w:cs="Times New Roman"/>
      <w:color w:val="FF0000"/>
      <w:sz w:val="24"/>
      <w:szCs w:val="20"/>
      <w:lang w:val="zh-CN" w:eastAsia="zh-CN"/>
    </w:rPr>
  </w:style>
  <w:style w:type="paragraph" w:customStyle="1" w:styleId="57">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pt-BR" w:eastAsia="pt-BR" w:bidi="ar-SA"/>
    </w:rPr>
  </w:style>
  <w:style w:type="character" w:customStyle="1" w:styleId="58">
    <w:name w:val="Cabeçalho Char"/>
    <w:basedOn w:val="11"/>
    <w:link w:val="37"/>
    <w:qFormat/>
    <w:uiPriority w:val="99"/>
    <w:rPr>
      <w:rFonts w:ascii="Times New Roman" w:hAnsi="Times New Roman" w:eastAsia="Times New Roman" w:cs="Times New Roman"/>
      <w:sz w:val="20"/>
      <w:szCs w:val="20"/>
      <w:lang w:eastAsia="pt-BR"/>
    </w:rPr>
  </w:style>
  <w:style w:type="character" w:customStyle="1" w:styleId="59">
    <w:name w:val="Rodapé Char"/>
    <w:basedOn w:val="11"/>
    <w:link w:val="39"/>
    <w:qFormat/>
    <w:uiPriority w:val="99"/>
    <w:rPr>
      <w:rFonts w:ascii="Times New Roman" w:hAnsi="Times New Roman" w:eastAsia="Times New Roman" w:cs="Times New Roman"/>
      <w:sz w:val="20"/>
      <w:szCs w:val="20"/>
      <w:lang w:eastAsia="pt-BR"/>
    </w:rPr>
  </w:style>
  <w:style w:type="character" w:customStyle="1" w:styleId="60">
    <w:name w:val="Texto sem Formatação Char"/>
    <w:basedOn w:val="11"/>
    <w:link w:val="32"/>
    <w:uiPriority w:val="0"/>
    <w:rPr>
      <w:rFonts w:ascii="Courier New" w:hAnsi="Courier New" w:eastAsia="Times New Roman" w:cs="Times New Roman"/>
      <w:sz w:val="20"/>
      <w:szCs w:val="20"/>
      <w:lang w:val="zh-CN" w:eastAsia="zh-CN"/>
    </w:rPr>
  </w:style>
  <w:style w:type="character" w:customStyle="1" w:styleId="61">
    <w:name w:val="Corpo de texto Char"/>
    <w:basedOn w:val="11"/>
    <w:link w:val="24"/>
    <w:qFormat/>
    <w:uiPriority w:val="99"/>
    <w:rPr>
      <w:rFonts w:ascii="Times New Roman" w:hAnsi="Times New Roman" w:eastAsia="Times New Roman" w:cs="Times New Roman"/>
      <w:sz w:val="23"/>
      <w:szCs w:val="20"/>
      <w:lang w:val="zh-CN" w:eastAsia="zh-CN"/>
    </w:rPr>
  </w:style>
  <w:style w:type="character" w:customStyle="1" w:styleId="62">
    <w:name w:val="Recuo de corpo de texto 3 Char"/>
    <w:basedOn w:val="11"/>
    <w:link w:val="42"/>
    <w:uiPriority w:val="0"/>
    <w:rPr>
      <w:rFonts w:ascii="Times New Roman" w:hAnsi="Times New Roman" w:eastAsia="Times New Roman" w:cs="Times New Roman"/>
      <w:color w:val="008000"/>
      <w:sz w:val="23"/>
      <w:szCs w:val="20"/>
      <w:lang w:val="zh-CN" w:eastAsia="zh-CN"/>
    </w:rPr>
  </w:style>
  <w:style w:type="character" w:customStyle="1" w:styleId="63">
    <w:name w:val="Corpo de texto 2 Char"/>
    <w:basedOn w:val="11"/>
    <w:link w:val="36"/>
    <w:qFormat/>
    <w:uiPriority w:val="99"/>
    <w:rPr>
      <w:rFonts w:ascii="Times New Roman" w:hAnsi="Times New Roman" w:eastAsia="Times New Roman" w:cs="Times New Roman"/>
      <w:sz w:val="20"/>
      <w:szCs w:val="20"/>
      <w:lang w:eastAsia="pt-BR"/>
    </w:rPr>
  </w:style>
  <w:style w:type="character" w:customStyle="1" w:styleId="64">
    <w:name w:val="Recuo de corpo de texto Char"/>
    <w:basedOn w:val="11"/>
    <w:link w:val="49"/>
    <w:uiPriority w:val="0"/>
    <w:rPr>
      <w:rFonts w:ascii="Times New Roman" w:hAnsi="Times New Roman" w:eastAsia="Times New Roman" w:cs="Times New Roman"/>
      <w:sz w:val="20"/>
      <w:szCs w:val="20"/>
      <w:lang w:eastAsia="pt-BR"/>
    </w:rPr>
  </w:style>
  <w:style w:type="table" w:customStyle="1" w:styleId="65">
    <w:name w:val="Tabela com grade1"/>
    <w:basedOn w:val="12"/>
    <w:uiPriority w:val="59"/>
    <w:rPr>
      <w:rFonts w:ascii="Times New Roman" w:hAnsi="Times New Roman" w:eastAsia="Times New Roman" w:cs="Times New Roman"/>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6">
    <w:name w:val="List Paragraph"/>
    <w:basedOn w:val="1"/>
    <w:link w:val="686"/>
    <w:qFormat/>
    <w:uiPriority w:val="34"/>
    <w:pPr>
      <w:spacing w:after="200" w:line="276" w:lineRule="auto"/>
      <w:ind w:left="720"/>
      <w:contextualSpacing/>
    </w:pPr>
    <w:rPr>
      <w:rFonts w:ascii="Calibri" w:hAnsi="Calibri"/>
      <w:sz w:val="22"/>
      <w:szCs w:val="22"/>
    </w:rPr>
  </w:style>
  <w:style w:type="table" w:customStyle="1" w:styleId="67">
    <w:name w:val="Tabela com grade2"/>
    <w:basedOn w:val="12"/>
    <w:uiPriority w:val="0"/>
    <w:rPr>
      <w:rFonts w:ascii="Times New Roman" w:hAnsi="Times New Roman" w:eastAsia="Times New Roman" w:cs="Times New Roman"/>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8">
    <w:name w:val="No Spacing"/>
    <w:link w:val="69"/>
    <w:qFormat/>
    <w:uiPriority w:val="1"/>
    <w:pPr>
      <w:spacing w:after="0" w:line="240" w:lineRule="auto"/>
    </w:pPr>
    <w:rPr>
      <w:rFonts w:ascii="Calibri" w:hAnsi="Calibri" w:eastAsia="Times New Roman" w:cs="Times New Roman"/>
      <w:sz w:val="22"/>
      <w:szCs w:val="22"/>
      <w:lang w:val="pt-BR" w:eastAsia="pt-BR" w:bidi="ar-SA"/>
    </w:rPr>
  </w:style>
  <w:style w:type="character" w:customStyle="1" w:styleId="69">
    <w:name w:val="Sem Espaçamento Char"/>
    <w:link w:val="68"/>
    <w:uiPriority w:val="1"/>
    <w:rPr>
      <w:rFonts w:ascii="Calibri" w:hAnsi="Calibri" w:eastAsia="Times New Roman" w:cs="Times New Roman"/>
      <w:lang w:eastAsia="pt-BR"/>
    </w:rPr>
  </w:style>
  <w:style w:type="paragraph" w:customStyle="1" w:styleId="70">
    <w:name w:val="font5"/>
    <w:basedOn w:val="1"/>
    <w:uiPriority w:val="0"/>
    <w:pPr>
      <w:spacing w:before="100" w:beforeAutospacing="1" w:after="100" w:afterAutospacing="1"/>
    </w:pPr>
    <w:rPr>
      <w:rFonts w:ascii="Arial" w:hAnsi="Arial" w:cs="Arial"/>
      <w:color w:val="000000"/>
      <w:sz w:val="20"/>
      <w:szCs w:val="20"/>
    </w:rPr>
  </w:style>
  <w:style w:type="paragraph" w:customStyle="1" w:styleId="71">
    <w:name w:val="font6"/>
    <w:basedOn w:val="1"/>
    <w:uiPriority w:val="0"/>
    <w:pPr>
      <w:spacing w:before="100" w:beforeAutospacing="1" w:after="100" w:afterAutospacing="1"/>
    </w:pPr>
    <w:rPr>
      <w:rFonts w:ascii="Arial" w:hAnsi="Arial" w:cs="Arial"/>
      <w:color w:val="FF0000"/>
      <w:sz w:val="20"/>
      <w:szCs w:val="20"/>
    </w:rPr>
  </w:style>
  <w:style w:type="paragraph" w:customStyle="1" w:styleId="72">
    <w:name w:val="font7"/>
    <w:basedOn w:val="1"/>
    <w:uiPriority w:val="0"/>
    <w:pPr>
      <w:spacing w:before="100" w:beforeAutospacing="1" w:after="100" w:afterAutospacing="1"/>
    </w:pPr>
    <w:rPr>
      <w:rFonts w:ascii="Verdana" w:hAnsi="Verdana"/>
      <w:color w:val="000000"/>
      <w:sz w:val="20"/>
      <w:szCs w:val="20"/>
    </w:rPr>
  </w:style>
  <w:style w:type="paragraph" w:customStyle="1" w:styleId="73">
    <w:name w:val="font8"/>
    <w:basedOn w:val="1"/>
    <w:uiPriority w:val="0"/>
    <w:pPr>
      <w:spacing w:before="100" w:beforeAutospacing="1" w:after="100" w:afterAutospacing="1"/>
    </w:pPr>
    <w:rPr>
      <w:rFonts w:ascii="Calibri" w:hAnsi="Calibri"/>
      <w:color w:val="000000"/>
      <w:sz w:val="20"/>
      <w:szCs w:val="20"/>
    </w:rPr>
  </w:style>
  <w:style w:type="paragraph" w:customStyle="1" w:styleId="74">
    <w:name w:val="font9"/>
    <w:basedOn w:val="1"/>
    <w:uiPriority w:val="0"/>
    <w:pPr>
      <w:spacing w:before="100" w:beforeAutospacing="1" w:after="100" w:afterAutospacing="1"/>
    </w:pPr>
    <w:rPr>
      <w:rFonts w:ascii="Verdana" w:hAnsi="Verdana"/>
      <w:sz w:val="20"/>
      <w:szCs w:val="20"/>
    </w:rPr>
  </w:style>
  <w:style w:type="paragraph" w:customStyle="1" w:styleId="75">
    <w:name w:val="font10"/>
    <w:basedOn w:val="1"/>
    <w:uiPriority w:val="0"/>
    <w:pPr>
      <w:spacing w:before="100" w:beforeAutospacing="1" w:after="100" w:afterAutospacing="1"/>
    </w:pPr>
    <w:rPr>
      <w:rFonts w:ascii="Arial" w:hAnsi="Arial" w:cs="Arial"/>
      <w:sz w:val="20"/>
      <w:szCs w:val="20"/>
    </w:rPr>
  </w:style>
  <w:style w:type="paragraph" w:customStyle="1" w:styleId="76">
    <w:name w:val="font11"/>
    <w:basedOn w:val="1"/>
    <w:uiPriority w:val="0"/>
    <w:pPr>
      <w:spacing w:before="100" w:beforeAutospacing="1" w:after="100" w:afterAutospacing="1"/>
    </w:pPr>
    <w:rPr>
      <w:sz w:val="20"/>
      <w:szCs w:val="20"/>
    </w:rPr>
  </w:style>
  <w:style w:type="paragraph" w:customStyle="1" w:styleId="77">
    <w:name w:val="font12"/>
    <w:basedOn w:val="1"/>
    <w:uiPriority w:val="0"/>
    <w:pPr>
      <w:spacing w:before="100" w:beforeAutospacing="1" w:after="100" w:afterAutospacing="1"/>
    </w:pPr>
    <w:rPr>
      <w:rFonts w:ascii="Arial" w:hAnsi="Arial" w:cs="Arial"/>
      <w:sz w:val="14"/>
      <w:szCs w:val="14"/>
    </w:rPr>
  </w:style>
  <w:style w:type="paragraph" w:customStyle="1" w:styleId="78">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0"/>
      <w:szCs w:val="20"/>
    </w:rPr>
  </w:style>
  <w:style w:type="paragraph" w:customStyle="1" w:styleId="79">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80">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sz w:val="20"/>
      <w:szCs w:val="20"/>
    </w:rPr>
  </w:style>
  <w:style w:type="paragraph" w:customStyle="1" w:styleId="81">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0"/>
      <w:szCs w:val="20"/>
    </w:rPr>
  </w:style>
  <w:style w:type="paragraph" w:customStyle="1" w:styleId="82">
    <w:name w:val="xl69"/>
    <w:basedOn w:val="1"/>
    <w:uiPriority w:val="0"/>
    <w:pPr>
      <w:shd w:val="clear" w:color="000000" w:fill="FFFFFF"/>
      <w:spacing w:before="100" w:beforeAutospacing="1" w:after="100" w:afterAutospacing="1"/>
    </w:pPr>
  </w:style>
  <w:style w:type="paragraph" w:customStyle="1" w:styleId="83">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84">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85">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0"/>
      <w:szCs w:val="20"/>
    </w:rPr>
  </w:style>
  <w:style w:type="paragraph" w:customStyle="1" w:styleId="86">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sz w:val="20"/>
      <w:szCs w:val="20"/>
    </w:rPr>
  </w:style>
  <w:style w:type="paragraph" w:customStyle="1" w:styleId="87">
    <w:name w:val="xl74"/>
    <w:basedOn w:val="1"/>
    <w:uiPriority w:val="0"/>
    <w:pPr>
      <w:spacing w:before="100" w:beforeAutospacing="1" w:after="100" w:afterAutospacing="1"/>
    </w:pPr>
    <w:rPr>
      <w:sz w:val="20"/>
      <w:szCs w:val="20"/>
    </w:rPr>
  </w:style>
  <w:style w:type="paragraph" w:customStyle="1" w:styleId="88">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0"/>
      <w:szCs w:val="20"/>
    </w:rPr>
  </w:style>
  <w:style w:type="paragraph" w:customStyle="1" w:styleId="89">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90">
    <w:name w:val="xl77"/>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top"/>
    </w:pPr>
    <w:rPr>
      <w:sz w:val="20"/>
      <w:szCs w:val="20"/>
    </w:rPr>
  </w:style>
  <w:style w:type="paragraph" w:customStyle="1" w:styleId="91">
    <w:name w:val="xl78"/>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92">
    <w:name w:val="xl79"/>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both"/>
      <w:textAlignment w:val="center"/>
    </w:pPr>
    <w:rPr>
      <w:rFonts w:ascii="Arial" w:hAnsi="Arial" w:cs="Arial"/>
      <w:sz w:val="20"/>
      <w:szCs w:val="20"/>
    </w:rPr>
  </w:style>
  <w:style w:type="paragraph" w:customStyle="1" w:styleId="93">
    <w:name w:val="xl80"/>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94">
    <w:name w:val="xl81"/>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sz w:val="20"/>
      <w:szCs w:val="20"/>
    </w:rPr>
  </w:style>
  <w:style w:type="paragraph" w:customStyle="1" w:styleId="95">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sz w:val="20"/>
      <w:szCs w:val="20"/>
    </w:rPr>
  </w:style>
  <w:style w:type="paragraph" w:customStyle="1" w:styleId="96">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color w:val="FF0000"/>
      <w:sz w:val="20"/>
      <w:szCs w:val="20"/>
    </w:rPr>
  </w:style>
  <w:style w:type="paragraph" w:customStyle="1" w:styleId="97">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FF0000"/>
      <w:sz w:val="20"/>
      <w:szCs w:val="20"/>
    </w:rPr>
  </w:style>
  <w:style w:type="paragraph" w:customStyle="1" w:styleId="98">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sz w:val="20"/>
      <w:szCs w:val="20"/>
    </w:rPr>
  </w:style>
  <w:style w:type="paragraph" w:customStyle="1" w:styleId="99">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100">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0"/>
      <w:szCs w:val="20"/>
    </w:rPr>
  </w:style>
  <w:style w:type="paragraph" w:customStyle="1" w:styleId="101">
    <w:name w:val="xl88"/>
    <w:basedOn w:val="1"/>
    <w:uiPriority w:val="0"/>
    <w:pPr>
      <w:spacing w:before="100" w:beforeAutospacing="1" w:after="100" w:afterAutospacing="1"/>
      <w:jc w:val="center"/>
    </w:pPr>
    <w:rPr>
      <w:sz w:val="20"/>
      <w:szCs w:val="20"/>
    </w:rPr>
  </w:style>
  <w:style w:type="paragraph" w:customStyle="1" w:styleId="102">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FF0000"/>
      <w:sz w:val="20"/>
      <w:szCs w:val="20"/>
    </w:rPr>
  </w:style>
  <w:style w:type="paragraph" w:customStyle="1" w:styleId="103">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sz w:val="20"/>
      <w:szCs w:val="20"/>
    </w:rPr>
  </w:style>
  <w:style w:type="paragraph" w:customStyle="1" w:styleId="104">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105">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106">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sz w:val="20"/>
      <w:szCs w:val="20"/>
    </w:rPr>
  </w:style>
  <w:style w:type="paragraph" w:customStyle="1" w:styleId="107">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20"/>
      <w:szCs w:val="20"/>
    </w:rPr>
  </w:style>
  <w:style w:type="paragraph" w:customStyle="1" w:styleId="108">
    <w:name w:val="xl95"/>
    <w:basedOn w:val="1"/>
    <w:uiPriority w:val="0"/>
    <w:pPr>
      <w:spacing w:before="100" w:beforeAutospacing="1" w:after="100" w:afterAutospacing="1"/>
    </w:pPr>
  </w:style>
  <w:style w:type="paragraph" w:customStyle="1" w:styleId="109">
    <w:name w:val="xl96"/>
    <w:basedOn w:val="1"/>
    <w:uiPriority w:val="0"/>
    <w:pPr>
      <w:pBdr>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110">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11">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0"/>
      <w:szCs w:val="20"/>
    </w:rPr>
  </w:style>
  <w:style w:type="paragraph" w:customStyle="1" w:styleId="112">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113">
    <w:name w:val="xl100"/>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sz w:val="20"/>
      <w:szCs w:val="20"/>
    </w:rPr>
  </w:style>
  <w:style w:type="paragraph" w:customStyle="1" w:styleId="114">
    <w:name w:val="xl101"/>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both"/>
      <w:textAlignment w:val="center"/>
    </w:pPr>
    <w:rPr>
      <w:rFonts w:ascii="Arial" w:hAnsi="Arial" w:cs="Arial"/>
      <w:sz w:val="20"/>
      <w:szCs w:val="20"/>
    </w:rPr>
  </w:style>
  <w:style w:type="paragraph" w:customStyle="1" w:styleId="115">
    <w:name w:val="xl102"/>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sz w:val="20"/>
      <w:szCs w:val="20"/>
    </w:rPr>
  </w:style>
  <w:style w:type="paragraph" w:customStyle="1" w:styleId="116">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color w:val="000000"/>
    </w:rPr>
  </w:style>
  <w:style w:type="paragraph" w:customStyle="1" w:styleId="117">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20"/>
      <w:szCs w:val="20"/>
    </w:rPr>
  </w:style>
  <w:style w:type="paragraph" w:customStyle="1" w:styleId="118">
    <w:name w:val="xl105"/>
    <w:basedOn w:val="1"/>
    <w:uiPriority w:val="0"/>
    <w:pPr>
      <w:pBdr>
        <w:top w:val="single" w:color="auto" w:sz="4" w:space="0"/>
        <w:left w:val="single" w:color="auto" w:sz="4" w:space="0"/>
        <w:right w:val="single" w:color="auto" w:sz="4" w:space="0"/>
      </w:pBdr>
      <w:spacing w:before="100" w:beforeAutospacing="1" w:after="100" w:afterAutospacing="1"/>
      <w:jc w:val="center"/>
    </w:pPr>
    <w:rPr>
      <w:sz w:val="20"/>
      <w:szCs w:val="20"/>
    </w:rPr>
  </w:style>
  <w:style w:type="paragraph" w:customStyle="1" w:styleId="119">
    <w:name w:val="xl106"/>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120">
    <w:name w:val="xl107"/>
    <w:basedOn w:val="1"/>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b/>
      <w:bCs/>
    </w:rPr>
  </w:style>
  <w:style w:type="paragraph" w:customStyle="1" w:styleId="121">
    <w:name w:val="xl108"/>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122">
    <w:name w:val="xl109"/>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123">
    <w:name w:val="xl110"/>
    <w:basedOn w:val="1"/>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124">
    <w:name w:val="xl111"/>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rPr>
  </w:style>
  <w:style w:type="paragraph" w:customStyle="1" w:styleId="125">
    <w:name w:val="xl112"/>
    <w:basedOn w:val="1"/>
    <w:uiPriority w:val="0"/>
    <w:pPr>
      <w:spacing w:before="100" w:beforeAutospacing="1" w:after="100" w:afterAutospacing="1"/>
      <w:jc w:val="center"/>
      <w:textAlignment w:val="center"/>
    </w:pPr>
    <w:rPr>
      <w:b/>
      <w:bCs/>
    </w:rPr>
  </w:style>
  <w:style w:type="paragraph" w:customStyle="1" w:styleId="126">
    <w:name w:val="xl113"/>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sz w:val="20"/>
      <w:szCs w:val="20"/>
    </w:rPr>
  </w:style>
  <w:style w:type="paragraph" w:customStyle="1" w:styleId="127">
    <w:name w:val="xl114"/>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20"/>
      <w:szCs w:val="20"/>
    </w:rPr>
  </w:style>
  <w:style w:type="paragraph" w:customStyle="1" w:styleId="128">
    <w:name w:val="xl115"/>
    <w:basedOn w:val="1"/>
    <w:uiPriority w:val="0"/>
    <w:pPr>
      <w:spacing w:before="100" w:beforeAutospacing="1" w:after="100" w:afterAutospacing="1"/>
    </w:pPr>
    <w:rPr>
      <w:rFonts w:ascii="Arial" w:hAnsi="Arial" w:cs="Arial"/>
      <w:sz w:val="20"/>
      <w:szCs w:val="20"/>
    </w:rPr>
  </w:style>
  <w:style w:type="paragraph" w:customStyle="1" w:styleId="129">
    <w:name w:val="xl116"/>
    <w:basedOn w:val="1"/>
    <w:uiPriority w:val="0"/>
    <w:pPr>
      <w:spacing w:before="100" w:beforeAutospacing="1" w:after="100" w:afterAutospacing="1"/>
      <w:textAlignment w:val="center"/>
    </w:pPr>
    <w:rPr>
      <w:rFonts w:ascii="Arial" w:hAnsi="Arial" w:cs="Arial"/>
      <w:sz w:val="20"/>
      <w:szCs w:val="20"/>
    </w:rPr>
  </w:style>
  <w:style w:type="paragraph" w:customStyle="1" w:styleId="130">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131">
    <w:name w:val="xl11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both"/>
      <w:textAlignment w:val="center"/>
    </w:pPr>
    <w:rPr>
      <w:rFonts w:ascii="Arial" w:hAnsi="Arial" w:cs="Arial"/>
      <w:sz w:val="20"/>
      <w:szCs w:val="20"/>
    </w:rPr>
  </w:style>
  <w:style w:type="paragraph" w:customStyle="1" w:styleId="132">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63"/>
    <w:basedOn w:val="1"/>
    <w:uiPriority w:val="0"/>
    <w:pPr>
      <w:spacing w:before="100" w:beforeAutospacing="1" w:after="100" w:afterAutospacing="1"/>
      <w:textAlignment w:val="center"/>
    </w:pPr>
  </w:style>
  <w:style w:type="character" w:customStyle="1" w:styleId="134">
    <w:name w:val="Título 6 Char"/>
    <w:basedOn w:val="11"/>
    <w:link w:val="7"/>
    <w:uiPriority w:val="9"/>
    <w:rPr>
      <w:rFonts w:ascii="Cambria" w:hAnsi="Cambria" w:eastAsia="Times New Roman" w:cs="Times New Roman"/>
      <w:i/>
      <w:iCs/>
      <w:color w:val="243F60"/>
      <w:sz w:val="24"/>
      <w:szCs w:val="24"/>
      <w:lang w:eastAsia="pt-BR"/>
    </w:rPr>
  </w:style>
  <w:style w:type="paragraph" w:customStyle="1" w:styleId="135">
    <w:name w:val="LINHA"/>
    <w:uiPriority w:val="0"/>
    <w:pPr>
      <w:tabs>
        <w:tab w:val="left" w:leader="underscore" w:pos="1800"/>
        <w:tab w:val="right" w:leader="dot" w:pos="5400"/>
      </w:tabs>
      <w:overflowPunct w:val="0"/>
      <w:autoSpaceDE w:val="0"/>
      <w:autoSpaceDN w:val="0"/>
      <w:adjustRightInd w:val="0"/>
      <w:spacing w:after="0" w:line="240" w:lineRule="auto"/>
      <w:jc w:val="both"/>
      <w:textAlignment w:val="baseline"/>
    </w:pPr>
    <w:rPr>
      <w:rFonts w:ascii="Courier New" w:hAnsi="Courier New" w:eastAsia="Times New Roman" w:cs="Times New Roman"/>
      <w:color w:val="000000"/>
      <w:sz w:val="20"/>
      <w:szCs w:val="20"/>
      <w:lang w:val="pt-BR" w:eastAsia="pt-BR" w:bidi="ar-SA"/>
    </w:rPr>
  </w:style>
  <w:style w:type="paragraph" w:customStyle="1" w:styleId="136">
    <w:name w:val="Parágrafo da Lista1"/>
    <w:basedOn w:val="1"/>
    <w:qFormat/>
    <w:uiPriority w:val="0"/>
    <w:pPr>
      <w:ind w:left="708"/>
    </w:pPr>
    <w:rPr>
      <w:sz w:val="20"/>
      <w:szCs w:val="20"/>
    </w:rPr>
  </w:style>
  <w:style w:type="paragraph" w:customStyle="1" w:styleId="137">
    <w:name w:val="Corpo de texto 22"/>
    <w:basedOn w:val="1"/>
    <w:uiPriority w:val="0"/>
    <w:pPr>
      <w:tabs>
        <w:tab w:val="left" w:leader="underscore" w:pos="1802"/>
        <w:tab w:val="left" w:pos="3376"/>
        <w:tab w:val="right" w:leader="dot" w:pos="5394"/>
      </w:tabs>
      <w:ind w:firstLine="2520"/>
      <w:jc w:val="both"/>
    </w:pPr>
    <w:rPr>
      <w:color w:val="FF0000"/>
      <w:szCs w:val="20"/>
    </w:rPr>
  </w:style>
  <w:style w:type="paragraph" w:customStyle="1" w:styleId="138">
    <w:name w:val="P30"/>
    <w:basedOn w:val="1"/>
    <w:uiPriority w:val="0"/>
    <w:pPr>
      <w:widowControl w:val="0"/>
      <w:suppressAutoHyphens/>
      <w:jc w:val="both"/>
    </w:pPr>
    <w:rPr>
      <w:rFonts w:eastAsia="Arial Unicode MS"/>
      <w:b/>
      <w:szCs w:val="20"/>
    </w:rPr>
  </w:style>
  <w:style w:type="character" w:customStyle="1" w:styleId="139">
    <w:name w:val="Subtítulo Char"/>
    <w:basedOn w:val="11"/>
    <w:link w:val="44"/>
    <w:uiPriority w:val="11"/>
    <w:rPr>
      <w:rFonts w:ascii="Times New Roman" w:hAnsi="Times New Roman" w:eastAsia="Times New Roman" w:cs="Times New Roman"/>
      <w:b/>
      <w:bCs/>
      <w:sz w:val="28"/>
      <w:szCs w:val="24"/>
      <w:lang w:eastAsia="pt-BR"/>
    </w:rPr>
  </w:style>
  <w:style w:type="paragraph" w:customStyle="1" w:styleId="140">
    <w:name w:val="Corpo"/>
    <w:uiPriority w:val="0"/>
    <w:pPr>
      <w:autoSpaceDE w:val="0"/>
      <w:autoSpaceDN w:val="0"/>
      <w:spacing w:after="0" w:line="240" w:lineRule="auto"/>
    </w:pPr>
    <w:rPr>
      <w:rFonts w:ascii="Times New Roman" w:hAnsi="Times New Roman" w:eastAsia="Times New Roman" w:cs="Times New Roman"/>
      <w:color w:val="000000"/>
      <w:sz w:val="20"/>
      <w:szCs w:val="20"/>
      <w:lang w:val="pt-BR" w:eastAsia="pt-BR" w:bidi="ar-SA"/>
    </w:rPr>
  </w:style>
  <w:style w:type="character" w:customStyle="1" w:styleId="141">
    <w:name w:val="apple-converted-space"/>
    <w:uiPriority w:val="0"/>
  </w:style>
  <w:style w:type="character" w:customStyle="1" w:styleId="142">
    <w:name w:val="Título 1 Char"/>
    <w:basedOn w:val="11"/>
    <w:link w:val="2"/>
    <w:uiPriority w:val="0"/>
    <w:rPr>
      <w:rFonts w:ascii="Cambria" w:hAnsi="Cambria" w:eastAsia="Times New Roman" w:cs="Times New Roman"/>
      <w:b/>
      <w:bCs/>
      <w:kern w:val="32"/>
      <w:sz w:val="32"/>
      <w:szCs w:val="32"/>
      <w:lang w:val="zh-CN" w:eastAsia="zh-CN"/>
    </w:rPr>
  </w:style>
  <w:style w:type="character" w:customStyle="1" w:styleId="143">
    <w:name w:val="Título 7 Char"/>
    <w:basedOn w:val="11"/>
    <w:link w:val="8"/>
    <w:uiPriority w:val="9"/>
    <w:rPr>
      <w:rFonts w:ascii="Times New Roman" w:hAnsi="Times New Roman" w:eastAsia="Times New Roman" w:cs="Times New Roman"/>
      <w:b/>
      <w:sz w:val="20"/>
      <w:szCs w:val="20"/>
      <w:lang w:val="zh-CN" w:eastAsia="zh-CN"/>
    </w:rPr>
  </w:style>
  <w:style w:type="character" w:customStyle="1" w:styleId="144">
    <w:name w:val="Título 8 Char"/>
    <w:basedOn w:val="11"/>
    <w:link w:val="9"/>
    <w:uiPriority w:val="9"/>
    <w:rPr>
      <w:rFonts w:ascii="Calibri" w:hAnsi="Calibri" w:eastAsia="Times New Roman" w:cs="Times New Roman"/>
      <w:i/>
      <w:iCs/>
      <w:sz w:val="24"/>
      <w:szCs w:val="24"/>
      <w:lang w:val="zh-CN" w:eastAsia="zh-CN"/>
    </w:rPr>
  </w:style>
  <w:style w:type="character" w:customStyle="1" w:styleId="145">
    <w:name w:val="Char Char11"/>
    <w:uiPriority w:val="99"/>
    <w:rPr>
      <w:rFonts w:cs="Times New Roman"/>
      <w:sz w:val="24"/>
      <w:szCs w:val="24"/>
    </w:rPr>
  </w:style>
  <w:style w:type="character" w:customStyle="1" w:styleId="146">
    <w:name w:val="Recuo de corpo de texto 2 Char"/>
    <w:basedOn w:val="11"/>
    <w:link w:val="27"/>
    <w:uiPriority w:val="0"/>
    <w:rPr>
      <w:rFonts w:ascii="Times New Roman" w:hAnsi="Times New Roman" w:eastAsia="Times New Roman" w:cs="Times New Roman"/>
      <w:sz w:val="24"/>
      <w:szCs w:val="24"/>
      <w:lang w:val="zh-CN" w:eastAsia="zh-CN"/>
    </w:rPr>
  </w:style>
  <w:style w:type="character" w:customStyle="1" w:styleId="147">
    <w:name w:val="st"/>
    <w:uiPriority w:val="0"/>
    <w:rPr>
      <w:rFonts w:cs="Times New Roman"/>
    </w:rPr>
  </w:style>
  <w:style w:type="paragraph" w:customStyle="1" w:styleId="148">
    <w:name w:val="Corpo de texto 31"/>
    <w:basedOn w:val="1"/>
    <w:uiPriority w:val="99"/>
    <w:pPr>
      <w:suppressAutoHyphens/>
      <w:jc w:val="both"/>
    </w:pPr>
    <w:rPr>
      <w:rFonts w:ascii="Arial" w:hAnsi="Arial"/>
      <w:szCs w:val="20"/>
      <w:lang w:eastAsia="ar-SA"/>
    </w:rPr>
  </w:style>
  <w:style w:type="character" w:customStyle="1" w:styleId="149">
    <w:name w:val="Título Char"/>
    <w:basedOn w:val="11"/>
    <w:link w:val="28"/>
    <w:uiPriority w:val="0"/>
    <w:rPr>
      <w:rFonts w:ascii="Times New Roman" w:hAnsi="Times New Roman" w:eastAsia="Times New Roman" w:cs="Times New Roman"/>
      <w:b/>
      <w:bCs/>
      <w:sz w:val="24"/>
      <w:szCs w:val="24"/>
      <w:u w:val="single"/>
      <w:lang w:val="zh-CN" w:eastAsia="pt-BR"/>
    </w:rPr>
  </w:style>
  <w:style w:type="paragraph" w:customStyle="1" w:styleId="150">
    <w:name w:val="Saudação1"/>
    <w:basedOn w:val="1"/>
    <w:uiPriority w:val="0"/>
    <w:pPr>
      <w:widowControl w:val="0"/>
      <w:suppressAutoHyphens/>
      <w:jc w:val="both"/>
    </w:pPr>
    <w:rPr>
      <w:rFonts w:ascii="Arial" w:hAnsi="Arial" w:eastAsia="Arial Unicode MS"/>
      <w:szCs w:val="20"/>
    </w:rPr>
  </w:style>
  <w:style w:type="paragraph" w:customStyle="1" w:styleId="151">
    <w:name w:val="western"/>
    <w:basedOn w:val="1"/>
    <w:uiPriority w:val="0"/>
    <w:pPr>
      <w:spacing w:before="100" w:beforeAutospacing="1" w:after="119"/>
    </w:pPr>
  </w:style>
  <w:style w:type="paragraph" w:customStyle="1" w:styleId="152">
    <w:name w:val="xl22"/>
    <w:basedOn w:val="1"/>
    <w:uiPriority w:val="99"/>
    <w:pPr>
      <w:pBdr>
        <w:top w:val="single" w:color="auto" w:sz="8" w:space="0"/>
        <w:left w:val="single" w:color="auto" w:sz="8" w:space="0"/>
      </w:pBdr>
      <w:spacing w:before="100" w:beforeAutospacing="1" w:after="100" w:afterAutospacing="1"/>
      <w:jc w:val="center"/>
    </w:pPr>
    <w:rPr>
      <w:rFonts w:eastAsia="Calibri"/>
      <w:b/>
      <w:bCs/>
      <w:sz w:val="16"/>
      <w:szCs w:val="16"/>
    </w:rPr>
  </w:style>
  <w:style w:type="paragraph" w:customStyle="1" w:styleId="153">
    <w:name w:val="xl23"/>
    <w:basedOn w:val="1"/>
    <w:uiPriority w:val="99"/>
    <w:pPr>
      <w:pBdr>
        <w:top w:val="single" w:color="auto" w:sz="8" w:space="0"/>
      </w:pBdr>
      <w:spacing w:before="100" w:beforeAutospacing="1" w:after="100" w:afterAutospacing="1"/>
      <w:jc w:val="center"/>
    </w:pPr>
    <w:rPr>
      <w:rFonts w:eastAsia="Calibri"/>
      <w:b/>
      <w:bCs/>
      <w:sz w:val="16"/>
      <w:szCs w:val="16"/>
    </w:rPr>
  </w:style>
  <w:style w:type="paragraph" w:customStyle="1" w:styleId="154">
    <w:name w:val="xl24"/>
    <w:basedOn w:val="1"/>
    <w:uiPriority w:val="0"/>
    <w:pPr>
      <w:pBdr>
        <w:top w:val="single" w:color="auto" w:sz="8" w:space="0"/>
        <w:right w:val="single" w:color="auto" w:sz="8" w:space="0"/>
      </w:pBdr>
      <w:spacing w:before="100" w:beforeAutospacing="1" w:after="100" w:afterAutospacing="1"/>
      <w:jc w:val="center"/>
    </w:pPr>
    <w:rPr>
      <w:rFonts w:eastAsia="Calibri"/>
      <w:b/>
      <w:bCs/>
      <w:sz w:val="16"/>
      <w:szCs w:val="16"/>
    </w:rPr>
  </w:style>
  <w:style w:type="paragraph" w:customStyle="1" w:styleId="155">
    <w:name w:val="xl25"/>
    <w:basedOn w:val="1"/>
    <w:uiPriority w:val="0"/>
    <w:pPr>
      <w:pBdr>
        <w:top w:val="single" w:color="auto" w:sz="8" w:space="0"/>
        <w:left w:val="single" w:color="auto" w:sz="8" w:space="0"/>
        <w:bottom w:val="single" w:color="auto" w:sz="8" w:space="0"/>
      </w:pBdr>
      <w:spacing w:before="100" w:beforeAutospacing="1" w:after="100" w:afterAutospacing="1"/>
      <w:jc w:val="center"/>
    </w:pPr>
    <w:rPr>
      <w:rFonts w:eastAsia="Calibri"/>
      <w:b/>
      <w:bCs/>
      <w:sz w:val="16"/>
      <w:szCs w:val="16"/>
    </w:rPr>
  </w:style>
  <w:style w:type="paragraph" w:customStyle="1" w:styleId="156">
    <w:name w:val="xl26"/>
    <w:basedOn w:val="1"/>
    <w:uiPriority w:val="0"/>
    <w:pPr>
      <w:pBdr>
        <w:top w:val="single" w:color="auto" w:sz="8" w:space="0"/>
        <w:bottom w:val="single" w:color="auto" w:sz="8" w:space="0"/>
      </w:pBdr>
      <w:spacing w:before="100" w:beforeAutospacing="1" w:after="100" w:afterAutospacing="1"/>
      <w:jc w:val="center"/>
    </w:pPr>
    <w:rPr>
      <w:rFonts w:eastAsia="Calibri"/>
      <w:b/>
      <w:bCs/>
      <w:sz w:val="16"/>
      <w:szCs w:val="16"/>
    </w:rPr>
  </w:style>
  <w:style w:type="paragraph" w:customStyle="1" w:styleId="157">
    <w:name w:val="xl27"/>
    <w:basedOn w:val="1"/>
    <w:uiPriority w:val="0"/>
    <w:pPr>
      <w:pBdr>
        <w:top w:val="single" w:color="auto" w:sz="8" w:space="0"/>
        <w:bottom w:val="single" w:color="auto" w:sz="8" w:space="0"/>
        <w:right w:val="single" w:color="auto" w:sz="8" w:space="0"/>
      </w:pBdr>
      <w:spacing w:before="100" w:beforeAutospacing="1" w:after="100" w:afterAutospacing="1"/>
      <w:jc w:val="center"/>
    </w:pPr>
    <w:rPr>
      <w:rFonts w:eastAsia="Calibri"/>
      <w:b/>
      <w:bCs/>
      <w:sz w:val="16"/>
      <w:szCs w:val="16"/>
    </w:rPr>
  </w:style>
  <w:style w:type="paragraph" w:customStyle="1" w:styleId="158">
    <w:name w:val="xl28"/>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Calibri"/>
      <w:b/>
      <w:bCs/>
      <w:sz w:val="16"/>
      <w:szCs w:val="16"/>
    </w:rPr>
  </w:style>
  <w:style w:type="paragraph" w:customStyle="1" w:styleId="159">
    <w:name w:val="xl29"/>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Calibri"/>
      <w:b/>
      <w:bCs/>
      <w:sz w:val="16"/>
      <w:szCs w:val="16"/>
    </w:rPr>
  </w:style>
  <w:style w:type="paragraph" w:customStyle="1" w:styleId="160">
    <w:name w:val="xl30"/>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Calibri"/>
      <w:b/>
      <w:bCs/>
      <w:sz w:val="16"/>
      <w:szCs w:val="16"/>
    </w:rPr>
  </w:style>
  <w:style w:type="paragraph" w:customStyle="1" w:styleId="161">
    <w:name w:val="xl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Calibri"/>
      <w:sz w:val="16"/>
      <w:szCs w:val="16"/>
    </w:rPr>
  </w:style>
  <w:style w:type="paragraph" w:customStyle="1" w:styleId="162">
    <w:name w:val="xl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Calibri"/>
      <w:sz w:val="16"/>
      <w:szCs w:val="16"/>
    </w:rPr>
  </w:style>
  <w:style w:type="paragraph" w:customStyle="1" w:styleId="163">
    <w:name w:val="xl3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Calibri"/>
      <w:sz w:val="16"/>
      <w:szCs w:val="16"/>
    </w:rPr>
  </w:style>
  <w:style w:type="paragraph" w:customStyle="1" w:styleId="164">
    <w:name w:val="xl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Calibri"/>
      <w:sz w:val="16"/>
      <w:szCs w:val="16"/>
    </w:rPr>
  </w:style>
  <w:style w:type="paragraph" w:customStyle="1" w:styleId="165">
    <w:name w:val="xl35"/>
    <w:basedOn w:val="1"/>
    <w:uiPriority w:val="0"/>
    <w:pPr>
      <w:spacing w:before="100" w:beforeAutospacing="1" w:after="100" w:afterAutospacing="1"/>
      <w:jc w:val="center"/>
    </w:pPr>
    <w:rPr>
      <w:rFonts w:eastAsia="Calibri"/>
      <w:sz w:val="16"/>
      <w:szCs w:val="16"/>
    </w:rPr>
  </w:style>
  <w:style w:type="paragraph" w:customStyle="1" w:styleId="166">
    <w:name w:val="xl36"/>
    <w:basedOn w:val="1"/>
    <w:uiPriority w:val="0"/>
    <w:pPr>
      <w:spacing w:before="100" w:beforeAutospacing="1" w:after="100" w:afterAutospacing="1"/>
    </w:pPr>
    <w:rPr>
      <w:rFonts w:eastAsia="Calibri"/>
      <w:sz w:val="16"/>
      <w:szCs w:val="16"/>
    </w:rPr>
  </w:style>
  <w:style w:type="paragraph" w:customStyle="1" w:styleId="167">
    <w:name w:val="xl37"/>
    <w:basedOn w:val="1"/>
    <w:uiPriority w:val="0"/>
    <w:pPr>
      <w:spacing w:before="100" w:beforeAutospacing="1" w:after="100" w:afterAutospacing="1"/>
      <w:jc w:val="center"/>
    </w:pPr>
    <w:rPr>
      <w:rFonts w:eastAsia="Calibri"/>
      <w:sz w:val="16"/>
      <w:szCs w:val="16"/>
    </w:rPr>
  </w:style>
  <w:style w:type="paragraph" w:customStyle="1" w:styleId="168">
    <w:name w:val="xl38"/>
    <w:basedOn w:val="1"/>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eastAsia="Calibri"/>
      <w:b/>
      <w:bCs/>
      <w:sz w:val="16"/>
      <w:szCs w:val="16"/>
    </w:rPr>
  </w:style>
  <w:style w:type="paragraph" w:customStyle="1" w:styleId="169">
    <w:name w:val="xl39"/>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Calibri"/>
      <w:b/>
      <w:bCs/>
      <w:sz w:val="16"/>
      <w:szCs w:val="16"/>
    </w:rPr>
  </w:style>
  <w:style w:type="paragraph" w:customStyle="1" w:styleId="170">
    <w:name w:val="xl40"/>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eastAsia="Calibri"/>
      <w:b/>
      <w:bCs/>
      <w:sz w:val="16"/>
      <w:szCs w:val="16"/>
    </w:rPr>
  </w:style>
  <w:style w:type="paragraph" w:customStyle="1" w:styleId="171">
    <w:name w:val="xl41"/>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eastAsia="Calibri"/>
      <w:sz w:val="16"/>
      <w:szCs w:val="16"/>
    </w:rPr>
  </w:style>
  <w:style w:type="paragraph" w:customStyle="1" w:styleId="172">
    <w:name w:val="xl42"/>
    <w:basedOn w:val="1"/>
    <w:uiPriority w:val="0"/>
    <w:pPr>
      <w:pBdr>
        <w:left w:val="single" w:color="auto" w:sz="4" w:space="0"/>
        <w:bottom w:val="single" w:color="auto" w:sz="4" w:space="0"/>
        <w:right w:val="single" w:color="auto" w:sz="4" w:space="0"/>
      </w:pBdr>
      <w:spacing w:before="100" w:beforeAutospacing="1" w:after="100" w:afterAutospacing="1"/>
    </w:pPr>
    <w:rPr>
      <w:rFonts w:eastAsia="Calibri"/>
      <w:sz w:val="16"/>
      <w:szCs w:val="16"/>
    </w:rPr>
  </w:style>
  <w:style w:type="paragraph" w:customStyle="1" w:styleId="173">
    <w:name w:val="xl43"/>
    <w:basedOn w:val="1"/>
    <w:uiPriority w:val="0"/>
    <w:pPr>
      <w:pBdr>
        <w:top w:val="single" w:color="auto" w:sz="12" w:space="0"/>
        <w:left w:val="single" w:color="auto" w:sz="4" w:space="0"/>
        <w:bottom w:val="single" w:color="auto" w:sz="4" w:space="0"/>
        <w:right w:val="single" w:color="auto" w:sz="4" w:space="0"/>
      </w:pBdr>
      <w:spacing w:before="100" w:beforeAutospacing="1" w:after="100" w:afterAutospacing="1"/>
      <w:jc w:val="right"/>
    </w:pPr>
    <w:rPr>
      <w:rFonts w:eastAsia="Calibri"/>
      <w:sz w:val="16"/>
      <w:szCs w:val="16"/>
    </w:rPr>
  </w:style>
  <w:style w:type="paragraph" w:customStyle="1" w:styleId="174">
    <w:name w:val="xl44"/>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eastAsia="Calibri"/>
      <w:sz w:val="16"/>
      <w:szCs w:val="16"/>
    </w:rPr>
  </w:style>
  <w:style w:type="paragraph" w:customStyle="1" w:styleId="175">
    <w:name w:val="xl45"/>
    <w:basedOn w:val="1"/>
    <w:uiPriority w:val="0"/>
    <w:pPr>
      <w:spacing w:before="100" w:beforeAutospacing="1" w:after="100" w:afterAutospacing="1"/>
    </w:pPr>
    <w:rPr>
      <w:rFonts w:eastAsia="Calibri"/>
      <w:sz w:val="16"/>
      <w:szCs w:val="16"/>
    </w:rPr>
  </w:style>
  <w:style w:type="paragraph" w:customStyle="1" w:styleId="176">
    <w:name w:val="xl46"/>
    <w:basedOn w:val="1"/>
    <w:uiPriority w:val="0"/>
    <w:pPr>
      <w:spacing w:before="100" w:beforeAutospacing="1" w:after="100" w:afterAutospacing="1"/>
    </w:pPr>
    <w:rPr>
      <w:rFonts w:eastAsia="Calibri"/>
      <w:sz w:val="16"/>
      <w:szCs w:val="16"/>
    </w:rPr>
  </w:style>
  <w:style w:type="paragraph" w:customStyle="1" w:styleId="177">
    <w:name w:val="xl47"/>
    <w:basedOn w:val="1"/>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eastAsia="Calibri"/>
      <w:b/>
      <w:bCs/>
      <w:sz w:val="16"/>
      <w:szCs w:val="16"/>
    </w:rPr>
  </w:style>
  <w:style w:type="paragraph" w:customStyle="1" w:styleId="178">
    <w:name w:val="xl48"/>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eastAsia="Calibri"/>
      <w:b/>
      <w:bCs/>
      <w:sz w:val="16"/>
      <w:szCs w:val="16"/>
    </w:rPr>
  </w:style>
  <w:style w:type="paragraph" w:customStyle="1" w:styleId="179">
    <w:name w:val="xl49"/>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eastAsia="Calibri"/>
      <w:b/>
      <w:bCs/>
      <w:sz w:val="16"/>
      <w:szCs w:val="16"/>
    </w:rPr>
  </w:style>
  <w:style w:type="paragraph" w:customStyle="1" w:styleId="180">
    <w:name w:val="xl50"/>
    <w:basedOn w:val="1"/>
    <w:uiPriority w:val="0"/>
    <w:pPr>
      <w:pBdr>
        <w:left w:val="single" w:color="auto" w:sz="8" w:space="0"/>
        <w:bottom w:val="single" w:color="auto" w:sz="8" w:space="0"/>
        <w:right w:val="single" w:color="auto" w:sz="4" w:space="0"/>
      </w:pBdr>
      <w:spacing w:before="100" w:beforeAutospacing="1" w:after="100" w:afterAutospacing="1"/>
      <w:jc w:val="center"/>
    </w:pPr>
    <w:rPr>
      <w:rFonts w:eastAsia="Calibri"/>
      <w:b/>
      <w:bCs/>
      <w:sz w:val="16"/>
      <w:szCs w:val="16"/>
    </w:rPr>
  </w:style>
  <w:style w:type="paragraph" w:customStyle="1" w:styleId="181">
    <w:name w:val="xl51"/>
    <w:basedOn w:val="1"/>
    <w:uiPriority w:val="0"/>
    <w:pPr>
      <w:pBdr>
        <w:left w:val="single" w:color="auto" w:sz="4" w:space="0"/>
        <w:bottom w:val="single" w:color="auto" w:sz="8" w:space="0"/>
        <w:right w:val="single" w:color="auto" w:sz="4" w:space="0"/>
      </w:pBdr>
      <w:spacing w:before="100" w:beforeAutospacing="1" w:after="100" w:afterAutospacing="1"/>
      <w:jc w:val="center"/>
    </w:pPr>
    <w:rPr>
      <w:rFonts w:eastAsia="Calibri"/>
      <w:b/>
      <w:bCs/>
      <w:sz w:val="16"/>
      <w:szCs w:val="16"/>
    </w:rPr>
  </w:style>
  <w:style w:type="paragraph" w:customStyle="1" w:styleId="182">
    <w:name w:val="xl52"/>
    <w:basedOn w:val="1"/>
    <w:uiPriority w:val="0"/>
    <w:pPr>
      <w:pBdr>
        <w:left w:val="single" w:color="auto" w:sz="4" w:space="0"/>
        <w:bottom w:val="single" w:color="auto" w:sz="8" w:space="0"/>
        <w:right w:val="single" w:color="auto" w:sz="8" w:space="0"/>
      </w:pBdr>
      <w:spacing w:before="100" w:beforeAutospacing="1" w:after="100" w:afterAutospacing="1"/>
      <w:jc w:val="center"/>
    </w:pPr>
    <w:rPr>
      <w:rFonts w:eastAsia="Calibri"/>
      <w:b/>
      <w:bCs/>
      <w:sz w:val="16"/>
      <w:szCs w:val="16"/>
    </w:rPr>
  </w:style>
  <w:style w:type="paragraph" w:customStyle="1" w:styleId="183">
    <w:name w:val="xl53"/>
    <w:basedOn w:val="1"/>
    <w:uiPriority w:val="0"/>
    <w:pPr>
      <w:pBdr>
        <w:top w:val="single" w:color="auto" w:sz="8" w:space="0"/>
        <w:left w:val="single" w:color="auto" w:sz="8" w:space="0"/>
        <w:right w:val="single" w:color="auto" w:sz="4" w:space="0"/>
      </w:pBdr>
      <w:spacing w:before="100" w:beforeAutospacing="1" w:after="100" w:afterAutospacing="1"/>
      <w:jc w:val="center"/>
      <w:textAlignment w:val="center"/>
    </w:pPr>
    <w:rPr>
      <w:rFonts w:eastAsia="Calibri"/>
      <w:b/>
      <w:bCs/>
      <w:sz w:val="16"/>
      <w:szCs w:val="16"/>
    </w:rPr>
  </w:style>
  <w:style w:type="paragraph" w:customStyle="1" w:styleId="184">
    <w:name w:val="xl54"/>
    <w:basedOn w:val="1"/>
    <w:uiPriority w:val="0"/>
    <w:pPr>
      <w:pBdr>
        <w:top w:val="single" w:color="auto" w:sz="8" w:space="0"/>
        <w:left w:val="single" w:color="auto" w:sz="4" w:space="0"/>
        <w:right w:val="single" w:color="auto" w:sz="4" w:space="0"/>
      </w:pBdr>
      <w:spacing w:before="100" w:beforeAutospacing="1" w:after="100" w:afterAutospacing="1"/>
      <w:jc w:val="center"/>
      <w:textAlignment w:val="center"/>
    </w:pPr>
    <w:rPr>
      <w:rFonts w:eastAsia="Calibri"/>
      <w:b/>
      <w:bCs/>
      <w:sz w:val="16"/>
      <w:szCs w:val="16"/>
    </w:rPr>
  </w:style>
  <w:style w:type="paragraph" w:customStyle="1" w:styleId="185">
    <w:name w:val="xl55"/>
    <w:basedOn w:val="1"/>
    <w:uiPriority w:val="0"/>
    <w:pPr>
      <w:pBdr>
        <w:top w:val="single" w:color="auto" w:sz="8" w:space="0"/>
        <w:left w:val="single" w:color="auto" w:sz="4" w:space="0"/>
        <w:right w:val="single" w:color="auto" w:sz="8" w:space="0"/>
      </w:pBdr>
      <w:spacing w:before="100" w:beforeAutospacing="1" w:after="100" w:afterAutospacing="1"/>
      <w:jc w:val="center"/>
      <w:textAlignment w:val="center"/>
    </w:pPr>
    <w:rPr>
      <w:rFonts w:eastAsia="Calibri"/>
      <w:b/>
      <w:bCs/>
      <w:sz w:val="16"/>
      <w:szCs w:val="16"/>
    </w:rPr>
  </w:style>
  <w:style w:type="paragraph" w:customStyle="1" w:styleId="186">
    <w:name w:val="xl56"/>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Calibri"/>
      <w:sz w:val="16"/>
      <w:szCs w:val="16"/>
    </w:rPr>
  </w:style>
  <w:style w:type="paragraph" w:customStyle="1" w:styleId="187">
    <w:name w:val="xl57"/>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Calibri"/>
      <w:sz w:val="16"/>
      <w:szCs w:val="16"/>
    </w:rPr>
  </w:style>
  <w:style w:type="paragraph" w:customStyle="1" w:styleId="188">
    <w:name w:val="xl58"/>
    <w:basedOn w:val="1"/>
    <w:uiPriority w:val="99"/>
    <w:pPr>
      <w:pBdr>
        <w:left w:val="single" w:color="auto" w:sz="8" w:space="0"/>
        <w:bottom w:val="single" w:color="auto" w:sz="4" w:space="0"/>
        <w:right w:val="single" w:color="auto" w:sz="4" w:space="0"/>
      </w:pBdr>
      <w:spacing w:before="100" w:beforeAutospacing="1" w:after="100" w:afterAutospacing="1"/>
      <w:jc w:val="center"/>
    </w:pPr>
    <w:rPr>
      <w:rFonts w:eastAsia="Calibri"/>
      <w:b/>
      <w:bCs/>
      <w:sz w:val="16"/>
      <w:szCs w:val="16"/>
    </w:rPr>
  </w:style>
  <w:style w:type="paragraph" w:customStyle="1" w:styleId="189">
    <w:name w:val="xl59"/>
    <w:basedOn w:val="1"/>
    <w:uiPriority w:val="99"/>
    <w:pPr>
      <w:pBdr>
        <w:left w:val="single" w:color="auto" w:sz="4" w:space="0"/>
        <w:right w:val="single" w:color="auto" w:sz="4" w:space="0"/>
      </w:pBdr>
      <w:spacing w:before="100" w:beforeAutospacing="1" w:after="100" w:afterAutospacing="1"/>
      <w:jc w:val="center"/>
    </w:pPr>
    <w:rPr>
      <w:rFonts w:eastAsia="Calibri"/>
      <w:b/>
      <w:bCs/>
      <w:sz w:val="16"/>
      <w:szCs w:val="16"/>
    </w:rPr>
  </w:style>
  <w:style w:type="paragraph" w:customStyle="1" w:styleId="190">
    <w:name w:val="xl60"/>
    <w:basedOn w:val="1"/>
    <w:uiPriority w:val="99"/>
    <w:pPr>
      <w:pBdr>
        <w:left w:val="single" w:color="auto" w:sz="4" w:space="0"/>
        <w:right w:val="single" w:color="auto" w:sz="8" w:space="0"/>
      </w:pBdr>
      <w:spacing w:before="100" w:beforeAutospacing="1" w:after="100" w:afterAutospacing="1"/>
      <w:jc w:val="center"/>
    </w:pPr>
    <w:rPr>
      <w:rFonts w:eastAsia="Calibri"/>
      <w:b/>
      <w:bCs/>
      <w:sz w:val="16"/>
      <w:szCs w:val="16"/>
    </w:rPr>
  </w:style>
  <w:style w:type="paragraph" w:customStyle="1" w:styleId="191">
    <w:name w:val="xl61"/>
    <w:basedOn w:val="1"/>
    <w:uiPriority w:val="99"/>
    <w:pPr>
      <w:pBdr>
        <w:top w:val="single" w:color="auto" w:sz="4" w:space="0"/>
        <w:left w:val="single" w:color="auto" w:sz="8" w:space="0"/>
      </w:pBdr>
      <w:spacing w:before="100" w:beforeAutospacing="1" w:after="100" w:afterAutospacing="1"/>
      <w:jc w:val="center"/>
      <w:textAlignment w:val="center"/>
    </w:pPr>
    <w:rPr>
      <w:rFonts w:eastAsia="Calibri"/>
      <w:b/>
      <w:bCs/>
      <w:sz w:val="16"/>
      <w:szCs w:val="16"/>
    </w:rPr>
  </w:style>
  <w:style w:type="paragraph" w:customStyle="1" w:styleId="192">
    <w:name w:val="xl62"/>
    <w:basedOn w:val="1"/>
    <w:uiPriority w:val="99"/>
    <w:pPr>
      <w:pBdr>
        <w:top w:val="single" w:color="auto" w:sz="8" w:space="0"/>
        <w:left w:val="single" w:color="auto" w:sz="8" w:space="0"/>
        <w:right w:val="single" w:color="auto" w:sz="8" w:space="0"/>
      </w:pBdr>
      <w:spacing w:before="100" w:beforeAutospacing="1" w:after="100" w:afterAutospacing="1"/>
      <w:jc w:val="center"/>
      <w:textAlignment w:val="center"/>
    </w:pPr>
    <w:rPr>
      <w:rFonts w:eastAsia="Calibri"/>
      <w:b/>
      <w:bCs/>
      <w:sz w:val="16"/>
      <w:szCs w:val="16"/>
    </w:rPr>
  </w:style>
  <w:style w:type="paragraph" w:customStyle="1" w:styleId="193">
    <w:name w:val="Revision"/>
    <w:hidden/>
    <w:semiHidden/>
    <w:uiPriority w:val="99"/>
    <w:pPr>
      <w:spacing w:after="0" w:line="240" w:lineRule="auto"/>
    </w:pPr>
    <w:rPr>
      <w:rFonts w:ascii="Times New Roman" w:hAnsi="Times New Roman" w:eastAsia="Times New Roman" w:cs="Times New Roman"/>
      <w:sz w:val="24"/>
      <w:szCs w:val="24"/>
      <w:lang w:val="pt-BR" w:eastAsia="pt-BR" w:bidi="ar-SA"/>
    </w:rPr>
  </w:style>
  <w:style w:type="paragraph" w:customStyle="1" w:styleId="194">
    <w:name w:val="Standard"/>
    <w:uiPriority w:val="0"/>
    <w:pPr>
      <w:widowControl w:val="0"/>
      <w:suppressAutoHyphens/>
      <w:autoSpaceDN w:val="0"/>
      <w:spacing w:after="0" w:line="240" w:lineRule="auto"/>
      <w:textAlignment w:val="baseline"/>
    </w:pPr>
    <w:rPr>
      <w:rFonts w:ascii="Liberation Serif" w:hAnsi="Liberation Serif" w:eastAsia="SimSun" w:cs="Mangal"/>
      <w:kern w:val="3"/>
      <w:sz w:val="24"/>
      <w:szCs w:val="24"/>
      <w:lang w:val="pt-BR" w:eastAsia="zh-CN" w:bidi="hi-IN"/>
    </w:rPr>
  </w:style>
  <w:style w:type="paragraph" w:customStyle="1" w:styleId="195">
    <w:name w:val="msonormal"/>
    <w:basedOn w:val="1"/>
    <w:uiPriority w:val="0"/>
    <w:pPr>
      <w:spacing w:before="100" w:beforeAutospacing="1" w:after="100" w:afterAutospacing="1"/>
    </w:pPr>
  </w:style>
  <w:style w:type="character" w:customStyle="1" w:styleId="196">
    <w:name w:val="Unresolved Mention"/>
    <w:basedOn w:val="11"/>
    <w:semiHidden/>
    <w:unhideWhenUsed/>
    <w:uiPriority w:val="99"/>
    <w:rPr>
      <w:color w:val="605E5C"/>
      <w:shd w:val="clear" w:color="auto" w:fill="E1DFDD"/>
    </w:rPr>
  </w:style>
  <w:style w:type="character" w:customStyle="1" w:styleId="197">
    <w:name w:val="Título 3 Char"/>
    <w:basedOn w:val="11"/>
    <w:link w:val="4"/>
    <w:uiPriority w:val="0"/>
    <w:rPr>
      <w:rFonts w:ascii="Cambria" w:hAnsi="Cambria" w:eastAsia="Times New Roman" w:cs="Times New Roman"/>
      <w:b/>
      <w:bCs/>
      <w:sz w:val="26"/>
      <w:szCs w:val="26"/>
      <w:lang w:eastAsia="pt-BR"/>
    </w:rPr>
  </w:style>
  <w:style w:type="character" w:customStyle="1" w:styleId="198">
    <w:name w:val="Título 9 Char"/>
    <w:basedOn w:val="11"/>
    <w:link w:val="10"/>
    <w:uiPriority w:val="9"/>
    <w:rPr>
      <w:rFonts w:ascii="Times New Roman" w:hAnsi="Times New Roman" w:eastAsia="Times New Roman" w:cs="Times New Roman"/>
      <w:sz w:val="24"/>
      <w:szCs w:val="24"/>
      <w:lang w:eastAsia="pt-BR"/>
    </w:rPr>
  </w:style>
  <w:style w:type="table" w:customStyle="1" w:styleId="199">
    <w:name w:val="Table Normal"/>
    <w:qFormat/>
    <w:uiPriority w:val="2"/>
    <w:pPr>
      <w:spacing w:after="0" w:line="240" w:lineRule="auto"/>
    </w:pPr>
    <w:rPr>
      <w:rFonts w:ascii="Ecofont_Spranq_eco_Sans" w:hAnsi="Ecofont_Spranq_eco_Sans" w:eastAsia="Ecofont_Spranq_eco_Sans" w:cs="Ecofont_Spranq_eco_Sans"/>
      <w:sz w:val="24"/>
      <w:szCs w:val="24"/>
      <w:lang w:eastAsia="pt-BR"/>
    </w:rPr>
    <w:tblPr>
      <w:tblCellMar>
        <w:top w:w="0" w:type="dxa"/>
        <w:left w:w="0" w:type="dxa"/>
        <w:bottom w:w="0" w:type="dxa"/>
        <w:right w:w="0" w:type="dxa"/>
      </w:tblCellMar>
    </w:tblPr>
  </w:style>
  <w:style w:type="paragraph" w:customStyle="1" w:styleId="200">
    <w:name w:val="Nível 2"/>
    <w:basedOn w:val="1"/>
    <w:next w:val="1"/>
    <w:uiPriority w:val="0"/>
    <w:pPr>
      <w:spacing w:after="120"/>
      <w:jc w:val="both"/>
    </w:pPr>
    <w:rPr>
      <w:rFonts w:ascii="Arial" w:hAnsi="Arial" w:eastAsia="Ecofont_Spranq_eco_Sans"/>
      <w:b/>
      <w:szCs w:val="20"/>
    </w:rPr>
  </w:style>
  <w:style w:type="character" w:customStyle="1" w:styleId="201">
    <w:name w:val="normal__char1"/>
    <w:uiPriority w:val="0"/>
    <w:rPr>
      <w:rFonts w:hint="default" w:ascii="Arial" w:hAnsi="Arial" w:cs="Arial"/>
      <w:sz w:val="24"/>
      <w:szCs w:val="24"/>
      <w:u w:val="none"/>
    </w:rPr>
  </w:style>
  <w:style w:type="character" w:customStyle="1" w:styleId="202">
    <w:name w:val="apple-style-span"/>
    <w:basedOn w:val="11"/>
    <w:uiPriority w:val="0"/>
  </w:style>
  <w:style w:type="paragraph" w:styleId="203">
    <w:name w:val="Quote"/>
    <w:basedOn w:val="1"/>
    <w:next w:val="1"/>
    <w:link w:val="204"/>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204">
    <w:name w:val="Citação Char"/>
    <w:basedOn w:val="11"/>
    <w:link w:val="203"/>
    <w:uiPriority w:val="29"/>
    <w:rPr>
      <w:rFonts w:ascii="Arial" w:hAnsi="Arial" w:eastAsia="Calibri" w:cs="Tahoma"/>
      <w:i/>
      <w:iCs/>
      <w:color w:val="000000"/>
      <w:sz w:val="20"/>
      <w:szCs w:val="24"/>
      <w:shd w:val="clear" w:color="auto" w:fill="FFFFCC"/>
    </w:rPr>
  </w:style>
  <w:style w:type="paragraph" w:customStyle="1" w:styleId="205">
    <w:name w:val="citação 2"/>
    <w:basedOn w:val="203"/>
    <w:link w:val="206"/>
    <w:qFormat/>
    <w:uiPriority w:val="0"/>
    <w:rPr>
      <w:szCs w:val="20"/>
    </w:rPr>
  </w:style>
  <w:style w:type="character" w:customStyle="1" w:styleId="206">
    <w:name w:val="citação 2 Char"/>
    <w:basedOn w:val="204"/>
    <w:link w:val="205"/>
    <w:uiPriority w:val="0"/>
    <w:rPr>
      <w:rFonts w:ascii="Arial" w:hAnsi="Arial" w:eastAsia="Calibri" w:cs="Tahoma"/>
      <w:color w:val="000000"/>
      <w:sz w:val="20"/>
      <w:szCs w:val="20"/>
      <w:shd w:val="clear" w:color="auto" w:fill="FFFFCC"/>
    </w:rPr>
  </w:style>
  <w:style w:type="paragraph" w:customStyle="1" w:styleId="207">
    <w:name w:val="Nivel 01"/>
    <w:basedOn w:val="2"/>
    <w:next w:val="1"/>
    <w:link w:val="209"/>
    <w:qFormat/>
    <w:uiPriority w:val="0"/>
    <w:pPr>
      <w:keepLines/>
      <w:tabs>
        <w:tab w:val="left" w:pos="567"/>
        <w:tab w:val="left" w:pos="720"/>
      </w:tabs>
      <w:spacing w:after="0"/>
      <w:ind w:left="720" w:hanging="720"/>
      <w:jc w:val="both"/>
    </w:pPr>
    <w:rPr>
      <w:rFonts w:ascii="Ecofont_Spranq_eco_Sans" w:hAnsi="Ecofont_Spranq_eco_Sans" w:eastAsiaTheme="majorEastAsia"/>
      <w:color w:val="000000"/>
      <w:kern w:val="0"/>
      <w:sz w:val="20"/>
      <w:szCs w:val="20"/>
      <w:u w:val="single"/>
      <w:lang w:eastAsia="pt-BR"/>
    </w:rPr>
  </w:style>
  <w:style w:type="paragraph" w:customStyle="1" w:styleId="208">
    <w:name w:val="Nivel_01_Titulo"/>
    <w:basedOn w:val="207"/>
    <w:link w:val="210"/>
    <w:uiPriority w:val="0"/>
    <w:pPr>
      <w:jc w:val="left"/>
    </w:pPr>
    <w:rPr>
      <w:rFonts w:cstheme="majorBidi"/>
      <w:color w:val="000000" w:themeColor="text1"/>
      <w:spacing w:val="5"/>
      <w:kern w:val="28"/>
      <w:sz w:val="52"/>
      <w:szCs w:val="52"/>
      <w14:textFill>
        <w14:solidFill>
          <w14:schemeClr w14:val="tx1"/>
        </w14:solidFill>
      </w14:textFill>
    </w:rPr>
  </w:style>
  <w:style w:type="character" w:customStyle="1" w:styleId="209">
    <w:name w:val="Nivel 01 Char"/>
    <w:basedOn w:val="149"/>
    <w:link w:val="207"/>
    <w:uiPriority w:val="0"/>
    <w:rPr>
      <w:rFonts w:ascii="Ecofont_Spranq_eco_Sans" w:hAnsi="Ecofont_Spranq_eco_Sans" w:cs="Times New Roman" w:eastAsiaTheme="majorEastAsia"/>
      <w:color w:val="000000"/>
      <w:sz w:val="20"/>
      <w:szCs w:val="20"/>
      <w:u w:val="single"/>
      <w:lang w:val="zh-CN" w:eastAsia="pt-BR"/>
    </w:rPr>
  </w:style>
  <w:style w:type="character" w:customStyle="1" w:styleId="210">
    <w:name w:val="Nivel_01_Titulo Char"/>
    <w:basedOn w:val="209"/>
    <w:link w:val="208"/>
    <w:uiPriority w:val="0"/>
    <w:rPr>
      <w:rFonts w:ascii="Ecofont_Spranq_eco_Sans" w:hAnsi="Ecofont_Spranq_eco_Sans" w:eastAsiaTheme="majorEastAsia" w:cstheme="majorBidi"/>
      <w:color w:val="000000" w:themeColor="text1"/>
      <w:spacing w:val="5"/>
      <w:kern w:val="28"/>
      <w:sz w:val="52"/>
      <w:szCs w:val="52"/>
      <w:u w:val="single"/>
      <w:lang w:val="zh-CN" w:eastAsia="pt-BR"/>
      <w14:textFill>
        <w14:solidFill>
          <w14:schemeClr w14:val="tx1"/>
        </w14:solidFill>
      </w14:textFill>
    </w:rPr>
  </w:style>
  <w:style w:type="paragraph" w:customStyle="1" w:styleId="211">
    <w:name w:val="PADRÃO"/>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 w:val="24"/>
      <w:szCs w:val="24"/>
      <w:lang w:val="pt-BR" w:eastAsia="zh-CN" w:bidi="hi-IN"/>
    </w:rPr>
  </w:style>
  <w:style w:type="character" w:customStyle="1" w:styleId="212">
    <w:name w:val="Quote Char"/>
    <w:basedOn w:val="11"/>
    <w:link w:val="213"/>
    <w:uiPriority w:val="0"/>
    <w:rPr>
      <w:rFonts w:ascii="Ecofont_Spranq_eco_Sans" w:hAnsi="Ecofont_Spranq_eco_Sans" w:eastAsia="Calibri" w:cs="Tahoma"/>
      <w:i/>
      <w:iCs/>
      <w:color w:val="000000"/>
      <w:shd w:val="clear" w:color="auto" w:fill="FFFFCC"/>
    </w:rPr>
  </w:style>
  <w:style w:type="paragraph" w:customStyle="1" w:styleId="213">
    <w:name w:val="Citação1"/>
    <w:basedOn w:val="1"/>
    <w:next w:val="1"/>
    <w:link w:val="212"/>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cs="Tahoma"/>
      <w:i/>
      <w:iCs/>
      <w:color w:val="000000"/>
      <w:sz w:val="22"/>
      <w:szCs w:val="22"/>
      <w:lang w:eastAsia="en-US"/>
    </w:rPr>
  </w:style>
  <w:style w:type="paragraph" w:customStyle="1" w:styleId="214">
    <w:name w:val="paragraph"/>
    <w:basedOn w:val="1"/>
    <w:uiPriority w:val="0"/>
    <w:pPr>
      <w:spacing w:before="100" w:beforeAutospacing="1" w:after="100" w:afterAutospacing="1"/>
    </w:pPr>
  </w:style>
  <w:style w:type="character" w:customStyle="1" w:styleId="215">
    <w:name w:val="normaltextrun"/>
    <w:basedOn w:val="11"/>
    <w:uiPriority w:val="0"/>
  </w:style>
  <w:style w:type="character" w:customStyle="1" w:styleId="216">
    <w:name w:val="eop"/>
    <w:basedOn w:val="11"/>
    <w:uiPriority w:val="0"/>
  </w:style>
  <w:style w:type="character" w:customStyle="1" w:styleId="217">
    <w:name w:val="spellingerror"/>
    <w:basedOn w:val="11"/>
    <w:uiPriority w:val="0"/>
  </w:style>
  <w:style w:type="paragraph" w:customStyle="1" w:styleId="218">
    <w:name w:val="Nivel1"/>
    <w:basedOn w:val="2"/>
    <w:link w:val="219"/>
    <w:qFormat/>
    <w:uiPriority w:val="0"/>
    <w:pPr>
      <w:keepLines/>
      <w:spacing w:before="480" w:after="0" w:line="276" w:lineRule="auto"/>
      <w:ind w:left="357" w:hanging="357"/>
      <w:jc w:val="both"/>
    </w:pPr>
    <w:rPr>
      <w:rFonts w:ascii="Arial" w:hAnsi="Arial" w:cs="Arial" w:eastAsiaTheme="majorEastAsia"/>
      <w:bCs w:val="0"/>
      <w:color w:val="000000"/>
      <w:sz w:val="28"/>
      <w:szCs w:val="28"/>
      <w:lang w:eastAsia="pt-BR"/>
    </w:rPr>
  </w:style>
  <w:style w:type="character" w:customStyle="1" w:styleId="219">
    <w:name w:val="Nivel1 Char"/>
    <w:basedOn w:val="142"/>
    <w:link w:val="218"/>
    <w:uiPriority w:val="0"/>
    <w:rPr>
      <w:rFonts w:ascii="Arial" w:hAnsi="Arial" w:cs="Arial" w:eastAsiaTheme="majorEastAsia"/>
      <w:bCs w:val="0"/>
      <w:color w:val="000000"/>
      <w:kern w:val="32"/>
      <w:sz w:val="28"/>
      <w:szCs w:val="28"/>
      <w:lang w:val="zh-CN" w:eastAsia="pt-BR"/>
    </w:rPr>
  </w:style>
  <w:style w:type="paragraph" w:customStyle="1" w:styleId="220">
    <w:name w:val="Nivel 2"/>
    <w:link w:val="669"/>
    <w:qFormat/>
    <w:uiPriority w:val="0"/>
    <w:pPr>
      <w:tabs>
        <w:tab w:val="left" w:pos="1440"/>
      </w:tabs>
      <w:spacing w:before="120" w:after="120" w:line="276" w:lineRule="auto"/>
      <w:ind w:left="1440" w:hanging="720"/>
      <w:jc w:val="both"/>
    </w:pPr>
    <w:rPr>
      <w:rFonts w:ascii="Ecofont_Spranq_eco_Sans" w:hAnsi="Ecofont_Spranq_eco_Sans" w:eastAsia="Arial Unicode MS" w:cs="Ecofont_Spranq_eco_Sans"/>
      <w:sz w:val="24"/>
      <w:szCs w:val="24"/>
      <w:lang w:val="pt-BR" w:eastAsia="pt-BR" w:bidi="ar-SA"/>
    </w:rPr>
  </w:style>
  <w:style w:type="paragraph" w:customStyle="1" w:styleId="221">
    <w:name w:val="Nivel 1"/>
    <w:basedOn w:val="220"/>
    <w:next w:val="220"/>
    <w:qFormat/>
    <w:uiPriority w:val="0"/>
    <w:rPr>
      <w:rFonts w:cs="Arial"/>
      <w:b/>
    </w:rPr>
  </w:style>
  <w:style w:type="paragraph" w:customStyle="1" w:styleId="222">
    <w:name w:val="Nivel 3"/>
    <w:basedOn w:val="220"/>
    <w:qFormat/>
    <w:uiPriority w:val="0"/>
    <w:pPr>
      <w:ind w:left="1440" w:hanging="720"/>
    </w:pPr>
    <w:rPr>
      <w:rFonts w:cs="Arial"/>
      <w:color w:val="000000"/>
    </w:rPr>
  </w:style>
  <w:style w:type="paragraph" w:customStyle="1" w:styleId="223">
    <w:name w:val="Nivel 4"/>
    <w:basedOn w:val="222"/>
    <w:link w:val="225"/>
    <w:qFormat/>
    <w:uiPriority w:val="0"/>
    <w:pPr>
      <w:ind w:left="1440" w:hanging="720"/>
    </w:pPr>
    <w:rPr>
      <w:color w:val="auto"/>
    </w:rPr>
  </w:style>
  <w:style w:type="paragraph" w:customStyle="1" w:styleId="224">
    <w:name w:val="Nivel 5"/>
    <w:basedOn w:val="223"/>
    <w:qFormat/>
    <w:uiPriority w:val="0"/>
    <w:pPr>
      <w:ind w:left="3348" w:hanging="1080"/>
    </w:pPr>
  </w:style>
  <w:style w:type="character" w:customStyle="1" w:styleId="225">
    <w:name w:val="Nivel 4 Char"/>
    <w:basedOn w:val="11"/>
    <w:link w:val="223"/>
    <w:uiPriority w:val="0"/>
    <w:rPr>
      <w:rFonts w:ascii="Ecofont_Spranq_eco_Sans" w:hAnsi="Ecofont_Spranq_eco_Sans" w:eastAsia="Arial Unicode MS" w:cs="Arial"/>
      <w:sz w:val="24"/>
      <w:szCs w:val="24"/>
      <w:lang w:eastAsia="pt-BR"/>
    </w:rPr>
  </w:style>
  <w:style w:type="paragraph" w:customStyle="1" w:styleId="226">
    <w:name w:val="textbody"/>
    <w:basedOn w:val="1"/>
    <w:uiPriority w:val="0"/>
    <w:pPr>
      <w:spacing w:before="100" w:beforeAutospacing="1" w:after="100" w:afterAutospacing="1"/>
    </w:pPr>
  </w:style>
  <w:style w:type="paragraph" w:customStyle="1" w:styleId="227">
    <w:name w:val="padrao"/>
    <w:basedOn w:val="1"/>
    <w:uiPriority w:val="99"/>
    <w:pPr>
      <w:spacing w:before="100" w:beforeAutospacing="1" w:after="100" w:afterAutospacing="1"/>
    </w:pPr>
  </w:style>
  <w:style w:type="paragraph" w:customStyle="1" w:styleId="228">
    <w:name w:val="HTML Top of Form"/>
    <w:basedOn w:val="1"/>
    <w:next w:val="1"/>
    <w:link w:val="229"/>
    <w:uiPriority w:val="0"/>
    <w:pPr>
      <w:pBdr>
        <w:bottom w:val="single" w:color="auto" w:sz="6" w:space="1"/>
      </w:pBdr>
      <w:jc w:val="center"/>
    </w:pPr>
    <w:rPr>
      <w:rFonts w:ascii="Arial" w:hAnsi="Arial"/>
      <w:vanish/>
      <w:sz w:val="16"/>
      <w:szCs w:val="16"/>
    </w:rPr>
  </w:style>
  <w:style w:type="character" w:customStyle="1" w:styleId="229">
    <w:name w:val="Parte superior-z do formulário Char"/>
    <w:basedOn w:val="11"/>
    <w:link w:val="228"/>
    <w:uiPriority w:val="0"/>
    <w:rPr>
      <w:rFonts w:ascii="Arial" w:hAnsi="Arial" w:eastAsia="Times New Roman" w:cs="Times New Roman"/>
      <w:vanish/>
      <w:sz w:val="16"/>
      <w:szCs w:val="16"/>
      <w:lang w:eastAsia="pt-BR"/>
    </w:rPr>
  </w:style>
  <w:style w:type="paragraph" w:customStyle="1" w:styleId="230">
    <w:name w:val="HTML Bottom of Form"/>
    <w:basedOn w:val="1"/>
    <w:next w:val="1"/>
    <w:link w:val="231"/>
    <w:uiPriority w:val="0"/>
    <w:pPr>
      <w:pBdr>
        <w:top w:val="single" w:color="auto" w:sz="6" w:space="1"/>
      </w:pBdr>
      <w:jc w:val="center"/>
    </w:pPr>
    <w:rPr>
      <w:rFonts w:ascii="Arial" w:hAnsi="Arial" w:cs="Arial"/>
      <w:vanish/>
      <w:sz w:val="16"/>
      <w:szCs w:val="16"/>
    </w:rPr>
  </w:style>
  <w:style w:type="character" w:customStyle="1" w:styleId="231">
    <w:name w:val="Parte inferior do formulário Char"/>
    <w:basedOn w:val="11"/>
    <w:link w:val="230"/>
    <w:uiPriority w:val="0"/>
    <w:rPr>
      <w:rFonts w:ascii="Arial" w:hAnsi="Arial" w:eastAsia="Times New Roman" w:cs="Arial"/>
      <w:vanish/>
      <w:sz w:val="16"/>
      <w:szCs w:val="16"/>
      <w:lang w:eastAsia="pt-BR"/>
    </w:rPr>
  </w:style>
  <w:style w:type="character" w:customStyle="1" w:styleId="232">
    <w:name w:val="Texto de nota de rodapé Char"/>
    <w:basedOn w:val="11"/>
    <w:link w:val="46"/>
    <w:uiPriority w:val="99"/>
    <w:rPr>
      <w:rFonts w:ascii="Times New Roman" w:hAnsi="Times New Roman" w:eastAsia="Times New Roman" w:cs="Times New Roman"/>
      <w:sz w:val="20"/>
      <w:szCs w:val="20"/>
      <w:lang w:eastAsia="pt-BR"/>
    </w:rPr>
  </w:style>
  <w:style w:type="paragraph" w:customStyle="1" w:styleId="233">
    <w:name w:val="Título1"/>
    <w:basedOn w:val="1"/>
    <w:next w:val="24"/>
    <w:uiPriority w:val="99"/>
    <w:pPr>
      <w:keepNext/>
      <w:widowControl w:val="0"/>
      <w:suppressAutoHyphens/>
      <w:spacing w:before="240" w:after="120"/>
    </w:pPr>
    <w:rPr>
      <w:rFonts w:ascii="Arial" w:hAnsi="Arial" w:eastAsia="Lucida Sans Unicode" w:cs="Tahoma"/>
      <w:color w:val="000000"/>
      <w:sz w:val="28"/>
      <w:szCs w:val="28"/>
      <w:lang w:eastAsia="en-US"/>
    </w:rPr>
  </w:style>
  <w:style w:type="paragraph" w:customStyle="1" w:styleId="234">
    <w:name w:val="PADRAO"/>
    <w:basedOn w:val="1"/>
    <w:uiPriority w:val="0"/>
    <w:pPr>
      <w:suppressAutoHyphens/>
      <w:jc w:val="both"/>
    </w:pPr>
    <w:rPr>
      <w:rFonts w:ascii="Tms Rmn" w:hAnsi="Tms Rmn"/>
      <w:szCs w:val="20"/>
      <w:lang w:eastAsia="ar-SA"/>
    </w:rPr>
  </w:style>
  <w:style w:type="paragraph" w:customStyle="1" w:styleId="235">
    <w:name w:val="Corpo de texto 21"/>
    <w:basedOn w:val="1"/>
    <w:uiPriority w:val="0"/>
    <w:pPr>
      <w:widowControl w:val="0"/>
      <w:spacing w:before="100" w:beforeAutospacing="1"/>
      <w:jc w:val="both"/>
    </w:pPr>
    <w:rPr>
      <w:rFonts w:ascii="Arial" w:hAnsi="Arial"/>
      <w:szCs w:val="20"/>
    </w:rPr>
  </w:style>
  <w:style w:type="paragraph" w:customStyle="1" w:styleId="236">
    <w:name w:val="Corpo de texto 23"/>
    <w:basedOn w:val="1"/>
    <w:uiPriority w:val="0"/>
    <w:pPr>
      <w:suppressAutoHyphens/>
      <w:spacing w:before="100" w:beforeAutospacing="1"/>
      <w:ind w:right="-567"/>
      <w:jc w:val="both"/>
    </w:pPr>
    <w:rPr>
      <w:b/>
      <w:szCs w:val="20"/>
      <w:lang w:eastAsia="ar-SA"/>
    </w:rPr>
  </w:style>
  <w:style w:type="paragraph" w:customStyle="1" w:styleId="237">
    <w:name w:val="Conteúdo da tabela"/>
    <w:basedOn w:val="24"/>
    <w:uiPriority w:val="0"/>
    <w:pPr>
      <w:suppressLineNumbers/>
      <w:suppressAutoHyphens/>
      <w:spacing w:before="100" w:beforeAutospacing="1" w:line="240" w:lineRule="auto"/>
    </w:pPr>
    <w:rPr>
      <w:rFonts w:ascii="Arial" w:hAnsi="Arial" w:cs="Arial"/>
      <w:sz w:val="22"/>
      <w:szCs w:val="22"/>
      <w:lang w:val="pt-BR" w:eastAsia="ar-SA"/>
    </w:rPr>
  </w:style>
  <w:style w:type="character" w:customStyle="1" w:styleId="238">
    <w:name w:val="Fonte parág. padrão1"/>
    <w:uiPriority w:val="0"/>
  </w:style>
  <w:style w:type="character" w:customStyle="1" w:styleId="239">
    <w:name w:val="Corpo de texto 3 Char"/>
    <w:link w:val="34"/>
    <w:uiPriority w:val="0"/>
    <w:rPr>
      <w:sz w:val="16"/>
      <w:szCs w:val="16"/>
    </w:rPr>
  </w:style>
  <w:style w:type="character" w:customStyle="1" w:styleId="240">
    <w:name w:val="ListLabel 1"/>
    <w:uiPriority w:val="0"/>
    <w:rPr>
      <w:color w:val="00000A"/>
    </w:rPr>
  </w:style>
  <w:style w:type="character" w:customStyle="1" w:styleId="241">
    <w:name w:val="ListLabel 2"/>
    <w:uiPriority w:val="0"/>
    <w:rPr>
      <w:rFonts w:cs="Courier New"/>
    </w:rPr>
  </w:style>
  <w:style w:type="character" w:customStyle="1" w:styleId="242">
    <w:name w:val="ListLabel 3"/>
    <w:uiPriority w:val="0"/>
    <w:rPr>
      <w:color w:val="000000"/>
    </w:rPr>
  </w:style>
  <w:style w:type="character" w:customStyle="1" w:styleId="243">
    <w:name w:val="ListLabel 4"/>
    <w:uiPriority w:val="0"/>
  </w:style>
  <w:style w:type="character" w:customStyle="1" w:styleId="244">
    <w:name w:val="Corpo de texto Char1"/>
    <w:basedOn w:val="11"/>
    <w:uiPriority w:val="99"/>
    <w:rPr>
      <w:rFonts w:ascii="Arial" w:hAnsi="Arial" w:eastAsia="Times New Roman" w:cs="Times New Roman"/>
      <w:b/>
      <w:kern w:val="1"/>
      <w:sz w:val="18"/>
      <w:szCs w:val="20"/>
      <w:lang w:eastAsia="ar-SA"/>
    </w:rPr>
  </w:style>
  <w:style w:type="paragraph" w:customStyle="1" w:styleId="245">
    <w:name w:val="Legenda1"/>
    <w:basedOn w:val="1"/>
    <w:uiPriority w:val="0"/>
    <w:pPr>
      <w:suppressLineNumbers/>
      <w:suppressAutoHyphens/>
      <w:spacing w:before="120" w:after="120" w:line="276" w:lineRule="auto"/>
    </w:pPr>
    <w:rPr>
      <w:rFonts w:ascii="Calibri" w:hAnsi="Calibri" w:eastAsia="SimSun" w:cs="Mangal"/>
      <w:i/>
      <w:iCs/>
      <w:kern w:val="1"/>
      <w:lang w:eastAsia="ar-SA"/>
    </w:rPr>
  </w:style>
  <w:style w:type="paragraph" w:customStyle="1" w:styleId="246">
    <w:name w:val="Índice"/>
    <w:basedOn w:val="1"/>
    <w:uiPriority w:val="0"/>
    <w:pPr>
      <w:suppressLineNumbers/>
      <w:suppressAutoHyphens/>
      <w:spacing w:after="200" w:line="276" w:lineRule="auto"/>
    </w:pPr>
    <w:rPr>
      <w:rFonts w:ascii="Calibri" w:hAnsi="Calibri" w:eastAsia="SimSun" w:cs="Mangal"/>
      <w:kern w:val="1"/>
      <w:sz w:val="22"/>
      <w:szCs w:val="22"/>
      <w:lang w:eastAsia="ar-SA"/>
    </w:rPr>
  </w:style>
  <w:style w:type="character" w:customStyle="1" w:styleId="247">
    <w:name w:val="Cabeçalho Char1"/>
    <w:basedOn w:val="11"/>
    <w:uiPriority w:val="99"/>
    <w:rPr>
      <w:rFonts w:ascii="Calibri" w:hAnsi="Calibri" w:eastAsia="SimSun" w:cs="font233"/>
      <w:kern w:val="1"/>
      <w:lang w:eastAsia="ar-SA"/>
    </w:rPr>
  </w:style>
  <w:style w:type="character" w:customStyle="1" w:styleId="248">
    <w:name w:val="Rodapé Char1"/>
    <w:basedOn w:val="11"/>
    <w:uiPriority w:val="99"/>
    <w:rPr>
      <w:rFonts w:ascii="Calibri" w:hAnsi="Calibri" w:eastAsia="SimSun" w:cs="font233"/>
      <w:kern w:val="1"/>
      <w:lang w:eastAsia="ar-SA"/>
    </w:rPr>
  </w:style>
  <w:style w:type="paragraph" w:customStyle="1" w:styleId="249">
    <w:name w:val="Texto de balão1"/>
    <w:basedOn w:val="1"/>
    <w:uiPriority w:val="0"/>
    <w:pPr>
      <w:suppressAutoHyphens/>
      <w:spacing w:line="100" w:lineRule="atLeast"/>
    </w:pPr>
    <w:rPr>
      <w:rFonts w:ascii="Tahoma" w:hAnsi="Tahoma" w:eastAsia="SimSun" w:cs="Tahoma"/>
      <w:kern w:val="1"/>
      <w:sz w:val="16"/>
      <w:szCs w:val="16"/>
      <w:lang w:eastAsia="ar-SA"/>
    </w:rPr>
  </w:style>
  <w:style w:type="paragraph" w:customStyle="1" w:styleId="250">
    <w:name w:val="Body Text 21"/>
    <w:basedOn w:val="1"/>
    <w:uiPriority w:val="0"/>
    <w:pPr>
      <w:suppressAutoHyphens/>
      <w:spacing w:line="100" w:lineRule="atLeast"/>
      <w:jc w:val="both"/>
    </w:pPr>
    <w:rPr>
      <w:rFonts w:ascii="Arial" w:hAnsi="Arial"/>
      <w:kern w:val="1"/>
      <w:sz w:val="28"/>
      <w:szCs w:val="22"/>
      <w:lang w:eastAsia="ar-SA"/>
    </w:rPr>
  </w:style>
  <w:style w:type="paragraph" w:customStyle="1" w:styleId="251">
    <w:name w:val="Item"/>
    <w:basedOn w:val="1"/>
    <w:uiPriority w:val="0"/>
    <w:pPr>
      <w:tabs>
        <w:tab w:val="left" w:pos="0"/>
      </w:tabs>
      <w:suppressAutoHyphens/>
      <w:spacing w:line="100" w:lineRule="atLeast"/>
      <w:jc w:val="both"/>
    </w:pPr>
    <w:rPr>
      <w:rFonts w:ascii="Courier New" w:hAnsi="Courier New"/>
      <w:kern w:val="1"/>
      <w:szCs w:val="20"/>
      <w:lang w:val="pt-PT" w:eastAsia="ar-SA"/>
    </w:rPr>
  </w:style>
  <w:style w:type="character" w:customStyle="1" w:styleId="252">
    <w:name w:val="Recuo de corpo de texto Char1"/>
    <w:basedOn w:val="11"/>
    <w:uiPriority w:val="99"/>
    <w:rPr>
      <w:rFonts w:ascii="Calibri" w:hAnsi="Calibri" w:eastAsia="SimSun" w:cs="font233"/>
      <w:kern w:val="1"/>
      <w:lang w:eastAsia="ar-SA"/>
    </w:rPr>
  </w:style>
  <w:style w:type="paragraph" w:customStyle="1" w:styleId="253">
    <w:name w:val="Recuo de corpo de texto 31"/>
    <w:basedOn w:val="1"/>
    <w:uiPriority w:val="0"/>
    <w:pPr>
      <w:suppressAutoHyphens/>
      <w:spacing w:after="120" w:line="276" w:lineRule="auto"/>
      <w:ind w:left="283"/>
    </w:pPr>
    <w:rPr>
      <w:rFonts w:ascii="Calibri" w:hAnsi="Calibri" w:eastAsia="SimSun" w:cs="font233"/>
      <w:kern w:val="1"/>
      <w:sz w:val="16"/>
      <w:szCs w:val="16"/>
      <w:lang w:eastAsia="ar-SA"/>
    </w:rPr>
  </w:style>
  <w:style w:type="paragraph" w:customStyle="1" w:styleId="254">
    <w:name w:val="ecxmsonormal"/>
    <w:basedOn w:val="1"/>
    <w:uiPriority w:val="0"/>
    <w:pPr>
      <w:suppressAutoHyphens/>
      <w:spacing w:after="324" w:line="100" w:lineRule="atLeast"/>
    </w:pPr>
    <w:rPr>
      <w:kern w:val="1"/>
      <w:lang w:eastAsia="ar-SA"/>
    </w:rPr>
  </w:style>
  <w:style w:type="paragraph" w:customStyle="1" w:styleId="255">
    <w:name w:val="Texto em bloco1"/>
    <w:basedOn w:val="1"/>
    <w:uiPriority w:val="0"/>
    <w:pPr>
      <w:suppressAutoHyphens/>
      <w:spacing w:line="100" w:lineRule="atLeast"/>
      <w:ind w:left="3544" w:right="-660"/>
      <w:jc w:val="both"/>
    </w:pPr>
    <w:rPr>
      <w:rFonts w:ascii="Arial" w:hAnsi="Arial"/>
      <w:b/>
      <w:kern w:val="1"/>
      <w:sz w:val="17"/>
      <w:szCs w:val="20"/>
      <w:lang w:eastAsia="ar-SA"/>
    </w:rPr>
  </w:style>
  <w:style w:type="character" w:customStyle="1" w:styleId="256">
    <w:name w:val="Recuo de corpo de texto 3 Char1"/>
    <w:basedOn w:val="11"/>
    <w:uiPriority w:val="0"/>
    <w:rPr>
      <w:rFonts w:ascii="Calibri" w:hAnsi="Calibri" w:eastAsia="SimSun"/>
      <w:kern w:val="1"/>
      <w:sz w:val="16"/>
      <w:szCs w:val="16"/>
      <w:lang w:eastAsia="ar-SA"/>
    </w:rPr>
  </w:style>
  <w:style w:type="character" w:customStyle="1" w:styleId="257">
    <w:name w:val="Corpo de texto 2 Char1"/>
    <w:basedOn w:val="11"/>
    <w:uiPriority w:val="0"/>
    <w:rPr>
      <w:rFonts w:ascii="Calibri" w:hAnsi="Calibri" w:eastAsia="SimSun" w:cs="Times New Roman"/>
      <w:kern w:val="1"/>
      <w:lang w:eastAsia="ar-SA"/>
    </w:rPr>
  </w:style>
  <w:style w:type="character" w:customStyle="1" w:styleId="258">
    <w:name w:val="Corpo de texto 3 Char1"/>
    <w:basedOn w:val="11"/>
    <w:uiPriority w:val="0"/>
    <w:rPr>
      <w:rFonts w:ascii="Times New Roman" w:hAnsi="Times New Roman" w:eastAsia="Times New Roman" w:cs="Times New Roman"/>
      <w:sz w:val="16"/>
      <w:szCs w:val="16"/>
      <w:lang w:eastAsia="pt-BR"/>
    </w:rPr>
  </w:style>
  <w:style w:type="paragraph" w:customStyle="1" w:styleId="259">
    <w:name w:val="Heading 1 - Anexo"/>
    <w:basedOn w:val="2"/>
    <w:next w:val="1"/>
    <w:uiPriority w:val="0"/>
    <w:pPr>
      <w:tabs>
        <w:tab w:val="left" w:pos="432"/>
      </w:tabs>
      <w:spacing w:before="360" w:after="240"/>
      <w:ind w:left="432" w:hanging="432"/>
      <w:jc w:val="center"/>
    </w:pPr>
    <w:rPr>
      <w:rFonts w:ascii="Arial" w:hAnsi="Arial"/>
      <w:b w:val="0"/>
      <w:bCs w:val="0"/>
      <w:kern w:val="0"/>
      <w:szCs w:val="20"/>
      <w:lang w:val="pt-BR" w:eastAsia="pt-BR"/>
    </w:rPr>
  </w:style>
  <w:style w:type="paragraph" w:customStyle="1" w:styleId="260">
    <w:name w:val="Item Head 4 - Anexo"/>
    <w:basedOn w:val="261"/>
    <w:uiPriority w:val="0"/>
    <w:pPr>
      <w:tabs>
        <w:tab w:val="left" w:pos="720"/>
        <w:tab w:val="left" w:pos="900"/>
        <w:tab w:val="left" w:pos="3240"/>
      </w:tabs>
      <w:ind w:left="2592" w:hanging="792"/>
    </w:pPr>
  </w:style>
  <w:style w:type="paragraph" w:customStyle="1" w:styleId="261">
    <w:name w:val="Item Head 3 - Anexo"/>
    <w:autoRedefine/>
    <w:uiPriority w:val="0"/>
    <w:pPr>
      <w:tabs>
        <w:tab w:val="left" w:pos="900"/>
        <w:tab w:val="left" w:pos="3600"/>
      </w:tabs>
      <w:spacing w:after="0" w:line="240" w:lineRule="auto"/>
      <w:ind w:left="708" w:hanging="708"/>
      <w:jc w:val="both"/>
    </w:pPr>
    <w:rPr>
      <w:rFonts w:ascii="Georgia" w:hAnsi="Georgia" w:eastAsia="Times New Roman" w:cs="Ecofont_Spranq_eco_Sans"/>
      <w:sz w:val="26"/>
      <w:szCs w:val="24"/>
      <w:lang w:val="pt-BR" w:eastAsia="pt-BR" w:bidi="ar-SA"/>
    </w:rPr>
  </w:style>
  <w:style w:type="character" w:customStyle="1" w:styleId="262">
    <w:name w:val="Texto de balão Char1"/>
    <w:basedOn w:val="11"/>
    <w:uiPriority w:val="0"/>
    <w:rPr>
      <w:rFonts w:ascii="Tahoma" w:hAnsi="Tahoma" w:eastAsia="SimSun" w:cs="Tahoma"/>
      <w:kern w:val="1"/>
      <w:sz w:val="16"/>
      <w:szCs w:val="16"/>
      <w:lang w:eastAsia="ar-SA"/>
    </w:rPr>
  </w:style>
  <w:style w:type="paragraph" w:customStyle="1" w:styleId="263">
    <w:name w:val="Título-Normal"/>
    <w:basedOn w:val="1"/>
    <w:next w:val="1"/>
    <w:uiPriority w:val="0"/>
    <w:pPr>
      <w:tabs>
        <w:tab w:val="left" w:pos="360"/>
      </w:tabs>
      <w:spacing w:before="120" w:after="120"/>
      <w:jc w:val="both"/>
      <w:outlineLvl w:val="1"/>
    </w:pPr>
    <w:rPr>
      <w:b/>
      <w:bCs/>
      <w:smallCaps/>
    </w:rPr>
  </w:style>
  <w:style w:type="paragraph" w:customStyle="1" w:styleId="264">
    <w:name w:val="Título 2 + Times New Roman"/>
    <w:basedOn w:val="2"/>
    <w:uiPriority w:val="0"/>
    <w:pPr>
      <w:tabs>
        <w:tab w:val="left" w:pos="288"/>
        <w:tab w:val="left" w:pos="1008"/>
        <w:tab w:val="left" w:pos="1728"/>
        <w:tab w:val="left" w:pos="2448"/>
        <w:tab w:val="left" w:pos="3168"/>
        <w:tab w:val="left" w:pos="3888"/>
        <w:tab w:val="left" w:pos="4608"/>
        <w:tab w:val="left" w:pos="5328"/>
        <w:tab w:val="left" w:pos="6048"/>
        <w:tab w:val="left" w:pos="6768"/>
      </w:tabs>
      <w:suppressAutoHyphens/>
      <w:spacing w:before="0" w:after="0"/>
    </w:pPr>
    <w:rPr>
      <w:rFonts w:ascii="Times New Roman" w:hAnsi="Times New Roman"/>
      <w:kern w:val="0"/>
      <w:sz w:val="24"/>
      <w:szCs w:val="24"/>
      <w:lang w:val="pt-BR" w:eastAsia="ar-SA"/>
    </w:rPr>
  </w:style>
  <w:style w:type="paragraph" w:customStyle="1" w:styleId="265">
    <w:name w:val="WW-Recuo de corpo de texto 212"/>
    <w:basedOn w:val="1"/>
    <w:uiPriority w:val="0"/>
    <w:pPr>
      <w:suppressAutoHyphens/>
      <w:autoSpaceDE w:val="0"/>
      <w:ind w:firstLine="851"/>
      <w:jc w:val="both"/>
    </w:pPr>
    <w:rPr>
      <w:rFonts w:eastAsia="Garamond"/>
      <w:color w:val="000000"/>
      <w:szCs w:val="20"/>
      <w:lang w:eastAsia="ar-SA"/>
    </w:rPr>
  </w:style>
  <w:style w:type="paragraph" w:customStyle="1" w:styleId="266">
    <w:name w:val="Estilo"/>
    <w:uiPriority w:val="0"/>
    <w:pPr>
      <w:widowControl w:val="0"/>
      <w:autoSpaceDE w:val="0"/>
      <w:autoSpaceDN w:val="0"/>
      <w:adjustRightInd w:val="0"/>
      <w:spacing w:after="0" w:line="240" w:lineRule="auto"/>
    </w:pPr>
    <w:rPr>
      <w:rFonts w:ascii="Arial" w:hAnsi="Arial" w:eastAsia="Times New Roman" w:cs="Arial"/>
      <w:sz w:val="24"/>
      <w:szCs w:val="24"/>
      <w:lang w:val="pt-BR" w:eastAsia="pt-BR" w:bidi="ar-SA"/>
    </w:rPr>
  </w:style>
  <w:style w:type="character" w:customStyle="1" w:styleId="267">
    <w:name w:val="1 Char Char Char"/>
    <w:link w:val="268"/>
    <w:locked/>
    <w:uiPriority w:val="0"/>
    <w:rPr>
      <w:rFonts w:ascii="Arial" w:hAnsi="Arial" w:cs="Arial"/>
    </w:rPr>
  </w:style>
  <w:style w:type="paragraph" w:customStyle="1" w:styleId="268">
    <w:name w:val="1 Char Char"/>
    <w:basedOn w:val="1"/>
    <w:link w:val="267"/>
    <w:uiPriority w:val="0"/>
    <w:pPr>
      <w:suppressAutoHyphens/>
      <w:ind w:left="907" w:hanging="510"/>
      <w:jc w:val="both"/>
    </w:pPr>
    <w:rPr>
      <w:rFonts w:ascii="Arial" w:hAnsi="Arial" w:cs="Arial" w:eastAsiaTheme="minorHAnsi"/>
      <w:sz w:val="22"/>
      <w:szCs w:val="22"/>
      <w:lang w:eastAsia="en-US"/>
    </w:rPr>
  </w:style>
  <w:style w:type="character" w:customStyle="1" w:styleId="269">
    <w:name w:val="para1"/>
    <w:qFormat/>
    <w:uiPriority w:val="0"/>
    <w:rPr>
      <w:rFonts w:hint="default" w:ascii="Arial" w:hAnsi="Arial" w:cs="Arial"/>
      <w:sz w:val="18"/>
      <w:szCs w:val="18"/>
    </w:rPr>
  </w:style>
  <w:style w:type="paragraph" w:customStyle="1" w:styleId="270">
    <w:name w:val="Titulo"/>
    <w:basedOn w:val="1"/>
    <w:uiPriority w:val="0"/>
    <w:pPr>
      <w:spacing w:before="360" w:after="240" w:line="300" w:lineRule="exact"/>
      <w:jc w:val="both"/>
    </w:pPr>
    <w:rPr>
      <w:rFonts w:ascii="Arial" w:hAnsi="Arial"/>
      <w:b/>
      <w:caps/>
      <w:szCs w:val="20"/>
    </w:rPr>
  </w:style>
  <w:style w:type="paragraph" w:customStyle="1" w:styleId="271">
    <w:name w:val="WW-Corpo de texto 2"/>
    <w:basedOn w:val="1"/>
    <w:uiPriority w:val="0"/>
    <w:pPr>
      <w:suppressAutoHyphens/>
      <w:jc w:val="both"/>
    </w:pPr>
    <w:rPr>
      <w:rFonts w:ascii="Arial" w:hAnsi="Arial"/>
      <w:szCs w:val="20"/>
      <w:lang w:eastAsia="ar-SA"/>
    </w:rPr>
  </w:style>
  <w:style w:type="paragraph" w:customStyle="1" w:styleId="272">
    <w:name w:val="Nome"/>
    <w:basedOn w:val="1"/>
    <w:uiPriority w:val="0"/>
    <w:pPr>
      <w:tabs>
        <w:tab w:val="center" w:pos="6096"/>
      </w:tabs>
      <w:jc w:val="both"/>
    </w:pPr>
    <w:rPr>
      <w:rFonts w:ascii="Arial" w:hAnsi="Arial"/>
      <w:szCs w:val="20"/>
    </w:rPr>
  </w:style>
  <w:style w:type="paragraph" w:customStyle="1" w:styleId="273">
    <w:name w:val="(1)TR"/>
    <w:basedOn w:val="1"/>
    <w:link w:val="274"/>
    <w:uiPriority w:val="99"/>
    <w:pPr>
      <w:tabs>
        <w:tab w:val="left" w:pos="720"/>
      </w:tabs>
      <w:spacing w:before="480" w:line="360" w:lineRule="auto"/>
      <w:ind w:left="720" w:hanging="720"/>
      <w:jc w:val="both"/>
      <w:outlineLvl w:val="0"/>
    </w:pPr>
    <w:rPr>
      <w:rFonts w:eastAsia="Calibri"/>
      <w:b/>
      <w:sz w:val="28"/>
      <w:szCs w:val="20"/>
    </w:rPr>
  </w:style>
  <w:style w:type="character" w:customStyle="1" w:styleId="274">
    <w:name w:val="(1)TR Char"/>
    <w:link w:val="273"/>
    <w:locked/>
    <w:uiPriority w:val="99"/>
    <w:rPr>
      <w:rFonts w:ascii="Times New Roman" w:hAnsi="Times New Roman" w:eastAsia="Calibri" w:cs="Times New Roman"/>
      <w:b/>
      <w:sz w:val="28"/>
      <w:szCs w:val="20"/>
      <w:lang w:eastAsia="pt-BR"/>
    </w:rPr>
  </w:style>
  <w:style w:type="paragraph" w:customStyle="1" w:styleId="275">
    <w:name w:val="(2)TR"/>
    <w:basedOn w:val="1"/>
    <w:uiPriority w:val="99"/>
    <w:pPr>
      <w:tabs>
        <w:tab w:val="left" w:pos="1440"/>
      </w:tabs>
      <w:spacing w:before="120" w:line="360" w:lineRule="auto"/>
      <w:ind w:left="1440" w:hanging="720"/>
      <w:jc w:val="both"/>
      <w:outlineLvl w:val="1"/>
    </w:pPr>
    <w:rPr>
      <w:bCs/>
      <w:szCs w:val="20"/>
    </w:rPr>
  </w:style>
  <w:style w:type="paragraph" w:customStyle="1" w:styleId="276">
    <w:name w:val="(3)TR"/>
    <w:basedOn w:val="66"/>
    <w:uiPriority w:val="99"/>
    <w:pPr>
      <w:tabs>
        <w:tab w:val="left" w:pos="2160"/>
      </w:tabs>
      <w:suppressAutoHyphens/>
      <w:spacing w:after="0" w:line="360" w:lineRule="auto"/>
      <w:ind w:left="2160" w:hanging="720"/>
      <w:contextualSpacing w:val="0"/>
      <w:jc w:val="both"/>
      <w:outlineLvl w:val="2"/>
    </w:pPr>
    <w:rPr>
      <w:rFonts w:ascii="Times New Roman" w:hAnsi="Times New Roman"/>
      <w:sz w:val="24"/>
      <w:szCs w:val="24"/>
    </w:rPr>
  </w:style>
  <w:style w:type="paragraph" w:customStyle="1" w:styleId="277">
    <w:name w:val="(4)TR"/>
    <w:basedOn w:val="66"/>
    <w:uiPriority w:val="99"/>
    <w:pPr>
      <w:tabs>
        <w:tab w:val="left" w:pos="2880"/>
      </w:tabs>
      <w:suppressAutoHyphens/>
      <w:spacing w:before="120" w:after="0" w:line="360" w:lineRule="auto"/>
      <w:ind w:left="2880" w:hanging="720"/>
      <w:contextualSpacing w:val="0"/>
      <w:jc w:val="both"/>
    </w:pPr>
    <w:rPr>
      <w:rFonts w:ascii="Times New Roman" w:hAnsi="Times New Roman"/>
      <w:sz w:val="24"/>
      <w:szCs w:val="24"/>
    </w:rPr>
  </w:style>
  <w:style w:type="paragraph" w:customStyle="1" w:styleId="278">
    <w:name w:val="(5)TR"/>
    <w:basedOn w:val="1"/>
    <w:uiPriority w:val="99"/>
    <w:pPr>
      <w:widowControl w:val="0"/>
      <w:tabs>
        <w:tab w:val="left" w:pos="3600"/>
      </w:tabs>
      <w:suppressAutoHyphens/>
      <w:spacing w:before="240" w:after="120" w:line="360" w:lineRule="auto"/>
      <w:ind w:left="3600" w:hanging="720"/>
      <w:jc w:val="both"/>
    </w:pPr>
    <w:rPr>
      <w:bCs/>
    </w:rPr>
  </w:style>
  <w:style w:type="paragraph" w:customStyle="1" w:styleId="279">
    <w:name w:val="(3)"/>
    <w:basedOn w:val="66"/>
    <w:uiPriority w:val="99"/>
    <w:pPr>
      <w:tabs>
        <w:tab w:val="left" w:pos="1418"/>
      </w:tabs>
      <w:suppressAutoHyphens/>
      <w:spacing w:after="0" w:line="360" w:lineRule="auto"/>
      <w:ind w:left="1418" w:hanging="851"/>
      <w:contextualSpacing w:val="0"/>
      <w:jc w:val="both"/>
    </w:pPr>
    <w:rPr>
      <w:rFonts w:ascii="Times New Roman" w:hAnsi="Times New Roman"/>
      <w:sz w:val="24"/>
      <w:szCs w:val="24"/>
    </w:rPr>
  </w:style>
  <w:style w:type="paragraph" w:customStyle="1" w:styleId="280">
    <w:name w:val="(4)"/>
    <w:basedOn w:val="66"/>
    <w:uiPriority w:val="99"/>
    <w:pPr>
      <w:suppressAutoHyphens/>
      <w:spacing w:before="120" w:after="0" w:line="360" w:lineRule="auto"/>
      <w:ind w:left="1701" w:hanging="283"/>
      <w:contextualSpacing w:val="0"/>
      <w:jc w:val="both"/>
    </w:pPr>
    <w:rPr>
      <w:rFonts w:ascii="Times New Roman" w:hAnsi="Times New Roman"/>
      <w:sz w:val="24"/>
      <w:szCs w:val="24"/>
    </w:rPr>
  </w:style>
  <w:style w:type="paragraph" w:customStyle="1" w:styleId="281">
    <w:name w:val="(2)"/>
    <w:basedOn w:val="1"/>
    <w:uiPriority w:val="99"/>
    <w:pPr>
      <w:tabs>
        <w:tab w:val="left" w:pos="851"/>
      </w:tabs>
      <w:spacing w:before="120" w:line="360" w:lineRule="auto"/>
      <w:ind w:left="851" w:hanging="851"/>
      <w:jc w:val="both"/>
      <w:outlineLvl w:val="1"/>
    </w:pPr>
    <w:rPr>
      <w:bCs/>
      <w:szCs w:val="20"/>
    </w:rPr>
  </w:style>
  <w:style w:type="paragraph" w:customStyle="1" w:styleId="282">
    <w:name w:val="xl119"/>
    <w:basedOn w:val="1"/>
    <w:uiPriority w:val="0"/>
    <w:pPr>
      <w:pBdr>
        <w:top w:val="single" w:color="auto" w:sz="8" w:space="0"/>
      </w:pBd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283">
    <w:name w:val="xl120"/>
    <w:basedOn w:val="1"/>
    <w:uiPriority w:val="0"/>
    <w:pPr>
      <w:pBdr>
        <w:top w:val="single" w:color="auto" w:sz="8" w:space="0"/>
        <w:right w:val="single" w:color="auto" w:sz="8" w:space="0"/>
      </w:pBd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284">
    <w:name w:val="xl121"/>
    <w:basedOn w:val="1"/>
    <w:uiPriority w:val="0"/>
    <w:pPr>
      <w:pBdr>
        <w:left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285">
    <w:name w:val="xl122"/>
    <w:basedOn w:val="1"/>
    <w:uiPriority w:val="0"/>
    <w:pP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286">
    <w:name w:val="xl123"/>
    <w:basedOn w:val="1"/>
    <w:uiPriority w:val="0"/>
    <w:pPr>
      <w:pBdr>
        <w:right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287">
    <w:name w:val="xl124"/>
    <w:basedOn w:val="1"/>
    <w:uiPriority w:val="0"/>
    <w:pPr>
      <w:pBdr>
        <w:left w:val="single" w:color="auto" w:sz="8" w:space="0"/>
        <w:bottom w:val="single" w:color="auto" w:sz="8" w:space="0"/>
      </w:pBdr>
      <w:shd w:val="clear" w:color="000000" w:fill="C0C0C0"/>
      <w:spacing w:before="100" w:beforeAutospacing="1" w:after="100" w:afterAutospacing="1"/>
      <w:jc w:val="both"/>
      <w:textAlignment w:val="top"/>
    </w:pPr>
    <w:rPr>
      <w:rFonts w:ascii="Arial" w:hAnsi="Arial" w:cs="Arial"/>
      <w:color w:val="000000"/>
      <w:sz w:val="20"/>
      <w:szCs w:val="20"/>
    </w:rPr>
  </w:style>
  <w:style w:type="paragraph" w:customStyle="1" w:styleId="288">
    <w:name w:val="xl125"/>
    <w:basedOn w:val="1"/>
    <w:uiPriority w:val="0"/>
    <w:pPr>
      <w:pBdr>
        <w:bottom w:val="single" w:color="auto" w:sz="8" w:space="0"/>
      </w:pBdr>
      <w:shd w:val="clear" w:color="000000" w:fill="C0C0C0"/>
      <w:spacing w:before="100" w:beforeAutospacing="1" w:after="100" w:afterAutospacing="1"/>
      <w:jc w:val="both"/>
      <w:textAlignment w:val="top"/>
    </w:pPr>
    <w:rPr>
      <w:rFonts w:ascii="Arial" w:hAnsi="Arial" w:cs="Arial"/>
      <w:color w:val="000000"/>
      <w:sz w:val="20"/>
      <w:szCs w:val="20"/>
    </w:rPr>
  </w:style>
  <w:style w:type="paragraph" w:customStyle="1" w:styleId="289">
    <w:name w:val="xl126"/>
    <w:basedOn w:val="1"/>
    <w:uiPriority w:val="0"/>
    <w:pPr>
      <w:pBdr>
        <w:top w:val="single" w:color="auto" w:sz="8" w:space="0"/>
        <w:left w:val="single" w:color="auto" w:sz="8" w:space="0"/>
      </w:pBdr>
      <w:spacing w:before="100" w:beforeAutospacing="1" w:after="100" w:afterAutospacing="1"/>
      <w:jc w:val="both"/>
      <w:textAlignment w:val="top"/>
    </w:pPr>
    <w:rPr>
      <w:rFonts w:ascii="Arial" w:hAnsi="Arial" w:cs="Arial"/>
      <w:b/>
      <w:bCs/>
      <w:color w:val="000000"/>
      <w:sz w:val="20"/>
      <w:szCs w:val="20"/>
    </w:rPr>
  </w:style>
  <w:style w:type="paragraph" w:customStyle="1" w:styleId="290">
    <w:name w:val="xl127"/>
    <w:basedOn w:val="1"/>
    <w:uiPriority w:val="0"/>
    <w:pPr>
      <w:pBdr>
        <w:top w:val="single" w:color="auto" w:sz="8" w:space="0"/>
      </w:pBdr>
      <w:spacing w:before="100" w:beforeAutospacing="1" w:after="100" w:afterAutospacing="1"/>
      <w:jc w:val="both"/>
      <w:textAlignment w:val="top"/>
    </w:pPr>
    <w:rPr>
      <w:rFonts w:ascii="Arial" w:hAnsi="Arial" w:cs="Arial"/>
      <w:b/>
      <w:bCs/>
      <w:color w:val="000000"/>
      <w:sz w:val="20"/>
      <w:szCs w:val="20"/>
    </w:rPr>
  </w:style>
  <w:style w:type="paragraph" w:customStyle="1" w:styleId="291">
    <w:name w:val="xl128"/>
    <w:basedOn w:val="1"/>
    <w:uiPriority w:val="0"/>
    <w:pPr>
      <w:pBdr>
        <w:top w:val="single" w:color="auto" w:sz="8" w:space="0"/>
        <w:right w:val="single" w:color="auto" w:sz="8" w:space="0"/>
      </w:pBdr>
      <w:spacing w:before="100" w:beforeAutospacing="1" w:after="100" w:afterAutospacing="1"/>
      <w:jc w:val="both"/>
      <w:textAlignment w:val="top"/>
    </w:pPr>
    <w:rPr>
      <w:rFonts w:ascii="Arial" w:hAnsi="Arial" w:cs="Arial"/>
      <w:b/>
      <w:bCs/>
      <w:color w:val="000000"/>
      <w:sz w:val="20"/>
      <w:szCs w:val="20"/>
    </w:rPr>
  </w:style>
  <w:style w:type="paragraph" w:customStyle="1" w:styleId="292">
    <w:name w:val="xl129"/>
    <w:basedOn w:val="1"/>
    <w:uiPriority w:val="0"/>
    <w:pPr>
      <w:pBdr>
        <w:left w:val="single" w:color="auto" w:sz="8" w:space="0"/>
        <w:bottom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293">
    <w:name w:val="xl130"/>
    <w:basedOn w:val="1"/>
    <w:uiPriority w:val="0"/>
    <w:pPr>
      <w:pBdr>
        <w:bottom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294">
    <w:name w:val="xl131"/>
    <w:basedOn w:val="1"/>
    <w:uiPriority w:val="0"/>
    <w:pPr>
      <w:pBdr>
        <w:bottom w:val="single" w:color="auto" w:sz="8" w:space="0"/>
        <w:right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295">
    <w:name w:val="xl132"/>
    <w:basedOn w:val="1"/>
    <w:uiPriority w:val="0"/>
    <w:pPr>
      <w:pBdr>
        <w:top w:val="single" w:color="auto" w:sz="8" w:space="0"/>
        <w:left w:val="single" w:color="auto" w:sz="8" w:space="0"/>
        <w:right w:val="single" w:color="auto" w:sz="8" w:space="0"/>
      </w:pBdr>
      <w:spacing w:before="100" w:beforeAutospacing="1" w:after="100" w:afterAutospacing="1"/>
      <w:textAlignment w:val="top"/>
    </w:pPr>
    <w:rPr>
      <w:sz w:val="20"/>
      <w:szCs w:val="20"/>
    </w:rPr>
  </w:style>
  <w:style w:type="paragraph" w:customStyle="1" w:styleId="296">
    <w:name w:val="xl133"/>
    <w:basedOn w:val="1"/>
    <w:uiPriority w:val="0"/>
    <w:pPr>
      <w:pBdr>
        <w:top w:val="single" w:color="auto" w:sz="8" w:space="0"/>
        <w:left w:val="single" w:color="auto" w:sz="8" w:space="0"/>
      </w:pBdr>
      <w:spacing w:before="100" w:beforeAutospacing="1" w:after="100" w:afterAutospacing="1"/>
      <w:textAlignment w:val="top"/>
    </w:pPr>
    <w:rPr>
      <w:sz w:val="20"/>
      <w:szCs w:val="20"/>
    </w:rPr>
  </w:style>
  <w:style w:type="paragraph" w:customStyle="1" w:styleId="297">
    <w:name w:val="xl134"/>
    <w:basedOn w:val="1"/>
    <w:uiPriority w:val="0"/>
    <w:pPr>
      <w:pBdr>
        <w:top w:val="single" w:color="auto" w:sz="8" w:space="0"/>
        <w:right w:val="single" w:color="auto" w:sz="8" w:space="0"/>
      </w:pBdr>
      <w:spacing w:before="100" w:beforeAutospacing="1" w:after="100" w:afterAutospacing="1"/>
      <w:textAlignment w:val="top"/>
    </w:pPr>
    <w:rPr>
      <w:sz w:val="20"/>
      <w:szCs w:val="20"/>
    </w:rPr>
  </w:style>
  <w:style w:type="paragraph" w:customStyle="1" w:styleId="298">
    <w:name w:val="xl135"/>
    <w:basedOn w:val="1"/>
    <w:uiPriority w:val="0"/>
    <w:pPr>
      <w:pBdr>
        <w:left w:val="single" w:color="auto" w:sz="8" w:space="0"/>
        <w:bottom w:val="single" w:color="auto" w:sz="8" w:space="0"/>
      </w:pBdr>
      <w:spacing w:before="100" w:beforeAutospacing="1" w:after="100" w:afterAutospacing="1"/>
      <w:jc w:val="both"/>
      <w:textAlignment w:val="top"/>
    </w:pPr>
    <w:rPr>
      <w:rFonts w:ascii="Arial" w:hAnsi="Arial" w:cs="Arial"/>
      <w:b/>
      <w:bCs/>
      <w:color w:val="000000"/>
      <w:sz w:val="20"/>
      <w:szCs w:val="20"/>
    </w:rPr>
  </w:style>
  <w:style w:type="paragraph" w:customStyle="1" w:styleId="299">
    <w:name w:val="xl136"/>
    <w:basedOn w:val="1"/>
    <w:uiPriority w:val="0"/>
    <w:pPr>
      <w:pBdr>
        <w:bottom w:val="single" w:color="auto" w:sz="8" w:space="0"/>
      </w:pBdr>
      <w:spacing w:before="100" w:beforeAutospacing="1" w:after="100" w:afterAutospacing="1"/>
      <w:jc w:val="both"/>
      <w:textAlignment w:val="top"/>
    </w:pPr>
    <w:rPr>
      <w:rFonts w:ascii="Arial" w:hAnsi="Arial" w:cs="Arial"/>
      <w:b/>
      <w:bCs/>
      <w:color w:val="000000"/>
      <w:sz w:val="20"/>
      <w:szCs w:val="20"/>
    </w:rPr>
  </w:style>
  <w:style w:type="paragraph" w:customStyle="1" w:styleId="300">
    <w:name w:val="xl137"/>
    <w:basedOn w:val="1"/>
    <w:uiPriority w:val="0"/>
    <w:pPr>
      <w:pBdr>
        <w:bottom w:val="single" w:color="auto" w:sz="8" w:space="0"/>
        <w:right w:val="single" w:color="auto" w:sz="8" w:space="0"/>
      </w:pBdr>
      <w:spacing w:before="100" w:beforeAutospacing="1" w:after="100" w:afterAutospacing="1"/>
      <w:jc w:val="both"/>
      <w:textAlignment w:val="top"/>
    </w:pPr>
    <w:rPr>
      <w:rFonts w:ascii="Arial" w:hAnsi="Arial" w:cs="Arial"/>
      <w:b/>
      <w:bCs/>
      <w:color w:val="000000"/>
      <w:sz w:val="20"/>
      <w:szCs w:val="20"/>
    </w:rPr>
  </w:style>
  <w:style w:type="paragraph" w:customStyle="1" w:styleId="301">
    <w:name w:val="xl138"/>
    <w:basedOn w:val="1"/>
    <w:uiPriority w:val="0"/>
    <w:pPr>
      <w:pBdr>
        <w:left w:val="single" w:color="auto" w:sz="8" w:space="0"/>
        <w:bottom w:val="single" w:color="auto" w:sz="8" w:space="0"/>
        <w:right w:val="single" w:color="auto" w:sz="8" w:space="0"/>
      </w:pBdr>
      <w:spacing w:before="100" w:beforeAutospacing="1" w:after="100" w:afterAutospacing="1"/>
      <w:textAlignment w:val="top"/>
    </w:pPr>
    <w:rPr>
      <w:sz w:val="20"/>
      <w:szCs w:val="20"/>
    </w:rPr>
  </w:style>
  <w:style w:type="paragraph" w:customStyle="1" w:styleId="302">
    <w:name w:val="xl139"/>
    <w:basedOn w:val="1"/>
    <w:uiPriority w:val="0"/>
    <w:pPr>
      <w:pBdr>
        <w:left w:val="single" w:color="auto" w:sz="8" w:space="0"/>
        <w:bottom w:val="single" w:color="auto" w:sz="8" w:space="0"/>
      </w:pBdr>
      <w:spacing w:before="100" w:beforeAutospacing="1" w:after="100" w:afterAutospacing="1"/>
      <w:textAlignment w:val="top"/>
    </w:pPr>
    <w:rPr>
      <w:sz w:val="20"/>
      <w:szCs w:val="20"/>
    </w:rPr>
  </w:style>
  <w:style w:type="paragraph" w:customStyle="1" w:styleId="303">
    <w:name w:val="xl140"/>
    <w:basedOn w:val="1"/>
    <w:uiPriority w:val="0"/>
    <w:pPr>
      <w:pBdr>
        <w:bottom w:val="single" w:color="auto" w:sz="8" w:space="0"/>
        <w:right w:val="single" w:color="auto" w:sz="8" w:space="0"/>
      </w:pBdr>
      <w:spacing w:before="100" w:beforeAutospacing="1" w:after="100" w:afterAutospacing="1"/>
      <w:textAlignment w:val="top"/>
    </w:pPr>
    <w:rPr>
      <w:sz w:val="20"/>
      <w:szCs w:val="20"/>
    </w:rPr>
  </w:style>
  <w:style w:type="paragraph" w:customStyle="1" w:styleId="304">
    <w:name w:val="xl141"/>
    <w:basedOn w:val="1"/>
    <w:uiPriority w:val="0"/>
    <w:pPr>
      <w:pBdr>
        <w:left w:val="single" w:color="auto" w:sz="8" w:space="0"/>
      </w:pBd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305">
    <w:name w:val="xl142"/>
    <w:basedOn w:val="1"/>
    <w:uiPriority w:val="0"/>
    <w:pP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306">
    <w:name w:val="xl143"/>
    <w:basedOn w:val="1"/>
    <w:uiPriority w:val="0"/>
    <w:pPr>
      <w:pBdr>
        <w:right w:val="single" w:color="auto" w:sz="8" w:space="0"/>
      </w:pBd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307">
    <w:name w:val="xl144"/>
    <w:basedOn w:val="1"/>
    <w:uiPriority w:val="0"/>
    <w:pPr>
      <w:pBdr>
        <w:top w:val="single" w:color="auto" w:sz="8" w:space="0"/>
        <w:left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308">
    <w:name w:val="xl145"/>
    <w:basedOn w:val="1"/>
    <w:uiPriority w:val="0"/>
    <w:pPr>
      <w:pBdr>
        <w:top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309">
    <w:name w:val="xl146"/>
    <w:basedOn w:val="1"/>
    <w:uiPriority w:val="0"/>
    <w:pPr>
      <w:pBdr>
        <w:top w:val="single" w:color="auto" w:sz="8" w:space="0"/>
        <w:right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310">
    <w:name w:val="xl147"/>
    <w:basedOn w:val="1"/>
    <w:uiPriority w:val="0"/>
    <w:pPr>
      <w:pBdr>
        <w:top w:val="single" w:color="auto" w:sz="8" w:space="0"/>
        <w:bottom w:val="single" w:color="auto" w:sz="8" w:space="0"/>
      </w:pBdr>
      <w:spacing w:before="100" w:beforeAutospacing="1" w:after="100" w:afterAutospacing="1"/>
      <w:textAlignment w:val="top"/>
    </w:pPr>
    <w:rPr>
      <w:sz w:val="20"/>
      <w:szCs w:val="20"/>
    </w:rPr>
  </w:style>
  <w:style w:type="paragraph" w:customStyle="1" w:styleId="311">
    <w:name w:val="xl148"/>
    <w:basedOn w:val="1"/>
    <w:uiPriority w:val="0"/>
    <w:pPr>
      <w:pBdr>
        <w:top w:val="single" w:color="auto" w:sz="8" w:space="0"/>
        <w:left w:val="single" w:color="auto" w:sz="8" w:space="0"/>
        <w:bottom w:val="single" w:color="auto" w:sz="8" w:space="0"/>
      </w:pBd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312">
    <w:name w:val="xl149"/>
    <w:basedOn w:val="1"/>
    <w:uiPriority w:val="0"/>
    <w:pPr>
      <w:pBdr>
        <w:top w:val="single" w:color="auto" w:sz="8" w:space="0"/>
        <w:bottom w:val="single" w:color="auto" w:sz="8" w:space="0"/>
      </w:pBd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313">
    <w:name w:val="xl150"/>
    <w:basedOn w:val="1"/>
    <w:uiPriority w:val="0"/>
    <w:pPr>
      <w:pBdr>
        <w:top w:val="single" w:color="auto" w:sz="8" w:space="0"/>
        <w:bottom w:val="single" w:color="auto" w:sz="8" w:space="0"/>
        <w:right w:val="single" w:color="auto" w:sz="8" w:space="0"/>
      </w:pBdr>
      <w:shd w:val="clear" w:color="000000" w:fill="C0C0C0"/>
      <w:spacing w:before="100" w:beforeAutospacing="1" w:after="100" w:afterAutospacing="1"/>
      <w:jc w:val="both"/>
      <w:textAlignment w:val="top"/>
    </w:pPr>
    <w:rPr>
      <w:rFonts w:ascii="Arial" w:hAnsi="Arial" w:cs="Arial"/>
      <w:b/>
      <w:bCs/>
      <w:color w:val="000000"/>
      <w:sz w:val="20"/>
      <w:szCs w:val="20"/>
    </w:rPr>
  </w:style>
  <w:style w:type="paragraph" w:customStyle="1" w:styleId="314">
    <w:name w:val="xl151"/>
    <w:basedOn w:val="1"/>
    <w:uiPriority w:val="0"/>
    <w:pPr>
      <w:pBdr>
        <w:top w:val="single" w:color="auto" w:sz="8" w:space="0"/>
      </w:pBdr>
      <w:spacing w:before="100" w:beforeAutospacing="1" w:after="100" w:afterAutospacing="1"/>
      <w:textAlignment w:val="top"/>
    </w:pPr>
    <w:rPr>
      <w:sz w:val="20"/>
      <w:szCs w:val="20"/>
    </w:rPr>
  </w:style>
  <w:style w:type="paragraph" w:customStyle="1" w:styleId="315">
    <w:name w:val="xl152"/>
    <w:basedOn w:val="1"/>
    <w:uiPriority w:val="0"/>
    <w:pPr>
      <w:pBdr>
        <w:bottom w:val="single" w:color="auto" w:sz="8" w:space="0"/>
        <w:right w:val="single" w:color="auto" w:sz="8" w:space="0"/>
      </w:pBdr>
      <w:shd w:val="clear" w:color="000000" w:fill="C0C0C0"/>
      <w:spacing w:before="100" w:beforeAutospacing="1" w:after="100" w:afterAutospacing="1"/>
      <w:textAlignment w:val="top"/>
    </w:pPr>
    <w:rPr>
      <w:sz w:val="20"/>
      <w:szCs w:val="20"/>
    </w:rPr>
  </w:style>
  <w:style w:type="paragraph" w:customStyle="1" w:styleId="316">
    <w:name w:val="xl153"/>
    <w:basedOn w:val="1"/>
    <w:uiPriority w:val="0"/>
    <w:pPr>
      <w:pBdr>
        <w:bottom w:val="single" w:color="auto" w:sz="8" w:space="0"/>
      </w:pBdr>
      <w:spacing w:before="100" w:beforeAutospacing="1" w:after="100" w:afterAutospacing="1"/>
      <w:jc w:val="center"/>
      <w:textAlignment w:val="top"/>
    </w:pPr>
    <w:rPr>
      <w:sz w:val="20"/>
      <w:szCs w:val="20"/>
    </w:rPr>
  </w:style>
  <w:style w:type="paragraph" w:customStyle="1" w:styleId="317">
    <w:name w:val="xl154"/>
    <w:basedOn w:val="1"/>
    <w:uiPriority w:val="0"/>
    <w:pPr>
      <w:pBdr>
        <w:top w:val="single" w:color="auto" w:sz="8" w:space="0"/>
        <w:left w:val="single" w:color="auto" w:sz="8" w:space="0"/>
        <w:bottom w:val="single" w:color="auto" w:sz="8" w:space="0"/>
      </w:pBdr>
      <w:shd w:val="clear" w:color="000000" w:fill="FFFF00"/>
      <w:spacing w:before="100" w:beforeAutospacing="1" w:after="100" w:afterAutospacing="1"/>
      <w:textAlignment w:val="top"/>
    </w:pPr>
    <w:rPr>
      <w:sz w:val="20"/>
      <w:szCs w:val="20"/>
    </w:rPr>
  </w:style>
  <w:style w:type="paragraph" w:customStyle="1" w:styleId="318">
    <w:name w:val="xl155"/>
    <w:basedOn w:val="1"/>
    <w:uiPriority w:val="0"/>
    <w:pPr>
      <w:pBdr>
        <w:top w:val="single" w:color="auto" w:sz="8" w:space="0"/>
        <w:bottom w:val="single" w:color="auto" w:sz="8" w:space="0"/>
      </w:pBdr>
      <w:shd w:val="clear" w:color="000000" w:fill="FFFF00"/>
      <w:spacing w:before="100" w:beforeAutospacing="1" w:after="100" w:afterAutospacing="1"/>
      <w:textAlignment w:val="top"/>
    </w:pPr>
    <w:rPr>
      <w:sz w:val="20"/>
      <w:szCs w:val="20"/>
    </w:rPr>
  </w:style>
  <w:style w:type="paragraph" w:customStyle="1" w:styleId="319">
    <w:name w:val="xl156"/>
    <w:basedOn w:val="1"/>
    <w:uiPriority w:val="0"/>
    <w:pPr>
      <w:pBdr>
        <w:top w:val="single" w:color="auto" w:sz="8" w:space="0"/>
        <w:bottom w:val="single" w:color="auto" w:sz="8" w:space="0"/>
        <w:right w:val="single" w:color="auto" w:sz="8" w:space="0"/>
      </w:pBdr>
      <w:shd w:val="clear" w:color="000000" w:fill="FFFF00"/>
      <w:spacing w:before="100" w:beforeAutospacing="1" w:after="100" w:afterAutospacing="1"/>
      <w:textAlignment w:val="top"/>
    </w:pPr>
    <w:rPr>
      <w:sz w:val="20"/>
      <w:szCs w:val="20"/>
    </w:rPr>
  </w:style>
  <w:style w:type="paragraph" w:customStyle="1" w:styleId="320">
    <w:name w:val="xl157"/>
    <w:basedOn w:val="1"/>
    <w:uiPriority w:val="0"/>
    <w:pPr>
      <w:pBdr>
        <w:top w:val="single" w:color="auto" w:sz="8" w:space="0"/>
        <w:bottom w:val="single" w:color="auto" w:sz="8" w:space="0"/>
      </w:pBdr>
      <w:shd w:val="clear" w:color="000000" w:fill="FFFFFF"/>
      <w:spacing w:before="100" w:beforeAutospacing="1" w:after="100" w:afterAutospacing="1"/>
      <w:textAlignment w:val="top"/>
    </w:pPr>
    <w:rPr>
      <w:sz w:val="20"/>
      <w:szCs w:val="20"/>
    </w:rPr>
  </w:style>
  <w:style w:type="paragraph" w:customStyle="1" w:styleId="321">
    <w:name w:val="xl158"/>
    <w:basedOn w:val="1"/>
    <w:uiPriority w:val="0"/>
    <w:pPr>
      <w:pBdr>
        <w:bottom w:val="single" w:color="auto" w:sz="8" w:space="0"/>
      </w:pBdr>
      <w:shd w:val="clear" w:color="000000" w:fill="FFFFFF"/>
      <w:spacing w:before="100" w:beforeAutospacing="1" w:after="100" w:afterAutospacing="1"/>
      <w:textAlignment w:val="top"/>
    </w:pPr>
    <w:rPr>
      <w:sz w:val="20"/>
      <w:szCs w:val="20"/>
    </w:rPr>
  </w:style>
  <w:style w:type="paragraph" w:customStyle="1" w:styleId="322">
    <w:name w:val="xl159"/>
    <w:basedOn w:val="1"/>
    <w:uiPriority w:val="0"/>
    <w:pPr>
      <w:pBdr>
        <w:top w:val="single" w:color="auto" w:sz="8" w:space="0"/>
        <w:left w:val="single" w:color="auto" w:sz="8" w:space="0"/>
        <w:bottom w:val="single" w:color="auto" w:sz="8" w:space="0"/>
      </w:pBdr>
      <w:spacing w:before="100" w:beforeAutospacing="1" w:after="100" w:afterAutospacing="1"/>
      <w:textAlignment w:val="top"/>
    </w:pPr>
    <w:rPr>
      <w:rFonts w:ascii="Arial" w:hAnsi="Arial" w:cs="Arial"/>
      <w:b/>
      <w:bCs/>
      <w:color w:val="000000"/>
      <w:sz w:val="20"/>
      <w:szCs w:val="20"/>
    </w:rPr>
  </w:style>
  <w:style w:type="paragraph" w:customStyle="1" w:styleId="323">
    <w:name w:val="xl160"/>
    <w:basedOn w:val="1"/>
    <w:uiPriority w:val="0"/>
    <w:pPr>
      <w:pBdr>
        <w:top w:val="single" w:color="auto" w:sz="8" w:space="0"/>
        <w:bottom w:val="single" w:color="auto" w:sz="8" w:space="0"/>
      </w:pBdr>
      <w:spacing w:before="100" w:beforeAutospacing="1" w:after="100" w:afterAutospacing="1"/>
      <w:textAlignment w:val="top"/>
    </w:pPr>
    <w:rPr>
      <w:rFonts w:ascii="Arial" w:hAnsi="Arial" w:cs="Arial"/>
      <w:b/>
      <w:bCs/>
      <w:color w:val="000000"/>
      <w:sz w:val="20"/>
      <w:szCs w:val="20"/>
    </w:rPr>
  </w:style>
  <w:style w:type="paragraph" w:customStyle="1" w:styleId="324">
    <w:name w:val="xl161"/>
    <w:basedOn w:val="1"/>
    <w:uiPriority w:val="0"/>
    <w:pPr>
      <w:pBdr>
        <w:top w:val="single" w:color="auto" w:sz="8" w:space="0"/>
        <w:bottom w:val="single" w:color="auto" w:sz="8" w:space="0"/>
        <w:right w:val="single" w:color="auto" w:sz="8" w:space="0"/>
      </w:pBdr>
      <w:spacing w:before="100" w:beforeAutospacing="1" w:after="100" w:afterAutospacing="1"/>
      <w:textAlignment w:val="top"/>
    </w:pPr>
    <w:rPr>
      <w:rFonts w:ascii="Arial" w:hAnsi="Arial" w:cs="Arial"/>
      <w:b/>
      <w:bCs/>
      <w:color w:val="000000"/>
      <w:sz w:val="20"/>
      <w:szCs w:val="20"/>
    </w:rPr>
  </w:style>
  <w:style w:type="paragraph" w:customStyle="1" w:styleId="325">
    <w:name w:val="xl162"/>
    <w:basedOn w:val="1"/>
    <w:uiPriority w:val="0"/>
    <w:pPr>
      <w:pBdr>
        <w:left w:val="single" w:color="auto" w:sz="8" w:space="0"/>
        <w:bottom w:val="single" w:color="auto" w:sz="8" w:space="0"/>
      </w:pBdr>
      <w:shd w:val="clear" w:color="000000" w:fill="C0C0C0"/>
      <w:spacing w:before="100" w:beforeAutospacing="1" w:after="100" w:afterAutospacing="1"/>
      <w:jc w:val="center"/>
      <w:textAlignment w:val="top"/>
    </w:pPr>
    <w:rPr>
      <w:rFonts w:ascii="Arial" w:hAnsi="Arial" w:cs="Arial"/>
      <w:color w:val="000000"/>
      <w:sz w:val="20"/>
      <w:szCs w:val="20"/>
    </w:rPr>
  </w:style>
  <w:style w:type="paragraph" w:customStyle="1" w:styleId="326">
    <w:name w:val="xl163"/>
    <w:basedOn w:val="1"/>
    <w:uiPriority w:val="0"/>
    <w:pPr>
      <w:pBdr>
        <w:bottom w:val="single" w:color="auto" w:sz="8" w:space="0"/>
      </w:pBdr>
      <w:shd w:val="clear" w:color="000000" w:fill="C0C0C0"/>
      <w:spacing w:before="100" w:beforeAutospacing="1" w:after="100" w:afterAutospacing="1"/>
      <w:jc w:val="center"/>
      <w:textAlignment w:val="top"/>
    </w:pPr>
    <w:rPr>
      <w:rFonts w:ascii="Arial" w:hAnsi="Arial" w:cs="Arial"/>
      <w:color w:val="000000"/>
      <w:sz w:val="20"/>
      <w:szCs w:val="20"/>
    </w:rPr>
  </w:style>
  <w:style w:type="paragraph" w:customStyle="1" w:styleId="327">
    <w:name w:val="xl164"/>
    <w:basedOn w:val="1"/>
    <w:uiPriority w:val="0"/>
    <w:pPr>
      <w:pBdr>
        <w:top w:val="single" w:color="auto" w:sz="8" w:space="0"/>
        <w:left w:val="single" w:color="auto" w:sz="8" w:space="0"/>
        <w:bottom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328">
    <w:name w:val="xl165"/>
    <w:basedOn w:val="1"/>
    <w:uiPriority w:val="0"/>
    <w:pPr>
      <w:pBdr>
        <w:top w:val="single" w:color="auto" w:sz="8" w:space="0"/>
        <w:bottom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329">
    <w:name w:val="xl166"/>
    <w:basedOn w:val="1"/>
    <w:uiPriority w:val="0"/>
    <w:pPr>
      <w:pBdr>
        <w:top w:val="single" w:color="auto" w:sz="8" w:space="0"/>
        <w:bottom w:val="single" w:color="auto" w:sz="8" w:space="0"/>
        <w:right w:val="single" w:color="auto" w:sz="8" w:space="0"/>
      </w:pBdr>
      <w:shd w:val="clear" w:color="000000" w:fill="C0C0C0"/>
      <w:spacing w:before="100" w:beforeAutospacing="1" w:after="100" w:afterAutospacing="1"/>
      <w:jc w:val="center"/>
      <w:textAlignment w:val="top"/>
    </w:pPr>
    <w:rPr>
      <w:rFonts w:ascii="Arial" w:hAnsi="Arial" w:cs="Arial"/>
      <w:b/>
      <w:bCs/>
      <w:color w:val="000000"/>
      <w:sz w:val="20"/>
      <w:szCs w:val="20"/>
    </w:rPr>
  </w:style>
  <w:style w:type="paragraph" w:customStyle="1" w:styleId="330">
    <w:name w:val="xl167"/>
    <w:basedOn w:val="1"/>
    <w:uiPriority w:val="0"/>
    <w:pPr>
      <w:pBdr>
        <w:top w:val="single" w:color="auto" w:sz="8" w:space="0"/>
        <w:left w:val="single" w:color="auto" w:sz="8" w:space="0"/>
        <w:bottom w:val="single" w:color="auto" w:sz="8" w:space="0"/>
      </w:pBdr>
      <w:shd w:val="clear" w:color="000000" w:fill="CCC0D9"/>
      <w:spacing w:before="100" w:beforeAutospacing="1" w:after="100" w:afterAutospacing="1"/>
      <w:jc w:val="both"/>
      <w:textAlignment w:val="top"/>
    </w:pPr>
    <w:rPr>
      <w:rFonts w:ascii="Arial" w:hAnsi="Arial" w:cs="Arial"/>
      <w:b/>
      <w:bCs/>
      <w:color w:val="000000"/>
      <w:sz w:val="20"/>
      <w:szCs w:val="20"/>
    </w:rPr>
  </w:style>
  <w:style w:type="paragraph" w:customStyle="1" w:styleId="331">
    <w:name w:val="xl168"/>
    <w:basedOn w:val="1"/>
    <w:uiPriority w:val="0"/>
    <w:pPr>
      <w:pBdr>
        <w:top w:val="single" w:color="auto" w:sz="8" w:space="0"/>
        <w:bottom w:val="single" w:color="auto" w:sz="8" w:space="0"/>
      </w:pBdr>
      <w:shd w:val="clear" w:color="000000" w:fill="CCC0D9"/>
      <w:spacing w:before="100" w:beforeAutospacing="1" w:after="100" w:afterAutospacing="1"/>
      <w:jc w:val="both"/>
      <w:textAlignment w:val="top"/>
    </w:pPr>
    <w:rPr>
      <w:rFonts w:ascii="Arial" w:hAnsi="Arial" w:cs="Arial"/>
      <w:b/>
      <w:bCs/>
      <w:color w:val="000000"/>
      <w:sz w:val="20"/>
      <w:szCs w:val="20"/>
    </w:rPr>
  </w:style>
  <w:style w:type="paragraph" w:customStyle="1" w:styleId="332">
    <w:name w:val="xl169"/>
    <w:basedOn w:val="1"/>
    <w:uiPriority w:val="0"/>
    <w:pPr>
      <w:pBdr>
        <w:top w:val="single" w:color="auto" w:sz="8" w:space="0"/>
        <w:bottom w:val="single" w:color="auto" w:sz="8" w:space="0"/>
        <w:right w:val="single" w:color="auto" w:sz="8" w:space="0"/>
      </w:pBdr>
      <w:shd w:val="clear" w:color="000000" w:fill="CCC0D9"/>
      <w:spacing w:before="100" w:beforeAutospacing="1" w:after="100" w:afterAutospacing="1"/>
      <w:jc w:val="both"/>
      <w:textAlignment w:val="top"/>
    </w:pPr>
    <w:rPr>
      <w:rFonts w:ascii="Arial" w:hAnsi="Arial" w:cs="Arial"/>
      <w:b/>
      <w:bCs/>
      <w:color w:val="000000"/>
      <w:sz w:val="20"/>
      <w:szCs w:val="20"/>
    </w:rPr>
  </w:style>
  <w:style w:type="paragraph" w:customStyle="1" w:styleId="333">
    <w:name w:val="xl170"/>
    <w:basedOn w:val="1"/>
    <w:uiPriority w:val="0"/>
    <w:pPr>
      <w:pBdr>
        <w:top w:val="single" w:color="auto" w:sz="8" w:space="0"/>
        <w:left w:val="single" w:color="auto" w:sz="8" w:space="0"/>
      </w:pBdr>
      <w:shd w:val="clear" w:color="000000" w:fill="FFFFFF"/>
      <w:spacing w:before="100" w:beforeAutospacing="1" w:after="100" w:afterAutospacing="1"/>
      <w:jc w:val="both"/>
      <w:textAlignment w:val="top"/>
    </w:pPr>
    <w:rPr>
      <w:rFonts w:ascii="Arial" w:hAnsi="Arial" w:cs="Arial"/>
      <w:b/>
      <w:bCs/>
      <w:color w:val="000000"/>
      <w:sz w:val="20"/>
      <w:szCs w:val="20"/>
    </w:rPr>
  </w:style>
  <w:style w:type="paragraph" w:customStyle="1" w:styleId="334">
    <w:name w:val="xl171"/>
    <w:basedOn w:val="1"/>
    <w:uiPriority w:val="0"/>
    <w:pPr>
      <w:pBdr>
        <w:top w:val="single" w:color="auto" w:sz="8" w:space="0"/>
      </w:pBdr>
      <w:shd w:val="clear" w:color="000000" w:fill="FFFFFF"/>
      <w:spacing w:before="100" w:beforeAutospacing="1" w:after="100" w:afterAutospacing="1"/>
      <w:jc w:val="both"/>
      <w:textAlignment w:val="top"/>
    </w:pPr>
    <w:rPr>
      <w:rFonts w:ascii="Arial" w:hAnsi="Arial" w:cs="Arial"/>
      <w:b/>
      <w:bCs/>
      <w:color w:val="000000"/>
      <w:sz w:val="20"/>
      <w:szCs w:val="20"/>
    </w:rPr>
  </w:style>
  <w:style w:type="paragraph" w:customStyle="1" w:styleId="335">
    <w:name w:val="xl172"/>
    <w:basedOn w:val="1"/>
    <w:uiPriority w:val="0"/>
    <w:pPr>
      <w:pBdr>
        <w:top w:val="single" w:color="auto" w:sz="8" w:space="0"/>
        <w:right w:val="single" w:color="auto" w:sz="8" w:space="0"/>
      </w:pBdr>
      <w:shd w:val="clear" w:color="000000" w:fill="FFFFFF"/>
      <w:spacing w:before="100" w:beforeAutospacing="1" w:after="100" w:afterAutospacing="1"/>
      <w:jc w:val="both"/>
      <w:textAlignment w:val="top"/>
    </w:pPr>
    <w:rPr>
      <w:rFonts w:ascii="Arial" w:hAnsi="Arial" w:cs="Arial"/>
      <w:b/>
      <w:bCs/>
      <w:color w:val="000000"/>
      <w:sz w:val="20"/>
      <w:szCs w:val="20"/>
    </w:rPr>
  </w:style>
  <w:style w:type="paragraph" w:customStyle="1" w:styleId="336">
    <w:name w:val="xl173"/>
    <w:basedOn w:val="1"/>
    <w:uiPriority w:val="0"/>
    <w:pPr>
      <w:pBdr>
        <w:left w:val="single" w:color="auto" w:sz="8" w:space="0"/>
        <w:bottom w:val="single" w:color="auto" w:sz="8" w:space="0"/>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337">
    <w:name w:val="xl174"/>
    <w:basedOn w:val="1"/>
    <w:uiPriority w:val="0"/>
    <w:pPr>
      <w:pBdr>
        <w:bottom w:val="single" w:color="auto" w:sz="8" w:space="0"/>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338">
    <w:name w:val="xl175"/>
    <w:basedOn w:val="1"/>
    <w:uiPriority w:val="0"/>
    <w:pPr>
      <w:pBdr>
        <w:bottom w:val="single" w:color="auto" w:sz="8" w:space="0"/>
        <w:right w:val="single" w:color="auto" w:sz="8" w:space="0"/>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339">
    <w:name w:val="xl176"/>
    <w:basedOn w:val="1"/>
    <w:uiPriority w:val="0"/>
    <w:pPr>
      <w:pBdr>
        <w:top w:val="single" w:color="auto" w:sz="8" w:space="0"/>
        <w:left w:val="single" w:color="auto" w:sz="8" w:space="0"/>
        <w:bottom w:val="single" w:color="auto" w:sz="8" w:space="0"/>
      </w:pBdr>
      <w:shd w:val="clear" w:color="000000" w:fill="C0C0C0"/>
      <w:spacing w:before="100" w:beforeAutospacing="1" w:after="100" w:afterAutospacing="1"/>
      <w:jc w:val="both"/>
      <w:textAlignment w:val="top"/>
    </w:pPr>
    <w:rPr>
      <w:rFonts w:ascii="Arial" w:hAnsi="Arial" w:cs="Arial"/>
      <w:color w:val="000000"/>
      <w:sz w:val="20"/>
      <w:szCs w:val="20"/>
    </w:rPr>
  </w:style>
  <w:style w:type="paragraph" w:customStyle="1" w:styleId="340">
    <w:name w:val="xl177"/>
    <w:basedOn w:val="1"/>
    <w:uiPriority w:val="0"/>
    <w:pPr>
      <w:pBdr>
        <w:top w:val="single" w:color="auto" w:sz="8" w:space="0"/>
        <w:bottom w:val="single" w:color="auto" w:sz="8" w:space="0"/>
        <w:right w:val="single" w:color="auto" w:sz="8" w:space="0"/>
      </w:pBdr>
      <w:shd w:val="clear" w:color="000000" w:fill="C0C0C0"/>
      <w:spacing w:before="100" w:beforeAutospacing="1" w:after="100" w:afterAutospacing="1"/>
      <w:jc w:val="both"/>
      <w:textAlignment w:val="top"/>
    </w:pPr>
    <w:rPr>
      <w:rFonts w:ascii="Arial" w:hAnsi="Arial" w:cs="Arial"/>
      <w:color w:val="000000"/>
      <w:sz w:val="20"/>
      <w:szCs w:val="20"/>
    </w:rPr>
  </w:style>
  <w:style w:type="paragraph" w:customStyle="1" w:styleId="341">
    <w:name w:val="xl178"/>
    <w:basedOn w:val="1"/>
    <w:uiPriority w:val="0"/>
    <w:pPr>
      <w:pBdr>
        <w:top w:val="single" w:color="auto" w:sz="8" w:space="0"/>
        <w:left w:val="single" w:color="auto" w:sz="8" w:space="0"/>
        <w:bottom w:val="single" w:color="auto" w:sz="8" w:space="0"/>
      </w:pBdr>
      <w:spacing w:before="100" w:beforeAutospacing="1" w:after="100" w:afterAutospacing="1"/>
      <w:jc w:val="center"/>
      <w:textAlignment w:val="top"/>
    </w:pPr>
    <w:rPr>
      <w:rFonts w:ascii="Arial" w:hAnsi="Arial" w:cs="Arial"/>
      <w:color w:val="000000"/>
      <w:sz w:val="20"/>
      <w:szCs w:val="20"/>
    </w:rPr>
  </w:style>
  <w:style w:type="paragraph" w:customStyle="1" w:styleId="342">
    <w:name w:val="xl179"/>
    <w:basedOn w:val="1"/>
    <w:uiPriority w:val="0"/>
    <w:pPr>
      <w:pBdr>
        <w:top w:val="single" w:color="auto" w:sz="8" w:space="0"/>
        <w:bottom w:val="single" w:color="auto" w:sz="8" w:space="0"/>
        <w:right w:val="single" w:color="auto" w:sz="8" w:space="0"/>
      </w:pBdr>
      <w:spacing w:before="100" w:beforeAutospacing="1" w:after="100" w:afterAutospacing="1"/>
      <w:jc w:val="center"/>
      <w:textAlignment w:val="top"/>
    </w:pPr>
    <w:rPr>
      <w:rFonts w:ascii="Arial" w:hAnsi="Arial" w:cs="Arial"/>
      <w:color w:val="000000"/>
      <w:sz w:val="20"/>
      <w:szCs w:val="20"/>
    </w:rPr>
  </w:style>
  <w:style w:type="paragraph" w:customStyle="1" w:styleId="343">
    <w:name w:val="xl180"/>
    <w:basedOn w:val="1"/>
    <w:uiPriority w:val="0"/>
    <w:pPr>
      <w:pBdr>
        <w:top w:val="single" w:color="auto" w:sz="8" w:space="0"/>
        <w:left w:val="single" w:color="auto" w:sz="8" w:space="0"/>
        <w:bottom w:val="single" w:color="auto" w:sz="8" w:space="0"/>
      </w:pBdr>
      <w:shd w:val="clear" w:color="000000" w:fill="C0C0C0"/>
      <w:spacing w:before="100" w:beforeAutospacing="1" w:after="100" w:afterAutospacing="1"/>
      <w:jc w:val="center"/>
      <w:textAlignment w:val="top"/>
    </w:pPr>
    <w:rPr>
      <w:rFonts w:ascii="Arial" w:hAnsi="Arial" w:cs="Arial"/>
      <w:color w:val="000000"/>
      <w:sz w:val="20"/>
      <w:szCs w:val="20"/>
    </w:rPr>
  </w:style>
  <w:style w:type="paragraph" w:customStyle="1" w:styleId="344">
    <w:name w:val="xl181"/>
    <w:basedOn w:val="1"/>
    <w:uiPriority w:val="0"/>
    <w:pPr>
      <w:pBdr>
        <w:top w:val="single" w:color="auto" w:sz="8" w:space="0"/>
        <w:bottom w:val="single" w:color="auto" w:sz="8" w:space="0"/>
        <w:right w:val="single" w:color="auto" w:sz="8" w:space="0"/>
      </w:pBdr>
      <w:shd w:val="clear" w:color="000000" w:fill="C0C0C0"/>
      <w:spacing w:before="100" w:beforeAutospacing="1" w:after="100" w:afterAutospacing="1"/>
      <w:jc w:val="center"/>
      <w:textAlignment w:val="top"/>
    </w:pPr>
    <w:rPr>
      <w:rFonts w:ascii="Arial" w:hAnsi="Arial" w:cs="Arial"/>
      <w:color w:val="000000"/>
      <w:sz w:val="20"/>
      <w:szCs w:val="20"/>
    </w:rPr>
  </w:style>
  <w:style w:type="paragraph" w:customStyle="1" w:styleId="345">
    <w:name w:val="xl182"/>
    <w:basedOn w:val="1"/>
    <w:uiPriority w:val="0"/>
    <w:pPr>
      <w:pBdr>
        <w:top w:val="single" w:color="auto" w:sz="8" w:space="0"/>
        <w:bottom w:val="single" w:color="000000" w:sz="8" w:space="0"/>
      </w:pBdr>
      <w:spacing w:before="100" w:beforeAutospacing="1" w:after="100" w:afterAutospacing="1"/>
      <w:textAlignment w:val="top"/>
    </w:pPr>
    <w:rPr>
      <w:sz w:val="20"/>
      <w:szCs w:val="20"/>
    </w:rPr>
  </w:style>
  <w:style w:type="paragraph" w:customStyle="1" w:styleId="346">
    <w:name w:val="xl183"/>
    <w:basedOn w:val="1"/>
    <w:uiPriority w:val="0"/>
    <w:pPr>
      <w:pBdr>
        <w:bottom w:val="single" w:color="000000" w:sz="8" w:space="0"/>
      </w:pBdr>
      <w:spacing w:before="100" w:beforeAutospacing="1" w:after="100" w:afterAutospacing="1"/>
      <w:textAlignment w:val="top"/>
    </w:pPr>
    <w:rPr>
      <w:sz w:val="20"/>
      <w:szCs w:val="20"/>
    </w:rPr>
  </w:style>
  <w:style w:type="paragraph" w:customStyle="1" w:styleId="347">
    <w:name w:val="xl184"/>
    <w:basedOn w:val="1"/>
    <w:uiPriority w:val="0"/>
    <w:pPr>
      <w:pBdr>
        <w:top w:val="single" w:color="000000" w:sz="8" w:space="0"/>
        <w:bottom w:val="single" w:color="000000" w:sz="8" w:space="0"/>
      </w:pBdr>
      <w:spacing w:before="100" w:beforeAutospacing="1" w:after="100" w:afterAutospacing="1"/>
      <w:jc w:val="both"/>
      <w:textAlignment w:val="top"/>
    </w:pPr>
    <w:rPr>
      <w:rFonts w:ascii="Arial" w:hAnsi="Arial" w:cs="Arial"/>
      <w:b/>
      <w:bCs/>
      <w:color w:val="000000"/>
      <w:sz w:val="20"/>
      <w:szCs w:val="20"/>
      <w:u w:val="single"/>
    </w:rPr>
  </w:style>
  <w:style w:type="paragraph" w:customStyle="1" w:styleId="348">
    <w:name w:val="xl185"/>
    <w:basedOn w:val="1"/>
    <w:uiPriority w:val="0"/>
    <w:pPr>
      <w:pBdr>
        <w:top w:val="single" w:color="000000" w:sz="8" w:space="0"/>
        <w:bottom w:val="single" w:color="000000" w:sz="8" w:space="0"/>
      </w:pBdr>
      <w:spacing w:before="100" w:beforeAutospacing="1" w:after="100" w:afterAutospacing="1"/>
      <w:jc w:val="right"/>
      <w:textAlignment w:val="top"/>
    </w:pPr>
    <w:rPr>
      <w:rFonts w:ascii="Arial" w:hAnsi="Arial" w:cs="Arial"/>
      <w:b/>
      <w:bCs/>
      <w:color w:val="000000"/>
      <w:sz w:val="20"/>
      <w:szCs w:val="20"/>
      <w:u w:val="single"/>
    </w:rPr>
  </w:style>
  <w:style w:type="paragraph" w:customStyle="1" w:styleId="349">
    <w:name w:val="xl186"/>
    <w:basedOn w:val="1"/>
    <w:uiPriority w:val="0"/>
    <w:pPr>
      <w:pBdr>
        <w:bottom w:val="single" w:color="000000" w:sz="8" w:space="0"/>
      </w:pBdr>
      <w:spacing w:before="100" w:beforeAutospacing="1" w:after="100" w:afterAutospacing="1"/>
      <w:jc w:val="right"/>
      <w:textAlignment w:val="top"/>
    </w:pPr>
    <w:rPr>
      <w:rFonts w:ascii="Arial" w:hAnsi="Arial" w:cs="Arial"/>
      <w:b/>
      <w:bCs/>
      <w:color w:val="000000"/>
      <w:sz w:val="20"/>
      <w:szCs w:val="20"/>
      <w:u w:val="single"/>
    </w:rPr>
  </w:style>
  <w:style w:type="paragraph" w:customStyle="1" w:styleId="350">
    <w:name w:val="xl187"/>
    <w:basedOn w:val="1"/>
    <w:uiPriority w:val="0"/>
    <w:pPr>
      <w:pBdr>
        <w:top w:val="single" w:color="auto" w:sz="8" w:space="0"/>
        <w:left w:val="single" w:color="auto" w:sz="8" w:space="0"/>
        <w:bottom w:val="single" w:color="auto" w:sz="8" w:space="0"/>
      </w:pBdr>
      <w:shd w:val="clear" w:color="000000" w:fill="C0C0C0"/>
      <w:spacing w:before="100" w:beforeAutospacing="1" w:after="100" w:afterAutospacing="1"/>
      <w:textAlignment w:val="top"/>
    </w:pPr>
    <w:rPr>
      <w:rFonts w:ascii="Arial" w:hAnsi="Arial" w:cs="Arial"/>
      <w:color w:val="000000"/>
      <w:sz w:val="20"/>
      <w:szCs w:val="20"/>
    </w:rPr>
  </w:style>
  <w:style w:type="paragraph" w:customStyle="1" w:styleId="351">
    <w:name w:val="xl188"/>
    <w:basedOn w:val="1"/>
    <w:uiPriority w:val="0"/>
    <w:pPr>
      <w:pBdr>
        <w:top w:val="single" w:color="auto" w:sz="8" w:space="0"/>
        <w:bottom w:val="single" w:color="auto" w:sz="8" w:space="0"/>
        <w:right w:val="single" w:color="auto" w:sz="8" w:space="0"/>
      </w:pBdr>
      <w:shd w:val="clear" w:color="000000" w:fill="C0C0C0"/>
      <w:spacing w:before="100" w:beforeAutospacing="1" w:after="100" w:afterAutospacing="1"/>
      <w:textAlignment w:val="top"/>
    </w:pPr>
    <w:rPr>
      <w:rFonts w:ascii="Arial" w:hAnsi="Arial" w:cs="Arial"/>
      <w:color w:val="000000"/>
      <w:sz w:val="20"/>
      <w:szCs w:val="20"/>
    </w:rPr>
  </w:style>
  <w:style w:type="paragraph" w:customStyle="1" w:styleId="352">
    <w:name w:val="xl189"/>
    <w:basedOn w:val="1"/>
    <w:uiPriority w:val="0"/>
    <w:pPr>
      <w:pBdr>
        <w:top w:val="single" w:color="auto" w:sz="8" w:space="0"/>
        <w:left w:val="single" w:color="auto" w:sz="8" w:space="0"/>
        <w:bottom w:val="single" w:color="auto" w:sz="8" w:space="0"/>
      </w:pBdr>
      <w:spacing w:before="100" w:beforeAutospacing="1" w:after="100" w:afterAutospacing="1"/>
      <w:textAlignment w:val="top"/>
    </w:pPr>
    <w:rPr>
      <w:rFonts w:ascii="Arial" w:hAnsi="Arial" w:cs="Arial"/>
      <w:color w:val="000000"/>
      <w:sz w:val="20"/>
      <w:szCs w:val="20"/>
    </w:rPr>
  </w:style>
  <w:style w:type="paragraph" w:customStyle="1" w:styleId="353">
    <w:name w:val="xl190"/>
    <w:basedOn w:val="1"/>
    <w:uiPriority w:val="0"/>
    <w:pPr>
      <w:pBdr>
        <w:top w:val="single" w:color="auto" w:sz="8" w:space="0"/>
        <w:bottom w:val="single" w:color="auto" w:sz="8" w:space="0"/>
        <w:right w:val="single" w:color="auto" w:sz="8" w:space="0"/>
      </w:pBdr>
      <w:spacing w:before="100" w:beforeAutospacing="1" w:after="100" w:afterAutospacing="1"/>
      <w:textAlignment w:val="top"/>
    </w:pPr>
    <w:rPr>
      <w:rFonts w:ascii="Arial" w:hAnsi="Arial" w:cs="Arial"/>
      <w:color w:val="000000"/>
      <w:sz w:val="20"/>
      <w:szCs w:val="20"/>
    </w:rPr>
  </w:style>
  <w:style w:type="paragraph" w:customStyle="1" w:styleId="354">
    <w:name w:val="xl191"/>
    <w:basedOn w:val="1"/>
    <w:uiPriority w:val="0"/>
    <w:pPr>
      <w:pBdr>
        <w:bottom w:val="single" w:color="auto" w:sz="8" w:space="0"/>
        <w:right w:val="single" w:color="auto" w:sz="8" w:space="0"/>
      </w:pBdr>
      <w:shd w:val="clear" w:color="000000" w:fill="C0C0C0"/>
      <w:spacing w:before="100" w:beforeAutospacing="1" w:after="100" w:afterAutospacing="1"/>
      <w:textAlignment w:val="top"/>
    </w:pPr>
    <w:rPr>
      <w:rFonts w:ascii="Arial" w:hAnsi="Arial" w:cs="Arial"/>
      <w:color w:val="000000"/>
      <w:sz w:val="20"/>
      <w:szCs w:val="20"/>
    </w:rPr>
  </w:style>
  <w:style w:type="paragraph" w:customStyle="1" w:styleId="355">
    <w:name w:val="xl192"/>
    <w:basedOn w:val="1"/>
    <w:uiPriority w:val="0"/>
    <w:pPr>
      <w:pBdr>
        <w:bottom w:val="single" w:color="auto" w:sz="8" w:space="0"/>
        <w:right w:val="single" w:color="auto" w:sz="8" w:space="0"/>
      </w:pBdr>
      <w:spacing w:before="100" w:beforeAutospacing="1" w:after="100" w:afterAutospacing="1"/>
      <w:textAlignment w:val="top"/>
    </w:pPr>
    <w:rPr>
      <w:rFonts w:ascii="Arial" w:hAnsi="Arial" w:cs="Arial"/>
      <w:color w:val="000000"/>
      <w:sz w:val="20"/>
      <w:szCs w:val="20"/>
    </w:rPr>
  </w:style>
  <w:style w:type="paragraph" w:customStyle="1" w:styleId="356">
    <w:name w:val="xl193"/>
    <w:basedOn w:val="1"/>
    <w:uiPriority w:val="0"/>
    <w:pPr>
      <w:pBdr>
        <w:top w:val="single" w:color="auto" w:sz="8" w:space="0"/>
        <w:left w:val="single" w:color="auto" w:sz="8" w:space="0"/>
        <w:right w:val="single" w:color="auto" w:sz="8" w:space="0"/>
      </w:pBdr>
      <w:spacing w:before="100" w:beforeAutospacing="1" w:after="100" w:afterAutospacing="1"/>
      <w:jc w:val="center"/>
      <w:textAlignment w:val="top"/>
    </w:pPr>
    <w:rPr>
      <w:sz w:val="20"/>
      <w:szCs w:val="20"/>
    </w:rPr>
  </w:style>
  <w:style w:type="paragraph" w:customStyle="1" w:styleId="357">
    <w:name w:val="xl194"/>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top"/>
    </w:pPr>
    <w:rPr>
      <w:sz w:val="20"/>
      <w:szCs w:val="20"/>
    </w:rPr>
  </w:style>
  <w:style w:type="paragraph" w:customStyle="1" w:styleId="358">
    <w:name w:val="xl195"/>
    <w:basedOn w:val="1"/>
    <w:uiPriority w:val="0"/>
    <w:pPr>
      <w:pBdr>
        <w:bottom w:val="single" w:color="auto" w:sz="8" w:space="0"/>
        <w:right w:val="single" w:color="auto" w:sz="8" w:space="0"/>
      </w:pBdr>
      <w:shd w:val="clear" w:color="000000" w:fill="C0C0C0"/>
      <w:spacing w:before="100" w:beforeAutospacing="1" w:after="100" w:afterAutospacing="1"/>
      <w:jc w:val="center"/>
      <w:textAlignment w:val="top"/>
    </w:pPr>
    <w:rPr>
      <w:sz w:val="20"/>
      <w:szCs w:val="20"/>
    </w:rPr>
  </w:style>
  <w:style w:type="paragraph" w:customStyle="1" w:styleId="359">
    <w:name w:val="xl196"/>
    <w:basedOn w:val="1"/>
    <w:uiPriority w:val="0"/>
    <w:pPr>
      <w:pBdr>
        <w:bottom w:val="single" w:color="auto" w:sz="8" w:space="0"/>
      </w:pBdr>
      <w:shd w:val="clear" w:color="000000" w:fill="FFFFFF"/>
      <w:spacing w:before="100" w:beforeAutospacing="1" w:after="100" w:afterAutospacing="1"/>
      <w:jc w:val="center"/>
      <w:textAlignment w:val="top"/>
    </w:pPr>
    <w:rPr>
      <w:sz w:val="20"/>
      <w:szCs w:val="20"/>
    </w:rPr>
  </w:style>
  <w:style w:type="paragraph" w:customStyle="1" w:styleId="360">
    <w:name w:val="font0"/>
    <w:basedOn w:val="1"/>
    <w:uiPriority w:val="0"/>
    <w:pPr>
      <w:spacing w:before="100" w:beforeAutospacing="1" w:after="100" w:afterAutospacing="1"/>
    </w:pPr>
    <w:rPr>
      <w:rFonts w:ascii="Arial" w:hAnsi="Arial" w:eastAsia="Arial Unicode MS" w:cs="Arial"/>
      <w:sz w:val="20"/>
      <w:szCs w:val="20"/>
    </w:rPr>
  </w:style>
  <w:style w:type="paragraph" w:customStyle="1" w:styleId="361">
    <w:name w:val="texto1"/>
    <w:basedOn w:val="1"/>
    <w:uiPriority w:val="0"/>
    <w:pPr>
      <w:widowControl w:val="0"/>
      <w:adjustRightInd w:val="0"/>
      <w:spacing w:before="100" w:after="100" w:line="300" w:lineRule="atLeast"/>
      <w:jc w:val="both"/>
      <w:textAlignment w:val="baseline"/>
    </w:pPr>
    <w:rPr>
      <w:rFonts w:ascii="Arial" w:hAnsi="Arial"/>
      <w:sz w:val="17"/>
      <w:szCs w:val="20"/>
    </w:rPr>
  </w:style>
  <w:style w:type="character" w:customStyle="1" w:styleId="362">
    <w:name w:val="Sem Espaçamento Carácter"/>
    <w:uiPriority w:val="0"/>
    <w:rPr>
      <w:rFonts w:ascii="Calibri" w:hAnsi="Calibri"/>
      <w:sz w:val="22"/>
      <w:szCs w:val="22"/>
      <w:lang w:val="pt-BR" w:eastAsia="en-US" w:bidi="ar-SA"/>
    </w:rPr>
  </w:style>
  <w:style w:type="paragraph" w:customStyle="1" w:styleId="363">
    <w:name w:val="Texto simples1"/>
    <w:basedOn w:val="1"/>
    <w:uiPriority w:val="0"/>
    <w:pPr>
      <w:widowControl w:val="0"/>
      <w:suppressAutoHyphens/>
      <w:spacing w:line="360" w:lineRule="atLeast"/>
      <w:jc w:val="both"/>
    </w:pPr>
    <w:rPr>
      <w:rFonts w:ascii="Courier New" w:hAnsi="Courier New"/>
      <w:sz w:val="20"/>
      <w:szCs w:val="20"/>
      <w:lang w:eastAsia="ar-SA"/>
    </w:rPr>
  </w:style>
  <w:style w:type="character" w:customStyle="1" w:styleId="364">
    <w:name w:val="Char Char13"/>
    <w:uiPriority w:val="0"/>
    <w:rPr>
      <w:rFonts w:ascii="Arial" w:hAnsi="Arial" w:cs="Arial"/>
      <w:sz w:val="24"/>
      <w:szCs w:val="24"/>
      <w:lang w:val="pt-BR" w:eastAsia="pt-BR" w:bidi="ar-SA"/>
    </w:rPr>
  </w:style>
  <w:style w:type="paragraph" w:customStyle="1" w:styleId="365">
    <w:name w:val="Text body"/>
    <w:basedOn w:val="1"/>
    <w:uiPriority w:val="0"/>
    <w:pPr>
      <w:widowControl w:val="0"/>
      <w:suppressAutoHyphens/>
      <w:autoSpaceDN w:val="0"/>
      <w:spacing w:after="120"/>
    </w:pPr>
    <w:rPr>
      <w:rFonts w:eastAsia="Lucida Sans Unicode" w:cs="Tahoma"/>
      <w:kern w:val="3"/>
    </w:rPr>
  </w:style>
  <w:style w:type="paragraph" w:customStyle="1" w:styleId="366">
    <w:name w:val="Título da tabela"/>
    <w:basedOn w:val="237"/>
    <w:uiPriority w:val="0"/>
    <w:pPr>
      <w:widowControl w:val="0"/>
      <w:spacing w:before="0" w:beforeAutospacing="0"/>
      <w:jc w:val="center"/>
    </w:pPr>
    <w:rPr>
      <w:rFonts w:eastAsia="Lucida Sans Unicode" w:cs="Times New Roman"/>
      <w:b/>
      <w:bCs/>
      <w:kern w:val="1"/>
      <w:sz w:val="20"/>
      <w:szCs w:val="24"/>
      <w:lang w:eastAsia="en-US"/>
    </w:rPr>
  </w:style>
  <w:style w:type="paragraph" w:customStyle="1" w:styleId="367">
    <w:name w:val="xl197"/>
    <w:basedOn w:val="1"/>
    <w:uiPriority w:val="0"/>
    <w:pPr>
      <w:pBdr>
        <w:top w:val="single" w:color="auto" w:sz="4" w:space="0"/>
        <w:bottom w:val="single" w:color="auto" w:sz="4" w:space="0"/>
        <w:right w:val="single" w:color="auto" w:sz="8" w:space="0"/>
      </w:pBdr>
      <w:spacing w:before="100" w:beforeAutospacing="1" w:after="100" w:afterAutospacing="1"/>
    </w:pPr>
    <w:rPr>
      <w:rFonts w:ascii="Arial" w:hAnsi="Arial" w:cs="Arial"/>
    </w:rPr>
  </w:style>
  <w:style w:type="paragraph" w:customStyle="1" w:styleId="368">
    <w:name w:val="xl198"/>
    <w:basedOn w:val="1"/>
    <w:uiPriority w:val="0"/>
    <w:pPr>
      <w:pBdr>
        <w:top w:val="single" w:color="auto" w:sz="4" w:space="0"/>
        <w:left w:val="single" w:color="auto" w:sz="8" w:space="0"/>
        <w:bottom w:val="single" w:color="auto" w:sz="4" w:space="0"/>
      </w:pBdr>
      <w:spacing w:before="100" w:beforeAutospacing="1" w:after="100" w:afterAutospacing="1"/>
    </w:pPr>
  </w:style>
  <w:style w:type="paragraph" w:customStyle="1" w:styleId="369">
    <w:name w:val="xl199"/>
    <w:basedOn w:val="1"/>
    <w:uiPriority w:val="0"/>
    <w:pPr>
      <w:pBdr>
        <w:top w:val="single" w:color="auto" w:sz="4" w:space="0"/>
        <w:bottom w:val="single" w:color="auto" w:sz="4" w:space="0"/>
        <w:right w:val="single" w:color="auto" w:sz="8" w:space="0"/>
      </w:pBdr>
      <w:spacing w:before="100" w:beforeAutospacing="1" w:after="100" w:afterAutospacing="1"/>
    </w:pPr>
  </w:style>
  <w:style w:type="paragraph" w:customStyle="1" w:styleId="370">
    <w:name w:val="xl200"/>
    <w:basedOn w:val="1"/>
    <w:uiPriority w:val="0"/>
    <w:pPr>
      <w:pBdr>
        <w:top w:val="single" w:color="auto" w:sz="8" w:space="0"/>
        <w:bottom w:val="single" w:color="auto" w:sz="8" w:space="0"/>
        <w:right w:val="single" w:color="auto" w:sz="4" w:space="0"/>
      </w:pBdr>
      <w:spacing w:before="100" w:beforeAutospacing="1" w:after="100" w:afterAutospacing="1"/>
    </w:pPr>
    <w:rPr>
      <w:rFonts w:ascii="Arial" w:hAnsi="Arial" w:cs="Arial"/>
      <w:b/>
      <w:bCs/>
    </w:rPr>
  </w:style>
  <w:style w:type="paragraph" w:customStyle="1" w:styleId="371">
    <w:name w:val="xl201"/>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Arial" w:hAnsi="Arial" w:cs="Arial"/>
      <w:b/>
      <w:bCs/>
    </w:rPr>
  </w:style>
  <w:style w:type="paragraph" w:customStyle="1" w:styleId="372">
    <w:name w:val="xl202"/>
    <w:basedOn w:val="1"/>
    <w:uiPriority w:val="0"/>
    <w:pPr>
      <w:pBdr>
        <w:top w:val="single" w:color="auto" w:sz="8" w:space="0"/>
        <w:left w:val="single" w:color="auto" w:sz="4" w:space="0"/>
        <w:bottom w:val="single" w:color="auto" w:sz="8" w:space="0"/>
        <w:right w:val="single" w:color="auto" w:sz="4" w:space="0"/>
      </w:pBdr>
      <w:spacing w:before="100" w:beforeAutospacing="1" w:after="100" w:afterAutospacing="1"/>
    </w:pPr>
  </w:style>
  <w:style w:type="paragraph" w:customStyle="1" w:styleId="373">
    <w:name w:val="xl203"/>
    <w:basedOn w:val="1"/>
    <w:uiPriority w:val="0"/>
    <w:pPr>
      <w:pBdr>
        <w:top w:val="single" w:color="auto" w:sz="8" w:space="0"/>
        <w:left w:val="single" w:color="auto" w:sz="4" w:space="0"/>
        <w:bottom w:val="single" w:color="auto" w:sz="8" w:space="0"/>
      </w:pBdr>
      <w:spacing w:before="100" w:beforeAutospacing="1" w:after="100" w:afterAutospacing="1"/>
    </w:pPr>
  </w:style>
  <w:style w:type="paragraph" w:customStyle="1" w:styleId="374">
    <w:name w:val="xl204"/>
    <w:basedOn w:val="1"/>
    <w:uiPriority w:val="0"/>
    <w:pPr>
      <w:pBdr>
        <w:top w:val="single" w:color="auto" w:sz="8" w:space="0"/>
        <w:left w:val="single" w:color="auto" w:sz="4" w:space="0"/>
        <w:bottom w:val="single" w:color="auto" w:sz="8" w:space="0"/>
        <w:right w:val="single" w:color="auto" w:sz="8" w:space="0"/>
      </w:pBdr>
      <w:spacing w:before="100" w:beforeAutospacing="1" w:after="100" w:afterAutospacing="1"/>
    </w:pPr>
  </w:style>
  <w:style w:type="paragraph" w:customStyle="1" w:styleId="375">
    <w:name w:val="xl205"/>
    <w:basedOn w:val="1"/>
    <w:uiPriority w:val="0"/>
    <w:pPr>
      <w:pBdr>
        <w:top w:val="single" w:color="auto" w:sz="8" w:space="0"/>
        <w:left w:val="single" w:color="auto" w:sz="8" w:space="0"/>
        <w:bottom w:val="single" w:color="auto" w:sz="8" w:space="0"/>
      </w:pBdr>
      <w:spacing w:before="100" w:beforeAutospacing="1" w:after="100" w:afterAutospacing="1"/>
    </w:pPr>
    <w:rPr>
      <w:rFonts w:ascii="Arial" w:hAnsi="Arial" w:cs="Arial"/>
      <w:b/>
      <w:bCs/>
    </w:rPr>
  </w:style>
  <w:style w:type="paragraph" w:customStyle="1" w:styleId="376">
    <w:name w:val="xl206"/>
    <w:basedOn w:val="1"/>
    <w:uiPriority w:val="0"/>
    <w:pPr>
      <w:pBdr>
        <w:top w:val="single" w:color="auto" w:sz="8" w:space="0"/>
        <w:bottom w:val="single" w:color="auto" w:sz="8" w:space="0"/>
        <w:right w:val="single" w:color="auto" w:sz="8" w:space="0"/>
      </w:pBdr>
      <w:spacing w:before="100" w:beforeAutospacing="1" w:after="100" w:afterAutospacing="1"/>
    </w:pPr>
  </w:style>
  <w:style w:type="paragraph" w:customStyle="1" w:styleId="377">
    <w:name w:val="xl207"/>
    <w:basedOn w:val="1"/>
    <w:uiPriority w:val="0"/>
    <w:pPr>
      <w:pBdr>
        <w:top w:val="single" w:color="auto" w:sz="8" w:space="0"/>
        <w:left w:val="single" w:color="auto" w:sz="8" w:space="0"/>
        <w:bottom w:val="single" w:color="auto" w:sz="4" w:space="0"/>
      </w:pBdr>
      <w:spacing w:before="100" w:beforeAutospacing="1" w:after="100" w:afterAutospacing="1"/>
      <w:jc w:val="center"/>
    </w:pPr>
    <w:rPr>
      <w:rFonts w:ascii="Arial" w:hAnsi="Arial" w:cs="Arial"/>
      <w:b/>
      <w:bCs/>
    </w:rPr>
  </w:style>
  <w:style w:type="paragraph" w:customStyle="1" w:styleId="378">
    <w:name w:val="xl208"/>
    <w:basedOn w:val="1"/>
    <w:uiPriority w:val="0"/>
    <w:pPr>
      <w:pBdr>
        <w:top w:val="single" w:color="auto" w:sz="8" w:space="0"/>
        <w:bottom w:val="single" w:color="auto" w:sz="4" w:space="0"/>
      </w:pBdr>
      <w:spacing w:before="100" w:beforeAutospacing="1" w:after="100" w:afterAutospacing="1"/>
      <w:jc w:val="center"/>
    </w:pPr>
    <w:rPr>
      <w:rFonts w:ascii="Arial" w:hAnsi="Arial" w:cs="Arial"/>
      <w:b/>
      <w:bCs/>
    </w:rPr>
  </w:style>
  <w:style w:type="paragraph" w:customStyle="1" w:styleId="379">
    <w:name w:val="xl209"/>
    <w:basedOn w:val="1"/>
    <w:uiPriority w:val="0"/>
    <w:pPr>
      <w:pBdr>
        <w:top w:val="single" w:color="auto" w:sz="8" w:space="0"/>
        <w:bottom w:val="single" w:color="auto" w:sz="4" w:space="0"/>
      </w:pBdr>
      <w:spacing w:before="100" w:beforeAutospacing="1" w:after="100" w:afterAutospacing="1"/>
      <w:jc w:val="center"/>
    </w:pPr>
  </w:style>
  <w:style w:type="paragraph" w:customStyle="1" w:styleId="380">
    <w:name w:val="xl210"/>
    <w:basedOn w:val="1"/>
    <w:uiPriority w:val="0"/>
    <w:pPr>
      <w:pBdr>
        <w:top w:val="single" w:color="auto" w:sz="8" w:space="0"/>
        <w:bottom w:val="single" w:color="auto" w:sz="4" w:space="0"/>
        <w:right w:val="single" w:color="auto" w:sz="8" w:space="0"/>
      </w:pBdr>
      <w:spacing w:before="100" w:beforeAutospacing="1" w:after="100" w:afterAutospacing="1"/>
      <w:jc w:val="center"/>
    </w:pPr>
  </w:style>
  <w:style w:type="paragraph" w:customStyle="1" w:styleId="381">
    <w:name w:val="xl211"/>
    <w:basedOn w:val="1"/>
    <w:uiPriority w:val="0"/>
    <w:pPr>
      <w:pBdr>
        <w:top w:val="single" w:color="auto" w:sz="8" w:space="0"/>
        <w:left w:val="single" w:color="auto" w:sz="8" w:space="0"/>
        <w:bottom w:val="single" w:color="auto" w:sz="4" w:space="0"/>
      </w:pBdr>
      <w:spacing w:before="100" w:beforeAutospacing="1" w:after="100" w:afterAutospacing="1"/>
      <w:jc w:val="center"/>
    </w:pPr>
    <w:rPr>
      <w:rFonts w:ascii="Arial" w:hAnsi="Arial" w:cs="Arial"/>
      <w:b/>
      <w:bCs/>
      <w:sz w:val="18"/>
      <w:szCs w:val="18"/>
    </w:rPr>
  </w:style>
  <w:style w:type="paragraph" w:customStyle="1" w:styleId="382">
    <w:name w:val="xl212"/>
    <w:basedOn w:val="1"/>
    <w:uiPriority w:val="0"/>
    <w:pPr>
      <w:pBdr>
        <w:top w:val="single" w:color="auto" w:sz="8" w:space="0"/>
        <w:bottom w:val="single" w:color="auto" w:sz="4" w:space="0"/>
        <w:right w:val="single" w:color="auto" w:sz="8" w:space="0"/>
      </w:pBdr>
      <w:spacing w:before="100" w:beforeAutospacing="1" w:after="100" w:afterAutospacing="1"/>
      <w:jc w:val="center"/>
    </w:pPr>
    <w:rPr>
      <w:rFonts w:ascii="Arial" w:hAnsi="Arial" w:cs="Arial"/>
      <w:sz w:val="18"/>
      <w:szCs w:val="18"/>
    </w:rPr>
  </w:style>
  <w:style w:type="paragraph" w:customStyle="1" w:styleId="383">
    <w:name w:val="xl213"/>
    <w:basedOn w:val="1"/>
    <w:uiPriority w:val="0"/>
    <w:pPr>
      <w:pBdr>
        <w:top w:val="single" w:color="auto" w:sz="4" w:space="0"/>
        <w:bottom w:val="single" w:color="auto" w:sz="4" w:space="0"/>
        <w:right w:val="single" w:color="auto" w:sz="8" w:space="0"/>
      </w:pBdr>
      <w:spacing w:before="100" w:beforeAutospacing="1" w:after="100" w:afterAutospacing="1"/>
    </w:pPr>
  </w:style>
  <w:style w:type="paragraph" w:customStyle="1" w:styleId="384">
    <w:name w:val="xl214"/>
    <w:basedOn w:val="1"/>
    <w:uiPriority w:val="0"/>
    <w:pPr>
      <w:spacing w:before="100" w:beforeAutospacing="1" w:after="100" w:afterAutospacing="1"/>
      <w:jc w:val="center"/>
    </w:pPr>
    <w:rPr>
      <w:rFonts w:ascii="Arial" w:hAnsi="Arial" w:cs="Arial"/>
      <w:b/>
      <w:bCs/>
      <w:color w:val="3366FF"/>
    </w:rPr>
  </w:style>
  <w:style w:type="paragraph" w:customStyle="1" w:styleId="385">
    <w:name w:val="xl215"/>
    <w:basedOn w:val="1"/>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ascii="Arial" w:hAnsi="Arial" w:cs="Arial"/>
      <w:b/>
      <w:bCs/>
    </w:rPr>
  </w:style>
  <w:style w:type="paragraph" w:customStyle="1" w:styleId="386">
    <w:name w:val="xl216"/>
    <w:basedOn w:val="1"/>
    <w:uiPriority w:val="0"/>
    <w:pPr>
      <w:pBdr>
        <w:top w:val="single" w:color="auto" w:sz="8" w:space="0"/>
        <w:bottom w:val="single" w:color="auto" w:sz="8" w:space="0"/>
      </w:pBdr>
      <w:spacing w:before="100" w:beforeAutospacing="1" w:after="100" w:afterAutospacing="1"/>
      <w:jc w:val="center"/>
      <w:textAlignment w:val="center"/>
    </w:pPr>
  </w:style>
  <w:style w:type="paragraph" w:customStyle="1" w:styleId="387">
    <w:name w:val="xl217"/>
    <w:basedOn w:val="1"/>
    <w:uiPriority w:val="0"/>
    <w:pPr>
      <w:pBdr>
        <w:top w:val="single" w:color="auto" w:sz="8" w:space="0"/>
        <w:bottom w:val="single" w:color="auto" w:sz="8" w:space="0"/>
        <w:right w:val="single" w:color="auto" w:sz="8" w:space="0"/>
      </w:pBdr>
      <w:spacing w:before="100" w:beforeAutospacing="1" w:after="100" w:afterAutospacing="1"/>
      <w:jc w:val="center"/>
      <w:textAlignment w:val="center"/>
    </w:pPr>
  </w:style>
  <w:style w:type="paragraph" w:customStyle="1" w:styleId="388">
    <w:name w:val="xl218"/>
    <w:basedOn w:val="1"/>
    <w:uiPriority w:val="0"/>
    <w:pPr>
      <w:pBdr>
        <w:top w:val="single" w:color="auto" w:sz="4" w:space="0"/>
        <w:left w:val="single" w:color="auto" w:sz="4" w:space="0"/>
        <w:bottom w:val="single" w:color="auto" w:sz="8" w:space="0"/>
      </w:pBdr>
      <w:spacing w:before="100" w:beforeAutospacing="1" w:after="100" w:afterAutospacing="1"/>
    </w:pPr>
  </w:style>
  <w:style w:type="paragraph" w:customStyle="1" w:styleId="389">
    <w:name w:val="xl219"/>
    <w:basedOn w:val="1"/>
    <w:uiPriority w:val="0"/>
    <w:pPr>
      <w:pBdr>
        <w:top w:val="single" w:color="auto" w:sz="4" w:space="0"/>
        <w:left w:val="single" w:color="auto" w:sz="8" w:space="0"/>
        <w:bottom w:val="single" w:color="auto" w:sz="8" w:space="0"/>
      </w:pBdr>
      <w:spacing w:before="100" w:beforeAutospacing="1" w:after="100" w:afterAutospacing="1"/>
    </w:pPr>
  </w:style>
  <w:style w:type="paragraph" w:customStyle="1" w:styleId="390">
    <w:name w:val="xl220"/>
    <w:basedOn w:val="1"/>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rPr>
  </w:style>
  <w:style w:type="paragraph" w:customStyle="1" w:styleId="391">
    <w:name w:val="xl221"/>
    <w:basedOn w:val="1"/>
    <w:uiPriority w:val="0"/>
    <w:pPr>
      <w:pBdr>
        <w:top w:val="single" w:color="auto" w:sz="4" w:space="0"/>
        <w:bottom w:val="single" w:color="auto" w:sz="4" w:space="0"/>
      </w:pBdr>
      <w:spacing w:before="100" w:beforeAutospacing="1" w:after="100" w:afterAutospacing="1"/>
    </w:pPr>
    <w:rPr>
      <w:rFonts w:ascii="Arial" w:hAnsi="Arial" w:cs="Arial"/>
    </w:rPr>
  </w:style>
  <w:style w:type="paragraph" w:customStyle="1" w:styleId="392">
    <w:name w:val="xl222"/>
    <w:basedOn w:val="1"/>
    <w:uiPriority w:val="0"/>
    <w:pPr>
      <w:pBdr>
        <w:top w:val="single" w:color="auto" w:sz="4" w:space="0"/>
        <w:bottom w:val="single" w:color="auto" w:sz="4" w:space="0"/>
        <w:right w:val="single" w:color="auto" w:sz="8" w:space="0"/>
      </w:pBdr>
      <w:spacing w:before="100" w:beforeAutospacing="1" w:after="100" w:afterAutospacing="1"/>
    </w:pPr>
  </w:style>
  <w:style w:type="paragraph" w:customStyle="1" w:styleId="393">
    <w:name w:val="xl223"/>
    <w:basedOn w:val="1"/>
    <w:uiPriority w:val="0"/>
    <w:pPr>
      <w:pBdr>
        <w:top w:val="single" w:color="auto" w:sz="4" w:space="0"/>
        <w:left w:val="single" w:color="auto" w:sz="8" w:space="0"/>
        <w:bottom w:val="single" w:color="auto" w:sz="4" w:space="0"/>
      </w:pBdr>
      <w:spacing w:before="100" w:beforeAutospacing="1" w:after="100" w:afterAutospacing="1"/>
      <w:jc w:val="right"/>
    </w:pPr>
    <w:rPr>
      <w:rFonts w:ascii="Arial" w:hAnsi="Arial" w:cs="Arial"/>
    </w:rPr>
  </w:style>
  <w:style w:type="paragraph" w:customStyle="1" w:styleId="394">
    <w:name w:val="xl224"/>
    <w:basedOn w:val="1"/>
    <w:uiPriority w:val="0"/>
    <w:pPr>
      <w:pBdr>
        <w:top w:val="single" w:color="auto" w:sz="4" w:space="0"/>
        <w:bottom w:val="single" w:color="auto" w:sz="4" w:space="0"/>
        <w:right w:val="single" w:color="auto" w:sz="8" w:space="0"/>
      </w:pBdr>
      <w:spacing w:before="100" w:beforeAutospacing="1" w:after="100" w:afterAutospacing="1"/>
      <w:jc w:val="right"/>
    </w:pPr>
  </w:style>
  <w:style w:type="paragraph" w:customStyle="1" w:styleId="395">
    <w:name w:val="xl225"/>
    <w:basedOn w:val="1"/>
    <w:uiPriority w:val="0"/>
    <w:pPr>
      <w:pBdr>
        <w:top w:val="single" w:color="auto" w:sz="4" w:space="0"/>
        <w:left w:val="single" w:color="auto" w:sz="8" w:space="0"/>
        <w:bottom w:val="single" w:color="auto" w:sz="8" w:space="0"/>
      </w:pBdr>
      <w:spacing w:before="100" w:beforeAutospacing="1" w:after="100" w:afterAutospacing="1"/>
    </w:pPr>
  </w:style>
  <w:style w:type="paragraph" w:customStyle="1" w:styleId="396">
    <w:name w:val="xl226"/>
    <w:basedOn w:val="1"/>
    <w:uiPriority w:val="0"/>
    <w:pPr>
      <w:pBdr>
        <w:top w:val="single" w:color="auto" w:sz="4" w:space="0"/>
        <w:bottom w:val="single" w:color="auto" w:sz="8" w:space="0"/>
        <w:right w:val="single" w:color="auto" w:sz="8" w:space="0"/>
      </w:pBdr>
      <w:spacing w:before="100" w:beforeAutospacing="1" w:after="100" w:afterAutospacing="1"/>
    </w:pPr>
  </w:style>
  <w:style w:type="paragraph" w:customStyle="1" w:styleId="397">
    <w:name w:val="xl227"/>
    <w:basedOn w:val="1"/>
    <w:uiPriority w:val="0"/>
    <w:pPr>
      <w:pBdr>
        <w:top w:val="single" w:color="auto" w:sz="8" w:space="0"/>
        <w:left w:val="single" w:color="auto" w:sz="8" w:space="0"/>
        <w:bottom w:val="single" w:color="auto" w:sz="4" w:space="0"/>
      </w:pBdr>
      <w:spacing w:before="100" w:beforeAutospacing="1" w:after="100" w:afterAutospacing="1"/>
      <w:jc w:val="right"/>
    </w:pPr>
    <w:rPr>
      <w:rFonts w:ascii="Arial" w:hAnsi="Arial" w:cs="Arial"/>
      <w:b/>
      <w:bCs/>
    </w:rPr>
  </w:style>
  <w:style w:type="paragraph" w:customStyle="1" w:styleId="398">
    <w:name w:val="xl228"/>
    <w:basedOn w:val="1"/>
    <w:uiPriority w:val="0"/>
    <w:pPr>
      <w:pBdr>
        <w:top w:val="single" w:color="auto" w:sz="8" w:space="0"/>
        <w:bottom w:val="single" w:color="auto" w:sz="4" w:space="0"/>
      </w:pBdr>
      <w:spacing w:before="100" w:beforeAutospacing="1" w:after="100" w:afterAutospacing="1"/>
      <w:jc w:val="right"/>
    </w:pPr>
  </w:style>
  <w:style w:type="paragraph" w:customStyle="1" w:styleId="399">
    <w:name w:val="xl229"/>
    <w:basedOn w:val="1"/>
    <w:uiPriority w:val="0"/>
    <w:pPr>
      <w:pBdr>
        <w:top w:val="single" w:color="auto" w:sz="8" w:space="0"/>
        <w:bottom w:val="single" w:color="auto" w:sz="4" w:space="0"/>
        <w:right w:val="single" w:color="auto" w:sz="8" w:space="0"/>
      </w:pBdr>
      <w:spacing w:before="100" w:beforeAutospacing="1" w:after="100" w:afterAutospacing="1"/>
      <w:jc w:val="right"/>
    </w:pPr>
  </w:style>
  <w:style w:type="paragraph" w:customStyle="1" w:styleId="400">
    <w:name w:val="xl230"/>
    <w:basedOn w:val="1"/>
    <w:uiPriority w:val="0"/>
    <w:pPr>
      <w:pBdr>
        <w:top w:val="single" w:color="auto" w:sz="4" w:space="0"/>
        <w:left w:val="single" w:color="auto" w:sz="8" w:space="0"/>
        <w:bottom w:val="single" w:color="auto" w:sz="4" w:space="0"/>
      </w:pBdr>
      <w:spacing w:before="100" w:beforeAutospacing="1" w:after="100" w:afterAutospacing="1"/>
      <w:jc w:val="right"/>
    </w:pPr>
    <w:rPr>
      <w:rFonts w:ascii="Arial" w:hAnsi="Arial" w:cs="Arial"/>
      <w:b/>
      <w:bCs/>
    </w:rPr>
  </w:style>
  <w:style w:type="paragraph" w:customStyle="1" w:styleId="401">
    <w:name w:val="xl231"/>
    <w:basedOn w:val="1"/>
    <w:uiPriority w:val="0"/>
    <w:pPr>
      <w:pBdr>
        <w:top w:val="single" w:color="auto" w:sz="8" w:space="0"/>
        <w:left w:val="single" w:color="auto" w:sz="8" w:space="0"/>
        <w:bottom w:val="single" w:color="auto" w:sz="8" w:space="0"/>
      </w:pBdr>
      <w:shd w:val="clear" w:color="000000" w:fill="CCFFFF"/>
      <w:spacing w:before="100" w:beforeAutospacing="1" w:after="100" w:afterAutospacing="1"/>
      <w:jc w:val="right"/>
      <w:textAlignment w:val="center"/>
    </w:pPr>
    <w:rPr>
      <w:rFonts w:ascii="Arial" w:hAnsi="Arial" w:cs="Arial"/>
      <w:b/>
      <w:bCs/>
    </w:rPr>
  </w:style>
  <w:style w:type="paragraph" w:customStyle="1" w:styleId="402">
    <w:name w:val="xl232"/>
    <w:basedOn w:val="1"/>
    <w:uiPriority w:val="0"/>
    <w:pPr>
      <w:pBdr>
        <w:top w:val="single" w:color="auto" w:sz="8" w:space="0"/>
        <w:bottom w:val="single" w:color="auto" w:sz="8" w:space="0"/>
      </w:pBdr>
      <w:shd w:val="clear" w:color="000000" w:fill="CCFFFF"/>
      <w:spacing w:before="100" w:beforeAutospacing="1" w:after="100" w:afterAutospacing="1"/>
      <w:jc w:val="right"/>
      <w:textAlignment w:val="center"/>
    </w:pPr>
  </w:style>
  <w:style w:type="paragraph" w:customStyle="1" w:styleId="403">
    <w:name w:val="xl233"/>
    <w:basedOn w:val="1"/>
    <w:uiPriority w:val="0"/>
    <w:pPr>
      <w:pBdr>
        <w:top w:val="single" w:color="auto" w:sz="8" w:space="0"/>
        <w:bottom w:val="single" w:color="auto" w:sz="8" w:space="0"/>
        <w:right w:val="single" w:color="auto" w:sz="8" w:space="0"/>
      </w:pBdr>
      <w:shd w:val="clear" w:color="000000" w:fill="CCFFFF"/>
      <w:spacing w:before="100" w:beforeAutospacing="1" w:after="100" w:afterAutospacing="1"/>
      <w:jc w:val="right"/>
      <w:textAlignment w:val="center"/>
    </w:pPr>
  </w:style>
  <w:style w:type="paragraph" w:customStyle="1" w:styleId="404">
    <w:name w:val="xl234"/>
    <w:basedOn w:val="1"/>
    <w:uiPriority w:val="0"/>
    <w:pPr>
      <w:pBdr>
        <w:top w:val="single" w:color="auto" w:sz="8" w:space="0"/>
        <w:left w:val="single" w:color="auto" w:sz="8" w:space="0"/>
        <w:bottom w:val="single" w:color="auto" w:sz="8" w:space="0"/>
      </w:pBdr>
      <w:shd w:val="clear" w:color="000000" w:fill="CCFFFF"/>
      <w:spacing w:before="100" w:beforeAutospacing="1" w:after="100" w:afterAutospacing="1"/>
      <w:textAlignment w:val="center"/>
    </w:pPr>
    <w:rPr>
      <w:rFonts w:ascii="Arial" w:hAnsi="Arial" w:cs="Arial"/>
      <w:b/>
      <w:bCs/>
    </w:rPr>
  </w:style>
  <w:style w:type="paragraph" w:customStyle="1" w:styleId="405">
    <w:name w:val="xl235"/>
    <w:basedOn w:val="1"/>
    <w:uiPriority w:val="0"/>
    <w:pPr>
      <w:pBdr>
        <w:top w:val="single" w:color="auto" w:sz="8" w:space="0"/>
        <w:bottom w:val="single" w:color="auto" w:sz="8" w:space="0"/>
        <w:right w:val="single" w:color="auto" w:sz="8" w:space="0"/>
      </w:pBdr>
      <w:shd w:val="clear" w:color="000000" w:fill="CCFFFF"/>
      <w:spacing w:before="100" w:beforeAutospacing="1" w:after="100" w:afterAutospacing="1"/>
      <w:textAlignment w:val="center"/>
    </w:pPr>
    <w:rPr>
      <w:rFonts w:ascii="Arial" w:hAnsi="Arial" w:cs="Arial"/>
      <w:b/>
      <w:bCs/>
    </w:rPr>
  </w:style>
  <w:style w:type="paragraph" w:customStyle="1" w:styleId="406">
    <w:name w:val="xl236"/>
    <w:basedOn w:val="1"/>
    <w:uiPriority w:val="0"/>
    <w:pPr>
      <w:pBdr>
        <w:top w:val="single" w:color="auto" w:sz="8" w:space="0"/>
        <w:bottom w:val="single" w:color="auto" w:sz="4" w:space="0"/>
      </w:pBdr>
      <w:spacing w:before="100" w:beforeAutospacing="1" w:after="100" w:afterAutospacing="1"/>
    </w:pPr>
    <w:rPr>
      <w:rFonts w:ascii="Arial" w:hAnsi="Arial" w:cs="Arial"/>
      <w:b/>
      <w:bCs/>
    </w:rPr>
  </w:style>
  <w:style w:type="paragraph" w:customStyle="1" w:styleId="407">
    <w:name w:val="xl237"/>
    <w:basedOn w:val="1"/>
    <w:uiPriority w:val="0"/>
    <w:pPr>
      <w:pBdr>
        <w:top w:val="single" w:color="auto" w:sz="4" w:space="0"/>
        <w:left w:val="single" w:color="auto" w:sz="8" w:space="0"/>
        <w:bottom w:val="single" w:color="auto" w:sz="8" w:space="0"/>
      </w:pBdr>
      <w:spacing w:before="100" w:beforeAutospacing="1" w:after="100" w:afterAutospacing="1"/>
      <w:jc w:val="right"/>
      <w:textAlignment w:val="center"/>
    </w:pPr>
    <w:rPr>
      <w:rFonts w:ascii="Arial" w:hAnsi="Arial" w:cs="Arial"/>
      <w:b/>
      <w:bCs/>
      <w:sz w:val="18"/>
      <w:szCs w:val="18"/>
    </w:rPr>
  </w:style>
  <w:style w:type="paragraph" w:customStyle="1" w:styleId="408">
    <w:name w:val="xl238"/>
    <w:basedOn w:val="1"/>
    <w:uiPriority w:val="0"/>
    <w:pPr>
      <w:pBdr>
        <w:top w:val="single" w:color="auto" w:sz="4" w:space="0"/>
        <w:bottom w:val="single" w:color="auto" w:sz="8" w:space="0"/>
      </w:pBdr>
      <w:spacing w:before="100" w:beforeAutospacing="1" w:after="100" w:afterAutospacing="1"/>
    </w:pPr>
  </w:style>
  <w:style w:type="paragraph" w:customStyle="1" w:styleId="409">
    <w:name w:val="xl239"/>
    <w:basedOn w:val="1"/>
    <w:uiPriority w:val="0"/>
    <w:pPr>
      <w:pBdr>
        <w:top w:val="single" w:color="auto" w:sz="4" w:space="0"/>
        <w:left w:val="single" w:color="auto" w:sz="8" w:space="0"/>
        <w:bottom w:val="single" w:color="auto" w:sz="8" w:space="0"/>
      </w:pBdr>
      <w:spacing w:before="100" w:beforeAutospacing="1" w:after="100" w:afterAutospacing="1"/>
      <w:jc w:val="right"/>
    </w:pPr>
    <w:rPr>
      <w:rFonts w:ascii="Arial" w:hAnsi="Arial" w:cs="Arial"/>
      <w:b/>
      <w:bCs/>
    </w:rPr>
  </w:style>
  <w:style w:type="paragraph" w:customStyle="1" w:styleId="410">
    <w:name w:val="xl240"/>
    <w:basedOn w:val="1"/>
    <w:uiPriority w:val="0"/>
    <w:pPr>
      <w:pBdr>
        <w:top w:val="single" w:color="auto" w:sz="4" w:space="0"/>
        <w:left w:val="single" w:color="auto" w:sz="8" w:space="0"/>
        <w:bottom w:val="single" w:color="auto" w:sz="4" w:space="0"/>
      </w:pBdr>
      <w:spacing w:before="100" w:beforeAutospacing="1" w:after="100" w:afterAutospacing="1"/>
    </w:pPr>
    <w:rPr>
      <w:rFonts w:ascii="Arial" w:hAnsi="Arial" w:cs="Arial"/>
    </w:rPr>
  </w:style>
  <w:style w:type="paragraph" w:customStyle="1" w:styleId="411">
    <w:name w:val="xl241"/>
    <w:basedOn w:val="1"/>
    <w:uiPriority w:val="0"/>
    <w:pPr>
      <w:pBdr>
        <w:top w:val="single" w:color="auto" w:sz="4" w:space="0"/>
        <w:bottom w:val="single" w:color="auto" w:sz="4" w:space="0"/>
        <w:right w:val="single" w:color="auto" w:sz="8" w:space="0"/>
      </w:pBdr>
      <w:spacing w:before="100" w:beforeAutospacing="1" w:after="100" w:afterAutospacing="1"/>
    </w:pPr>
    <w:rPr>
      <w:rFonts w:ascii="Arial" w:hAnsi="Arial" w:cs="Arial"/>
    </w:rPr>
  </w:style>
  <w:style w:type="paragraph" w:customStyle="1" w:styleId="412">
    <w:name w:val="xl242"/>
    <w:basedOn w:val="1"/>
    <w:uiPriority w:val="0"/>
    <w:pPr>
      <w:pBdr>
        <w:top w:val="single" w:color="auto" w:sz="8" w:space="0"/>
        <w:left w:val="single" w:color="auto" w:sz="8" w:space="0"/>
      </w:pBdr>
      <w:shd w:val="clear" w:color="000000" w:fill="CCFFFF"/>
      <w:spacing w:before="100" w:beforeAutospacing="1" w:after="100" w:afterAutospacing="1"/>
      <w:jc w:val="right"/>
      <w:textAlignment w:val="center"/>
    </w:pPr>
    <w:rPr>
      <w:rFonts w:ascii="Arial" w:hAnsi="Arial" w:cs="Arial"/>
      <w:b/>
      <w:bCs/>
    </w:rPr>
  </w:style>
  <w:style w:type="paragraph" w:customStyle="1" w:styleId="413">
    <w:name w:val="xl243"/>
    <w:basedOn w:val="1"/>
    <w:uiPriority w:val="0"/>
    <w:pPr>
      <w:pBdr>
        <w:top w:val="single" w:color="auto" w:sz="8" w:space="0"/>
      </w:pBdr>
      <w:shd w:val="clear" w:color="000000" w:fill="CCFFFF"/>
      <w:spacing w:before="100" w:beforeAutospacing="1" w:after="100" w:afterAutospacing="1"/>
      <w:jc w:val="right"/>
      <w:textAlignment w:val="center"/>
    </w:pPr>
  </w:style>
  <w:style w:type="paragraph" w:customStyle="1" w:styleId="414">
    <w:name w:val="xl244"/>
    <w:basedOn w:val="1"/>
    <w:uiPriority w:val="0"/>
    <w:pPr>
      <w:pBdr>
        <w:top w:val="single" w:color="auto" w:sz="8" w:space="0"/>
        <w:right w:val="single" w:color="auto" w:sz="8" w:space="0"/>
      </w:pBdr>
      <w:shd w:val="clear" w:color="000000" w:fill="CCFFFF"/>
      <w:spacing w:before="100" w:beforeAutospacing="1" w:after="100" w:afterAutospacing="1"/>
      <w:jc w:val="right"/>
      <w:textAlignment w:val="center"/>
    </w:pPr>
  </w:style>
  <w:style w:type="paragraph" w:customStyle="1" w:styleId="415">
    <w:name w:val="xl245"/>
    <w:basedOn w:val="1"/>
    <w:uiPriority w:val="0"/>
    <w:pPr>
      <w:pBdr>
        <w:left w:val="single" w:color="auto" w:sz="8" w:space="0"/>
        <w:bottom w:val="single" w:color="auto" w:sz="8" w:space="0"/>
      </w:pBdr>
      <w:shd w:val="clear" w:color="000000" w:fill="CCFFFF"/>
      <w:spacing w:before="100" w:beforeAutospacing="1" w:after="100" w:afterAutospacing="1"/>
      <w:jc w:val="right"/>
      <w:textAlignment w:val="center"/>
    </w:pPr>
  </w:style>
  <w:style w:type="paragraph" w:customStyle="1" w:styleId="416">
    <w:name w:val="xl246"/>
    <w:basedOn w:val="1"/>
    <w:uiPriority w:val="0"/>
    <w:pPr>
      <w:pBdr>
        <w:bottom w:val="single" w:color="auto" w:sz="8" w:space="0"/>
      </w:pBdr>
      <w:shd w:val="clear" w:color="000000" w:fill="CCFFFF"/>
      <w:spacing w:before="100" w:beforeAutospacing="1" w:after="100" w:afterAutospacing="1"/>
      <w:jc w:val="right"/>
      <w:textAlignment w:val="center"/>
    </w:pPr>
  </w:style>
  <w:style w:type="paragraph" w:customStyle="1" w:styleId="417">
    <w:name w:val="xl247"/>
    <w:basedOn w:val="1"/>
    <w:uiPriority w:val="0"/>
    <w:pPr>
      <w:pBdr>
        <w:bottom w:val="single" w:color="auto" w:sz="8" w:space="0"/>
        <w:right w:val="single" w:color="auto" w:sz="8" w:space="0"/>
      </w:pBdr>
      <w:shd w:val="clear" w:color="000000" w:fill="CCFFFF"/>
      <w:spacing w:before="100" w:beforeAutospacing="1" w:after="100" w:afterAutospacing="1"/>
      <w:jc w:val="right"/>
      <w:textAlignment w:val="center"/>
    </w:pPr>
  </w:style>
  <w:style w:type="paragraph" w:customStyle="1" w:styleId="418">
    <w:name w:val="xl248"/>
    <w:basedOn w:val="1"/>
    <w:uiPriority w:val="0"/>
    <w:pPr>
      <w:pBdr>
        <w:top w:val="single" w:color="auto" w:sz="8" w:space="0"/>
        <w:left w:val="single" w:color="auto" w:sz="8" w:space="0"/>
      </w:pBdr>
      <w:shd w:val="clear" w:color="000000" w:fill="CCFFFF"/>
      <w:spacing w:before="100" w:beforeAutospacing="1" w:after="100" w:afterAutospacing="1"/>
      <w:textAlignment w:val="center"/>
    </w:pPr>
  </w:style>
  <w:style w:type="paragraph" w:customStyle="1" w:styleId="419">
    <w:name w:val="xl249"/>
    <w:basedOn w:val="1"/>
    <w:uiPriority w:val="0"/>
    <w:pPr>
      <w:pBdr>
        <w:top w:val="single" w:color="auto" w:sz="8" w:space="0"/>
        <w:right w:val="single" w:color="auto" w:sz="8" w:space="0"/>
      </w:pBdr>
      <w:shd w:val="clear" w:color="000000" w:fill="CCFFFF"/>
      <w:spacing w:before="100" w:beforeAutospacing="1" w:after="100" w:afterAutospacing="1"/>
      <w:textAlignment w:val="center"/>
    </w:pPr>
  </w:style>
  <w:style w:type="paragraph" w:customStyle="1" w:styleId="420">
    <w:name w:val="xl250"/>
    <w:basedOn w:val="1"/>
    <w:uiPriority w:val="0"/>
    <w:pPr>
      <w:pBdr>
        <w:left w:val="single" w:color="auto" w:sz="8" w:space="0"/>
        <w:bottom w:val="single" w:color="auto" w:sz="8" w:space="0"/>
      </w:pBdr>
      <w:shd w:val="clear" w:color="000000" w:fill="CCFFFF"/>
      <w:spacing w:before="100" w:beforeAutospacing="1" w:after="100" w:afterAutospacing="1"/>
      <w:textAlignment w:val="center"/>
    </w:pPr>
  </w:style>
  <w:style w:type="paragraph" w:customStyle="1" w:styleId="421">
    <w:name w:val="xl251"/>
    <w:basedOn w:val="1"/>
    <w:uiPriority w:val="0"/>
    <w:pPr>
      <w:pBdr>
        <w:bottom w:val="single" w:color="auto" w:sz="8" w:space="0"/>
        <w:right w:val="single" w:color="auto" w:sz="8" w:space="0"/>
      </w:pBdr>
      <w:shd w:val="clear" w:color="000000" w:fill="CCFFFF"/>
      <w:spacing w:before="100" w:beforeAutospacing="1" w:after="100" w:afterAutospacing="1"/>
      <w:textAlignment w:val="center"/>
    </w:pPr>
  </w:style>
  <w:style w:type="paragraph" w:customStyle="1" w:styleId="422">
    <w:name w:val="xl252"/>
    <w:basedOn w:val="1"/>
    <w:uiPriority w:val="0"/>
    <w:pPr>
      <w:pBdr>
        <w:top w:val="single" w:color="auto" w:sz="8" w:space="0"/>
        <w:left w:val="single" w:color="auto" w:sz="8" w:space="0"/>
        <w:right w:val="single" w:color="auto" w:sz="8" w:space="0"/>
      </w:pBdr>
      <w:shd w:val="clear" w:color="000000" w:fill="C0C0C0"/>
      <w:spacing w:before="100" w:beforeAutospacing="1" w:after="100" w:afterAutospacing="1"/>
    </w:pPr>
  </w:style>
  <w:style w:type="paragraph" w:customStyle="1" w:styleId="423">
    <w:name w:val="xl253"/>
    <w:basedOn w:val="1"/>
    <w:uiPriority w:val="0"/>
    <w:pPr>
      <w:pBdr>
        <w:left w:val="single" w:color="auto" w:sz="8" w:space="0"/>
        <w:right w:val="single" w:color="auto" w:sz="8" w:space="0"/>
      </w:pBdr>
      <w:shd w:val="clear" w:color="000000" w:fill="C0C0C0"/>
      <w:spacing w:before="100" w:beforeAutospacing="1" w:after="100" w:afterAutospacing="1"/>
    </w:pPr>
  </w:style>
  <w:style w:type="paragraph" w:customStyle="1" w:styleId="424">
    <w:name w:val="xl254"/>
    <w:basedOn w:val="1"/>
    <w:uiPriority w:val="0"/>
    <w:pPr>
      <w:pBdr>
        <w:left w:val="single" w:color="auto" w:sz="8" w:space="0"/>
        <w:bottom w:val="single" w:color="auto" w:sz="8" w:space="0"/>
        <w:right w:val="single" w:color="auto" w:sz="8" w:space="0"/>
      </w:pBdr>
      <w:shd w:val="clear" w:color="000000" w:fill="C0C0C0"/>
      <w:spacing w:before="100" w:beforeAutospacing="1" w:after="100" w:afterAutospacing="1"/>
    </w:pPr>
  </w:style>
  <w:style w:type="paragraph" w:customStyle="1" w:styleId="425">
    <w:name w:val="xl255"/>
    <w:basedOn w:val="1"/>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cs="Arial"/>
      <w:b/>
      <w:bCs/>
    </w:rPr>
  </w:style>
  <w:style w:type="paragraph" w:customStyle="1" w:styleId="426">
    <w:name w:val="xl256"/>
    <w:basedOn w:val="1"/>
    <w:uiPriority w:val="0"/>
    <w:pPr>
      <w:pBdr>
        <w:left w:val="single" w:color="auto" w:sz="8" w:space="0"/>
        <w:right w:val="single" w:color="auto" w:sz="8" w:space="0"/>
      </w:pBdr>
      <w:spacing w:before="100" w:beforeAutospacing="1" w:after="100" w:afterAutospacing="1"/>
      <w:jc w:val="center"/>
      <w:textAlignment w:val="center"/>
    </w:pPr>
  </w:style>
  <w:style w:type="paragraph" w:customStyle="1" w:styleId="427">
    <w:name w:val="xl257"/>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style>
  <w:style w:type="paragraph" w:customStyle="1" w:styleId="428">
    <w:name w:val="xl258"/>
    <w:basedOn w:val="1"/>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cs="Arial"/>
      <w:b/>
      <w:bCs/>
    </w:rPr>
  </w:style>
  <w:style w:type="paragraph" w:customStyle="1" w:styleId="429">
    <w:name w:val="xl259"/>
    <w:basedOn w:val="1"/>
    <w:uiPriority w:val="0"/>
    <w:pPr>
      <w:pBdr>
        <w:top w:val="single" w:color="auto" w:sz="8" w:space="0"/>
        <w:left w:val="single" w:color="auto" w:sz="8" w:space="0"/>
        <w:right w:val="single" w:color="auto" w:sz="8" w:space="0"/>
      </w:pBdr>
      <w:spacing w:before="100" w:beforeAutospacing="1" w:after="100" w:afterAutospacing="1"/>
      <w:jc w:val="center"/>
      <w:textAlignment w:val="center"/>
    </w:pPr>
  </w:style>
  <w:style w:type="paragraph" w:customStyle="1" w:styleId="430">
    <w:name w:val="xl260"/>
    <w:basedOn w:val="1"/>
    <w:uiPriority w:val="0"/>
    <w:pPr>
      <w:pBdr>
        <w:left w:val="single" w:color="auto" w:sz="8" w:space="0"/>
        <w:right w:val="single" w:color="auto" w:sz="8" w:space="0"/>
      </w:pBdr>
      <w:spacing w:before="100" w:beforeAutospacing="1" w:after="100" w:afterAutospacing="1"/>
      <w:jc w:val="center"/>
      <w:textAlignment w:val="center"/>
    </w:pPr>
  </w:style>
  <w:style w:type="paragraph" w:customStyle="1" w:styleId="431">
    <w:name w:val="xl261"/>
    <w:basedOn w:val="1"/>
    <w:uiPriority w:val="0"/>
    <w:pPr>
      <w:pBdr>
        <w:left w:val="single" w:color="auto" w:sz="8" w:space="0"/>
        <w:bottom w:val="single" w:color="auto" w:sz="8" w:space="0"/>
        <w:right w:val="single" w:color="auto" w:sz="8" w:space="0"/>
      </w:pBdr>
      <w:spacing w:before="100" w:beforeAutospacing="1" w:after="100" w:afterAutospacing="1"/>
      <w:jc w:val="center"/>
      <w:textAlignment w:val="center"/>
    </w:pPr>
  </w:style>
  <w:style w:type="paragraph" w:customStyle="1" w:styleId="432">
    <w:name w:val="xl262"/>
    <w:basedOn w:val="1"/>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rPr>
  </w:style>
  <w:style w:type="paragraph" w:customStyle="1" w:styleId="433">
    <w:name w:val="xl263"/>
    <w:basedOn w:val="1"/>
    <w:uiPriority w:val="0"/>
    <w:pPr>
      <w:pBdr>
        <w:top w:val="single" w:color="auto" w:sz="4" w:space="0"/>
        <w:bottom w:val="single" w:color="auto" w:sz="4" w:space="0"/>
      </w:pBdr>
      <w:spacing w:before="100" w:beforeAutospacing="1" w:after="100" w:afterAutospacing="1"/>
    </w:pPr>
  </w:style>
  <w:style w:type="paragraph" w:customStyle="1" w:styleId="434">
    <w:name w:val="xl264"/>
    <w:basedOn w:val="1"/>
    <w:uiPriority w:val="0"/>
    <w:pPr>
      <w:pBdr>
        <w:top w:val="single" w:color="auto" w:sz="4" w:space="0"/>
        <w:bottom w:val="single" w:color="auto" w:sz="4" w:space="0"/>
        <w:right w:val="single" w:color="auto" w:sz="8" w:space="0"/>
      </w:pBdr>
      <w:spacing w:before="100" w:beforeAutospacing="1" w:after="100" w:afterAutospacing="1"/>
    </w:pPr>
  </w:style>
  <w:style w:type="paragraph" w:customStyle="1" w:styleId="435">
    <w:name w:val="xl265"/>
    <w:basedOn w:val="1"/>
    <w:uiPriority w:val="0"/>
    <w:pPr>
      <w:pBdr>
        <w:top w:val="single" w:color="auto" w:sz="4" w:space="0"/>
        <w:left w:val="single" w:color="auto" w:sz="8" w:space="0"/>
        <w:bottom w:val="single" w:color="auto" w:sz="4" w:space="0"/>
      </w:pBdr>
      <w:spacing w:before="100" w:beforeAutospacing="1" w:after="100" w:afterAutospacing="1"/>
      <w:jc w:val="right"/>
    </w:pPr>
    <w:rPr>
      <w:rFonts w:ascii="Arial" w:hAnsi="Arial" w:cs="Arial"/>
    </w:rPr>
  </w:style>
  <w:style w:type="paragraph" w:customStyle="1" w:styleId="436">
    <w:name w:val="xl266"/>
    <w:basedOn w:val="1"/>
    <w:uiPriority w:val="0"/>
    <w:pPr>
      <w:pBdr>
        <w:top w:val="single" w:color="auto" w:sz="8" w:space="0"/>
        <w:left w:val="single" w:color="auto" w:sz="8" w:space="0"/>
        <w:bottom w:val="single" w:color="auto" w:sz="4" w:space="0"/>
      </w:pBdr>
      <w:spacing w:before="100" w:beforeAutospacing="1" w:after="100" w:afterAutospacing="1"/>
      <w:jc w:val="right"/>
    </w:pPr>
    <w:rPr>
      <w:rFonts w:ascii="Arial" w:hAnsi="Arial" w:cs="Arial"/>
    </w:rPr>
  </w:style>
  <w:style w:type="paragraph" w:customStyle="1" w:styleId="437">
    <w:name w:val="xl267"/>
    <w:basedOn w:val="1"/>
    <w:uiPriority w:val="0"/>
    <w:pPr>
      <w:pBdr>
        <w:top w:val="single" w:color="auto" w:sz="8" w:space="0"/>
        <w:bottom w:val="single" w:color="auto" w:sz="4" w:space="0"/>
        <w:right w:val="single" w:color="auto" w:sz="8" w:space="0"/>
      </w:pBdr>
      <w:spacing w:before="100" w:beforeAutospacing="1" w:after="100" w:afterAutospacing="1"/>
    </w:pPr>
    <w:rPr>
      <w:rFonts w:ascii="Arial" w:hAnsi="Arial" w:cs="Arial"/>
    </w:rPr>
  </w:style>
  <w:style w:type="paragraph" w:customStyle="1" w:styleId="438">
    <w:name w:val="xl268"/>
    <w:basedOn w:val="1"/>
    <w:uiPriority w:val="0"/>
    <w:pPr>
      <w:pBdr>
        <w:top w:val="single" w:color="auto" w:sz="4" w:space="0"/>
        <w:left w:val="single" w:color="auto" w:sz="8" w:space="0"/>
        <w:bottom w:val="single" w:color="auto" w:sz="4" w:space="0"/>
      </w:pBdr>
      <w:spacing w:before="100" w:beforeAutospacing="1" w:after="100" w:afterAutospacing="1"/>
    </w:pPr>
    <w:rPr>
      <w:rFonts w:ascii="Arial" w:hAnsi="Arial" w:cs="Arial"/>
    </w:rPr>
  </w:style>
  <w:style w:type="paragraph" w:customStyle="1" w:styleId="439">
    <w:name w:val="xl269"/>
    <w:basedOn w:val="1"/>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440">
    <w:name w:val="xl270"/>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pPr>
  </w:style>
  <w:style w:type="paragraph" w:customStyle="1" w:styleId="441">
    <w:name w:val="xl271"/>
    <w:basedOn w:val="1"/>
    <w:uiPriority w:val="0"/>
    <w:pPr>
      <w:pBdr>
        <w:top w:val="single" w:color="auto" w:sz="8" w:space="0"/>
        <w:left w:val="single" w:color="auto" w:sz="4" w:space="0"/>
        <w:bottom w:val="single" w:color="auto" w:sz="4" w:space="0"/>
      </w:pBdr>
      <w:spacing w:before="100" w:beforeAutospacing="1" w:after="100" w:afterAutospacing="1"/>
    </w:pPr>
  </w:style>
  <w:style w:type="paragraph" w:customStyle="1" w:styleId="442">
    <w:name w:val="xl272"/>
    <w:basedOn w:val="1"/>
    <w:uiPriority w:val="0"/>
    <w:pPr>
      <w:pBdr>
        <w:top w:val="single" w:color="auto" w:sz="4" w:space="0"/>
        <w:bottom w:val="single" w:color="auto" w:sz="4" w:space="0"/>
      </w:pBdr>
      <w:shd w:val="clear" w:color="000000" w:fill="CCFFFF"/>
      <w:spacing w:before="100" w:beforeAutospacing="1" w:after="100" w:afterAutospacing="1"/>
      <w:jc w:val="right"/>
      <w:textAlignment w:val="center"/>
    </w:pPr>
    <w:rPr>
      <w:rFonts w:ascii="Arial" w:hAnsi="Arial" w:cs="Arial"/>
      <w:b/>
      <w:bCs/>
    </w:rPr>
  </w:style>
  <w:style w:type="paragraph" w:customStyle="1" w:styleId="443">
    <w:name w:val="xl273"/>
    <w:basedOn w:val="1"/>
    <w:uiPriority w:val="0"/>
    <w:pPr>
      <w:pBdr>
        <w:top w:val="single" w:color="auto" w:sz="4" w:space="0"/>
        <w:bottom w:val="single" w:color="auto" w:sz="4" w:space="0"/>
      </w:pBdr>
      <w:shd w:val="clear" w:color="000000" w:fill="CCFFFF"/>
      <w:spacing w:before="100" w:beforeAutospacing="1" w:after="100" w:afterAutospacing="1"/>
      <w:jc w:val="right"/>
      <w:textAlignment w:val="center"/>
    </w:pPr>
  </w:style>
  <w:style w:type="paragraph" w:customStyle="1" w:styleId="444">
    <w:name w:val="xl274"/>
    <w:basedOn w:val="1"/>
    <w:uiPriority w:val="0"/>
    <w:pPr>
      <w:pBdr>
        <w:top w:val="single" w:color="auto" w:sz="4" w:space="0"/>
        <w:left w:val="single" w:color="auto" w:sz="8" w:space="0"/>
        <w:bottom w:val="single" w:color="auto" w:sz="4" w:space="0"/>
      </w:pBdr>
      <w:shd w:val="clear" w:color="000000" w:fill="CCFFFF"/>
      <w:spacing w:before="100" w:beforeAutospacing="1" w:after="100" w:afterAutospacing="1"/>
      <w:jc w:val="right"/>
    </w:pPr>
    <w:rPr>
      <w:rFonts w:ascii="Arial" w:hAnsi="Arial" w:cs="Arial"/>
      <w:b/>
      <w:bCs/>
    </w:rPr>
  </w:style>
  <w:style w:type="paragraph" w:customStyle="1" w:styleId="445">
    <w:name w:val="xl275"/>
    <w:basedOn w:val="1"/>
    <w:uiPriority w:val="0"/>
    <w:pPr>
      <w:pBdr>
        <w:top w:val="single" w:color="auto" w:sz="4" w:space="0"/>
        <w:bottom w:val="single" w:color="auto" w:sz="4" w:space="0"/>
        <w:right w:val="single" w:color="auto" w:sz="8" w:space="0"/>
      </w:pBdr>
      <w:shd w:val="clear" w:color="000000" w:fill="CCFFFF"/>
      <w:spacing w:before="100" w:beforeAutospacing="1" w:after="100" w:afterAutospacing="1"/>
    </w:pPr>
  </w:style>
  <w:style w:type="paragraph" w:customStyle="1" w:styleId="446">
    <w:name w:val="xl276"/>
    <w:basedOn w:val="1"/>
    <w:uiPriority w:val="0"/>
    <w:pPr>
      <w:pBdr>
        <w:top w:val="single" w:color="auto" w:sz="4" w:space="0"/>
        <w:left w:val="single" w:color="auto" w:sz="8" w:space="0"/>
        <w:bottom w:val="single" w:color="auto" w:sz="4" w:space="0"/>
      </w:pBdr>
      <w:shd w:val="clear" w:color="000000" w:fill="CCFFFF"/>
      <w:spacing w:before="100" w:beforeAutospacing="1" w:after="100" w:afterAutospacing="1"/>
    </w:pPr>
  </w:style>
  <w:style w:type="paragraph" w:customStyle="1" w:styleId="447">
    <w:name w:val="xl277"/>
    <w:basedOn w:val="1"/>
    <w:uiPriority w:val="0"/>
    <w:pPr>
      <w:pBdr>
        <w:top w:val="single" w:color="auto" w:sz="8" w:space="0"/>
        <w:left w:val="single" w:color="auto" w:sz="8" w:space="0"/>
        <w:bottom w:val="single" w:color="auto" w:sz="4" w:space="0"/>
      </w:pBdr>
      <w:spacing w:before="100" w:beforeAutospacing="1" w:after="100" w:afterAutospacing="1"/>
    </w:pPr>
    <w:rPr>
      <w:rFonts w:ascii="Arial" w:hAnsi="Arial" w:cs="Arial"/>
      <w:b/>
      <w:bCs/>
    </w:rPr>
  </w:style>
  <w:style w:type="paragraph" w:customStyle="1" w:styleId="448">
    <w:name w:val="xl278"/>
    <w:basedOn w:val="1"/>
    <w:uiPriority w:val="0"/>
    <w:pPr>
      <w:pBdr>
        <w:top w:val="single" w:color="auto" w:sz="8" w:space="0"/>
        <w:bottom w:val="single" w:color="auto" w:sz="4" w:space="0"/>
        <w:right w:val="single" w:color="auto" w:sz="8" w:space="0"/>
      </w:pBdr>
      <w:spacing w:before="100" w:beforeAutospacing="1" w:after="100" w:afterAutospacing="1"/>
    </w:pPr>
    <w:rPr>
      <w:rFonts w:ascii="Arial" w:hAnsi="Arial" w:cs="Arial"/>
      <w:b/>
      <w:bCs/>
    </w:rPr>
  </w:style>
  <w:style w:type="paragraph" w:customStyle="1" w:styleId="449">
    <w:name w:val="xl279"/>
    <w:basedOn w:val="1"/>
    <w:uiPriority w:val="0"/>
    <w:pPr>
      <w:pBdr>
        <w:top w:val="single" w:color="auto" w:sz="4" w:space="0"/>
        <w:left w:val="single" w:color="auto" w:sz="8" w:space="0"/>
        <w:bottom w:val="single" w:color="auto" w:sz="8" w:space="0"/>
      </w:pBdr>
      <w:spacing w:before="100" w:beforeAutospacing="1" w:after="100" w:afterAutospacing="1"/>
    </w:pPr>
    <w:rPr>
      <w:rFonts w:ascii="Arial" w:hAnsi="Arial" w:cs="Arial"/>
      <w:b/>
      <w:bCs/>
    </w:rPr>
  </w:style>
  <w:style w:type="paragraph" w:customStyle="1" w:styleId="450">
    <w:name w:val="xl280"/>
    <w:basedOn w:val="1"/>
    <w:uiPriority w:val="0"/>
    <w:pPr>
      <w:pBdr>
        <w:top w:val="single" w:color="auto" w:sz="4" w:space="0"/>
        <w:bottom w:val="single" w:color="auto" w:sz="8" w:space="0"/>
        <w:right w:val="single" w:color="auto" w:sz="8" w:space="0"/>
      </w:pBdr>
      <w:spacing w:before="100" w:beforeAutospacing="1" w:after="100" w:afterAutospacing="1"/>
    </w:pPr>
    <w:rPr>
      <w:rFonts w:ascii="Arial" w:hAnsi="Arial" w:cs="Arial"/>
      <w:b/>
      <w:bCs/>
    </w:rPr>
  </w:style>
  <w:style w:type="paragraph" w:customStyle="1" w:styleId="451">
    <w:name w:val="xl281"/>
    <w:basedOn w:val="1"/>
    <w:uiPriority w:val="0"/>
    <w:pPr>
      <w:pBdr>
        <w:top w:val="single" w:color="auto" w:sz="4" w:space="0"/>
        <w:bottom w:val="single" w:color="auto" w:sz="8" w:space="0"/>
      </w:pBdr>
      <w:spacing w:before="100" w:beforeAutospacing="1" w:after="100" w:afterAutospacing="1"/>
      <w:jc w:val="right"/>
    </w:pPr>
    <w:rPr>
      <w:rFonts w:ascii="Arial" w:hAnsi="Arial" w:cs="Arial"/>
      <w:b/>
      <w:bCs/>
    </w:rPr>
  </w:style>
  <w:style w:type="paragraph" w:customStyle="1" w:styleId="452">
    <w:name w:val="xl282"/>
    <w:basedOn w:val="1"/>
    <w:uiPriority w:val="0"/>
    <w:pPr>
      <w:pBdr>
        <w:top w:val="single" w:color="auto" w:sz="4" w:space="0"/>
        <w:bottom w:val="single" w:color="auto" w:sz="8" w:space="0"/>
        <w:right w:val="single" w:color="auto" w:sz="8" w:space="0"/>
      </w:pBdr>
      <w:spacing w:before="100" w:beforeAutospacing="1" w:after="100" w:afterAutospacing="1"/>
      <w:jc w:val="right"/>
    </w:pPr>
    <w:rPr>
      <w:rFonts w:ascii="Arial" w:hAnsi="Arial" w:cs="Arial"/>
      <w:b/>
      <w:bCs/>
    </w:rPr>
  </w:style>
  <w:style w:type="paragraph" w:customStyle="1" w:styleId="453">
    <w:name w:val="xl283"/>
    <w:basedOn w:val="1"/>
    <w:uiPriority w:val="0"/>
    <w:pPr>
      <w:pBdr>
        <w:top w:val="single" w:color="auto" w:sz="4" w:space="0"/>
        <w:left w:val="single" w:color="auto" w:sz="8" w:space="0"/>
        <w:bottom w:val="single" w:color="auto" w:sz="8" w:space="0"/>
      </w:pBdr>
      <w:spacing w:before="100" w:beforeAutospacing="1" w:after="100" w:afterAutospacing="1"/>
      <w:jc w:val="right"/>
    </w:pPr>
    <w:rPr>
      <w:rFonts w:ascii="Arial" w:hAnsi="Arial" w:cs="Arial"/>
    </w:rPr>
  </w:style>
  <w:style w:type="paragraph" w:customStyle="1" w:styleId="454">
    <w:name w:val="xl284"/>
    <w:basedOn w:val="1"/>
    <w:uiPriority w:val="0"/>
    <w:pPr>
      <w:pBdr>
        <w:top w:val="single" w:color="auto" w:sz="8" w:space="0"/>
        <w:bottom w:val="single" w:color="auto" w:sz="4" w:space="0"/>
        <w:right w:val="single" w:color="auto" w:sz="8" w:space="0"/>
      </w:pBdr>
      <w:spacing w:before="100" w:beforeAutospacing="1" w:after="100" w:afterAutospacing="1"/>
      <w:jc w:val="center"/>
    </w:pPr>
    <w:rPr>
      <w:rFonts w:ascii="Arial" w:hAnsi="Arial" w:cs="Arial"/>
      <w:b/>
      <w:bCs/>
      <w:sz w:val="18"/>
      <w:szCs w:val="18"/>
    </w:rPr>
  </w:style>
  <w:style w:type="paragraph" w:customStyle="1" w:styleId="455">
    <w:name w:val="xl285"/>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56">
    <w:name w:val="xl286"/>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style>
  <w:style w:type="paragraph" w:customStyle="1" w:styleId="457">
    <w:name w:val="xl287"/>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58">
    <w:name w:val="xl288"/>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both"/>
      <w:textAlignment w:val="center"/>
    </w:pPr>
    <w:rPr>
      <w:rFonts w:ascii="Arial" w:hAnsi="Arial" w:cs="Arial"/>
      <w:b/>
      <w:bCs/>
    </w:rPr>
  </w:style>
  <w:style w:type="paragraph" w:customStyle="1" w:styleId="459">
    <w:name w:val="xl289"/>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both"/>
      <w:textAlignment w:val="center"/>
    </w:pPr>
  </w:style>
  <w:style w:type="paragraph" w:customStyle="1" w:styleId="460">
    <w:name w:val="xl290"/>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61">
    <w:name w:val="xl291"/>
    <w:basedOn w:val="1"/>
    <w:uiPriority w:val="0"/>
    <w:pPr>
      <w:pBdr>
        <w:top w:val="single" w:color="auto" w:sz="4" w:space="0"/>
        <w:left w:val="single" w:color="auto" w:sz="8" w:space="0"/>
        <w:bottom w:val="single" w:color="auto" w:sz="4" w:space="0"/>
      </w:pBdr>
      <w:spacing w:before="100" w:beforeAutospacing="1" w:after="100" w:afterAutospacing="1"/>
    </w:pPr>
  </w:style>
  <w:style w:type="paragraph" w:customStyle="1" w:styleId="462">
    <w:name w:val="xl292"/>
    <w:basedOn w:val="1"/>
    <w:uiPriority w:val="0"/>
    <w:pPr>
      <w:pBdr>
        <w:top w:val="single" w:color="auto" w:sz="4" w:space="0"/>
        <w:bottom w:val="single" w:color="auto" w:sz="4" w:space="0"/>
        <w:right w:val="single" w:color="auto" w:sz="8" w:space="0"/>
      </w:pBdr>
      <w:spacing w:before="100" w:beforeAutospacing="1" w:after="100" w:afterAutospacing="1"/>
    </w:pPr>
  </w:style>
  <w:style w:type="paragraph" w:customStyle="1" w:styleId="463">
    <w:name w:val="xl293"/>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64">
    <w:name w:val="xl294"/>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65">
    <w:name w:val="xl295"/>
    <w:basedOn w:val="1"/>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b/>
      <w:bCs/>
    </w:rPr>
  </w:style>
  <w:style w:type="paragraph" w:customStyle="1" w:styleId="466">
    <w:name w:val="xl2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67">
    <w:name w:val="xl297"/>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b/>
      <w:bCs/>
    </w:rPr>
  </w:style>
  <w:style w:type="paragraph" w:customStyle="1" w:styleId="468">
    <w:name w:val="xl2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69">
    <w:name w:val="xl299"/>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pPr>
  </w:style>
  <w:style w:type="paragraph" w:customStyle="1" w:styleId="470">
    <w:name w:val="xl300"/>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style>
  <w:style w:type="paragraph" w:customStyle="1" w:styleId="471">
    <w:name w:val="xl301"/>
    <w:basedOn w:val="1"/>
    <w:uiPriority w:val="0"/>
    <w:pPr>
      <w:pBdr>
        <w:top w:val="single" w:color="auto" w:sz="8" w:space="0"/>
        <w:left w:val="single" w:color="auto" w:sz="8" w:space="0"/>
      </w:pBdr>
      <w:shd w:val="clear" w:color="000000" w:fill="CCFFFF"/>
      <w:spacing w:before="100" w:beforeAutospacing="1" w:after="100" w:afterAutospacing="1"/>
      <w:jc w:val="center"/>
      <w:textAlignment w:val="center"/>
    </w:pPr>
    <w:rPr>
      <w:rFonts w:ascii="Arial" w:hAnsi="Arial" w:cs="Arial"/>
      <w:b/>
      <w:bCs/>
    </w:rPr>
  </w:style>
  <w:style w:type="paragraph" w:customStyle="1" w:styleId="472">
    <w:name w:val="xl302"/>
    <w:basedOn w:val="1"/>
    <w:uiPriority w:val="0"/>
    <w:pPr>
      <w:pBdr>
        <w:top w:val="single" w:color="auto" w:sz="8" w:space="0"/>
      </w:pBdr>
      <w:shd w:val="clear" w:color="000000" w:fill="CCFFFF"/>
      <w:spacing w:before="100" w:beforeAutospacing="1" w:after="100" w:afterAutospacing="1"/>
      <w:jc w:val="center"/>
      <w:textAlignment w:val="center"/>
    </w:pPr>
    <w:rPr>
      <w:rFonts w:ascii="Arial" w:hAnsi="Arial" w:cs="Arial"/>
      <w:b/>
      <w:bCs/>
    </w:rPr>
  </w:style>
  <w:style w:type="paragraph" w:customStyle="1" w:styleId="473">
    <w:name w:val="xl303"/>
    <w:basedOn w:val="1"/>
    <w:uiPriority w:val="0"/>
    <w:pPr>
      <w:pBdr>
        <w:top w:val="single" w:color="auto" w:sz="8" w:space="0"/>
      </w:pBdr>
      <w:shd w:val="clear" w:color="000000" w:fill="CCFFFF"/>
      <w:spacing w:before="100" w:beforeAutospacing="1" w:after="100" w:afterAutospacing="1"/>
      <w:jc w:val="center"/>
      <w:textAlignment w:val="center"/>
    </w:pPr>
  </w:style>
  <w:style w:type="paragraph" w:customStyle="1" w:styleId="474">
    <w:name w:val="xl304"/>
    <w:basedOn w:val="1"/>
    <w:uiPriority w:val="0"/>
    <w:pPr>
      <w:pBdr>
        <w:top w:val="single" w:color="auto" w:sz="8" w:space="0"/>
        <w:right w:val="single" w:color="auto" w:sz="8" w:space="0"/>
      </w:pBdr>
      <w:shd w:val="clear" w:color="000000" w:fill="CCFFFF"/>
      <w:spacing w:before="100" w:beforeAutospacing="1" w:after="100" w:afterAutospacing="1"/>
      <w:jc w:val="center"/>
      <w:textAlignment w:val="center"/>
    </w:pPr>
  </w:style>
  <w:style w:type="paragraph" w:customStyle="1" w:styleId="475">
    <w:name w:val="xl305"/>
    <w:basedOn w:val="1"/>
    <w:uiPriority w:val="0"/>
    <w:pPr>
      <w:pBdr>
        <w:left w:val="single" w:color="auto" w:sz="8" w:space="0"/>
        <w:bottom w:val="single" w:color="auto" w:sz="8" w:space="0"/>
      </w:pBdr>
      <w:shd w:val="clear" w:color="000000" w:fill="CCFFFF"/>
      <w:spacing w:before="100" w:beforeAutospacing="1" w:after="100" w:afterAutospacing="1"/>
      <w:jc w:val="center"/>
      <w:textAlignment w:val="center"/>
    </w:pPr>
  </w:style>
  <w:style w:type="paragraph" w:customStyle="1" w:styleId="476">
    <w:name w:val="xl306"/>
    <w:basedOn w:val="1"/>
    <w:uiPriority w:val="0"/>
    <w:pPr>
      <w:pBdr>
        <w:bottom w:val="single" w:color="auto" w:sz="8" w:space="0"/>
      </w:pBdr>
      <w:shd w:val="clear" w:color="000000" w:fill="CCFFFF"/>
      <w:spacing w:before="100" w:beforeAutospacing="1" w:after="100" w:afterAutospacing="1"/>
      <w:jc w:val="center"/>
      <w:textAlignment w:val="center"/>
    </w:pPr>
  </w:style>
  <w:style w:type="paragraph" w:customStyle="1" w:styleId="477">
    <w:name w:val="xl307"/>
    <w:basedOn w:val="1"/>
    <w:uiPriority w:val="0"/>
    <w:pPr>
      <w:pBdr>
        <w:bottom w:val="single" w:color="auto" w:sz="8" w:space="0"/>
        <w:right w:val="single" w:color="auto" w:sz="8" w:space="0"/>
      </w:pBdr>
      <w:shd w:val="clear" w:color="000000" w:fill="CCFFFF"/>
      <w:spacing w:before="100" w:beforeAutospacing="1" w:after="100" w:afterAutospacing="1"/>
      <w:jc w:val="center"/>
      <w:textAlignment w:val="center"/>
    </w:pPr>
  </w:style>
  <w:style w:type="paragraph" w:customStyle="1" w:styleId="478">
    <w:name w:val="xl308"/>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79">
    <w:name w:val="xl309"/>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480">
    <w:name w:val="xl310"/>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style>
  <w:style w:type="paragraph" w:customStyle="1" w:styleId="481">
    <w:name w:val="xl3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482">
    <w:name w:val="xl312"/>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83">
    <w:name w:val="xl313"/>
    <w:basedOn w:val="1"/>
    <w:uiPriority w:val="0"/>
    <w:pPr>
      <w:pBdr>
        <w:top w:val="single" w:color="auto" w:sz="8" w:space="0"/>
        <w:left w:val="single" w:color="auto" w:sz="8" w:space="0"/>
        <w:bottom w:val="single" w:color="auto" w:sz="8" w:space="0"/>
      </w:pBdr>
      <w:shd w:val="clear" w:color="000000" w:fill="CCFFFF"/>
      <w:spacing w:before="100" w:beforeAutospacing="1" w:after="100" w:afterAutospacing="1"/>
      <w:jc w:val="right"/>
    </w:pPr>
    <w:rPr>
      <w:rFonts w:ascii="Arial" w:hAnsi="Arial" w:cs="Arial"/>
    </w:rPr>
  </w:style>
  <w:style w:type="paragraph" w:customStyle="1" w:styleId="484">
    <w:name w:val="xl314"/>
    <w:basedOn w:val="1"/>
    <w:uiPriority w:val="0"/>
    <w:pPr>
      <w:pBdr>
        <w:top w:val="single" w:color="auto" w:sz="8" w:space="0"/>
        <w:bottom w:val="single" w:color="auto" w:sz="8" w:space="0"/>
      </w:pBdr>
      <w:shd w:val="clear" w:color="000000" w:fill="CCFFFF"/>
      <w:spacing w:before="100" w:beforeAutospacing="1" w:after="100" w:afterAutospacing="1"/>
      <w:jc w:val="right"/>
    </w:pPr>
  </w:style>
  <w:style w:type="paragraph" w:customStyle="1" w:styleId="485">
    <w:name w:val="xl315"/>
    <w:basedOn w:val="1"/>
    <w:uiPriority w:val="0"/>
    <w:pPr>
      <w:pBdr>
        <w:top w:val="single" w:color="auto" w:sz="8" w:space="0"/>
        <w:bottom w:val="single" w:color="auto" w:sz="8" w:space="0"/>
        <w:right w:val="single" w:color="auto" w:sz="8" w:space="0"/>
      </w:pBdr>
      <w:shd w:val="clear" w:color="000000" w:fill="CCFFFF"/>
      <w:spacing w:before="100" w:beforeAutospacing="1" w:after="100" w:afterAutospacing="1"/>
      <w:jc w:val="right"/>
    </w:pPr>
  </w:style>
  <w:style w:type="paragraph" w:customStyle="1" w:styleId="486">
    <w:name w:val="xl316"/>
    <w:basedOn w:val="1"/>
    <w:uiPriority w:val="0"/>
    <w:pPr>
      <w:pBdr>
        <w:top w:val="single" w:color="auto" w:sz="8" w:space="0"/>
        <w:left w:val="single" w:color="auto" w:sz="8" w:space="0"/>
        <w:bottom w:val="single" w:color="auto" w:sz="8" w:space="0"/>
      </w:pBdr>
      <w:shd w:val="clear" w:color="000000" w:fill="CCFFFF"/>
      <w:spacing w:before="100" w:beforeAutospacing="1" w:after="100" w:afterAutospacing="1"/>
    </w:pPr>
    <w:rPr>
      <w:rFonts w:ascii="Arial" w:hAnsi="Arial" w:cs="Arial"/>
      <w:b/>
      <w:bCs/>
    </w:rPr>
  </w:style>
  <w:style w:type="paragraph" w:customStyle="1" w:styleId="487">
    <w:name w:val="xl317"/>
    <w:basedOn w:val="1"/>
    <w:uiPriority w:val="0"/>
    <w:pPr>
      <w:pBdr>
        <w:top w:val="single" w:color="auto" w:sz="8" w:space="0"/>
        <w:bottom w:val="single" w:color="auto" w:sz="8" w:space="0"/>
        <w:right w:val="single" w:color="auto" w:sz="8" w:space="0"/>
      </w:pBdr>
      <w:shd w:val="clear" w:color="000000" w:fill="CCFFFF"/>
      <w:spacing w:before="100" w:beforeAutospacing="1" w:after="100" w:afterAutospacing="1"/>
    </w:pPr>
    <w:rPr>
      <w:rFonts w:ascii="Arial" w:hAnsi="Arial" w:cs="Arial"/>
      <w:b/>
      <w:bCs/>
    </w:rPr>
  </w:style>
  <w:style w:type="paragraph" w:customStyle="1" w:styleId="488">
    <w:name w:val="xl318"/>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style>
  <w:style w:type="paragraph" w:customStyle="1" w:styleId="489">
    <w:name w:val="xl319"/>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pPr>
  </w:style>
  <w:style w:type="paragraph" w:customStyle="1" w:styleId="490">
    <w:name w:val="xl320"/>
    <w:basedOn w:val="1"/>
    <w:uiPriority w:val="0"/>
    <w:pPr>
      <w:pBdr>
        <w:top w:val="single" w:color="auto" w:sz="4" w:space="0"/>
        <w:left w:val="single" w:color="auto" w:sz="4" w:space="0"/>
        <w:bottom w:val="single" w:color="auto" w:sz="4" w:space="0"/>
      </w:pBdr>
      <w:spacing w:before="100" w:beforeAutospacing="1" w:after="100" w:afterAutospacing="1"/>
      <w:textAlignment w:val="center"/>
    </w:pPr>
    <w:rPr>
      <w:rFonts w:ascii="Arial" w:hAnsi="Arial" w:cs="Arial"/>
    </w:rPr>
  </w:style>
  <w:style w:type="paragraph" w:customStyle="1" w:styleId="491">
    <w:name w:val="xl321"/>
    <w:basedOn w:val="1"/>
    <w:uiPriority w:val="0"/>
    <w:pPr>
      <w:pBdr>
        <w:top w:val="single" w:color="auto" w:sz="4" w:space="0"/>
        <w:bottom w:val="single" w:color="auto" w:sz="4" w:space="0"/>
      </w:pBdr>
      <w:spacing w:before="100" w:beforeAutospacing="1" w:after="100" w:afterAutospacing="1"/>
      <w:textAlignment w:val="center"/>
    </w:pPr>
  </w:style>
  <w:style w:type="paragraph" w:customStyle="1" w:styleId="492">
    <w:name w:val="xl322"/>
    <w:basedOn w:val="1"/>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493">
    <w:name w:val="xl323"/>
    <w:basedOn w:val="1"/>
    <w:uiPriority w:val="0"/>
    <w:pPr>
      <w:pBdr>
        <w:top w:val="single" w:color="auto" w:sz="8" w:space="0"/>
        <w:left w:val="single" w:color="auto" w:sz="4" w:space="0"/>
        <w:bottom w:val="single" w:color="auto" w:sz="4" w:space="0"/>
      </w:pBdr>
      <w:spacing w:before="100" w:beforeAutospacing="1" w:after="100" w:afterAutospacing="1"/>
      <w:textAlignment w:val="center"/>
    </w:pPr>
    <w:rPr>
      <w:rFonts w:ascii="Arial" w:hAnsi="Arial" w:cs="Arial"/>
      <w:b/>
      <w:bCs/>
    </w:rPr>
  </w:style>
  <w:style w:type="paragraph" w:customStyle="1" w:styleId="494">
    <w:name w:val="xl324"/>
    <w:basedOn w:val="1"/>
    <w:uiPriority w:val="0"/>
    <w:pPr>
      <w:pBdr>
        <w:top w:val="single" w:color="auto" w:sz="8" w:space="0"/>
        <w:bottom w:val="single" w:color="auto" w:sz="4" w:space="0"/>
      </w:pBdr>
      <w:spacing w:before="100" w:beforeAutospacing="1" w:after="100" w:afterAutospacing="1"/>
      <w:textAlignment w:val="center"/>
    </w:pPr>
  </w:style>
  <w:style w:type="paragraph" w:customStyle="1" w:styleId="495">
    <w:name w:val="xl325"/>
    <w:basedOn w:val="1"/>
    <w:uiPriority w:val="0"/>
    <w:pPr>
      <w:pBdr>
        <w:top w:val="single" w:color="auto" w:sz="8" w:space="0"/>
        <w:bottom w:val="single" w:color="auto" w:sz="4" w:space="0"/>
        <w:right w:val="single" w:color="auto" w:sz="4" w:space="0"/>
      </w:pBdr>
      <w:spacing w:before="100" w:beforeAutospacing="1" w:after="100" w:afterAutospacing="1"/>
      <w:textAlignment w:val="center"/>
    </w:pPr>
  </w:style>
  <w:style w:type="paragraph" w:customStyle="1" w:styleId="496">
    <w:name w:val="xl326"/>
    <w:basedOn w:val="1"/>
    <w:uiPriority w:val="0"/>
    <w:pPr>
      <w:pBdr>
        <w:top w:val="single" w:color="auto" w:sz="8" w:space="0"/>
        <w:left w:val="single" w:color="auto" w:sz="4" w:space="0"/>
        <w:bottom w:val="single" w:color="auto" w:sz="4" w:space="0"/>
      </w:pBdr>
      <w:spacing w:before="100" w:beforeAutospacing="1" w:after="100" w:afterAutospacing="1"/>
      <w:jc w:val="center"/>
      <w:textAlignment w:val="center"/>
    </w:pPr>
    <w:rPr>
      <w:rFonts w:ascii="Arial" w:hAnsi="Arial" w:cs="Arial"/>
      <w:b/>
      <w:bCs/>
      <w:sz w:val="18"/>
      <w:szCs w:val="18"/>
    </w:rPr>
  </w:style>
  <w:style w:type="paragraph" w:customStyle="1" w:styleId="497">
    <w:name w:val="xl327"/>
    <w:basedOn w:val="1"/>
    <w:uiPriority w:val="0"/>
    <w:pPr>
      <w:pBdr>
        <w:top w:val="single" w:color="auto" w:sz="8" w:space="0"/>
        <w:bottom w:val="single" w:color="auto" w:sz="4" w:space="0"/>
        <w:right w:val="single" w:color="auto" w:sz="8" w:space="0"/>
      </w:pBdr>
      <w:spacing w:before="100" w:beforeAutospacing="1" w:after="100" w:afterAutospacing="1"/>
      <w:jc w:val="center"/>
      <w:textAlignment w:val="center"/>
    </w:pPr>
    <w:rPr>
      <w:rFonts w:ascii="Arial" w:hAnsi="Arial" w:cs="Arial"/>
      <w:b/>
      <w:bCs/>
      <w:sz w:val="18"/>
      <w:szCs w:val="18"/>
    </w:rPr>
  </w:style>
  <w:style w:type="paragraph" w:customStyle="1" w:styleId="498">
    <w:name w:val="xl328"/>
    <w:basedOn w:val="1"/>
    <w:uiPriority w:val="0"/>
    <w:pPr>
      <w:pBdr>
        <w:top w:val="single" w:color="auto" w:sz="8" w:space="0"/>
        <w:bottom w:val="single" w:color="auto" w:sz="8" w:space="0"/>
      </w:pBdr>
      <w:spacing w:before="100" w:beforeAutospacing="1" w:after="100" w:afterAutospacing="1"/>
    </w:pPr>
  </w:style>
  <w:style w:type="paragraph" w:customStyle="1" w:styleId="499">
    <w:name w:val="xl329"/>
    <w:basedOn w:val="1"/>
    <w:uiPriority w:val="0"/>
    <w:pPr>
      <w:pBdr>
        <w:top w:val="single" w:color="auto" w:sz="8" w:space="0"/>
        <w:bottom w:val="single" w:color="auto" w:sz="8" w:space="0"/>
        <w:right w:val="single" w:color="auto" w:sz="8" w:space="0"/>
      </w:pBdr>
      <w:spacing w:before="100" w:beforeAutospacing="1" w:after="100" w:afterAutospacing="1"/>
    </w:pPr>
  </w:style>
  <w:style w:type="paragraph" w:customStyle="1" w:styleId="500">
    <w:name w:val="xl330"/>
    <w:basedOn w:val="1"/>
    <w:uiPriority w:val="0"/>
    <w:pPr>
      <w:pBdr>
        <w:top w:val="single" w:color="auto" w:sz="8" w:space="0"/>
        <w:left w:val="single" w:color="auto" w:sz="8" w:space="0"/>
        <w:bottom w:val="single" w:color="auto" w:sz="8" w:space="0"/>
      </w:pBdr>
      <w:spacing w:before="100" w:beforeAutospacing="1" w:after="100" w:afterAutospacing="1"/>
    </w:pPr>
  </w:style>
  <w:style w:type="paragraph" w:customStyle="1" w:styleId="501">
    <w:name w:val="xl331"/>
    <w:basedOn w:val="1"/>
    <w:uiPriority w:val="0"/>
    <w:pPr>
      <w:pBdr>
        <w:top w:val="single" w:color="auto" w:sz="4" w:space="0"/>
        <w:bottom w:val="single" w:color="auto" w:sz="8" w:space="0"/>
        <w:right w:val="single" w:color="auto" w:sz="8" w:space="0"/>
      </w:pBdr>
      <w:spacing w:before="100" w:beforeAutospacing="1" w:after="100" w:afterAutospacing="1"/>
    </w:pPr>
  </w:style>
  <w:style w:type="paragraph" w:customStyle="1" w:styleId="502">
    <w:name w:val="xl3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503">
    <w:name w:val="xl333"/>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pPr>
  </w:style>
  <w:style w:type="paragraph" w:customStyle="1" w:styleId="504">
    <w:name w:val="xl3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505">
    <w:name w:val="xl3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506">
    <w:name w:val="xl3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rPr>
  </w:style>
  <w:style w:type="paragraph" w:customStyle="1" w:styleId="507">
    <w:name w:val="xl337"/>
    <w:basedOn w:val="1"/>
    <w:uiPriority w:val="0"/>
    <w:pPr>
      <w:pBdr>
        <w:top w:val="single" w:color="auto" w:sz="8" w:space="0"/>
        <w:bottom w:val="single" w:color="auto" w:sz="4" w:space="0"/>
        <w:right w:val="single" w:color="auto" w:sz="4" w:space="0"/>
      </w:pBdr>
      <w:spacing w:before="100" w:beforeAutospacing="1" w:after="100" w:afterAutospacing="1"/>
    </w:pPr>
    <w:rPr>
      <w:rFonts w:ascii="Arial" w:hAnsi="Arial" w:cs="Arial"/>
      <w:b/>
      <w:bCs/>
    </w:rPr>
  </w:style>
  <w:style w:type="paragraph" w:customStyle="1" w:styleId="508">
    <w:name w:val="xl338"/>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509">
    <w:name w:val="xl339"/>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18"/>
      <w:szCs w:val="18"/>
    </w:rPr>
  </w:style>
  <w:style w:type="paragraph" w:customStyle="1" w:styleId="510">
    <w:name w:val="xl340"/>
    <w:basedOn w:val="1"/>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w:hAnsi="Arial" w:cs="Arial"/>
      <w:sz w:val="18"/>
      <w:szCs w:val="18"/>
    </w:rPr>
  </w:style>
  <w:style w:type="paragraph" w:customStyle="1" w:styleId="511">
    <w:name w:val="xl341"/>
    <w:basedOn w:val="1"/>
    <w:uiPriority w:val="0"/>
    <w:pPr>
      <w:pBdr>
        <w:top w:val="single" w:color="auto" w:sz="4" w:space="0"/>
        <w:bottom w:val="single" w:color="auto" w:sz="8" w:space="0"/>
        <w:right w:val="single" w:color="auto" w:sz="4" w:space="0"/>
      </w:pBdr>
      <w:spacing w:before="100" w:beforeAutospacing="1" w:after="100" w:afterAutospacing="1"/>
    </w:pPr>
  </w:style>
  <w:style w:type="paragraph" w:customStyle="1" w:styleId="512">
    <w:name w:val="xl342"/>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pPr>
    <w:rPr>
      <w:rFonts w:ascii="Arial" w:hAnsi="Arial" w:cs="Arial"/>
    </w:rPr>
  </w:style>
  <w:style w:type="paragraph" w:customStyle="1" w:styleId="513">
    <w:name w:val="xl343"/>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Arial" w:hAnsi="Arial" w:cs="Arial"/>
      <w:b/>
      <w:bCs/>
    </w:rPr>
  </w:style>
  <w:style w:type="paragraph" w:customStyle="1" w:styleId="514">
    <w:name w:val="xl344"/>
    <w:basedOn w:val="1"/>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w:hAnsi="Arial" w:cs="Arial"/>
      <w:b/>
      <w:bCs/>
      <w:sz w:val="18"/>
      <w:szCs w:val="18"/>
    </w:rPr>
  </w:style>
  <w:style w:type="paragraph" w:customStyle="1" w:styleId="515">
    <w:name w:val="xl345"/>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pPr>
  </w:style>
  <w:style w:type="paragraph" w:customStyle="1" w:styleId="516">
    <w:name w:val="xl3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517">
    <w:name w:val="xl347"/>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right"/>
    </w:pPr>
    <w:rPr>
      <w:rFonts w:ascii="Arial" w:hAnsi="Arial" w:cs="Arial"/>
      <w:b/>
      <w:bCs/>
    </w:rPr>
  </w:style>
  <w:style w:type="paragraph" w:customStyle="1" w:styleId="518">
    <w:name w:val="xl348"/>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pPr>
  </w:style>
  <w:style w:type="paragraph" w:customStyle="1" w:styleId="519">
    <w:name w:val="xl349"/>
    <w:basedOn w:val="1"/>
    <w:uiPriority w:val="0"/>
    <w:pPr>
      <w:pBdr>
        <w:left w:val="single" w:color="auto" w:sz="8" w:space="0"/>
        <w:bottom w:val="single" w:color="auto" w:sz="8" w:space="0"/>
        <w:right w:val="single" w:color="auto" w:sz="4" w:space="0"/>
      </w:pBdr>
      <w:shd w:val="clear" w:color="000000" w:fill="CCFFFF"/>
      <w:spacing w:before="100" w:beforeAutospacing="1" w:after="100" w:afterAutospacing="1"/>
      <w:jc w:val="right"/>
    </w:pPr>
    <w:rPr>
      <w:rFonts w:ascii="Arial" w:hAnsi="Arial" w:cs="Arial"/>
    </w:rPr>
  </w:style>
  <w:style w:type="paragraph" w:customStyle="1" w:styleId="520">
    <w:name w:val="xl350"/>
    <w:basedOn w:val="1"/>
    <w:uiPriority w:val="0"/>
    <w:pPr>
      <w:pBdr>
        <w:top w:val="single" w:color="auto" w:sz="4" w:space="0"/>
        <w:left w:val="single" w:color="auto" w:sz="4" w:space="0"/>
        <w:bottom w:val="single" w:color="auto" w:sz="8" w:space="0"/>
        <w:right w:val="single" w:color="auto" w:sz="4" w:space="0"/>
      </w:pBdr>
      <w:shd w:val="clear" w:color="000000" w:fill="CCFFFF"/>
      <w:spacing w:before="100" w:beforeAutospacing="1" w:after="100" w:afterAutospacing="1"/>
      <w:jc w:val="right"/>
    </w:pPr>
  </w:style>
  <w:style w:type="paragraph" w:customStyle="1" w:styleId="521">
    <w:name w:val="xl351"/>
    <w:basedOn w:val="1"/>
    <w:uiPriority w:val="0"/>
    <w:pPr>
      <w:pBdr>
        <w:top w:val="single" w:color="auto" w:sz="4" w:space="0"/>
        <w:left w:val="single" w:color="auto" w:sz="4" w:space="0"/>
        <w:bottom w:val="single" w:color="auto" w:sz="8" w:space="0"/>
        <w:right w:val="single" w:color="auto" w:sz="4" w:space="0"/>
      </w:pBdr>
      <w:shd w:val="clear" w:color="000000" w:fill="CCFFFF"/>
      <w:spacing w:before="100" w:beforeAutospacing="1" w:after="100" w:afterAutospacing="1"/>
    </w:pPr>
    <w:rPr>
      <w:rFonts w:ascii="Arial" w:hAnsi="Arial" w:cs="Arial"/>
      <w:b/>
      <w:bCs/>
    </w:rPr>
  </w:style>
  <w:style w:type="paragraph" w:customStyle="1" w:styleId="522">
    <w:name w:val="xl352"/>
    <w:basedOn w:val="1"/>
    <w:uiPriority w:val="0"/>
    <w:pPr>
      <w:pBdr>
        <w:top w:val="single" w:color="auto" w:sz="4" w:space="0"/>
        <w:left w:val="single" w:color="auto" w:sz="4" w:space="0"/>
        <w:bottom w:val="single" w:color="auto" w:sz="8" w:space="0"/>
        <w:right w:val="single" w:color="auto" w:sz="8" w:space="0"/>
      </w:pBdr>
      <w:shd w:val="clear" w:color="000000" w:fill="CCFFFF"/>
      <w:spacing w:before="100" w:beforeAutospacing="1" w:after="100" w:afterAutospacing="1"/>
    </w:pPr>
    <w:rPr>
      <w:rFonts w:ascii="Arial" w:hAnsi="Arial" w:cs="Arial"/>
      <w:b/>
      <w:bCs/>
    </w:rPr>
  </w:style>
  <w:style w:type="paragraph" w:customStyle="1" w:styleId="523">
    <w:name w:val="xl353"/>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524">
    <w:name w:val="xl3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525">
    <w:name w:val="xl355"/>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526">
    <w:name w:val="xl3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w:hAnsi="Arial" w:cs="Arial"/>
      <w:b/>
      <w:bCs/>
    </w:rPr>
  </w:style>
  <w:style w:type="paragraph" w:customStyle="1" w:styleId="527">
    <w:name w:val="xl35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style>
  <w:style w:type="paragraph" w:customStyle="1" w:styleId="528">
    <w:name w:val="xl35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529">
    <w:name w:val="xl359"/>
    <w:basedOn w:val="1"/>
    <w:uiPriority w:val="0"/>
    <w:pPr>
      <w:pBdr>
        <w:top w:val="single" w:color="auto" w:sz="4" w:space="0"/>
        <w:left w:val="single" w:color="auto" w:sz="8" w:space="0"/>
        <w:bottom w:val="single" w:color="auto" w:sz="4" w:space="0"/>
      </w:pBdr>
      <w:spacing w:before="100" w:beforeAutospacing="1" w:after="100" w:afterAutospacing="1"/>
      <w:textAlignment w:val="top"/>
    </w:pPr>
    <w:rPr>
      <w:rFonts w:ascii="Arial" w:hAnsi="Arial" w:cs="Arial"/>
      <w:b/>
      <w:bCs/>
    </w:rPr>
  </w:style>
  <w:style w:type="paragraph" w:customStyle="1" w:styleId="530">
    <w:name w:val="xl360"/>
    <w:basedOn w:val="1"/>
    <w:uiPriority w:val="0"/>
    <w:pPr>
      <w:pBdr>
        <w:top w:val="single" w:color="auto" w:sz="4" w:space="0"/>
        <w:bottom w:val="single" w:color="auto" w:sz="4" w:space="0"/>
      </w:pBdr>
      <w:spacing w:before="100" w:beforeAutospacing="1" w:after="100" w:afterAutospacing="1"/>
      <w:textAlignment w:val="top"/>
    </w:pPr>
    <w:rPr>
      <w:rFonts w:ascii="Arial" w:hAnsi="Arial" w:cs="Arial"/>
    </w:rPr>
  </w:style>
  <w:style w:type="paragraph" w:customStyle="1" w:styleId="531">
    <w:name w:val="xl361"/>
    <w:basedOn w:val="1"/>
    <w:uiPriority w:val="0"/>
    <w:pPr>
      <w:pBdr>
        <w:top w:val="single" w:color="auto" w:sz="4" w:space="0"/>
        <w:bottom w:val="single" w:color="auto" w:sz="4" w:space="0"/>
        <w:right w:val="single" w:color="auto" w:sz="4" w:space="0"/>
      </w:pBdr>
      <w:spacing w:before="100" w:beforeAutospacing="1" w:after="100" w:afterAutospacing="1"/>
      <w:textAlignment w:val="top"/>
    </w:pPr>
    <w:rPr>
      <w:rFonts w:ascii="Arial" w:hAnsi="Arial" w:cs="Arial"/>
    </w:rPr>
  </w:style>
  <w:style w:type="paragraph" w:customStyle="1" w:styleId="532">
    <w:name w:val="xl362"/>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533">
    <w:name w:val="xl363"/>
    <w:basedOn w:val="1"/>
    <w:uiPriority w:val="0"/>
    <w:pPr>
      <w:pBdr>
        <w:top w:val="single" w:color="auto" w:sz="4" w:space="0"/>
        <w:bottom w:val="single" w:color="auto" w:sz="4" w:space="0"/>
      </w:pBdr>
      <w:spacing w:before="100" w:beforeAutospacing="1" w:after="100" w:afterAutospacing="1"/>
      <w:textAlignment w:val="center"/>
    </w:pPr>
    <w:rPr>
      <w:rFonts w:ascii="Arial" w:hAnsi="Arial" w:cs="Arial"/>
    </w:rPr>
  </w:style>
  <w:style w:type="paragraph" w:customStyle="1" w:styleId="534">
    <w:name w:val="xl364"/>
    <w:basedOn w:val="1"/>
    <w:uiPriority w:val="0"/>
    <w:pPr>
      <w:pBdr>
        <w:top w:val="single" w:color="auto" w:sz="4" w:space="0"/>
        <w:bottom w:val="single" w:color="auto" w:sz="4" w:space="0"/>
        <w:right w:val="single" w:color="auto" w:sz="8" w:space="0"/>
      </w:pBdr>
      <w:spacing w:before="100" w:beforeAutospacing="1" w:after="100" w:afterAutospacing="1"/>
      <w:textAlignment w:val="center"/>
    </w:pPr>
    <w:rPr>
      <w:rFonts w:ascii="Arial" w:hAnsi="Arial" w:cs="Arial"/>
    </w:rPr>
  </w:style>
  <w:style w:type="paragraph" w:customStyle="1" w:styleId="535">
    <w:name w:val="xl365"/>
    <w:basedOn w:val="1"/>
    <w:uiPriority w:val="0"/>
    <w:pPr>
      <w:pBdr>
        <w:top w:val="single" w:color="auto" w:sz="8" w:space="0"/>
        <w:bottom w:val="single" w:color="auto" w:sz="4" w:space="0"/>
        <w:right w:val="single" w:color="auto" w:sz="4" w:space="0"/>
      </w:pBdr>
      <w:shd w:val="clear" w:color="000000" w:fill="CCFFFF"/>
      <w:spacing w:before="100" w:beforeAutospacing="1" w:after="100" w:afterAutospacing="1"/>
    </w:pPr>
    <w:rPr>
      <w:rFonts w:ascii="Arial" w:hAnsi="Arial" w:cs="Arial"/>
      <w:b/>
      <w:bCs/>
    </w:rPr>
  </w:style>
  <w:style w:type="paragraph" w:customStyle="1" w:styleId="536">
    <w:name w:val="xl366"/>
    <w:basedOn w:val="1"/>
    <w:uiPriority w:val="0"/>
    <w:pPr>
      <w:pBdr>
        <w:top w:val="single" w:color="auto" w:sz="8" w:space="0"/>
        <w:left w:val="single" w:color="auto" w:sz="4" w:space="0"/>
        <w:bottom w:val="single" w:color="auto" w:sz="4" w:space="0"/>
        <w:right w:val="single" w:color="auto" w:sz="4" w:space="0"/>
      </w:pBdr>
      <w:shd w:val="clear" w:color="000000" w:fill="CCFFFF"/>
      <w:spacing w:before="100" w:beforeAutospacing="1" w:after="100" w:afterAutospacing="1"/>
    </w:pPr>
    <w:rPr>
      <w:rFonts w:ascii="Arial" w:hAnsi="Arial" w:cs="Arial"/>
      <w:b/>
      <w:bCs/>
    </w:rPr>
  </w:style>
  <w:style w:type="paragraph" w:customStyle="1" w:styleId="537">
    <w:name w:val="xl367"/>
    <w:basedOn w:val="1"/>
    <w:uiPriority w:val="0"/>
    <w:pPr>
      <w:pBdr>
        <w:top w:val="single" w:color="auto" w:sz="8" w:space="0"/>
        <w:left w:val="single" w:color="auto" w:sz="4" w:space="0"/>
        <w:bottom w:val="single" w:color="auto" w:sz="4" w:space="0"/>
        <w:right w:val="single" w:color="auto" w:sz="4" w:space="0"/>
      </w:pBdr>
      <w:shd w:val="clear" w:color="000000" w:fill="CCFFFF"/>
      <w:spacing w:before="100" w:beforeAutospacing="1" w:after="100" w:afterAutospacing="1"/>
    </w:pPr>
  </w:style>
  <w:style w:type="paragraph" w:customStyle="1" w:styleId="538">
    <w:name w:val="xl368"/>
    <w:basedOn w:val="1"/>
    <w:uiPriority w:val="0"/>
    <w:pPr>
      <w:pBdr>
        <w:top w:val="single" w:color="auto" w:sz="8" w:space="0"/>
        <w:left w:val="single" w:color="auto" w:sz="4" w:space="0"/>
        <w:bottom w:val="single" w:color="auto" w:sz="4" w:space="0"/>
        <w:right w:val="single" w:color="auto" w:sz="8" w:space="0"/>
      </w:pBdr>
      <w:shd w:val="clear" w:color="000000" w:fill="CCFFFF"/>
      <w:spacing w:before="100" w:beforeAutospacing="1" w:after="100" w:afterAutospacing="1"/>
    </w:pPr>
  </w:style>
  <w:style w:type="paragraph" w:customStyle="1" w:styleId="539">
    <w:name w:val="xl369"/>
    <w:basedOn w:val="1"/>
    <w:uiPriority w:val="0"/>
    <w:pPr>
      <w:pBdr>
        <w:left w:val="single" w:color="auto" w:sz="8" w:space="0"/>
        <w:bottom w:val="single" w:color="auto" w:sz="8" w:space="0"/>
      </w:pBdr>
      <w:shd w:val="clear" w:color="000000" w:fill="CCFFFF"/>
      <w:spacing w:before="100" w:beforeAutospacing="1" w:after="100" w:afterAutospacing="1"/>
      <w:jc w:val="center"/>
      <w:textAlignment w:val="center"/>
    </w:pPr>
    <w:rPr>
      <w:rFonts w:ascii="Arial" w:hAnsi="Arial" w:cs="Arial"/>
    </w:rPr>
  </w:style>
  <w:style w:type="paragraph" w:customStyle="1" w:styleId="540">
    <w:name w:val="xl370"/>
    <w:basedOn w:val="1"/>
    <w:uiPriority w:val="0"/>
    <w:pPr>
      <w:pBdr>
        <w:bottom w:val="single" w:color="auto" w:sz="8" w:space="0"/>
      </w:pBdr>
      <w:shd w:val="clear" w:color="000000" w:fill="CCFFFF"/>
      <w:spacing w:before="100" w:beforeAutospacing="1" w:after="100" w:afterAutospacing="1"/>
      <w:jc w:val="center"/>
      <w:textAlignment w:val="center"/>
    </w:pPr>
  </w:style>
  <w:style w:type="paragraph" w:customStyle="1" w:styleId="541">
    <w:name w:val="xl371"/>
    <w:basedOn w:val="1"/>
    <w:uiPriority w:val="0"/>
    <w:pPr>
      <w:pBdr>
        <w:bottom w:val="single" w:color="auto" w:sz="8" w:space="0"/>
        <w:right w:val="single" w:color="auto" w:sz="4" w:space="0"/>
      </w:pBdr>
      <w:shd w:val="clear" w:color="000000" w:fill="CCFFFF"/>
      <w:spacing w:before="100" w:beforeAutospacing="1" w:after="100" w:afterAutospacing="1"/>
      <w:jc w:val="center"/>
      <w:textAlignment w:val="center"/>
    </w:pPr>
  </w:style>
  <w:style w:type="paragraph" w:customStyle="1" w:styleId="542">
    <w:name w:val="xl372"/>
    <w:basedOn w:val="1"/>
    <w:uiPriority w:val="0"/>
    <w:pPr>
      <w:pBdr>
        <w:top w:val="single" w:color="auto" w:sz="8" w:space="0"/>
        <w:bottom w:val="single" w:color="auto" w:sz="4" w:space="0"/>
      </w:pBdr>
      <w:spacing w:before="100" w:beforeAutospacing="1" w:after="100" w:afterAutospacing="1"/>
      <w:textAlignment w:val="center"/>
    </w:pPr>
    <w:rPr>
      <w:rFonts w:ascii="Arial" w:hAnsi="Arial" w:cs="Arial"/>
      <w:b/>
      <w:bCs/>
    </w:rPr>
  </w:style>
  <w:style w:type="paragraph" w:customStyle="1" w:styleId="543">
    <w:name w:val="xl373"/>
    <w:basedOn w:val="1"/>
    <w:uiPriority w:val="0"/>
    <w:pPr>
      <w:pBdr>
        <w:top w:val="single" w:color="auto" w:sz="8" w:space="0"/>
        <w:bottom w:val="single" w:color="auto" w:sz="4" w:space="0"/>
      </w:pBdr>
      <w:spacing w:before="100" w:beforeAutospacing="1" w:after="100" w:afterAutospacing="1"/>
      <w:textAlignment w:val="center"/>
    </w:pPr>
  </w:style>
  <w:style w:type="paragraph" w:customStyle="1" w:styleId="544">
    <w:name w:val="xl374"/>
    <w:basedOn w:val="1"/>
    <w:uiPriority w:val="0"/>
    <w:pPr>
      <w:pBdr>
        <w:top w:val="single" w:color="auto" w:sz="8" w:space="0"/>
        <w:bottom w:val="single" w:color="auto" w:sz="4" w:space="0"/>
        <w:right w:val="single" w:color="auto" w:sz="8" w:space="0"/>
      </w:pBdr>
      <w:spacing w:before="100" w:beforeAutospacing="1" w:after="100" w:afterAutospacing="1"/>
      <w:textAlignment w:val="center"/>
    </w:pPr>
  </w:style>
  <w:style w:type="paragraph" w:customStyle="1" w:styleId="545">
    <w:name w:val="xl3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b/>
      <w:bCs/>
      <w:sz w:val="14"/>
      <w:szCs w:val="14"/>
    </w:rPr>
  </w:style>
  <w:style w:type="paragraph" w:customStyle="1" w:styleId="546">
    <w:name w:val="xl3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sz w:val="14"/>
      <w:szCs w:val="14"/>
    </w:rPr>
  </w:style>
  <w:style w:type="paragraph" w:customStyle="1" w:styleId="547">
    <w:name w:val="xl377"/>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rPr>
      <w:rFonts w:ascii="Arial" w:hAnsi="Arial" w:cs="Arial"/>
      <w:b/>
      <w:bCs/>
      <w:sz w:val="14"/>
      <w:szCs w:val="14"/>
    </w:rPr>
  </w:style>
  <w:style w:type="paragraph" w:customStyle="1" w:styleId="548">
    <w:name w:val="xl378"/>
    <w:basedOn w:val="1"/>
    <w:uiPriority w:val="0"/>
    <w:pPr>
      <w:pBdr>
        <w:top w:val="single" w:color="auto" w:sz="4" w:space="0"/>
        <w:bottom w:val="single" w:color="auto" w:sz="4" w:space="0"/>
      </w:pBdr>
      <w:spacing w:before="100" w:beforeAutospacing="1" w:after="100" w:afterAutospacing="1"/>
      <w:jc w:val="center"/>
      <w:textAlignment w:val="top"/>
    </w:pPr>
    <w:rPr>
      <w:rFonts w:ascii="Arial" w:hAnsi="Arial" w:cs="Arial"/>
      <w:sz w:val="14"/>
      <w:szCs w:val="14"/>
    </w:rPr>
  </w:style>
  <w:style w:type="paragraph" w:customStyle="1" w:styleId="549">
    <w:name w:val="xl379"/>
    <w:basedOn w:val="1"/>
    <w:uiPriority w:val="0"/>
    <w:pPr>
      <w:pBdr>
        <w:top w:val="single" w:color="auto" w:sz="4" w:space="0"/>
        <w:bottom w:val="single" w:color="auto" w:sz="4" w:space="0"/>
        <w:right w:val="single" w:color="auto" w:sz="8" w:space="0"/>
      </w:pBdr>
      <w:spacing w:before="100" w:beforeAutospacing="1" w:after="100" w:afterAutospacing="1"/>
      <w:jc w:val="center"/>
      <w:textAlignment w:val="top"/>
    </w:pPr>
    <w:rPr>
      <w:rFonts w:ascii="Arial" w:hAnsi="Arial" w:cs="Arial"/>
      <w:sz w:val="14"/>
      <w:szCs w:val="14"/>
    </w:rPr>
  </w:style>
  <w:style w:type="paragraph" w:customStyle="1" w:styleId="550">
    <w:name w:val="xl380"/>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rPr>
      <w:rFonts w:ascii="Arial" w:hAnsi="Arial" w:cs="Arial"/>
      <w:sz w:val="14"/>
      <w:szCs w:val="14"/>
    </w:rPr>
  </w:style>
  <w:style w:type="paragraph" w:customStyle="1" w:styleId="551">
    <w:name w:val="xl381"/>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552">
    <w:name w:val="xl382"/>
    <w:basedOn w:val="1"/>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rPr>
  </w:style>
  <w:style w:type="paragraph" w:customStyle="1" w:styleId="553">
    <w:name w:val="xl383"/>
    <w:basedOn w:val="1"/>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rPr>
  </w:style>
  <w:style w:type="paragraph" w:customStyle="1" w:styleId="554">
    <w:name w:val="xl384"/>
    <w:basedOn w:val="1"/>
    <w:uiPriority w:val="0"/>
    <w:pPr>
      <w:pBdr>
        <w:left w:val="single" w:color="auto" w:sz="8" w:space="0"/>
        <w:bottom w:val="single" w:color="auto" w:sz="4" w:space="0"/>
      </w:pBdr>
      <w:spacing w:before="100" w:beforeAutospacing="1" w:after="100" w:afterAutospacing="1"/>
      <w:jc w:val="center"/>
      <w:textAlignment w:val="center"/>
    </w:pPr>
    <w:rPr>
      <w:rFonts w:ascii="Arial" w:hAnsi="Arial" w:cs="Arial"/>
      <w:b/>
      <w:bCs/>
      <w:sz w:val="18"/>
      <w:szCs w:val="18"/>
    </w:rPr>
  </w:style>
  <w:style w:type="paragraph" w:customStyle="1" w:styleId="555">
    <w:name w:val="xl385"/>
    <w:basedOn w:val="1"/>
    <w:uiPriority w:val="0"/>
    <w:pPr>
      <w:pBdr>
        <w:top w:val="single" w:color="auto" w:sz="4" w:space="0"/>
        <w:bottom w:val="single" w:color="auto" w:sz="4" w:space="0"/>
      </w:pBdr>
      <w:spacing w:before="100" w:beforeAutospacing="1" w:after="100" w:afterAutospacing="1"/>
      <w:jc w:val="center"/>
      <w:textAlignment w:val="center"/>
    </w:pPr>
    <w:rPr>
      <w:rFonts w:ascii="Arial" w:hAnsi="Arial" w:cs="Arial"/>
      <w:sz w:val="18"/>
      <w:szCs w:val="18"/>
    </w:rPr>
  </w:style>
  <w:style w:type="paragraph" w:customStyle="1" w:styleId="556">
    <w:name w:val="xl386"/>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sz w:val="18"/>
      <w:szCs w:val="18"/>
    </w:rPr>
  </w:style>
  <w:style w:type="paragraph" w:customStyle="1" w:styleId="557">
    <w:name w:val="xl387"/>
    <w:basedOn w:val="1"/>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rFonts w:ascii="Arial" w:hAnsi="Arial" w:cs="Arial"/>
      <w:sz w:val="18"/>
      <w:szCs w:val="18"/>
    </w:rPr>
  </w:style>
  <w:style w:type="paragraph" w:customStyle="1" w:styleId="558">
    <w:name w:val="xl388"/>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Arial" w:hAnsi="Arial" w:cs="Arial"/>
      <w:b/>
      <w:bCs/>
    </w:rPr>
  </w:style>
  <w:style w:type="paragraph" w:customStyle="1" w:styleId="559">
    <w:name w:val="xl389"/>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Arial" w:hAnsi="Arial" w:cs="Arial"/>
      <w:b/>
      <w:bCs/>
    </w:rPr>
  </w:style>
  <w:style w:type="paragraph" w:customStyle="1" w:styleId="560">
    <w:name w:val="xl390"/>
    <w:basedOn w:val="1"/>
    <w:uiPriority w:val="0"/>
    <w:pPr>
      <w:pBdr>
        <w:top w:val="single" w:color="auto" w:sz="8" w:space="0"/>
        <w:left w:val="single" w:color="auto" w:sz="8" w:space="0"/>
      </w:pBdr>
      <w:spacing w:before="100" w:beforeAutospacing="1" w:after="100" w:afterAutospacing="1"/>
    </w:pPr>
    <w:rPr>
      <w:rFonts w:ascii="Arial" w:hAnsi="Arial" w:cs="Arial"/>
      <w:color w:val="FF0000"/>
    </w:rPr>
  </w:style>
  <w:style w:type="paragraph" w:customStyle="1" w:styleId="561">
    <w:name w:val="xl391"/>
    <w:basedOn w:val="1"/>
    <w:uiPriority w:val="0"/>
    <w:pPr>
      <w:pBdr>
        <w:top w:val="single" w:color="auto" w:sz="8" w:space="0"/>
      </w:pBdr>
      <w:spacing w:before="100" w:beforeAutospacing="1" w:after="100" w:afterAutospacing="1"/>
    </w:pPr>
    <w:rPr>
      <w:rFonts w:ascii="Arial" w:hAnsi="Arial" w:cs="Arial"/>
      <w:color w:val="FF0000"/>
    </w:rPr>
  </w:style>
  <w:style w:type="paragraph" w:customStyle="1" w:styleId="562">
    <w:name w:val="xl392"/>
    <w:basedOn w:val="1"/>
    <w:uiPriority w:val="0"/>
    <w:pPr>
      <w:pBdr>
        <w:top w:val="single" w:color="auto" w:sz="8" w:space="0"/>
        <w:right w:val="single" w:color="auto" w:sz="8" w:space="0"/>
      </w:pBdr>
      <w:spacing w:before="100" w:beforeAutospacing="1" w:after="100" w:afterAutospacing="1"/>
    </w:pPr>
    <w:rPr>
      <w:rFonts w:ascii="Arial" w:hAnsi="Arial" w:cs="Arial"/>
      <w:color w:val="FF0000"/>
    </w:rPr>
  </w:style>
  <w:style w:type="paragraph" w:customStyle="1" w:styleId="563">
    <w:name w:val="xl393"/>
    <w:basedOn w:val="1"/>
    <w:uiPriority w:val="0"/>
    <w:pPr>
      <w:pBdr>
        <w:left w:val="single" w:color="auto" w:sz="8" w:space="0"/>
      </w:pBdr>
      <w:spacing w:before="100" w:beforeAutospacing="1" w:after="100" w:afterAutospacing="1"/>
    </w:pPr>
    <w:rPr>
      <w:rFonts w:ascii="Arial" w:hAnsi="Arial" w:cs="Arial"/>
      <w:color w:val="FF0000"/>
    </w:rPr>
  </w:style>
  <w:style w:type="paragraph" w:customStyle="1" w:styleId="564">
    <w:name w:val="xl394"/>
    <w:basedOn w:val="1"/>
    <w:uiPriority w:val="0"/>
    <w:pPr>
      <w:spacing w:before="100" w:beforeAutospacing="1" w:after="100" w:afterAutospacing="1"/>
    </w:pPr>
    <w:rPr>
      <w:rFonts w:ascii="Arial" w:hAnsi="Arial" w:cs="Arial"/>
      <w:color w:val="FF0000"/>
    </w:rPr>
  </w:style>
  <w:style w:type="paragraph" w:customStyle="1" w:styleId="565">
    <w:name w:val="xl395"/>
    <w:basedOn w:val="1"/>
    <w:uiPriority w:val="0"/>
    <w:pPr>
      <w:pBdr>
        <w:right w:val="single" w:color="auto" w:sz="8" w:space="0"/>
      </w:pBdr>
      <w:spacing w:before="100" w:beforeAutospacing="1" w:after="100" w:afterAutospacing="1"/>
    </w:pPr>
    <w:rPr>
      <w:rFonts w:ascii="Arial" w:hAnsi="Arial" w:cs="Arial"/>
      <w:color w:val="FF0000"/>
    </w:rPr>
  </w:style>
  <w:style w:type="paragraph" w:customStyle="1" w:styleId="566">
    <w:name w:val="xl396"/>
    <w:basedOn w:val="1"/>
    <w:uiPriority w:val="0"/>
    <w:pPr>
      <w:pBdr>
        <w:left w:val="single" w:color="auto" w:sz="8" w:space="0"/>
        <w:bottom w:val="single" w:color="auto" w:sz="8" w:space="0"/>
      </w:pBdr>
      <w:spacing w:before="100" w:beforeAutospacing="1" w:after="100" w:afterAutospacing="1"/>
    </w:pPr>
    <w:rPr>
      <w:rFonts w:ascii="Arial" w:hAnsi="Arial" w:cs="Arial"/>
      <w:color w:val="FF0000"/>
    </w:rPr>
  </w:style>
  <w:style w:type="paragraph" w:customStyle="1" w:styleId="567">
    <w:name w:val="xl397"/>
    <w:basedOn w:val="1"/>
    <w:uiPriority w:val="0"/>
    <w:pPr>
      <w:pBdr>
        <w:bottom w:val="single" w:color="auto" w:sz="8" w:space="0"/>
      </w:pBdr>
      <w:spacing w:before="100" w:beforeAutospacing="1" w:after="100" w:afterAutospacing="1"/>
    </w:pPr>
    <w:rPr>
      <w:rFonts w:ascii="Arial" w:hAnsi="Arial" w:cs="Arial"/>
      <w:color w:val="FF0000"/>
    </w:rPr>
  </w:style>
  <w:style w:type="paragraph" w:customStyle="1" w:styleId="568">
    <w:name w:val="xl398"/>
    <w:basedOn w:val="1"/>
    <w:uiPriority w:val="0"/>
    <w:pPr>
      <w:pBdr>
        <w:bottom w:val="single" w:color="auto" w:sz="8" w:space="0"/>
        <w:right w:val="single" w:color="auto" w:sz="8" w:space="0"/>
      </w:pBdr>
      <w:spacing w:before="100" w:beforeAutospacing="1" w:after="100" w:afterAutospacing="1"/>
    </w:pPr>
    <w:rPr>
      <w:rFonts w:ascii="Arial" w:hAnsi="Arial" w:cs="Arial"/>
      <w:color w:val="FF0000"/>
    </w:rPr>
  </w:style>
  <w:style w:type="paragraph" w:customStyle="1" w:styleId="569">
    <w:name w:val="xl399"/>
    <w:basedOn w:val="1"/>
    <w:uiPriority w:val="0"/>
    <w:pPr>
      <w:pBdr>
        <w:top w:val="single" w:color="auto" w:sz="8" w:space="0"/>
        <w:left w:val="single" w:color="auto" w:sz="8" w:space="0"/>
        <w:bottom w:val="single" w:color="auto" w:sz="8" w:space="0"/>
      </w:pBdr>
      <w:spacing w:before="100" w:beforeAutospacing="1" w:after="100" w:afterAutospacing="1"/>
      <w:jc w:val="center"/>
    </w:pPr>
    <w:rPr>
      <w:rFonts w:ascii="Arial" w:hAnsi="Arial" w:cs="Arial"/>
      <w:b/>
      <w:bCs/>
      <w:sz w:val="18"/>
      <w:szCs w:val="18"/>
    </w:rPr>
  </w:style>
  <w:style w:type="paragraph" w:customStyle="1" w:styleId="570">
    <w:name w:val="xl400"/>
    <w:basedOn w:val="1"/>
    <w:uiPriority w:val="0"/>
    <w:pPr>
      <w:pBdr>
        <w:top w:val="single" w:color="auto" w:sz="8" w:space="0"/>
        <w:bottom w:val="single" w:color="auto" w:sz="8" w:space="0"/>
        <w:right w:val="single" w:color="auto" w:sz="8" w:space="0"/>
      </w:pBdr>
      <w:spacing w:before="100" w:beforeAutospacing="1" w:after="100" w:afterAutospacing="1"/>
      <w:jc w:val="center"/>
    </w:pPr>
    <w:rPr>
      <w:rFonts w:ascii="Arial" w:hAnsi="Arial" w:cs="Arial"/>
      <w:b/>
      <w:bCs/>
      <w:sz w:val="18"/>
      <w:szCs w:val="18"/>
    </w:rPr>
  </w:style>
  <w:style w:type="paragraph" w:customStyle="1" w:styleId="571">
    <w:name w:val="xl401"/>
    <w:basedOn w:val="1"/>
    <w:uiPriority w:val="0"/>
    <w:pPr>
      <w:pBdr>
        <w:left w:val="single" w:color="auto" w:sz="8" w:space="0"/>
      </w:pBdr>
      <w:spacing w:before="100" w:beforeAutospacing="1" w:after="100" w:afterAutospacing="1"/>
    </w:pPr>
    <w:rPr>
      <w:rFonts w:ascii="Arial" w:hAnsi="Arial" w:cs="Arial"/>
      <w:color w:val="FF0000"/>
    </w:rPr>
  </w:style>
  <w:style w:type="paragraph" w:customStyle="1" w:styleId="572">
    <w:name w:val="xl402"/>
    <w:basedOn w:val="1"/>
    <w:uiPriority w:val="0"/>
    <w:pPr>
      <w:spacing w:before="100" w:beforeAutospacing="1" w:after="100" w:afterAutospacing="1"/>
    </w:pPr>
    <w:rPr>
      <w:rFonts w:ascii="Arial" w:hAnsi="Arial" w:cs="Arial"/>
      <w:color w:val="FF0000"/>
    </w:rPr>
  </w:style>
  <w:style w:type="paragraph" w:customStyle="1" w:styleId="573">
    <w:name w:val="xl403"/>
    <w:basedOn w:val="1"/>
    <w:uiPriority w:val="0"/>
    <w:pPr>
      <w:pBdr>
        <w:right w:val="single" w:color="auto" w:sz="8" w:space="0"/>
      </w:pBdr>
      <w:spacing w:before="100" w:beforeAutospacing="1" w:after="100" w:afterAutospacing="1"/>
    </w:pPr>
    <w:rPr>
      <w:rFonts w:ascii="Arial" w:hAnsi="Arial" w:cs="Arial"/>
      <w:color w:val="FF0000"/>
    </w:rPr>
  </w:style>
  <w:style w:type="paragraph" w:customStyle="1" w:styleId="574">
    <w:name w:val="xl404"/>
    <w:basedOn w:val="1"/>
    <w:uiPriority w:val="0"/>
    <w:pPr>
      <w:pBdr>
        <w:top w:val="single" w:color="auto" w:sz="8" w:space="0"/>
        <w:left w:val="single" w:color="auto" w:sz="8" w:space="0"/>
        <w:bottom w:val="single" w:color="auto" w:sz="4" w:space="0"/>
      </w:pBdr>
      <w:spacing w:before="100" w:beforeAutospacing="1" w:after="100" w:afterAutospacing="1"/>
      <w:jc w:val="right"/>
    </w:pPr>
    <w:rPr>
      <w:rFonts w:ascii="Arial" w:hAnsi="Arial" w:cs="Arial"/>
      <w:b/>
      <w:bCs/>
    </w:rPr>
  </w:style>
  <w:style w:type="paragraph" w:customStyle="1" w:styleId="575">
    <w:name w:val="xl405"/>
    <w:basedOn w:val="1"/>
    <w:uiPriority w:val="0"/>
    <w:pPr>
      <w:pBdr>
        <w:top w:val="single" w:color="auto" w:sz="8" w:space="0"/>
        <w:bottom w:val="single" w:color="auto" w:sz="4" w:space="0"/>
        <w:right w:val="single" w:color="auto" w:sz="8" w:space="0"/>
      </w:pBdr>
      <w:spacing w:before="100" w:beforeAutospacing="1" w:after="100" w:afterAutospacing="1"/>
      <w:jc w:val="right"/>
    </w:pPr>
    <w:rPr>
      <w:rFonts w:ascii="Arial" w:hAnsi="Arial" w:cs="Arial"/>
      <w:b/>
      <w:bCs/>
    </w:rPr>
  </w:style>
  <w:style w:type="paragraph" w:customStyle="1" w:styleId="576">
    <w:name w:val="xl406"/>
    <w:basedOn w:val="1"/>
    <w:uiPriority w:val="0"/>
    <w:pPr>
      <w:pBdr>
        <w:bottom w:val="single" w:color="auto" w:sz="8" w:space="0"/>
        <w:right w:val="single" w:color="auto" w:sz="8" w:space="0"/>
      </w:pBdr>
      <w:spacing w:before="100" w:beforeAutospacing="1" w:after="100" w:afterAutospacing="1"/>
      <w:jc w:val="right"/>
    </w:pPr>
  </w:style>
  <w:style w:type="paragraph" w:customStyle="1" w:styleId="577">
    <w:name w:val="xl407"/>
    <w:basedOn w:val="1"/>
    <w:uiPriority w:val="0"/>
    <w:pPr>
      <w:pBdr>
        <w:left w:val="single" w:color="auto" w:sz="8" w:space="0"/>
        <w:bottom w:val="single" w:color="auto" w:sz="8" w:space="0"/>
      </w:pBdr>
      <w:spacing w:before="100" w:beforeAutospacing="1" w:after="100" w:afterAutospacing="1"/>
      <w:jc w:val="right"/>
    </w:pPr>
    <w:rPr>
      <w:rFonts w:ascii="Arial" w:hAnsi="Arial" w:cs="Arial"/>
      <w:b/>
      <w:bCs/>
    </w:rPr>
  </w:style>
  <w:style w:type="paragraph" w:customStyle="1" w:styleId="578">
    <w:name w:val="xl408"/>
    <w:basedOn w:val="1"/>
    <w:uiPriority w:val="0"/>
    <w:pPr>
      <w:pBdr>
        <w:bottom w:val="single" w:color="auto" w:sz="8" w:space="0"/>
        <w:right w:val="single" w:color="auto" w:sz="8" w:space="0"/>
      </w:pBdr>
      <w:spacing w:before="100" w:beforeAutospacing="1" w:after="100" w:afterAutospacing="1"/>
      <w:jc w:val="right"/>
    </w:pPr>
    <w:rPr>
      <w:rFonts w:ascii="Arial" w:hAnsi="Arial" w:cs="Arial"/>
      <w:b/>
      <w:bCs/>
    </w:rPr>
  </w:style>
  <w:style w:type="paragraph" w:customStyle="1" w:styleId="579">
    <w:name w:val="xl409"/>
    <w:basedOn w:val="1"/>
    <w:uiPriority w:val="0"/>
    <w:pPr>
      <w:pBdr>
        <w:top w:val="single" w:color="auto" w:sz="4" w:space="0"/>
        <w:bottom w:val="single" w:color="auto" w:sz="4" w:space="0"/>
      </w:pBdr>
      <w:spacing w:before="100" w:beforeAutospacing="1" w:after="100" w:afterAutospacing="1"/>
      <w:textAlignment w:val="center"/>
    </w:pPr>
    <w:rPr>
      <w:rFonts w:ascii="Arial" w:hAnsi="Arial" w:cs="Arial"/>
    </w:rPr>
  </w:style>
  <w:style w:type="paragraph" w:customStyle="1" w:styleId="580">
    <w:name w:val="xl410"/>
    <w:basedOn w:val="1"/>
    <w:uiPriority w:val="0"/>
    <w:pPr>
      <w:pBdr>
        <w:top w:val="single" w:color="auto" w:sz="4" w:space="0"/>
        <w:bottom w:val="single" w:color="auto" w:sz="4" w:space="0"/>
        <w:right w:val="single" w:color="auto" w:sz="8" w:space="0"/>
      </w:pBdr>
      <w:spacing w:before="100" w:beforeAutospacing="1" w:after="100" w:afterAutospacing="1"/>
      <w:textAlignment w:val="center"/>
    </w:pPr>
    <w:rPr>
      <w:rFonts w:ascii="Arial" w:hAnsi="Arial" w:cs="Arial"/>
    </w:rPr>
  </w:style>
  <w:style w:type="paragraph" w:customStyle="1" w:styleId="581">
    <w:name w:val="xl411"/>
    <w:basedOn w:val="1"/>
    <w:uiPriority w:val="0"/>
    <w:pPr>
      <w:pBdr>
        <w:top w:val="single" w:color="auto" w:sz="4" w:space="0"/>
        <w:left w:val="single" w:color="auto" w:sz="8" w:space="0"/>
        <w:bottom w:val="single" w:color="auto" w:sz="4" w:space="0"/>
      </w:pBdr>
      <w:spacing w:before="100" w:beforeAutospacing="1" w:after="100" w:afterAutospacing="1"/>
      <w:textAlignment w:val="center"/>
    </w:pPr>
    <w:rPr>
      <w:rFonts w:ascii="Arial" w:hAnsi="Arial" w:cs="Arial"/>
      <w:b/>
      <w:bCs/>
    </w:rPr>
  </w:style>
  <w:style w:type="paragraph" w:customStyle="1" w:styleId="582">
    <w:name w:val="xl412"/>
    <w:basedOn w:val="1"/>
    <w:uiPriority w:val="0"/>
    <w:pPr>
      <w:pBdr>
        <w:top w:val="single" w:color="auto" w:sz="4" w:space="0"/>
        <w:bottom w:val="single" w:color="auto" w:sz="4" w:space="0"/>
      </w:pBdr>
      <w:spacing w:before="100" w:beforeAutospacing="1" w:after="100" w:afterAutospacing="1"/>
      <w:textAlignment w:val="center"/>
    </w:pPr>
    <w:rPr>
      <w:rFonts w:ascii="Arial" w:hAnsi="Arial" w:cs="Arial"/>
    </w:rPr>
  </w:style>
  <w:style w:type="paragraph" w:customStyle="1" w:styleId="583">
    <w:name w:val="xl413"/>
    <w:basedOn w:val="1"/>
    <w:uiPriority w:val="0"/>
    <w:pPr>
      <w:pBdr>
        <w:top w:val="single" w:color="auto" w:sz="4" w:space="0"/>
        <w:bottom w:val="single" w:color="auto" w:sz="4" w:space="0"/>
        <w:right w:val="single" w:color="auto" w:sz="4" w:space="0"/>
      </w:pBdr>
      <w:spacing w:before="100" w:beforeAutospacing="1" w:after="100" w:afterAutospacing="1"/>
      <w:textAlignment w:val="center"/>
    </w:pPr>
    <w:rPr>
      <w:rFonts w:ascii="Arial" w:hAnsi="Arial" w:cs="Arial"/>
    </w:rPr>
  </w:style>
  <w:style w:type="paragraph" w:customStyle="1" w:styleId="584">
    <w:name w:val="xl414"/>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top"/>
    </w:pPr>
    <w:rPr>
      <w:rFonts w:ascii="Arial" w:hAnsi="Arial" w:cs="Arial"/>
      <w:b/>
      <w:bCs/>
    </w:rPr>
  </w:style>
  <w:style w:type="paragraph" w:customStyle="1" w:styleId="585">
    <w:name w:val="xl415"/>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top"/>
    </w:pPr>
  </w:style>
  <w:style w:type="paragraph" w:customStyle="1" w:styleId="586">
    <w:name w:val="xl416"/>
    <w:basedOn w:val="1"/>
    <w:uiPriority w:val="0"/>
    <w:pPr>
      <w:pBdr>
        <w:top w:val="single" w:color="auto" w:sz="8" w:space="0"/>
        <w:left w:val="single" w:color="auto" w:sz="8" w:space="0"/>
        <w:bottom w:val="single" w:color="auto" w:sz="4" w:space="0"/>
      </w:pBdr>
      <w:spacing w:before="100" w:beforeAutospacing="1" w:after="100" w:afterAutospacing="1"/>
      <w:textAlignment w:val="center"/>
    </w:pPr>
    <w:rPr>
      <w:rFonts w:ascii="Arial" w:hAnsi="Arial" w:cs="Arial"/>
      <w:b/>
      <w:bCs/>
    </w:rPr>
  </w:style>
  <w:style w:type="paragraph" w:customStyle="1" w:styleId="587">
    <w:name w:val="xl417"/>
    <w:basedOn w:val="1"/>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588">
    <w:name w:val="xl418"/>
    <w:basedOn w:val="1"/>
    <w:uiPriority w:val="0"/>
    <w:pPr>
      <w:pBdr>
        <w:top w:val="single" w:color="auto" w:sz="4" w:space="0"/>
        <w:left w:val="single" w:color="auto" w:sz="8" w:space="0"/>
        <w:bottom w:val="single" w:color="auto" w:sz="4" w:space="0"/>
        <w:right w:val="single" w:color="auto" w:sz="4" w:space="0"/>
      </w:pBdr>
      <w:shd w:val="clear" w:color="000000" w:fill="C0C0C0"/>
      <w:spacing w:before="100" w:beforeAutospacing="1" w:after="100" w:afterAutospacing="1"/>
    </w:pPr>
  </w:style>
  <w:style w:type="paragraph" w:customStyle="1" w:styleId="589">
    <w:name w:val="xl419"/>
    <w:basedOn w:val="1"/>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pPr>
  </w:style>
  <w:style w:type="paragraph" w:customStyle="1" w:styleId="590">
    <w:name w:val="xl420"/>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w:hAnsi="Arial" w:cs="Arial"/>
      <w:sz w:val="14"/>
      <w:szCs w:val="14"/>
    </w:rPr>
  </w:style>
  <w:style w:type="paragraph" w:customStyle="1" w:styleId="591">
    <w:name w:val="xl421"/>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Arial" w:hAnsi="Arial" w:cs="Arial"/>
      <w:b/>
      <w:bCs/>
    </w:rPr>
  </w:style>
  <w:style w:type="paragraph" w:customStyle="1" w:styleId="592">
    <w:name w:val="xl42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rPr>
  </w:style>
  <w:style w:type="paragraph" w:customStyle="1" w:styleId="593">
    <w:name w:val="xl423"/>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top"/>
    </w:pPr>
    <w:rPr>
      <w:rFonts w:ascii="Arial" w:hAnsi="Arial" w:cs="Arial"/>
      <w:b/>
      <w:bCs/>
    </w:rPr>
  </w:style>
  <w:style w:type="paragraph" w:customStyle="1" w:styleId="594">
    <w:name w:val="xl424"/>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top"/>
    </w:pPr>
    <w:rPr>
      <w:rFonts w:ascii="Arial" w:hAnsi="Arial" w:cs="Arial"/>
    </w:rPr>
  </w:style>
  <w:style w:type="paragraph" w:customStyle="1" w:styleId="595">
    <w:name w:val="xl425"/>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Arial" w:hAnsi="Arial" w:cs="Arial"/>
      <w:b/>
      <w:bCs/>
      <w:sz w:val="18"/>
      <w:szCs w:val="18"/>
    </w:rPr>
  </w:style>
  <w:style w:type="paragraph" w:customStyle="1" w:styleId="596">
    <w:name w:val="xl426"/>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Arial" w:hAnsi="Arial" w:cs="Arial"/>
      <w:b/>
      <w:bCs/>
    </w:rPr>
  </w:style>
  <w:style w:type="paragraph" w:customStyle="1" w:styleId="597">
    <w:name w:val="Recuo de corpo de texto 21"/>
    <w:basedOn w:val="1"/>
    <w:uiPriority w:val="0"/>
    <w:pPr>
      <w:widowControl w:val="0"/>
      <w:ind w:firstLine="2835"/>
      <w:jc w:val="both"/>
    </w:pPr>
    <w:rPr>
      <w:rFonts w:ascii="Arial" w:hAnsi="Arial"/>
      <w:szCs w:val="20"/>
    </w:rPr>
  </w:style>
  <w:style w:type="paragraph" w:customStyle="1" w:styleId="598">
    <w:name w:val="Sem Espaçamento1"/>
    <w:uiPriority w:val="0"/>
    <w:pPr>
      <w:spacing w:after="0" w:line="240" w:lineRule="auto"/>
      <w:jc w:val="both"/>
    </w:pPr>
    <w:rPr>
      <w:rFonts w:ascii="Ecofont_Spranq_eco_Sans" w:hAnsi="Ecofont_Spranq_eco_Sans" w:eastAsia="Times New Roman" w:cs="Ecofont_Spranq_eco_Sans"/>
      <w:sz w:val="24"/>
      <w:szCs w:val="24"/>
      <w:lang w:val="pt-BR" w:eastAsia="pt-BR" w:bidi="ar-SA"/>
    </w:rPr>
  </w:style>
  <w:style w:type="paragraph" w:customStyle="1" w:styleId="599">
    <w:name w:val="WW-Corpo de texto 33"/>
    <w:basedOn w:val="1"/>
    <w:uiPriority w:val="0"/>
    <w:pPr>
      <w:suppressAutoHyphens/>
      <w:jc w:val="both"/>
    </w:pPr>
    <w:rPr>
      <w:rFonts w:ascii="Arial" w:hAnsi="Arial"/>
      <w:sz w:val="22"/>
      <w:szCs w:val="20"/>
    </w:rPr>
  </w:style>
  <w:style w:type="character" w:customStyle="1" w:styleId="600">
    <w:name w:val="Caracteres de Nota de Rodapé"/>
    <w:uiPriority w:val="0"/>
    <w:rPr>
      <w:vertAlign w:val="superscript"/>
    </w:rPr>
  </w:style>
  <w:style w:type="paragraph" w:customStyle="1" w:styleId="601">
    <w:name w:val="tj"/>
    <w:basedOn w:val="1"/>
    <w:uiPriority w:val="0"/>
    <w:pPr>
      <w:spacing w:before="100" w:beforeAutospacing="1" w:after="100" w:afterAutospacing="1"/>
      <w:jc w:val="both"/>
    </w:pPr>
  </w:style>
  <w:style w:type="character" w:customStyle="1" w:styleId="602">
    <w:name w:val="Pré-formatação HTML Char"/>
    <w:basedOn w:val="11"/>
    <w:link w:val="35"/>
    <w:uiPriority w:val="0"/>
    <w:rPr>
      <w:rFonts w:ascii="Courier New" w:hAnsi="Courier New" w:eastAsia="Times New Roman" w:cs="Times New Roman"/>
      <w:color w:val="000000"/>
      <w:sz w:val="20"/>
      <w:szCs w:val="20"/>
      <w:lang w:eastAsia="pt-BR"/>
    </w:rPr>
  </w:style>
  <w:style w:type="paragraph" w:customStyle="1" w:styleId="603">
    <w:name w:val="Default Text"/>
    <w:basedOn w:val="1"/>
    <w:uiPriority w:val="0"/>
    <w:pPr>
      <w:widowControl w:val="0"/>
      <w:jc w:val="both"/>
    </w:pPr>
    <w:rPr>
      <w:snapToGrid w:val="0"/>
      <w:szCs w:val="20"/>
    </w:rPr>
  </w:style>
  <w:style w:type="paragraph" w:customStyle="1" w:styleId="604">
    <w:name w:val="Normal (Web)1"/>
    <w:basedOn w:val="1"/>
    <w:uiPriority w:val="0"/>
    <w:pPr>
      <w:spacing w:before="100" w:beforeAutospacing="1"/>
      <w:jc w:val="both"/>
    </w:pPr>
    <w:rPr>
      <w:rFonts w:eastAsia="SimSun"/>
      <w:lang w:eastAsia="zh-CN"/>
    </w:rPr>
  </w:style>
  <w:style w:type="paragraph" w:customStyle="1" w:styleId="605">
    <w:name w:val="Corpo de texto 32"/>
    <w:basedOn w:val="1"/>
    <w:uiPriority w:val="0"/>
    <w:pPr>
      <w:widowControl w:val="0"/>
      <w:jc w:val="both"/>
    </w:pPr>
    <w:rPr>
      <w:sz w:val="20"/>
      <w:szCs w:val="20"/>
    </w:rPr>
  </w:style>
  <w:style w:type="paragraph" w:customStyle="1" w:styleId="606">
    <w:name w:val="TOC Heading"/>
    <w:basedOn w:val="2"/>
    <w:next w:val="1"/>
    <w:qFormat/>
    <w:uiPriority w:val="39"/>
    <w:pPr>
      <w:keepLines/>
      <w:spacing w:before="480" w:after="0" w:line="276" w:lineRule="auto"/>
      <w:outlineLvl w:val="9"/>
    </w:pPr>
    <w:rPr>
      <w:color w:val="365F91"/>
      <w:kern w:val="0"/>
      <w:sz w:val="28"/>
      <w:szCs w:val="28"/>
      <w:lang w:val="pt-BR" w:eastAsia="en-US"/>
    </w:rPr>
  </w:style>
  <w:style w:type="paragraph" w:customStyle="1" w:styleId="607">
    <w:name w:val="texto normas"/>
    <w:autoRedefine/>
    <w:uiPriority w:val="0"/>
    <w:pPr>
      <w:spacing w:before="60" w:after="60" w:line="360" w:lineRule="auto"/>
      <w:ind w:left="360" w:firstLine="348"/>
      <w:jc w:val="both"/>
    </w:pPr>
    <w:rPr>
      <w:rFonts w:ascii="Verdana" w:hAnsi="Verdana" w:eastAsia="Times New Roman" w:cs="Ecofont_Spranq_eco_Sans"/>
      <w:bCs/>
      <w:sz w:val="24"/>
      <w:szCs w:val="24"/>
      <w:lang w:val="pt-BR" w:eastAsia="pt-BR" w:bidi="ar-SA"/>
    </w:rPr>
  </w:style>
  <w:style w:type="paragraph" w:customStyle="1" w:styleId="608">
    <w:name w:val="niv1"/>
    <w:basedOn w:val="1"/>
    <w:uiPriority w:val="0"/>
    <w:pPr>
      <w:spacing w:before="100" w:beforeAutospacing="1" w:after="100" w:afterAutospacing="1"/>
    </w:pPr>
  </w:style>
  <w:style w:type="character" w:customStyle="1" w:styleId="609">
    <w:name w:val="texttahoma11cinza"/>
    <w:uiPriority w:val="0"/>
  </w:style>
  <w:style w:type="paragraph" w:customStyle="1" w:styleId="610">
    <w:name w:val="ecxmsolistparagraph"/>
    <w:basedOn w:val="1"/>
    <w:uiPriority w:val="0"/>
    <w:pPr>
      <w:spacing w:before="100" w:beforeAutospacing="1" w:after="100" w:afterAutospacing="1"/>
    </w:pPr>
  </w:style>
  <w:style w:type="paragraph" w:customStyle="1" w:styleId="611">
    <w:name w:val="ecxmsobodytextindent3"/>
    <w:basedOn w:val="1"/>
    <w:uiPriority w:val="0"/>
    <w:pPr>
      <w:spacing w:before="100" w:beforeAutospacing="1" w:after="100" w:afterAutospacing="1"/>
    </w:pPr>
  </w:style>
  <w:style w:type="paragraph" w:customStyle="1" w:styleId="612">
    <w:name w:val="Estilo Título 1 + 11 pt Justificado"/>
    <w:basedOn w:val="2"/>
    <w:uiPriority w:val="0"/>
    <w:pPr>
      <w:jc w:val="both"/>
    </w:pPr>
    <w:rPr>
      <w:rFonts w:ascii="Arial" w:hAnsi="Arial"/>
      <w:smallCaps/>
      <w:sz w:val="40"/>
      <w:szCs w:val="40"/>
      <w:lang w:val="pt-BR" w:eastAsia="pt-BR"/>
    </w:rPr>
  </w:style>
  <w:style w:type="paragraph" w:customStyle="1" w:styleId="613">
    <w:name w:val="yiv201206853msonormal"/>
    <w:basedOn w:val="1"/>
    <w:uiPriority w:val="0"/>
    <w:pPr>
      <w:spacing w:before="100" w:beforeAutospacing="1" w:after="100" w:afterAutospacing="1"/>
    </w:pPr>
  </w:style>
  <w:style w:type="paragraph" w:customStyle="1" w:styleId="614">
    <w:name w:val="textodefinicao"/>
    <w:basedOn w:val="1"/>
    <w:uiPriority w:val="0"/>
    <w:pPr>
      <w:spacing w:before="100" w:beforeAutospacing="1" w:after="100" w:afterAutospacing="1"/>
    </w:pPr>
  </w:style>
  <w:style w:type="character" w:customStyle="1" w:styleId="615">
    <w:name w:val="st1"/>
    <w:uiPriority w:val="0"/>
  </w:style>
  <w:style w:type="character" w:customStyle="1" w:styleId="616">
    <w:name w:val="Texto de comentário Char1"/>
    <w:uiPriority w:val="99"/>
  </w:style>
  <w:style w:type="paragraph" w:customStyle="1" w:styleId="617">
    <w:name w:val="Normal + 11 pt"/>
    <w:basedOn w:val="1"/>
    <w:uiPriority w:val="0"/>
    <w:pPr>
      <w:ind w:left="4956"/>
      <w:jc w:val="both"/>
    </w:pPr>
    <w:rPr>
      <w:b/>
      <w:smallCaps/>
      <w:sz w:val="22"/>
      <w:szCs w:val="22"/>
    </w:rPr>
  </w:style>
  <w:style w:type="paragraph" w:customStyle="1" w:styleId="618">
    <w:name w:val="WW-Texto Pré-formatado1111"/>
    <w:basedOn w:val="1"/>
    <w:uiPriority w:val="0"/>
    <w:pPr>
      <w:suppressAutoHyphens/>
      <w:autoSpaceDE w:val="0"/>
    </w:pPr>
    <w:rPr>
      <w:rFonts w:ascii="Courier New" w:hAnsi="Courier New" w:eastAsia="Courier New" w:cs="Courier New"/>
      <w:sz w:val="20"/>
      <w:szCs w:val="20"/>
      <w:lang w:eastAsia="en-US"/>
    </w:rPr>
  </w:style>
  <w:style w:type="paragraph" w:customStyle="1" w:styleId="619">
    <w:name w:val="Normal Edital"/>
    <w:basedOn w:val="1"/>
    <w:uiPriority w:val="0"/>
    <w:pPr>
      <w:keepLines/>
      <w:tabs>
        <w:tab w:val="left" w:pos="851"/>
      </w:tabs>
      <w:ind w:left="851" w:hanging="851"/>
    </w:pPr>
    <w:rPr>
      <w:sz w:val="20"/>
      <w:szCs w:val="20"/>
    </w:rPr>
  </w:style>
  <w:style w:type="paragraph" w:customStyle="1" w:styleId="620">
    <w:name w:val="_A010177"/>
    <w:basedOn w:val="1"/>
    <w:uiPriority w:val="0"/>
    <w:pPr>
      <w:widowControl w:val="0"/>
      <w:adjustRightInd w:val="0"/>
      <w:spacing w:line="360" w:lineRule="atLeast"/>
      <w:jc w:val="both"/>
      <w:textAlignment w:val="baseline"/>
    </w:pPr>
    <w:rPr>
      <w:szCs w:val="20"/>
    </w:rPr>
  </w:style>
  <w:style w:type="character" w:customStyle="1" w:styleId="621">
    <w:name w:val="desc_agrup_longo"/>
    <w:uiPriority w:val="0"/>
  </w:style>
  <w:style w:type="paragraph" w:customStyle="1" w:styleId="622">
    <w:name w:val="Texto ATECH"/>
    <w:basedOn w:val="1"/>
    <w:uiPriority w:val="0"/>
    <w:pPr>
      <w:suppressAutoHyphens/>
      <w:spacing w:before="300" w:line="300" w:lineRule="atLeast"/>
      <w:jc w:val="both"/>
    </w:pPr>
    <w:rPr>
      <w:rFonts w:ascii="Arial" w:hAnsi="Arial" w:cs="Arial"/>
      <w:sz w:val="22"/>
      <w:szCs w:val="22"/>
      <w:lang w:eastAsia="ar-SA"/>
    </w:rPr>
  </w:style>
  <w:style w:type="paragraph" w:customStyle="1" w:styleId="623">
    <w:name w:val="CM18"/>
    <w:basedOn w:val="1"/>
    <w:next w:val="1"/>
    <w:uiPriority w:val="0"/>
    <w:pPr>
      <w:widowControl w:val="0"/>
      <w:autoSpaceDE w:val="0"/>
      <w:autoSpaceDN w:val="0"/>
      <w:adjustRightInd w:val="0"/>
      <w:spacing w:after="248"/>
    </w:pPr>
    <w:rPr>
      <w:rFonts w:ascii="Arial" w:hAnsi="Arial"/>
    </w:rPr>
  </w:style>
  <w:style w:type="paragraph" w:customStyle="1" w:styleId="624">
    <w:name w:val="Estilo (Latim) Arial (Complexo) Arial Justificado Primeira linha:..."/>
    <w:basedOn w:val="1"/>
    <w:uiPriority w:val="0"/>
    <w:pPr>
      <w:spacing w:before="60"/>
      <w:ind w:firstLine="578"/>
      <w:jc w:val="both"/>
    </w:pPr>
    <w:rPr>
      <w:rFonts w:ascii="Arial" w:hAnsi="Arial" w:cs="Arial"/>
      <w:sz w:val="22"/>
    </w:rPr>
  </w:style>
  <w:style w:type="character" w:customStyle="1" w:styleId="625">
    <w:name w:val="Mapa do Documento Char"/>
    <w:basedOn w:val="11"/>
    <w:link w:val="40"/>
    <w:uiPriority w:val="0"/>
    <w:rPr>
      <w:rFonts w:ascii="Tahoma" w:hAnsi="Tahoma" w:eastAsia="Times New Roman" w:cs="Times New Roman"/>
      <w:sz w:val="20"/>
      <w:szCs w:val="20"/>
      <w:shd w:val="clear" w:color="auto" w:fill="000080"/>
      <w:lang w:eastAsia="pt-BR"/>
    </w:rPr>
  </w:style>
  <w:style w:type="paragraph" w:customStyle="1" w:styleId="626">
    <w:name w:val="WW-Body Text 2"/>
    <w:basedOn w:val="1"/>
    <w:uiPriority w:val="0"/>
    <w:pPr>
      <w:suppressAutoHyphens/>
      <w:overflowPunct w:val="0"/>
      <w:autoSpaceDE w:val="0"/>
      <w:jc w:val="both"/>
      <w:textAlignment w:val="baseline"/>
    </w:pPr>
    <w:rPr>
      <w:rFonts w:ascii="Arial" w:hAnsi="Arial"/>
      <w:color w:val="FF0000"/>
      <w:sz w:val="22"/>
      <w:szCs w:val="20"/>
      <w:lang w:eastAsia="ar-SA"/>
    </w:rPr>
  </w:style>
  <w:style w:type="character" w:customStyle="1" w:styleId="627">
    <w:name w:val="lbltotalvalor1"/>
    <w:uiPriority w:val="0"/>
    <w:rPr>
      <w:rFonts w:hint="default" w:ascii="Tahoma" w:hAnsi="Tahoma" w:cs="Tahoma"/>
      <w:b/>
      <w:bCs/>
      <w:color w:val="0064B8"/>
      <w:sz w:val="18"/>
      <w:szCs w:val="18"/>
    </w:rPr>
  </w:style>
  <w:style w:type="character" w:customStyle="1" w:styleId="628">
    <w:name w:val="lbltotal1"/>
    <w:uiPriority w:val="0"/>
    <w:rPr>
      <w:rFonts w:hint="default" w:ascii="Tahoma" w:hAnsi="Tahoma" w:cs="Tahoma"/>
      <w:b/>
      <w:bCs/>
      <w:color w:val="444444"/>
      <w:sz w:val="19"/>
      <w:szCs w:val="19"/>
    </w:rPr>
  </w:style>
  <w:style w:type="paragraph" w:customStyle="1" w:styleId="629">
    <w:name w:val="WW-Recuo de corpo de texto 3"/>
    <w:basedOn w:val="1"/>
    <w:uiPriority w:val="0"/>
    <w:pPr>
      <w:ind w:left="-567"/>
      <w:jc w:val="both"/>
    </w:pPr>
    <w:rPr>
      <w:rFonts w:ascii="Arial" w:hAnsi="Arial"/>
      <w:color w:val="000000"/>
      <w:sz w:val="20"/>
      <w:szCs w:val="20"/>
    </w:rPr>
  </w:style>
  <w:style w:type="character" w:customStyle="1" w:styleId="630">
    <w:name w:val="google-src-text1"/>
    <w:uiPriority w:val="0"/>
    <w:rPr>
      <w:vanish/>
    </w:rPr>
  </w:style>
  <w:style w:type="character" w:customStyle="1" w:styleId="631">
    <w:name w:val="texto_normal1"/>
    <w:uiPriority w:val="0"/>
    <w:rPr>
      <w:rFonts w:hint="default" w:ascii="Verdana" w:hAnsi="Verdana"/>
      <w:color w:val="000000"/>
      <w:sz w:val="20"/>
      <w:szCs w:val="20"/>
    </w:rPr>
  </w:style>
  <w:style w:type="paragraph" w:customStyle="1" w:styleId="632">
    <w:name w:val="Padrão"/>
    <w:uiPriority w:val="0"/>
    <w:pPr>
      <w:widowControl w:val="0"/>
      <w:autoSpaceDE w:val="0"/>
      <w:autoSpaceDN w:val="0"/>
      <w:adjustRightInd w:val="0"/>
      <w:spacing w:after="0" w:line="240" w:lineRule="auto"/>
    </w:pPr>
    <w:rPr>
      <w:rFonts w:ascii="Ecofont_Spranq_eco_Sans" w:hAnsi="Ecofont_Spranq_eco_Sans" w:eastAsia="Times New Roman" w:cs="Ecofont_Spranq_eco_Sans"/>
      <w:sz w:val="24"/>
      <w:szCs w:val="24"/>
      <w:lang w:val="pt-BR" w:eastAsia="pt-BR" w:bidi="ar-SA"/>
    </w:rPr>
  </w:style>
  <w:style w:type="character" w:customStyle="1" w:styleId="633">
    <w:name w:val="Subtle Emphasis"/>
    <w:qFormat/>
    <w:uiPriority w:val="19"/>
    <w:rPr>
      <w:i/>
      <w:iCs/>
      <w:color w:val="808080"/>
    </w:rPr>
  </w:style>
  <w:style w:type="character" w:customStyle="1" w:styleId="634">
    <w:name w:val="SP Texto Carattere"/>
    <w:link w:val="635"/>
    <w:uiPriority w:val="0"/>
  </w:style>
  <w:style w:type="paragraph" w:customStyle="1" w:styleId="635">
    <w:name w:val="SP Texto"/>
    <w:basedOn w:val="1"/>
    <w:link w:val="634"/>
    <w:uiPriority w:val="0"/>
    <w:pPr>
      <w:spacing w:before="40" w:after="40"/>
    </w:pPr>
    <w:rPr>
      <w:rFonts w:asciiTheme="minorHAnsi" w:hAnsiTheme="minorHAnsi" w:eastAsiaTheme="minorHAnsi" w:cstheme="minorBidi"/>
      <w:sz w:val="22"/>
      <w:szCs w:val="22"/>
      <w:lang w:eastAsia="en-US"/>
    </w:rPr>
  </w:style>
  <w:style w:type="paragraph" w:customStyle="1" w:styleId="636">
    <w:name w:val="Item2"/>
    <w:basedOn w:val="49"/>
    <w:uiPriority w:val="0"/>
    <w:pPr>
      <w:suppressAutoHyphens/>
      <w:spacing w:before="240"/>
      <w:ind w:left="0" w:hanging="360"/>
      <w:jc w:val="both"/>
    </w:pPr>
    <w:rPr>
      <w:rFonts w:ascii="Arial" w:hAnsi="Arial" w:cs="Arial"/>
      <w:b/>
      <w:bCs/>
      <w:u w:val="single"/>
      <w:lang w:eastAsia="ar-SA"/>
    </w:rPr>
  </w:style>
  <w:style w:type="paragraph" w:customStyle="1" w:styleId="637">
    <w:name w:val="Item3"/>
    <w:basedOn w:val="1"/>
    <w:uiPriority w:val="0"/>
    <w:pPr>
      <w:suppressAutoHyphens/>
      <w:spacing w:before="120"/>
      <w:ind w:left="1440" w:hanging="360"/>
      <w:jc w:val="both"/>
    </w:pPr>
    <w:rPr>
      <w:rFonts w:ascii="Arial" w:hAnsi="Arial" w:cs="Arial"/>
      <w:sz w:val="20"/>
      <w:szCs w:val="20"/>
      <w:lang w:eastAsia="ar-SA"/>
    </w:rPr>
  </w:style>
  <w:style w:type="paragraph" w:customStyle="1" w:styleId="638">
    <w:name w:val="Item4"/>
    <w:basedOn w:val="49"/>
    <w:uiPriority w:val="0"/>
    <w:pPr>
      <w:suppressAutoHyphens/>
      <w:spacing w:after="0"/>
      <w:ind w:left="0" w:hanging="360"/>
      <w:jc w:val="both"/>
    </w:pPr>
    <w:rPr>
      <w:rFonts w:ascii="Arial" w:hAnsi="Arial" w:cs="Arial"/>
      <w:lang w:eastAsia="ar-SA"/>
    </w:rPr>
  </w:style>
  <w:style w:type="paragraph" w:customStyle="1" w:styleId="639">
    <w:name w:val="Título 91"/>
    <w:basedOn w:val="1"/>
    <w:next w:val="1"/>
    <w:uiPriority w:val="0"/>
    <w:pPr>
      <w:keepNext/>
      <w:tabs>
        <w:tab w:val="left" w:pos="1065"/>
      </w:tabs>
      <w:suppressAutoHyphens/>
      <w:ind w:left="2547" w:hanging="283"/>
    </w:pPr>
    <w:rPr>
      <w:b/>
      <w:sz w:val="16"/>
      <w:szCs w:val="20"/>
      <w:lang w:eastAsia="ar-SA"/>
    </w:rPr>
  </w:style>
  <w:style w:type="character" w:customStyle="1" w:styleId="640">
    <w:name w:val="WW8Num3z0"/>
    <w:uiPriority w:val="0"/>
    <w:rPr>
      <w:rFonts w:ascii="Symbol" w:hAnsi="Symbol"/>
      <w:sz w:val="24"/>
      <w:szCs w:val="24"/>
    </w:rPr>
  </w:style>
  <w:style w:type="character" w:customStyle="1" w:styleId="641">
    <w:name w:val="WW8Num5z1"/>
    <w:uiPriority w:val="0"/>
    <w:rPr>
      <w:b/>
    </w:rPr>
  </w:style>
  <w:style w:type="character" w:customStyle="1" w:styleId="642">
    <w:name w:val="WW8Num8z0"/>
    <w:uiPriority w:val="0"/>
    <w:rPr>
      <w:rFonts w:ascii="Symbol" w:hAnsi="Symbol"/>
    </w:rPr>
  </w:style>
  <w:style w:type="character" w:customStyle="1" w:styleId="643">
    <w:name w:val="WW8Num8z1"/>
    <w:uiPriority w:val="0"/>
    <w:rPr>
      <w:rFonts w:ascii="Courier New" w:hAnsi="Courier New" w:cs="Courier New"/>
    </w:rPr>
  </w:style>
  <w:style w:type="character" w:customStyle="1" w:styleId="644">
    <w:name w:val="WW8Num8z2"/>
    <w:uiPriority w:val="0"/>
    <w:rPr>
      <w:rFonts w:ascii="Marlett" w:hAnsi="Marlett"/>
    </w:rPr>
  </w:style>
  <w:style w:type="character" w:customStyle="1" w:styleId="645">
    <w:name w:val="WW8Num13z0"/>
    <w:uiPriority w:val="0"/>
    <w:rPr>
      <w:rFonts w:ascii="Symbol" w:hAnsi="Symbol" w:eastAsia="Times New Roman" w:cs="Times New Roman"/>
    </w:rPr>
  </w:style>
  <w:style w:type="character" w:customStyle="1" w:styleId="646">
    <w:name w:val="WW8Num13z1"/>
    <w:uiPriority w:val="0"/>
    <w:rPr>
      <w:rFonts w:ascii="Courier New" w:hAnsi="Courier New" w:cs="Courier New"/>
    </w:rPr>
  </w:style>
  <w:style w:type="character" w:customStyle="1" w:styleId="647">
    <w:name w:val="WW8Num13z2"/>
    <w:uiPriority w:val="0"/>
    <w:rPr>
      <w:rFonts w:ascii="Marlett" w:hAnsi="Marlett"/>
    </w:rPr>
  </w:style>
  <w:style w:type="character" w:customStyle="1" w:styleId="648">
    <w:name w:val="WW8Num13z3"/>
    <w:uiPriority w:val="0"/>
    <w:rPr>
      <w:rFonts w:ascii="Symbol" w:hAnsi="Symbol"/>
    </w:rPr>
  </w:style>
  <w:style w:type="character" w:customStyle="1" w:styleId="649">
    <w:name w:val="WW8Num15z0"/>
    <w:uiPriority w:val="0"/>
    <w:rPr>
      <w:rFonts w:ascii="Symbol" w:hAnsi="Symbol"/>
    </w:rPr>
  </w:style>
  <w:style w:type="character" w:customStyle="1" w:styleId="650">
    <w:name w:val="WW8Num19z0"/>
    <w:uiPriority w:val="0"/>
    <w:rPr>
      <w:rFonts w:ascii="Symbol" w:hAnsi="Symbol"/>
    </w:rPr>
  </w:style>
  <w:style w:type="character" w:customStyle="1" w:styleId="651">
    <w:name w:val="WW8Num21z0"/>
    <w:uiPriority w:val="0"/>
    <w:rPr>
      <w:rFonts w:ascii="Arial" w:hAnsi="Arial" w:cs="Times New Roman"/>
      <w:b/>
      <w:color w:val="0000FF"/>
      <w:sz w:val="18"/>
    </w:rPr>
  </w:style>
  <w:style w:type="character" w:customStyle="1" w:styleId="652">
    <w:name w:val="WW8NumSt20z0"/>
    <w:uiPriority w:val="0"/>
    <w:rPr>
      <w:rFonts w:ascii="Symbol" w:hAnsi="Symbol"/>
    </w:rPr>
  </w:style>
  <w:style w:type="character" w:customStyle="1" w:styleId="653">
    <w:name w:val="Símbolos de numeração"/>
    <w:uiPriority w:val="0"/>
  </w:style>
  <w:style w:type="paragraph" w:customStyle="1" w:styleId="654">
    <w:name w:val="Capítulo"/>
    <w:basedOn w:val="1"/>
    <w:next w:val="24"/>
    <w:uiPriority w:val="0"/>
    <w:pPr>
      <w:keepNext/>
      <w:suppressAutoHyphens/>
      <w:spacing w:before="240" w:after="120"/>
    </w:pPr>
    <w:rPr>
      <w:rFonts w:ascii="DejaVu Sans" w:hAnsi="DejaVu Sans" w:eastAsia="DejaVu Sans" w:cs="DejaVu Sans"/>
      <w:sz w:val="28"/>
      <w:szCs w:val="28"/>
      <w:lang w:eastAsia="ar-SA"/>
    </w:rPr>
  </w:style>
  <w:style w:type="paragraph" w:customStyle="1" w:styleId="655">
    <w:name w:val="Legis"/>
    <w:basedOn w:val="1"/>
    <w:uiPriority w:val="0"/>
    <w:pPr>
      <w:tabs>
        <w:tab w:val="left" w:pos="1418"/>
        <w:tab w:val="left" w:pos="1985"/>
        <w:tab w:val="left" w:pos="2835"/>
      </w:tabs>
      <w:suppressAutoHyphens/>
      <w:ind w:firstLine="851"/>
      <w:jc w:val="both"/>
    </w:pPr>
    <w:rPr>
      <w:sz w:val="20"/>
      <w:szCs w:val="20"/>
      <w:lang w:eastAsia="ar-SA"/>
    </w:rPr>
  </w:style>
  <w:style w:type="paragraph" w:customStyle="1" w:styleId="656">
    <w:name w:val="Normal 2"/>
    <w:basedOn w:val="1"/>
    <w:uiPriority w:val="0"/>
    <w:pPr>
      <w:keepLines/>
      <w:suppressAutoHyphens/>
      <w:spacing w:before="120"/>
      <w:jc w:val="both"/>
    </w:pPr>
    <w:rPr>
      <w:rFonts w:ascii="Arial" w:hAnsi="Arial"/>
      <w:spacing w:val="10"/>
      <w:sz w:val="18"/>
      <w:szCs w:val="20"/>
      <w:lang w:eastAsia="ar-SA"/>
    </w:rPr>
  </w:style>
  <w:style w:type="paragraph" w:customStyle="1" w:styleId="657">
    <w:name w:val="MNN1"/>
    <w:next w:val="1"/>
    <w:uiPriority w:val="0"/>
    <w:pPr>
      <w:suppressAutoHyphens/>
      <w:spacing w:after="0" w:line="240" w:lineRule="auto"/>
    </w:pPr>
    <w:rPr>
      <w:rFonts w:ascii="Arial" w:hAnsi="Arial" w:eastAsia="Times New Roman" w:cs="Ecofont_Spranq_eco_Sans"/>
      <w:spacing w:val="10"/>
      <w:sz w:val="18"/>
      <w:szCs w:val="24"/>
      <w:lang w:val="pt-BR" w:eastAsia="ar-SA" w:bidi="ar-SA"/>
    </w:rPr>
  </w:style>
  <w:style w:type="paragraph" w:customStyle="1" w:styleId="658">
    <w:name w:val="Texto simples"/>
    <w:basedOn w:val="1"/>
    <w:uiPriority w:val="0"/>
    <w:pPr>
      <w:suppressAutoHyphens/>
    </w:pPr>
    <w:rPr>
      <w:rFonts w:ascii="Courier New" w:hAnsi="Courier New" w:cs="Courier New"/>
      <w:sz w:val="20"/>
      <w:szCs w:val="20"/>
      <w:lang w:eastAsia="ar-SA"/>
    </w:rPr>
  </w:style>
  <w:style w:type="paragraph" w:customStyle="1" w:styleId="659">
    <w:name w:val="Corpo de texto1"/>
    <w:basedOn w:val="1"/>
    <w:uiPriority w:val="0"/>
    <w:pPr>
      <w:suppressAutoHyphens/>
      <w:jc w:val="both"/>
    </w:pPr>
    <w:rPr>
      <w:sz w:val="22"/>
      <w:szCs w:val="20"/>
      <w:lang w:eastAsia="ar-SA"/>
    </w:rPr>
  </w:style>
  <w:style w:type="paragraph" w:customStyle="1" w:styleId="660">
    <w:name w:val="Conteúdo do quadro"/>
    <w:basedOn w:val="24"/>
    <w:uiPriority w:val="0"/>
    <w:pPr>
      <w:suppressAutoHyphens/>
      <w:spacing w:after="120" w:line="240" w:lineRule="auto"/>
      <w:jc w:val="left"/>
    </w:pPr>
    <w:rPr>
      <w:sz w:val="20"/>
      <w:lang w:val="pt-BR" w:eastAsia="ar-SA"/>
    </w:rPr>
  </w:style>
  <w:style w:type="character" w:customStyle="1" w:styleId="661">
    <w:name w:val="descricao1"/>
    <w:uiPriority w:val="0"/>
    <w:rPr>
      <w:rFonts w:hint="default" w:ascii="Arial" w:hAnsi="Arial" w:cs="Arial"/>
      <w:color w:val="000000"/>
      <w:sz w:val="22"/>
      <w:szCs w:val="22"/>
    </w:rPr>
  </w:style>
  <w:style w:type="character" w:customStyle="1" w:styleId="662">
    <w:name w:val="fontetabela"/>
    <w:uiPriority w:val="0"/>
  </w:style>
  <w:style w:type="paragraph" w:customStyle="1" w:styleId="663">
    <w:name w:val="Conteúdo de tabela"/>
    <w:basedOn w:val="24"/>
    <w:uiPriority w:val="0"/>
    <w:pPr>
      <w:suppressAutoHyphens/>
      <w:spacing w:after="120" w:line="240" w:lineRule="auto"/>
      <w:jc w:val="left"/>
    </w:pPr>
    <w:rPr>
      <w:sz w:val="24"/>
      <w:szCs w:val="24"/>
      <w:lang w:val="pt-BR" w:eastAsia="pt-BR"/>
    </w:rPr>
  </w:style>
  <w:style w:type="paragraph" w:customStyle="1" w:styleId="664">
    <w:name w:val="Título de tabela"/>
    <w:basedOn w:val="663"/>
    <w:uiPriority w:val="0"/>
    <w:pPr>
      <w:jc w:val="center"/>
    </w:pPr>
    <w:rPr>
      <w:b/>
      <w:i/>
    </w:rPr>
  </w:style>
  <w:style w:type="paragraph" w:customStyle="1" w:styleId="665">
    <w:name w:val="ec_msonormal"/>
    <w:basedOn w:val="1"/>
    <w:uiPriority w:val="0"/>
    <w:pPr>
      <w:spacing w:after="324"/>
    </w:pPr>
  </w:style>
  <w:style w:type="paragraph" w:customStyle="1" w:styleId="666">
    <w:name w:val="ec_msobodytextindent"/>
    <w:basedOn w:val="1"/>
    <w:uiPriority w:val="0"/>
    <w:pPr>
      <w:spacing w:after="324"/>
    </w:pPr>
  </w:style>
  <w:style w:type="paragraph" w:customStyle="1" w:styleId="667">
    <w:name w:val="Corpo de texto 24"/>
    <w:basedOn w:val="1"/>
    <w:uiPriority w:val="0"/>
    <w:pPr>
      <w:suppressAutoHyphens/>
      <w:spacing w:after="120" w:line="480" w:lineRule="auto"/>
    </w:pPr>
    <w:rPr>
      <w:rFonts w:cs="Calibri"/>
      <w:lang w:eastAsia="ar-SA"/>
    </w:rPr>
  </w:style>
  <w:style w:type="paragraph" w:customStyle="1" w:styleId="668">
    <w:name w:val="Corpo de texto2"/>
    <w:basedOn w:val="1"/>
    <w:uiPriority w:val="0"/>
    <w:pPr>
      <w:jc w:val="both"/>
    </w:pPr>
    <w:rPr>
      <w:sz w:val="22"/>
      <w:szCs w:val="20"/>
    </w:rPr>
  </w:style>
  <w:style w:type="character" w:customStyle="1" w:styleId="669">
    <w:name w:val="Nivel 2 Char"/>
    <w:basedOn w:val="11"/>
    <w:link w:val="220"/>
    <w:uiPriority w:val="0"/>
    <w:rPr>
      <w:rFonts w:ascii="Ecofont_Spranq_eco_Sans" w:hAnsi="Ecofont_Spranq_eco_Sans" w:eastAsia="Arial Unicode MS" w:cs="Ecofont_Spranq_eco_Sans"/>
      <w:sz w:val="24"/>
      <w:szCs w:val="24"/>
      <w:lang w:eastAsia="pt-BR"/>
    </w:rPr>
  </w:style>
  <w:style w:type="paragraph" w:customStyle="1" w:styleId="670">
    <w:name w:val="Grade Colorida - Ênfase 11"/>
    <w:basedOn w:val="1"/>
    <w:next w:val="1"/>
    <w:link w:val="671"/>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i/>
      <w:iCs/>
      <w:color w:val="000000"/>
      <w:sz w:val="20"/>
      <w:lang w:eastAsia="en-US"/>
    </w:rPr>
  </w:style>
  <w:style w:type="character" w:customStyle="1" w:styleId="671">
    <w:name w:val="Grade Colorida - Ênfase 1 Char"/>
    <w:link w:val="670"/>
    <w:uiPriority w:val="0"/>
    <w:rPr>
      <w:rFonts w:ascii="Ecofont_Spranq_eco_Sans" w:hAnsi="Ecofont_Spranq_eco_Sans" w:eastAsia="Calibri" w:cs="Times New Roman"/>
      <w:i/>
      <w:iCs/>
      <w:color w:val="000000"/>
      <w:sz w:val="20"/>
      <w:szCs w:val="24"/>
      <w:shd w:val="clear" w:color="auto" w:fill="FFFFCC"/>
    </w:rPr>
  </w:style>
  <w:style w:type="paragraph" w:customStyle="1" w:styleId="672">
    <w:name w:val="Nivel_01"/>
    <w:basedOn w:val="2"/>
    <w:link w:val="673"/>
    <w:qFormat/>
    <w:uiPriority w:val="0"/>
    <w:pPr>
      <w:keepLines/>
      <w:tabs>
        <w:tab w:val="left" w:pos="567"/>
        <w:tab w:val="left" w:pos="720"/>
      </w:tabs>
      <w:spacing w:after="0"/>
      <w:ind w:left="720" w:hanging="720"/>
      <w:jc w:val="both"/>
    </w:pPr>
    <w:rPr>
      <w:rFonts w:ascii="Ecofont_Spranq_eco_Sans" w:hAnsi="Ecofont_Spranq_eco_Sans" w:eastAsiaTheme="majorEastAsia" w:cstheme="majorBidi"/>
      <w:color w:val="376092" w:themeColor="accent1" w:themeShade="BF"/>
      <w:sz w:val="28"/>
      <w:szCs w:val="28"/>
      <w:lang w:eastAsia="pt-BR"/>
    </w:rPr>
  </w:style>
  <w:style w:type="character" w:customStyle="1" w:styleId="673">
    <w:name w:val="Nivel_01 Char"/>
    <w:basedOn w:val="142"/>
    <w:link w:val="672"/>
    <w:uiPriority w:val="0"/>
    <w:rPr>
      <w:rFonts w:ascii="Ecofont_Spranq_eco_Sans" w:hAnsi="Ecofont_Spranq_eco_Sans" w:eastAsiaTheme="majorEastAsia" w:cstheme="majorBidi"/>
      <w:color w:val="376092" w:themeColor="accent1" w:themeShade="BF"/>
      <w:kern w:val="32"/>
      <w:sz w:val="28"/>
      <w:szCs w:val="28"/>
      <w:lang w:val="zh-CN" w:eastAsia="pt-BR"/>
    </w:rPr>
  </w:style>
  <w:style w:type="character" w:customStyle="1" w:styleId="674">
    <w:name w:val="ListLabel 168"/>
    <w:qFormat/>
    <w:uiPriority w:val="0"/>
    <w:rPr>
      <w:rFonts w:ascii="Palatino Linotype" w:hAnsi="Palatino Linotype"/>
      <w:sz w:val="20"/>
    </w:rPr>
  </w:style>
  <w:style w:type="character" w:customStyle="1" w:styleId="675">
    <w:name w:val="Link da Internet"/>
    <w:uiPriority w:val="99"/>
    <w:rPr>
      <w:color w:val="0000FF"/>
      <w:u w:val="single"/>
    </w:rPr>
  </w:style>
  <w:style w:type="paragraph" w:customStyle="1" w:styleId="676">
    <w:name w:val="p34"/>
    <w:basedOn w:val="1"/>
    <w:uiPriority w:val="0"/>
    <w:pPr>
      <w:widowControl w:val="0"/>
      <w:tabs>
        <w:tab w:val="left" w:pos="740"/>
        <w:tab w:val="left" w:pos="1160"/>
      </w:tabs>
      <w:autoSpaceDE w:val="0"/>
      <w:autoSpaceDN w:val="0"/>
      <w:adjustRightInd w:val="0"/>
      <w:spacing w:line="260" w:lineRule="atLeast"/>
      <w:ind w:left="288" w:hanging="432"/>
      <w:jc w:val="both"/>
    </w:pPr>
  </w:style>
  <w:style w:type="paragraph" w:customStyle="1" w:styleId="677">
    <w:name w:val="p18"/>
    <w:basedOn w:val="1"/>
    <w:uiPriority w:val="0"/>
    <w:pPr>
      <w:widowControl w:val="0"/>
      <w:tabs>
        <w:tab w:val="left" w:pos="740"/>
      </w:tabs>
      <w:autoSpaceDE w:val="0"/>
      <w:autoSpaceDN w:val="0"/>
      <w:adjustRightInd w:val="0"/>
      <w:spacing w:line="260" w:lineRule="atLeast"/>
      <w:ind w:left="720" w:hanging="720"/>
      <w:jc w:val="both"/>
    </w:pPr>
  </w:style>
  <w:style w:type="paragraph" w:customStyle="1" w:styleId="678">
    <w:name w:val="Recuo de corpo de texto 22"/>
    <w:basedOn w:val="1"/>
    <w:uiPriority w:val="0"/>
    <w:pPr>
      <w:suppressAutoHyphens/>
      <w:ind w:firstLine="709"/>
      <w:jc w:val="both"/>
    </w:pPr>
    <w:rPr>
      <w:rFonts w:ascii="Arial" w:hAnsi="Arial"/>
      <w:szCs w:val="20"/>
      <w:lang w:eastAsia="ar-SA"/>
    </w:rPr>
  </w:style>
  <w:style w:type="paragraph" w:customStyle="1" w:styleId="679">
    <w:name w:val="WW-Corpo de texto 3"/>
    <w:basedOn w:val="1"/>
    <w:uiPriority w:val="0"/>
    <w:pPr>
      <w:suppressAutoHyphens/>
      <w:jc w:val="both"/>
    </w:pPr>
    <w:rPr>
      <w:color w:val="0000FF"/>
      <w:sz w:val="28"/>
      <w:szCs w:val="20"/>
    </w:rPr>
  </w:style>
  <w:style w:type="paragraph" w:customStyle="1" w:styleId="680">
    <w:name w:val="default"/>
    <w:basedOn w:val="1"/>
    <w:uiPriority w:val="0"/>
    <w:pPr>
      <w:spacing w:before="100" w:beforeAutospacing="1" w:after="100" w:afterAutospacing="1"/>
    </w:pPr>
  </w:style>
  <w:style w:type="paragraph" w:customStyle="1" w:styleId="681">
    <w:name w:val="SUBTITULO CRUZETA"/>
    <w:basedOn w:val="1"/>
    <w:link w:val="682"/>
    <w:qFormat/>
    <w:uiPriority w:val="0"/>
    <w:pPr>
      <w:tabs>
        <w:tab w:val="left" w:pos="720"/>
      </w:tabs>
      <w:spacing w:line="360" w:lineRule="auto"/>
      <w:ind w:left="720" w:hanging="720"/>
    </w:pPr>
    <w:rPr>
      <w:b/>
      <w:color w:val="000000"/>
      <w:szCs w:val="22"/>
    </w:rPr>
  </w:style>
  <w:style w:type="character" w:customStyle="1" w:styleId="682">
    <w:name w:val="SUBTITULO CRUZETA Char"/>
    <w:basedOn w:val="11"/>
    <w:link w:val="681"/>
    <w:uiPriority w:val="0"/>
    <w:rPr>
      <w:rFonts w:ascii="Times New Roman" w:hAnsi="Times New Roman" w:eastAsia="Times New Roman" w:cs="Times New Roman"/>
      <w:b/>
      <w:color w:val="000000"/>
      <w:sz w:val="24"/>
      <w:lang w:eastAsia="pt-BR"/>
    </w:rPr>
  </w:style>
  <w:style w:type="table" w:customStyle="1" w:styleId="683">
    <w:name w:val="TableGrid"/>
    <w:uiPriority w:val="0"/>
    <w:pPr>
      <w:spacing w:after="0" w:line="240" w:lineRule="auto"/>
    </w:pPr>
    <w:rPr>
      <w:rFonts w:ascii="Calibri" w:hAnsi="Calibri" w:eastAsia="Times New Roman" w:cs="Ecofont_Spranq_eco_Sans"/>
      <w:lang w:eastAsia="pt-BR"/>
    </w:rPr>
    <w:tblPr>
      <w:tblCellMar>
        <w:top w:w="0" w:type="dxa"/>
        <w:left w:w="0" w:type="dxa"/>
        <w:bottom w:w="0" w:type="dxa"/>
        <w:right w:w="0" w:type="dxa"/>
      </w:tblCellMar>
    </w:tblPr>
  </w:style>
  <w:style w:type="paragraph" w:customStyle="1" w:styleId="684">
    <w:name w:val="NUM H2"/>
    <w:basedOn w:val="66"/>
    <w:link w:val="687"/>
    <w:qFormat/>
    <w:uiPriority w:val="0"/>
    <w:pPr>
      <w:widowControl w:val="0"/>
      <w:tabs>
        <w:tab w:val="left" w:pos="1440"/>
      </w:tabs>
      <w:suppressAutoHyphens/>
      <w:spacing w:after="0" w:line="240" w:lineRule="auto"/>
      <w:ind w:left="1440" w:hanging="720"/>
      <w:contextualSpacing w:val="0"/>
      <w:jc w:val="both"/>
    </w:pPr>
    <w:rPr>
      <w:rFonts w:ascii="Times New Roman" w:hAnsi="Times New Roman"/>
    </w:rPr>
  </w:style>
  <w:style w:type="paragraph" w:customStyle="1" w:styleId="685">
    <w:name w:val="NUM H3"/>
    <w:basedOn w:val="44"/>
    <w:link w:val="688"/>
    <w:qFormat/>
    <w:uiPriority w:val="0"/>
    <w:pPr>
      <w:spacing w:after="96" w:afterLines="40" w:line="276" w:lineRule="auto"/>
      <w:jc w:val="both"/>
    </w:pPr>
    <w:rPr>
      <w:rFonts w:eastAsia="Cambria" w:cs="Cambria"/>
      <w:b w:val="0"/>
      <w:bCs w:val="0"/>
    </w:rPr>
  </w:style>
  <w:style w:type="character" w:customStyle="1" w:styleId="686">
    <w:name w:val="Parágrafo da Lista Char"/>
    <w:basedOn w:val="11"/>
    <w:link w:val="66"/>
    <w:qFormat/>
    <w:uiPriority w:val="34"/>
    <w:rPr>
      <w:rFonts w:ascii="Calibri" w:hAnsi="Calibri" w:eastAsia="Times New Roman" w:cs="Times New Roman"/>
      <w:lang w:eastAsia="pt-BR"/>
    </w:rPr>
  </w:style>
  <w:style w:type="character" w:customStyle="1" w:styleId="687">
    <w:name w:val="NUM H2 Char"/>
    <w:basedOn w:val="686"/>
    <w:link w:val="684"/>
    <w:uiPriority w:val="0"/>
    <w:rPr>
      <w:rFonts w:ascii="Times New Roman" w:hAnsi="Times New Roman" w:eastAsia="Times New Roman" w:cs="Times New Roman"/>
      <w:lang w:eastAsia="pt-BR"/>
    </w:rPr>
  </w:style>
  <w:style w:type="character" w:customStyle="1" w:styleId="688">
    <w:name w:val="NUM H3 Char"/>
    <w:basedOn w:val="139"/>
    <w:link w:val="685"/>
    <w:uiPriority w:val="0"/>
    <w:rPr>
      <w:rFonts w:ascii="Times New Roman" w:hAnsi="Times New Roman" w:eastAsia="Cambria" w:cs="Cambria"/>
      <w:b w:val="0"/>
      <w:bCs w:val="0"/>
      <w:sz w:val="28"/>
      <w:szCs w:val="24"/>
      <w:lang w:eastAsia="pt-BR"/>
    </w:rPr>
  </w:style>
  <w:style w:type="paragraph" w:customStyle="1" w:styleId="689">
    <w:name w:val="Licitação"/>
    <w:basedOn w:val="1"/>
    <w:autoRedefine/>
    <w:uiPriority w:val="0"/>
    <w:pPr>
      <w:ind w:right="-446"/>
      <w:jc w:val="both"/>
    </w:pPr>
    <w:rPr>
      <w:w w:val="90"/>
      <w:sz w:val="20"/>
      <w:szCs w:val="20"/>
    </w:rPr>
  </w:style>
  <w:style w:type="character" w:customStyle="1" w:styleId="690">
    <w:name w:val="Menção Pendente1"/>
    <w:basedOn w:val="11"/>
    <w:semiHidden/>
    <w:unhideWhenUsed/>
    <w:uiPriority w:val="99"/>
    <w:rPr>
      <w:color w:val="605E5C"/>
      <w:shd w:val="clear" w:color="auto" w:fill="E1DFDD"/>
    </w:rPr>
  </w:style>
  <w:style w:type="paragraph" w:customStyle="1" w:styleId="691">
    <w:name w:val="Table Paragraph"/>
    <w:basedOn w:val="1"/>
    <w:qFormat/>
    <w:uiPriority w:val="1"/>
    <w:pPr>
      <w:widowControl w:val="0"/>
      <w:autoSpaceDE w:val="0"/>
      <w:autoSpaceDN w:val="0"/>
      <w:spacing w:line="272" w:lineRule="exact"/>
      <w:ind w:left="105" w:right="239"/>
      <w:jc w:val="center"/>
    </w:pPr>
    <w:rPr>
      <w:rFonts w:ascii="Calibri" w:hAnsi="Calibri" w:eastAsia="Calibri" w:cs="Calibri"/>
      <w:sz w:val="22"/>
      <w:szCs w:val="22"/>
      <w:lang w:val="pt-PT" w:eastAsia="en-US"/>
    </w:rPr>
  </w:style>
  <w:style w:type="paragraph" w:customStyle="1" w:styleId="692">
    <w:name w:val="[Normal]"/>
    <w:uiPriority w:val="99"/>
    <w:pPr>
      <w:widowControl w:val="0"/>
      <w:autoSpaceDE w:val="0"/>
      <w:autoSpaceDN w:val="0"/>
      <w:adjustRightInd w:val="0"/>
      <w:spacing w:after="0" w:line="240" w:lineRule="auto"/>
    </w:pPr>
    <w:rPr>
      <w:rFonts w:ascii="Arial" w:hAnsi="Arial" w:eastAsia="Calibri" w:cs="Arial"/>
      <w:sz w:val="24"/>
      <w:szCs w:val="24"/>
      <w:lang w:val="pt-BR" w:eastAsia="en-US" w:bidi="ar-SA"/>
    </w:rPr>
  </w:style>
  <w:style w:type="character" w:customStyle="1" w:styleId="693">
    <w:name w:val="cretive-button-text"/>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650B-4122-4F8B-B7F3-DB90114F59F9}">
  <ds:schemaRefs/>
</ds:datastoreItem>
</file>

<file path=docProps/app.xml><?xml version="1.0" encoding="utf-8"?>
<Properties xmlns="http://schemas.openxmlformats.org/officeDocument/2006/extended-properties" xmlns:vt="http://schemas.openxmlformats.org/officeDocument/2006/docPropsVTypes">
  <Template>Normal</Template>
  <Company>PMV</Company>
  <Pages>45</Pages>
  <Words>14147</Words>
  <Characters>76398</Characters>
  <Lines>636</Lines>
  <Paragraphs>180</Paragraphs>
  <TotalTime>1984</TotalTime>
  <ScaleCrop>false</ScaleCrop>
  <LinksUpToDate>false</LinksUpToDate>
  <CharactersWithSpaces>90365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2024-04-19T18:08:00Z</dcterms:created>
  <dc:creator>Contabilidade</dc:creator>
  <cp:lastModifiedBy>darllyson.henrique</cp:lastModifiedBy>
  <cp:lastPrinted>2025-10-01T17:20:00Z</cp:lastPrinted>
  <dcterms:modified xsi:type="dcterms:W3CDTF">2025-10-30T20:05:58Z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A5D48A94291649EB9EEACE4056AEB7A7_13</vt:lpwstr>
  </property>
</Properties>
</file>