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B2484">
      <w:pPr>
        <w:spacing w:line="240" w:lineRule="auto"/>
        <w:rPr>
          <w:rFonts w:ascii="Arial" w:hAnsi="Arial" w:cs="Arial"/>
          <w:b/>
          <w:sz w:val="24"/>
          <w:szCs w:val="24"/>
        </w:rPr>
      </w:pPr>
      <w:bookmarkStart w:id="12" w:name="_GoBack"/>
      <w:bookmarkEnd w:id="12"/>
    </w:p>
    <w:p w14:paraId="63E4CC32">
      <w:pPr>
        <w:spacing w:line="240" w:lineRule="auto"/>
        <w:jc w:val="center"/>
        <w:rPr>
          <w:rFonts w:ascii="Arial" w:hAnsi="Arial" w:cs="Arial"/>
          <w:b/>
          <w:sz w:val="24"/>
          <w:szCs w:val="24"/>
        </w:rPr>
      </w:pPr>
      <w:r>
        <w:rPr>
          <w:rFonts w:ascii="Arial" w:hAnsi="Arial" w:cs="Arial"/>
          <w:b/>
          <w:sz w:val="24"/>
          <w:szCs w:val="24"/>
        </w:rPr>
        <w:t>PREGÃO ELETRÔNICO Nº 180/2025</w:t>
      </w:r>
    </w:p>
    <w:p w14:paraId="5B7A77E6">
      <w:pPr>
        <w:spacing w:line="240" w:lineRule="auto"/>
        <w:jc w:val="center"/>
        <w:rPr>
          <w:rFonts w:ascii="Arial" w:hAnsi="Arial" w:cs="Arial"/>
          <w:b/>
          <w:sz w:val="24"/>
          <w:szCs w:val="24"/>
        </w:rPr>
      </w:pPr>
      <w:r>
        <w:rPr>
          <w:rFonts w:ascii="Arial" w:hAnsi="Arial" w:cs="Arial"/>
          <w:b/>
          <w:sz w:val="24"/>
          <w:szCs w:val="24"/>
        </w:rPr>
        <w:t>PROTOCOLO Nº 29.066/2025</w:t>
      </w:r>
    </w:p>
    <w:p w14:paraId="04569550">
      <w:pPr>
        <w:spacing w:line="240" w:lineRule="auto"/>
        <w:jc w:val="center"/>
        <w:rPr>
          <w:rFonts w:ascii="Arial" w:hAnsi="Arial" w:cs="Arial"/>
          <w:b/>
          <w:sz w:val="24"/>
          <w:szCs w:val="24"/>
        </w:rPr>
      </w:pPr>
      <w:r>
        <w:rPr>
          <w:rFonts w:ascii="Arial" w:hAnsi="Arial" w:cs="Arial"/>
          <w:b/>
          <w:sz w:val="24"/>
          <w:szCs w:val="24"/>
        </w:rPr>
        <w:t>S.C. Nº 199/2025 – SECRETARIA MUNICIPAL DE SAÚDE</w:t>
      </w:r>
    </w:p>
    <w:p w14:paraId="08AAE0FA">
      <w:pPr>
        <w:spacing w:line="240" w:lineRule="auto"/>
        <w:jc w:val="center"/>
        <w:rPr>
          <w:rFonts w:ascii="Arial" w:hAnsi="Arial" w:cs="Arial"/>
          <w:b/>
          <w:sz w:val="24"/>
          <w:szCs w:val="24"/>
        </w:rPr>
      </w:pPr>
    </w:p>
    <w:p w14:paraId="1E85922A">
      <w:pPr>
        <w:shd w:val="pct12" w:color="auto" w:fill="auto"/>
        <w:spacing w:line="240" w:lineRule="auto"/>
        <w:jc w:val="center"/>
        <w:rPr>
          <w:rFonts w:ascii="Arial" w:hAnsi="Arial" w:cs="Arial"/>
          <w:b/>
          <w:sz w:val="24"/>
          <w:szCs w:val="24"/>
        </w:rPr>
      </w:pPr>
      <w:r>
        <w:rPr>
          <w:rFonts w:ascii="Arial" w:hAnsi="Arial" w:cs="Arial"/>
          <w:b/>
          <w:sz w:val="24"/>
          <w:szCs w:val="24"/>
        </w:rPr>
        <w:t>SÍNTESE DO OBJETO E PROCEDIMENTOS</w:t>
      </w:r>
    </w:p>
    <w:p w14:paraId="054529B5">
      <w:pPr>
        <w:spacing w:line="240" w:lineRule="auto"/>
        <w:jc w:val="both"/>
        <w:rPr>
          <w:rFonts w:ascii="Arial" w:hAnsi="Arial" w:cs="Arial"/>
          <w:sz w:val="24"/>
          <w:szCs w:val="24"/>
        </w:rPr>
      </w:pPr>
      <w:r>
        <w:rPr>
          <w:rFonts w:ascii="Arial" w:hAnsi="Arial" w:cs="Arial"/>
          <w:b/>
          <w:sz w:val="24"/>
          <w:szCs w:val="24"/>
        </w:rPr>
        <w:t>LEGISLAÇÃO:</w:t>
      </w:r>
      <w:r>
        <w:rPr>
          <w:rFonts w:ascii="Arial" w:hAnsi="Arial" w:cs="Arial"/>
          <w:sz w:val="24"/>
          <w:szCs w:val="24"/>
        </w:rPr>
        <w:t xml:space="preserve"> Os procedimentos licitatórios obedecerão, integralmente, a Lei nº 14.133/2021, Lei Complementar nº 123/2006 e Decreto Municipal nº 8.388 de 31 de março de 2023 e suas alterações, que regulamenta a modalidade Pregão Eletrônico, e demais legislações correlatas, bem como pelas condições estabelecidas neste Edital e anexos que o integram.</w:t>
      </w:r>
    </w:p>
    <w:p w14:paraId="495DAD11">
      <w:pPr>
        <w:spacing w:line="240" w:lineRule="auto"/>
        <w:jc w:val="both"/>
        <w:rPr>
          <w:rFonts w:ascii="Arial" w:hAnsi="Arial" w:cs="Arial"/>
          <w:b/>
          <w:sz w:val="24"/>
          <w:szCs w:val="24"/>
        </w:rPr>
      </w:pPr>
      <w:r>
        <w:rPr>
          <w:rFonts w:ascii="Arial" w:hAnsi="Arial" w:cs="Arial"/>
          <w:b/>
          <w:sz w:val="24"/>
          <w:szCs w:val="24"/>
        </w:rPr>
        <w:t>OBJETO: “REGISTRO DE PREÇOS PARA AQUISIÇÃO DE MEDICAMENTOS DIVERSOS”</w:t>
      </w:r>
      <w:r>
        <w:rPr>
          <w:rFonts w:ascii="Arial" w:hAnsi="Arial" w:cs="Arial"/>
          <w:b/>
          <w:i/>
          <w:sz w:val="24"/>
          <w:szCs w:val="24"/>
        </w:rPr>
        <w:t>.</w:t>
      </w:r>
    </w:p>
    <w:p w14:paraId="29C53460">
      <w:pPr>
        <w:spacing w:line="240" w:lineRule="auto"/>
        <w:jc w:val="both"/>
        <w:rPr>
          <w:rFonts w:ascii="Arial" w:hAnsi="Arial" w:cs="Arial"/>
          <w:sz w:val="24"/>
          <w:szCs w:val="24"/>
        </w:rPr>
      </w:pPr>
      <w:r>
        <w:rPr>
          <w:rFonts w:ascii="Arial" w:hAnsi="Arial" w:cs="Arial"/>
          <w:b/>
          <w:sz w:val="24"/>
          <w:szCs w:val="24"/>
        </w:rPr>
        <w:t>TIPO:</w:t>
      </w:r>
      <w:r>
        <w:rPr>
          <w:rFonts w:ascii="Arial" w:hAnsi="Arial" w:cs="Arial"/>
          <w:sz w:val="24"/>
          <w:szCs w:val="24"/>
        </w:rPr>
        <w:t xml:space="preserve"> </w:t>
      </w:r>
      <w:r>
        <w:rPr>
          <w:rFonts w:ascii="Arial" w:hAnsi="Arial" w:cs="Arial"/>
          <w:sz w:val="24"/>
          <w:szCs w:val="24"/>
          <w:u w:val="single"/>
        </w:rPr>
        <w:t>MENOR PREÇO POR ITEM</w:t>
      </w:r>
      <w:r>
        <w:rPr>
          <w:rFonts w:ascii="Arial" w:hAnsi="Arial" w:cs="Arial"/>
          <w:sz w:val="24"/>
          <w:szCs w:val="24"/>
        </w:rPr>
        <w:t>, desde que atenda às exigências contidas no Edital.</w:t>
      </w:r>
    </w:p>
    <w:p w14:paraId="0D77207E">
      <w:pPr>
        <w:spacing w:line="240" w:lineRule="auto"/>
        <w:jc w:val="both"/>
        <w:rPr>
          <w:rFonts w:ascii="Arial" w:hAnsi="Arial" w:cs="Arial"/>
          <w:sz w:val="24"/>
          <w:szCs w:val="24"/>
        </w:rPr>
      </w:pPr>
    </w:p>
    <w:p w14:paraId="32B134BA">
      <w:pPr>
        <w:spacing w:line="240" w:lineRule="auto"/>
        <w:jc w:val="both"/>
        <w:rPr>
          <w:rFonts w:ascii="Arial" w:hAnsi="Arial" w:cs="Arial"/>
          <w:b/>
          <w:bCs/>
          <w:sz w:val="24"/>
          <w:szCs w:val="24"/>
        </w:rPr>
      </w:pPr>
      <w:r>
        <w:rPr>
          <w:rFonts w:ascii="Arial" w:hAnsi="Arial" w:cs="Arial"/>
          <w:b/>
          <w:sz w:val="24"/>
          <w:szCs w:val="24"/>
        </w:rPr>
        <w:t xml:space="preserve">DATA E HORA LIMITE PARA CREDENCIAMENTO E PREENCHIMENTO DAS PROPOSTAS: ATÉ </w:t>
      </w:r>
      <w:r>
        <w:rPr>
          <w:rFonts w:ascii="Arial" w:hAnsi="Arial" w:cs="Arial"/>
          <w:b/>
          <w:bCs/>
          <w:sz w:val="24"/>
          <w:szCs w:val="24"/>
        </w:rPr>
        <w:t>ÀS 08h30min DO DIA 27/11/2025</w:t>
      </w:r>
      <w:r>
        <w:rPr>
          <w:rFonts w:ascii="Arial" w:hAnsi="Arial" w:cs="Arial"/>
          <w:b/>
          <w:sz w:val="24"/>
          <w:szCs w:val="24"/>
        </w:rPr>
        <w:t>.</w:t>
      </w:r>
    </w:p>
    <w:p w14:paraId="0C3A19E4">
      <w:pPr>
        <w:spacing w:line="240" w:lineRule="auto"/>
        <w:jc w:val="both"/>
        <w:rPr>
          <w:rFonts w:ascii="Arial" w:hAnsi="Arial" w:cs="Arial"/>
          <w:b/>
          <w:sz w:val="24"/>
          <w:szCs w:val="24"/>
        </w:rPr>
      </w:pPr>
      <w:r>
        <w:rPr>
          <w:rFonts w:ascii="Arial" w:hAnsi="Arial" w:cs="Arial"/>
          <w:b/>
          <w:sz w:val="24"/>
          <w:szCs w:val="24"/>
        </w:rPr>
        <w:t xml:space="preserve">DATA E HORA DA ABERTURA DA SESSÃO: ÀS </w:t>
      </w:r>
      <w:r>
        <w:rPr>
          <w:rFonts w:ascii="Arial" w:hAnsi="Arial" w:eastAsia="Times New Roman" w:cs="Arial"/>
          <w:b/>
          <w:bCs/>
          <w:color w:val="000000"/>
          <w:sz w:val="24"/>
          <w:szCs w:val="24"/>
          <w:lang w:eastAsia="pt-BR"/>
        </w:rPr>
        <w:t>08h30min</w:t>
      </w:r>
      <w:r>
        <w:rPr>
          <w:rFonts w:ascii="Arial" w:hAnsi="Arial" w:cs="Arial"/>
          <w:b/>
          <w:sz w:val="24"/>
          <w:szCs w:val="24"/>
        </w:rPr>
        <w:t xml:space="preserve"> </w:t>
      </w:r>
      <w:r>
        <w:rPr>
          <w:rFonts w:ascii="Arial" w:hAnsi="Arial" w:eastAsia="Times New Roman" w:cs="Arial"/>
          <w:b/>
          <w:bCs/>
          <w:color w:val="000000"/>
          <w:sz w:val="24"/>
          <w:szCs w:val="24"/>
          <w:lang w:eastAsia="pt-BR"/>
        </w:rPr>
        <w:t>DO DIA</w:t>
      </w:r>
      <w:r>
        <w:rPr>
          <w:rFonts w:ascii="Arial" w:hAnsi="Arial" w:cs="Arial"/>
          <w:b/>
          <w:sz w:val="24"/>
          <w:szCs w:val="24"/>
        </w:rPr>
        <w:t xml:space="preserve"> 27</w:t>
      </w:r>
      <w:r>
        <w:rPr>
          <w:rFonts w:ascii="Arial" w:hAnsi="Arial" w:eastAsia="Times New Roman" w:cs="Arial"/>
          <w:b/>
          <w:bCs/>
          <w:color w:val="000000"/>
          <w:sz w:val="24"/>
          <w:szCs w:val="24"/>
          <w:lang w:eastAsia="pt-BR"/>
        </w:rPr>
        <w:t>/11/2025</w:t>
      </w:r>
      <w:r>
        <w:rPr>
          <w:rFonts w:ascii="Arial" w:hAnsi="Arial" w:cs="Arial"/>
          <w:b/>
          <w:sz w:val="24"/>
          <w:szCs w:val="24"/>
        </w:rPr>
        <w:t>.</w:t>
      </w:r>
    </w:p>
    <w:p w14:paraId="2BFFE691">
      <w:pPr>
        <w:spacing w:line="240" w:lineRule="auto"/>
        <w:jc w:val="both"/>
        <w:rPr>
          <w:rFonts w:ascii="Arial" w:hAnsi="Arial" w:cs="Arial"/>
          <w:b/>
          <w:sz w:val="24"/>
          <w:szCs w:val="24"/>
        </w:rPr>
      </w:pPr>
      <w:r>
        <w:rPr>
          <w:rFonts w:ascii="Arial" w:hAnsi="Arial" w:cs="Arial"/>
          <w:b/>
          <w:sz w:val="24"/>
          <w:szCs w:val="24"/>
        </w:rPr>
        <w:t xml:space="preserve">INÍCIO DA ETAPA DE LANCES ÀS 09h </w:t>
      </w:r>
      <w:r>
        <w:rPr>
          <w:rFonts w:ascii="Arial" w:hAnsi="Arial" w:eastAsia="Times New Roman" w:cs="Arial"/>
          <w:b/>
          <w:bCs/>
          <w:color w:val="000000"/>
          <w:sz w:val="24"/>
          <w:szCs w:val="24"/>
          <w:lang w:eastAsia="pt-BR"/>
        </w:rPr>
        <w:t>DO DIA</w:t>
      </w:r>
      <w:r>
        <w:rPr>
          <w:rFonts w:ascii="Arial" w:hAnsi="Arial" w:cs="Arial"/>
          <w:b/>
          <w:sz w:val="24"/>
          <w:szCs w:val="24"/>
        </w:rPr>
        <w:t xml:space="preserve"> 27</w:t>
      </w:r>
      <w:r>
        <w:rPr>
          <w:rFonts w:ascii="Arial" w:hAnsi="Arial" w:eastAsia="Times New Roman" w:cs="Arial"/>
          <w:b/>
          <w:bCs/>
          <w:color w:val="000000"/>
          <w:sz w:val="24"/>
          <w:szCs w:val="24"/>
          <w:lang w:eastAsia="pt-BR"/>
        </w:rPr>
        <w:t>/11/2025</w:t>
      </w:r>
      <w:r>
        <w:rPr>
          <w:rFonts w:ascii="Arial" w:hAnsi="Arial" w:cs="Arial"/>
          <w:b/>
          <w:sz w:val="24"/>
          <w:szCs w:val="24"/>
        </w:rPr>
        <w:t>.</w:t>
      </w:r>
    </w:p>
    <w:p w14:paraId="133D1EFF">
      <w:pPr>
        <w:spacing w:line="240" w:lineRule="auto"/>
        <w:jc w:val="both"/>
        <w:rPr>
          <w:rFonts w:ascii="Arial" w:hAnsi="Arial" w:cs="Arial"/>
          <w:b/>
          <w:sz w:val="24"/>
          <w:szCs w:val="24"/>
        </w:rPr>
      </w:pPr>
    </w:p>
    <w:p w14:paraId="2ADAD9B4">
      <w:pPr>
        <w:spacing w:line="240" w:lineRule="auto"/>
        <w:jc w:val="both"/>
        <w:rPr>
          <w:rFonts w:ascii="Arial" w:hAnsi="Arial" w:cs="Arial"/>
          <w:sz w:val="24"/>
          <w:szCs w:val="24"/>
        </w:rPr>
      </w:pPr>
      <w:r>
        <w:rPr>
          <w:rFonts w:ascii="Arial" w:hAnsi="Arial" w:cs="Arial"/>
          <w:b/>
          <w:sz w:val="24"/>
          <w:szCs w:val="24"/>
        </w:rPr>
        <w:t>REFERÊNCIA DE TEMPO:</w:t>
      </w:r>
      <w:r>
        <w:rPr>
          <w:rFonts w:ascii="Arial" w:hAnsi="Arial" w:cs="Arial"/>
          <w:sz w:val="24"/>
          <w:szCs w:val="24"/>
        </w:rPr>
        <w:t xml:space="preserve"> Para todas as referências de tempo será observado o horário de Brasília (DF).</w:t>
      </w:r>
    </w:p>
    <w:p w14:paraId="28DEA9A8">
      <w:pPr>
        <w:spacing w:line="240" w:lineRule="auto"/>
        <w:jc w:val="both"/>
        <w:rPr>
          <w:rFonts w:ascii="Arial" w:hAnsi="Arial" w:cs="Arial"/>
          <w:sz w:val="24"/>
          <w:szCs w:val="24"/>
        </w:rPr>
      </w:pPr>
      <w:r>
        <w:rPr>
          <w:rFonts w:ascii="Arial" w:hAnsi="Arial" w:cs="Arial"/>
          <w:b/>
          <w:sz w:val="24"/>
          <w:szCs w:val="24"/>
        </w:rPr>
        <w:t>LOCAL:</w:t>
      </w:r>
      <w:r>
        <w:rPr>
          <w:rFonts w:ascii="Arial" w:hAnsi="Arial" w:cs="Arial"/>
          <w:sz w:val="24"/>
          <w:szCs w:val="24"/>
        </w:rPr>
        <w:t xml:space="preserve">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 xml:space="preserve"> </w:t>
      </w:r>
    </w:p>
    <w:p w14:paraId="011F4EA7">
      <w:pPr>
        <w:spacing w:line="240" w:lineRule="auto"/>
        <w:jc w:val="center"/>
        <w:rPr>
          <w:rFonts w:ascii="Arial" w:hAnsi="Arial" w:cs="Arial"/>
          <w:b/>
          <w:sz w:val="24"/>
          <w:szCs w:val="24"/>
        </w:rPr>
      </w:pPr>
    </w:p>
    <w:p w14:paraId="29190E1F">
      <w:pPr>
        <w:spacing w:line="240" w:lineRule="auto"/>
        <w:jc w:val="center"/>
        <w:rPr>
          <w:rFonts w:ascii="Arial" w:hAnsi="Arial" w:cs="Arial"/>
          <w:b/>
          <w:sz w:val="24"/>
          <w:szCs w:val="24"/>
        </w:rPr>
      </w:pPr>
    </w:p>
    <w:p w14:paraId="413F909B">
      <w:pPr>
        <w:spacing w:line="240" w:lineRule="auto"/>
        <w:jc w:val="center"/>
        <w:rPr>
          <w:rFonts w:ascii="Arial" w:hAnsi="Arial" w:cs="Arial"/>
          <w:b/>
          <w:sz w:val="24"/>
          <w:szCs w:val="24"/>
        </w:rPr>
      </w:pPr>
    </w:p>
    <w:p w14:paraId="3E9B6B61">
      <w:pPr>
        <w:spacing w:line="240" w:lineRule="auto"/>
        <w:jc w:val="center"/>
        <w:rPr>
          <w:rFonts w:ascii="Arial" w:hAnsi="Arial" w:cs="Arial"/>
          <w:b/>
          <w:sz w:val="24"/>
          <w:szCs w:val="24"/>
        </w:rPr>
      </w:pPr>
    </w:p>
    <w:p w14:paraId="6B733AF5">
      <w:pPr>
        <w:spacing w:line="240" w:lineRule="auto"/>
        <w:jc w:val="center"/>
        <w:rPr>
          <w:rFonts w:ascii="Arial" w:hAnsi="Arial" w:cs="Arial"/>
          <w:b/>
          <w:sz w:val="24"/>
          <w:szCs w:val="24"/>
        </w:rPr>
      </w:pPr>
    </w:p>
    <w:p w14:paraId="3EA9B739">
      <w:pPr>
        <w:spacing w:line="240" w:lineRule="auto"/>
        <w:jc w:val="center"/>
        <w:rPr>
          <w:rFonts w:ascii="Arial" w:hAnsi="Arial" w:cs="Arial"/>
          <w:b/>
          <w:sz w:val="24"/>
          <w:szCs w:val="24"/>
        </w:rPr>
      </w:pPr>
    </w:p>
    <w:p w14:paraId="09C6C45A">
      <w:pPr>
        <w:spacing w:line="240" w:lineRule="auto"/>
        <w:jc w:val="center"/>
        <w:rPr>
          <w:rFonts w:ascii="Arial" w:hAnsi="Arial" w:cs="Arial"/>
          <w:b/>
          <w:sz w:val="24"/>
          <w:szCs w:val="24"/>
        </w:rPr>
      </w:pPr>
    </w:p>
    <w:p w14:paraId="0FE6E70B">
      <w:pPr>
        <w:spacing w:line="240" w:lineRule="auto"/>
        <w:jc w:val="center"/>
        <w:rPr>
          <w:rFonts w:ascii="Arial" w:hAnsi="Arial" w:cs="Arial"/>
          <w:b/>
          <w:sz w:val="24"/>
          <w:szCs w:val="24"/>
        </w:rPr>
      </w:pPr>
    </w:p>
    <w:p w14:paraId="283A429A">
      <w:pPr>
        <w:spacing w:line="240" w:lineRule="auto"/>
        <w:jc w:val="center"/>
        <w:rPr>
          <w:rFonts w:ascii="Arial" w:hAnsi="Arial" w:cs="Arial"/>
          <w:b/>
          <w:sz w:val="24"/>
          <w:szCs w:val="24"/>
        </w:rPr>
      </w:pPr>
      <w:r>
        <w:rPr>
          <w:rFonts w:ascii="Arial" w:hAnsi="Arial" w:cs="Arial"/>
          <w:b/>
          <w:sz w:val="24"/>
          <w:szCs w:val="24"/>
        </w:rPr>
        <w:t>PREGÃO ELETRÔNICO Nº 180/2025</w:t>
      </w:r>
    </w:p>
    <w:p w14:paraId="5E19CADC">
      <w:pPr>
        <w:spacing w:line="240" w:lineRule="auto"/>
        <w:jc w:val="center"/>
        <w:rPr>
          <w:rFonts w:ascii="Arial" w:hAnsi="Arial" w:cs="Arial"/>
          <w:b/>
          <w:sz w:val="24"/>
          <w:szCs w:val="24"/>
        </w:rPr>
      </w:pPr>
      <w:r>
        <w:rPr>
          <w:rFonts w:ascii="Arial" w:hAnsi="Arial" w:cs="Arial"/>
          <w:b/>
          <w:sz w:val="24"/>
          <w:szCs w:val="24"/>
        </w:rPr>
        <w:t>EDITAL Nº 196/2025</w:t>
      </w:r>
    </w:p>
    <w:p w14:paraId="1E884D9D">
      <w:pPr>
        <w:spacing w:line="240" w:lineRule="auto"/>
        <w:jc w:val="center"/>
        <w:rPr>
          <w:rFonts w:ascii="Arial" w:hAnsi="Arial" w:cs="Arial"/>
          <w:b/>
          <w:sz w:val="24"/>
          <w:szCs w:val="24"/>
        </w:rPr>
      </w:pPr>
    </w:p>
    <w:p w14:paraId="6E1644E4">
      <w:pPr>
        <w:spacing w:line="240" w:lineRule="auto"/>
        <w:jc w:val="both"/>
        <w:rPr>
          <w:rFonts w:ascii="Arial" w:hAnsi="Arial" w:cs="Arial"/>
          <w:b/>
          <w:sz w:val="24"/>
          <w:szCs w:val="24"/>
        </w:rPr>
      </w:pPr>
      <w:r>
        <w:rPr>
          <w:rFonts w:ascii="Arial" w:hAnsi="Arial" w:cs="Arial"/>
          <w:b/>
          <w:sz w:val="24"/>
          <w:szCs w:val="24"/>
        </w:rPr>
        <w:t>1 – DISPOSIÇÕES PRELIMINARES</w:t>
      </w:r>
    </w:p>
    <w:p w14:paraId="675DDC42">
      <w:pPr>
        <w:spacing w:line="240" w:lineRule="auto"/>
        <w:ind w:left="284"/>
        <w:jc w:val="both"/>
        <w:rPr>
          <w:rFonts w:ascii="Arial" w:hAnsi="Arial" w:cs="Arial"/>
          <w:sz w:val="24"/>
          <w:szCs w:val="24"/>
        </w:rPr>
      </w:pPr>
      <w:r>
        <w:rPr>
          <w:rFonts w:ascii="Arial" w:hAnsi="Arial" w:cs="Arial"/>
          <w:sz w:val="24"/>
          <w:szCs w:val="24"/>
        </w:rPr>
        <w:t xml:space="preserve">1.1. A Prefeitura Municipal de Paulínia, com sede na Avenida Prefeito José Lozano Araújo, nº 1551, Parque Brasil 500, Paulínia, Estado de São Paulo, CEP 13.141-170, mediante o Pregoeiro, designado pela Portaria nº 388/2024 e Equipe de Apoio designada pela Portaria nº 119/2024, por meio da utilização de recursos de tecnologia da informação – INTERNET, torna público para conhecimento dos interessados que na data, horário e local já indicados anteriormente, fará realizar-se licitação na modalidade PREGÃO ELETRÔNICO, do tipo MENOR PREÇO POR ITEM, tendo como objeto o “REGISTRO DE PREÇOS PARA AQUISIÇÃO DE </w:t>
      </w:r>
      <w:r>
        <w:rPr>
          <w:rFonts w:ascii="Arial" w:hAnsi="Arial" w:cs="Arial"/>
          <w:bCs/>
          <w:sz w:val="24"/>
          <w:szCs w:val="24"/>
        </w:rPr>
        <w:t>MEDICAMENTOS DIVERSOS</w:t>
      </w:r>
      <w:r>
        <w:rPr>
          <w:rFonts w:ascii="Arial" w:hAnsi="Arial" w:cs="Arial"/>
          <w:sz w:val="24"/>
          <w:szCs w:val="24"/>
        </w:rPr>
        <w:t>”, conforme especificações do objeto de responsabilidade da Secretaria Municipal de Saúde.</w:t>
      </w:r>
    </w:p>
    <w:p w14:paraId="16D7AC84">
      <w:pPr>
        <w:spacing w:line="240" w:lineRule="auto"/>
        <w:ind w:left="284"/>
        <w:jc w:val="both"/>
        <w:rPr>
          <w:rFonts w:ascii="Arial" w:hAnsi="Arial" w:cs="Arial"/>
          <w:sz w:val="24"/>
          <w:szCs w:val="24"/>
        </w:rPr>
      </w:pPr>
      <w:r>
        <w:rPr>
          <w:rFonts w:ascii="Arial" w:hAnsi="Arial" w:cs="Arial"/>
          <w:sz w:val="24"/>
          <w:szCs w:val="24"/>
        </w:rPr>
        <w:t xml:space="preserve">1.2. O Pregão Eletrônico será realizado em sessão pública, por meio da INTERNET, mediante condições de segurança – criptografia e autenticação – em todas as suas fases. Os trabalhos serão conduzidos por servidor integrante do quadro de funcionários desta Prefeitura, denominado Pregoeiro, mediante a inserção e monitoramento dos dados gerados ou transferidos para o aplicativo, no endereço eletrônico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w:t>
      </w:r>
    </w:p>
    <w:p w14:paraId="6B0203F1">
      <w:pPr>
        <w:spacing w:line="240" w:lineRule="auto"/>
        <w:ind w:left="284"/>
        <w:jc w:val="both"/>
        <w:rPr>
          <w:rFonts w:ascii="Arial" w:hAnsi="Arial" w:cs="Arial"/>
          <w:sz w:val="24"/>
          <w:szCs w:val="24"/>
        </w:rPr>
      </w:pPr>
      <w:r>
        <w:rPr>
          <w:rFonts w:ascii="Arial" w:hAnsi="Arial" w:cs="Arial"/>
          <w:sz w:val="24"/>
          <w:szCs w:val="24"/>
        </w:rPr>
        <w:t xml:space="preserve">1.3. Para participar da licitação na plataforma é necessário o cadastro da licitante no endereço </w:t>
      </w:r>
      <w:r>
        <w:rPr>
          <w:rStyle w:val="8"/>
          <w:rFonts w:ascii="Arial" w:hAnsi="Arial" w:cs="Arial"/>
          <w:sz w:val="24"/>
          <w:szCs w:val="24"/>
        </w:rPr>
        <w:t>https://bnccompras.com/Home/Login.</w:t>
      </w:r>
      <w:r>
        <w:rPr>
          <w:rFonts w:ascii="Arial" w:hAnsi="Arial" w:cs="Arial"/>
          <w:sz w:val="24"/>
          <w:szCs w:val="24"/>
        </w:rPr>
        <w:t xml:space="preserve"> </w:t>
      </w:r>
    </w:p>
    <w:p w14:paraId="475E1309">
      <w:pPr>
        <w:spacing w:line="240" w:lineRule="auto"/>
        <w:ind w:left="568"/>
        <w:jc w:val="both"/>
        <w:rPr>
          <w:rFonts w:ascii="Arial" w:hAnsi="Arial" w:cs="Arial"/>
          <w:sz w:val="24"/>
          <w:szCs w:val="24"/>
        </w:rPr>
      </w:pPr>
      <w:r>
        <w:rPr>
          <w:rFonts w:ascii="Arial" w:hAnsi="Arial" w:cs="Arial"/>
          <w:sz w:val="24"/>
          <w:szCs w:val="24"/>
        </w:rPr>
        <w:t xml:space="preserve">1.3.1. No cadastramento a licitante deve assinalar, quando for o caso, a opção “ME/EPP/MEI” em relação à Lei Complementar nº 123/2006.  </w:t>
      </w:r>
    </w:p>
    <w:p w14:paraId="7F0D1C0E">
      <w:pPr>
        <w:spacing w:line="240" w:lineRule="auto"/>
        <w:ind w:left="284"/>
        <w:jc w:val="both"/>
        <w:rPr>
          <w:rFonts w:ascii="Arial" w:hAnsi="Arial" w:cs="Arial"/>
          <w:sz w:val="24"/>
          <w:szCs w:val="24"/>
        </w:rPr>
      </w:pPr>
      <w:r>
        <w:rPr>
          <w:rFonts w:ascii="Arial" w:hAnsi="Arial" w:cs="Arial"/>
          <w:sz w:val="24"/>
          <w:szCs w:val="24"/>
        </w:rPr>
        <w:t xml:space="preserve">1.4. Demais informações poderão ser obtidas no endereço </w:t>
      </w:r>
      <w:r>
        <w:fldChar w:fldCharType="begin"/>
      </w:r>
      <w:r>
        <w:instrText xml:space="preserve"> HYPERLINK "https://bnc.org.br/faq/" </w:instrText>
      </w:r>
      <w:r>
        <w:fldChar w:fldCharType="separate"/>
      </w:r>
      <w:r>
        <w:rPr>
          <w:rStyle w:val="8"/>
          <w:rFonts w:ascii="Arial" w:hAnsi="Arial" w:cs="Arial"/>
          <w:sz w:val="24"/>
          <w:szCs w:val="24"/>
        </w:rPr>
        <w:t>https://bnc.org.br/faq/</w:t>
      </w:r>
      <w:r>
        <w:rPr>
          <w:rStyle w:val="8"/>
          <w:rFonts w:ascii="Arial" w:hAnsi="Arial" w:cs="Arial"/>
          <w:sz w:val="24"/>
          <w:szCs w:val="24"/>
        </w:rPr>
        <w:fldChar w:fldCharType="end"/>
      </w:r>
      <w:r>
        <w:rPr>
          <w:rFonts w:ascii="Arial" w:hAnsi="Arial" w:cs="Arial"/>
          <w:sz w:val="24"/>
          <w:szCs w:val="24"/>
        </w:rPr>
        <w:t>.</w:t>
      </w:r>
    </w:p>
    <w:p w14:paraId="34FA327B">
      <w:pPr>
        <w:spacing w:line="240" w:lineRule="auto"/>
        <w:ind w:left="284"/>
        <w:jc w:val="both"/>
        <w:rPr>
          <w:rFonts w:ascii="Arial" w:hAnsi="Arial" w:cs="Arial"/>
          <w:sz w:val="24"/>
          <w:szCs w:val="24"/>
        </w:rPr>
      </w:pPr>
      <w:r>
        <w:rPr>
          <w:rFonts w:ascii="Arial" w:hAnsi="Arial" w:cs="Arial"/>
          <w:sz w:val="24"/>
          <w:szCs w:val="24"/>
        </w:rPr>
        <w:t xml:space="preserve">1.5. A licitante deverá observar as datas e os horários limites previstos para o preenchimento da proposta comercial e para o envio dos documentos de habilitação na plataforma do sistema eletrônico, atentando também para a data e horário de início da disputa de lances. </w:t>
      </w:r>
    </w:p>
    <w:p w14:paraId="7D6F7A03">
      <w:pPr>
        <w:spacing w:after="120" w:line="240" w:lineRule="auto"/>
        <w:ind w:left="284"/>
        <w:jc w:val="both"/>
        <w:rPr>
          <w:rFonts w:ascii="Arial" w:hAnsi="Arial" w:cs="Arial"/>
          <w:sz w:val="24"/>
          <w:szCs w:val="24"/>
        </w:rPr>
      </w:pPr>
      <w:r>
        <w:rPr>
          <w:rFonts w:ascii="Arial" w:hAnsi="Arial" w:cs="Arial"/>
          <w:sz w:val="24"/>
          <w:szCs w:val="24"/>
        </w:rPr>
        <w:t>1.6. Caberá à licitante acompanhar as operações no sistema eletrônico durante a sessão pública do pregão, ficando responsável pelo ônus decorrente da perda de negócios diante da inobservância de quaisquer mensagens emitidas pelo sistema ou de sua desconexão.</w:t>
      </w:r>
    </w:p>
    <w:p w14:paraId="38A8C36B">
      <w:pPr>
        <w:spacing w:before="240" w:line="240" w:lineRule="auto"/>
        <w:ind w:firstLine="284"/>
        <w:jc w:val="both"/>
        <w:rPr>
          <w:rFonts w:ascii="Arial" w:hAnsi="Arial" w:cs="Arial"/>
          <w:sz w:val="24"/>
          <w:szCs w:val="24"/>
        </w:rPr>
      </w:pPr>
      <w:r>
        <w:rPr>
          <w:rFonts w:ascii="Arial" w:hAnsi="Arial" w:cs="Arial"/>
          <w:sz w:val="24"/>
          <w:szCs w:val="24"/>
        </w:rPr>
        <w:t>1.7. Fazem parte integrante deste Edital:</w:t>
      </w:r>
    </w:p>
    <w:p w14:paraId="3D5DC34D">
      <w:pPr>
        <w:spacing w:line="240" w:lineRule="auto"/>
        <w:ind w:left="1134"/>
        <w:jc w:val="both"/>
        <w:rPr>
          <w:rStyle w:val="5"/>
          <w:rFonts w:ascii="Arial" w:hAnsi="Arial" w:cs="Arial"/>
          <w:b w:val="0"/>
          <w:sz w:val="24"/>
          <w:szCs w:val="24"/>
        </w:rPr>
      </w:pPr>
      <w:r>
        <w:rPr>
          <w:rStyle w:val="5"/>
          <w:rFonts w:ascii="Arial" w:hAnsi="Arial" w:cs="Arial"/>
          <w:b w:val="0"/>
          <w:sz w:val="24"/>
          <w:szCs w:val="24"/>
        </w:rPr>
        <w:t xml:space="preserve">Anexo I –Termo de Referência </w:t>
      </w:r>
      <w:r>
        <w:rPr>
          <w:rFonts w:ascii="Arial" w:hAnsi="Arial" w:cs="Arial"/>
          <w:sz w:val="24"/>
          <w:szCs w:val="24"/>
          <w:lang w:eastAsia="pt-BR"/>
        </w:rPr>
        <w:t>/ Especificações do Objeto</w:t>
      </w:r>
      <w:r>
        <w:rPr>
          <w:rStyle w:val="5"/>
          <w:rFonts w:ascii="Arial" w:hAnsi="Arial" w:cs="Arial"/>
          <w:b w:val="0"/>
          <w:sz w:val="24"/>
          <w:szCs w:val="24"/>
        </w:rPr>
        <w:t xml:space="preserve"> </w:t>
      </w:r>
    </w:p>
    <w:p w14:paraId="511A3C3C">
      <w:pPr>
        <w:spacing w:line="240" w:lineRule="auto"/>
        <w:ind w:left="1134"/>
        <w:jc w:val="both"/>
        <w:rPr>
          <w:rStyle w:val="5"/>
          <w:rFonts w:ascii="Arial" w:hAnsi="Arial" w:cs="Arial"/>
          <w:b w:val="0"/>
          <w:sz w:val="24"/>
          <w:szCs w:val="24"/>
        </w:rPr>
      </w:pPr>
      <w:r>
        <w:rPr>
          <w:rStyle w:val="5"/>
          <w:rFonts w:ascii="Arial" w:hAnsi="Arial" w:cs="Arial"/>
          <w:b w:val="0"/>
          <w:sz w:val="24"/>
          <w:szCs w:val="24"/>
        </w:rPr>
        <w:t>Anexo II – Minuta de Declaração Requisitos da Habilitação</w:t>
      </w:r>
    </w:p>
    <w:p w14:paraId="3A73D7A2">
      <w:pPr>
        <w:spacing w:line="240" w:lineRule="auto"/>
        <w:ind w:left="1134"/>
        <w:jc w:val="both"/>
        <w:rPr>
          <w:rStyle w:val="5"/>
          <w:rFonts w:ascii="Arial" w:hAnsi="Arial" w:cs="Arial"/>
          <w:b w:val="0"/>
          <w:sz w:val="24"/>
          <w:szCs w:val="24"/>
        </w:rPr>
      </w:pPr>
      <w:r>
        <w:rPr>
          <w:rStyle w:val="5"/>
          <w:rFonts w:ascii="Arial" w:hAnsi="Arial" w:cs="Arial"/>
          <w:b w:val="0"/>
          <w:sz w:val="24"/>
          <w:szCs w:val="24"/>
        </w:rPr>
        <w:t>Anexo III – Minuta de Autorização de Fornecimento</w:t>
      </w:r>
    </w:p>
    <w:p w14:paraId="620F12A1">
      <w:pPr>
        <w:spacing w:line="240" w:lineRule="auto"/>
        <w:ind w:left="1134"/>
        <w:jc w:val="both"/>
        <w:rPr>
          <w:rStyle w:val="5"/>
          <w:rFonts w:ascii="Arial" w:hAnsi="Arial" w:cs="Arial"/>
          <w:b w:val="0"/>
          <w:sz w:val="24"/>
          <w:szCs w:val="24"/>
        </w:rPr>
      </w:pPr>
      <w:r>
        <w:rPr>
          <w:rStyle w:val="5"/>
          <w:rFonts w:ascii="Arial" w:hAnsi="Arial" w:cs="Arial"/>
          <w:b w:val="0"/>
          <w:sz w:val="24"/>
          <w:szCs w:val="24"/>
        </w:rPr>
        <w:t>Anexo IV – Termo de Ciência e Notificação</w:t>
      </w:r>
    </w:p>
    <w:p w14:paraId="774AA4C5">
      <w:pPr>
        <w:spacing w:line="240" w:lineRule="auto"/>
        <w:ind w:left="1134"/>
        <w:jc w:val="both"/>
        <w:rPr>
          <w:rStyle w:val="5"/>
          <w:rFonts w:ascii="Arial" w:hAnsi="Arial" w:cs="Arial"/>
          <w:b w:val="0"/>
          <w:sz w:val="24"/>
          <w:szCs w:val="24"/>
        </w:rPr>
      </w:pPr>
      <w:r>
        <w:rPr>
          <w:rStyle w:val="5"/>
          <w:rFonts w:ascii="Arial" w:hAnsi="Arial" w:cs="Arial"/>
          <w:b w:val="0"/>
          <w:sz w:val="24"/>
          <w:szCs w:val="24"/>
        </w:rPr>
        <w:t>Anexo V – Declaração de documentos à disposição do TCE-SP</w:t>
      </w:r>
    </w:p>
    <w:p w14:paraId="05A00431">
      <w:pPr>
        <w:spacing w:line="240" w:lineRule="auto"/>
        <w:ind w:left="1134"/>
        <w:jc w:val="both"/>
        <w:rPr>
          <w:rStyle w:val="5"/>
          <w:rFonts w:ascii="Arial" w:hAnsi="Arial" w:cs="Arial"/>
          <w:b w:val="0"/>
          <w:sz w:val="24"/>
          <w:szCs w:val="24"/>
        </w:rPr>
      </w:pPr>
      <w:r>
        <w:rPr>
          <w:rStyle w:val="5"/>
          <w:rFonts w:ascii="Arial" w:hAnsi="Arial" w:cs="Arial"/>
          <w:b w:val="0"/>
          <w:sz w:val="24"/>
          <w:szCs w:val="24"/>
        </w:rPr>
        <w:t>Anexo VI – Procuração para Assinatura da Ata de Registro de Preços</w:t>
      </w:r>
    </w:p>
    <w:p w14:paraId="66CD918F">
      <w:pPr>
        <w:spacing w:line="240" w:lineRule="auto"/>
        <w:ind w:left="1134"/>
        <w:jc w:val="both"/>
        <w:rPr>
          <w:rStyle w:val="5"/>
          <w:rFonts w:ascii="Arial" w:hAnsi="Arial" w:cs="Arial"/>
          <w:b w:val="0"/>
          <w:sz w:val="24"/>
          <w:szCs w:val="24"/>
        </w:rPr>
      </w:pPr>
      <w:r>
        <w:rPr>
          <w:rStyle w:val="5"/>
          <w:rFonts w:ascii="Arial" w:hAnsi="Arial" w:cs="Arial"/>
          <w:b w:val="0"/>
          <w:sz w:val="24"/>
          <w:szCs w:val="24"/>
        </w:rPr>
        <w:t>Anexo VII – Declaração de Microempresa ou Empresa de Pequeno Porte</w:t>
      </w:r>
    </w:p>
    <w:p w14:paraId="7755F8E8">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VIII – Modelo de Proposta Final</w:t>
      </w:r>
    </w:p>
    <w:p w14:paraId="383AD3F1">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IX – Declarações para a Fase de Habilitação</w:t>
      </w:r>
    </w:p>
    <w:p w14:paraId="43E1A189">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 – Declaração de Pleno Conhecimento das Condições</w:t>
      </w:r>
    </w:p>
    <w:p w14:paraId="41FEEE92">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 – Minuta da Ata de Registro de Preços</w:t>
      </w:r>
    </w:p>
    <w:p w14:paraId="6C131CCC">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XII – Minuta da Autorização de Compra</w:t>
      </w:r>
    </w:p>
    <w:p w14:paraId="34449C12">
      <w:pPr>
        <w:spacing w:after="360" w:line="240" w:lineRule="auto"/>
        <w:ind w:left="1134" w:firstLine="9"/>
        <w:jc w:val="both"/>
        <w:rPr>
          <w:rStyle w:val="5"/>
          <w:rFonts w:ascii="Arial" w:hAnsi="Arial" w:cs="Arial"/>
          <w:b w:val="0"/>
          <w:sz w:val="24"/>
          <w:szCs w:val="24"/>
        </w:rPr>
      </w:pPr>
      <w:r>
        <w:rPr>
          <w:rStyle w:val="5"/>
          <w:rFonts w:ascii="Arial" w:hAnsi="Arial" w:cs="Arial"/>
          <w:b w:val="0"/>
          <w:sz w:val="24"/>
          <w:szCs w:val="24"/>
        </w:rPr>
        <w:t>Anexo XIII - Estudo Técnico Preliminar – ETP</w:t>
      </w:r>
    </w:p>
    <w:p w14:paraId="6591B080">
      <w:pPr>
        <w:spacing w:line="240" w:lineRule="auto"/>
        <w:jc w:val="both"/>
        <w:rPr>
          <w:rFonts w:ascii="Arial" w:hAnsi="Arial" w:cs="Arial"/>
          <w:b/>
          <w:sz w:val="24"/>
          <w:szCs w:val="24"/>
        </w:rPr>
      </w:pPr>
      <w:r>
        <w:rPr>
          <w:rFonts w:ascii="Arial" w:hAnsi="Arial" w:cs="Arial"/>
          <w:b/>
          <w:sz w:val="24"/>
          <w:szCs w:val="24"/>
        </w:rPr>
        <w:t>2 – DO OBJETO</w:t>
      </w:r>
    </w:p>
    <w:p w14:paraId="212D1411">
      <w:pPr>
        <w:spacing w:line="240" w:lineRule="auto"/>
        <w:ind w:left="284"/>
        <w:jc w:val="both"/>
        <w:rPr>
          <w:rFonts w:ascii="Arial" w:hAnsi="Arial" w:cs="Arial"/>
          <w:sz w:val="24"/>
          <w:szCs w:val="24"/>
        </w:rPr>
      </w:pPr>
      <w:r>
        <w:rPr>
          <w:rFonts w:ascii="Arial" w:hAnsi="Arial" w:cs="Arial"/>
          <w:sz w:val="24"/>
          <w:szCs w:val="24"/>
        </w:rPr>
        <w:t xml:space="preserve">2.1. O presente pregão tem por objeto o “REGISTRO DE PREÇOS PARA AQUISIÇÃO DE </w:t>
      </w:r>
      <w:r>
        <w:rPr>
          <w:rFonts w:ascii="Arial" w:hAnsi="Arial" w:cs="Arial"/>
          <w:bCs/>
          <w:sz w:val="24"/>
          <w:szCs w:val="24"/>
        </w:rPr>
        <w:t>MEDICAMENTOS DIVERSOS</w:t>
      </w:r>
      <w:r>
        <w:rPr>
          <w:rFonts w:ascii="Arial" w:hAnsi="Arial" w:cs="Arial"/>
          <w:sz w:val="24"/>
          <w:szCs w:val="24"/>
        </w:rPr>
        <w:t>”.</w:t>
      </w:r>
    </w:p>
    <w:p w14:paraId="5967836D">
      <w:pPr>
        <w:spacing w:line="240" w:lineRule="auto"/>
        <w:ind w:left="284"/>
        <w:jc w:val="both"/>
        <w:rPr>
          <w:rFonts w:ascii="Arial" w:hAnsi="Arial" w:eastAsia="Arial" w:cs="Arial"/>
          <w:bCs/>
          <w:sz w:val="24"/>
          <w:szCs w:val="24"/>
        </w:rPr>
      </w:pPr>
      <w:r>
        <w:rPr>
          <w:rStyle w:val="5"/>
          <w:rFonts w:ascii="Arial" w:hAnsi="Arial" w:cs="Arial"/>
          <w:b w:val="0"/>
          <w:sz w:val="24"/>
          <w:szCs w:val="24"/>
        </w:rPr>
        <w:t>2.2.</w:t>
      </w:r>
      <w:r>
        <w:rPr>
          <w:rFonts w:ascii="Arial" w:hAnsi="Arial" w:cs="Arial"/>
          <w:sz w:val="24"/>
          <w:szCs w:val="24"/>
        </w:rPr>
        <w:t xml:space="preserve"> </w:t>
      </w:r>
      <w:r>
        <w:rPr>
          <w:rFonts w:ascii="Arial" w:hAnsi="Arial" w:eastAsia="Arial" w:cs="Arial"/>
          <w:bCs/>
          <w:sz w:val="24"/>
          <w:szCs w:val="24"/>
        </w:rPr>
        <w:t>Durante o prazo de validade da Ata de Registro de Preços a Detentora estará obrigada a fornecer ao Município, sempre que por ele exigido, na forma pretendida os itens objeto da presente licitação.</w:t>
      </w:r>
    </w:p>
    <w:p w14:paraId="7329CFBA">
      <w:pPr>
        <w:spacing w:line="240" w:lineRule="auto"/>
        <w:ind w:left="568"/>
        <w:jc w:val="both"/>
        <w:rPr>
          <w:rFonts w:ascii="Arial" w:hAnsi="Arial" w:eastAsia="Arial" w:cs="Arial"/>
          <w:bCs/>
          <w:sz w:val="24"/>
          <w:szCs w:val="24"/>
        </w:rPr>
      </w:pPr>
      <w:r>
        <w:rPr>
          <w:rFonts w:ascii="Arial" w:hAnsi="Arial" w:eastAsia="Arial" w:cs="Arial"/>
          <w:bCs/>
          <w:sz w:val="24"/>
          <w:szCs w:val="24"/>
        </w:rPr>
        <w:t>2.2.1. A vigência da Ata de Registro de Preços será de 12 (doze) meses, e poderá ser prorrogado, por igual período, desde que comprovado o preço vantajoso.</w:t>
      </w:r>
    </w:p>
    <w:p w14:paraId="2612F853">
      <w:pPr>
        <w:spacing w:line="240" w:lineRule="auto"/>
        <w:ind w:left="284"/>
        <w:jc w:val="both"/>
        <w:rPr>
          <w:rFonts w:ascii="Arial" w:hAnsi="Arial" w:cs="Arial"/>
          <w:sz w:val="24"/>
          <w:szCs w:val="24"/>
        </w:rPr>
      </w:pPr>
      <w:r>
        <w:rPr>
          <w:rFonts w:ascii="Arial" w:hAnsi="Arial" w:cs="Arial"/>
          <w:sz w:val="24"/>
          <w:szCs w:val="24"/>
        </w:rPr>
        <w:t xml:space="preserve">2.3. O Município não estará obrigado a adquirir da </w:t>
      </w:r>
      <w:r>
        <w:rPr>
          <w:rFonts w:ascii="Arial" w:hAnsi="Arial" w:eastAsia="Arial" w:cs="Arial"/>
          <w:bCs/>
          <w:sz w:val="24"/>
          <w:szCs w:val="24"/>
        </w:rPr>
        <w:t xml:space="preserve">Detentora </w:t>
      </w:r>
      <w:r>
        <w:rPr>
          <w:rFonts w:ascii="Arial" w:hAnsi="Arial" w:cs="Arial"/>
          <w:sz w:val="24"/>
          <w:szCs w:val="24"/>
        </w:rPr>
        <w:t xml:space="preserve">uma quantidade mínima dos </w:t>
      </w:r>
      <w:r>
        <w:rPr>
          <w:rFonts w:ascii="Arial" w:hAnsi="Arial" w:eastAsia="Arial" w:cs="Arial"/>
          <w:bCs/>
          <w:sz w:val="24"/>
          <w:szCs w:val="24"/>
        </w:rPr>
        <w:t>itens</w:t>
      </w:r>
      <w:r>
        <w:rPr>
          <w:rFonts w:ascii="Arial" w:hAnsi="Arial" w:cs="Arial"/>
          <w:sz w:val="24"/>
          <w:szCs w:val="24"/>
        </w:rPr>
        <w:t xml:space="preserve"> objeto da futura Ata de Registro de Preços, ficando ao seu exclusivo critério a definição da quantidade, do momento e da forma de execução, obedecendo ao estipulado no presente processo licitatório.</w:t>
      </w:r>
    </w:p>
    <w:p w14:paraId="40CD5567">
      <w:pPr>
        <w:spacing w:line="240" w:lineRule="auto"/>
        <w:ind w:left="284"/>
        <w:jc w:val="both"/>
        <w:rPr>
          <w:rFonts w:ascii="Arial" w:hAnsi="Arial" w:cs="Arial"/>
          <w:sz w:val="24"/>
          <w:szCs w:val="24"/>
        </w:rPr>
      </w:pPr>
      <w:r>
        <w:rPr>
          <w:rFonts w:ascii="Arial" w:hAnsi="Arial" w:cs="Arial"/>
          <w:sz w:val="24"/>
          <w:szCs w:val="24"/>
        </w:rPr>
        <w:t>2.4. O Município poderá, nos termos da legislação vigente, adquirir de outros fornecedores os itens objeto da futura Ata de Registro de Preços, vedada, todavia, qualquer aquisição destes itens por preços iguais ou superiores aos que poderiam ser obtidos da(s) licitante(s)</w:t>
      </w:r>
      <w:r>
        <w:rPr>
          <w:rFonts w:ascii="Arial" w:hAnsi="Arial" w:eastAsia="Arial" w:cs="Arial"/>
          <w:bCs/>
          <w:sz w:val="24"/>
          <w:szCs w:val="24"/>
        </w:rPr>
        <w:t xml:space="preserve"> </w:t>
      </w:r>
      <w:r>
        <w:rPr>
          <w:rFonts w:ascii="Arial" w:hAnsi="Arial" w:cs="Arial"/>
          <w:sz w:val="24"/>
          <w:szCs w:val="24"/>
        </w:rPr>
        <w:t>pela execução da futura Ata de Registro de Preços.</w:t>
      </w:r>
    </w:p>
    <w:p w14:paraId="205234AD">
      <w:pPr>
        <w:spacing w:line="240" w:lineRule="auto"/>
        <w:ind w:left="284"/>
        <w:jc w:val="both"/>
        <w:rPr>
          <w:rFonts w:ascii="Arial" w:hAnsi="Arial" w:cs="Arial"/>
          <w:sz w:val="24"/>
          <w:szCs w:val="24"/>
        </w:rPr>
      </w:pPr>
      <w:r>
        <w:rPr>
          <w:rFonts w:ascii="Arial" w:hAnsi="Arial" w:cs="Arial"/>
          <w:sz w:val="24"/>
          <w:szCs w:val="24"/>
        </w:rPr>
        <w:t>2.5. A Detentora fica obrigada a cumprir integralmente as Ordens de Serviços/Autorizações de Fornecimento recebidas até a data do vencimento da Ata de Registro de Preços.</w:t>
      </w:r>
    </w:p>
    <w:p w14:paraId="0CBB85AD">
      <w:pPr>
        <w:spacing w:line="240" w:lineRule="auto"/>
        <w:ind w:left="284"/>
        <w:jc w:val="both"/>
        <w:rPr>
          <w:rStyle w:val="5"/>
          <w:rFonts w:ascii="Arial" w:hAnsi="Arial" w:cs="Arial"/>
          <w:b w:val="0"/>
          <w:sz w:val="24"/>
          <w:szCs w:val="24"/>
        </w:rPr>
      </w:pPr>
      <w:r>
        <w:rPr>
          <w:rFonts w:ascii="Arial" w:hAnsi="Arial" w:cs="Arial"/>
          <w:sz w:val="24"/>
          <w:szCs w:val="24"/>
        </w:rPr>
        <w:t>2.6. Decorrido o prazo da validade da Ata de Registro de Preços não cessa a obrigação da Detentora de cumprir as Ordens de Serviço/Autorizações de Fornecimento recebidas até a data de vencimento da Ata de Registro de Preços, bem como a obrigação da Prefeitura Municipal de Paulínia de pagar as notas fiscais após regular recebimento em conformidade com a Lei de Licitações e Contratos.</w:t>
      </w:r>
    </w:p>
    <w:p w14:paraId="5FA12B12">
      <w:pPr>
        <w:pStyle w:val="29"/>
        <w:spacing w:before="0" w:beforeAutospacing="0" w:after="200" w:afterAutospacing="0" w:line="240" w:lineRule="auto"/>
        <w:ind w:left="284"/>
        <w:rPr>
          <w:sz w:val="24"/>
          <w:szCs w:val="24"/>
        </w:rPr>
      </w:pPr>
      <w:r>
        <w:rPr>
          <w:sz w:val="24"/>
          <w:szCs w:val="24"/>
        </w:rPr>
        <w:t>2.7. Quanto a marcas: qualquer menção a marca/modelo que porventura conste deste Edital e seus anexos configuram-se como simples referência para cotação dos produtos solicitados, sendo que serão aceitos similares ou de qualidade superior.</w:t>
      </w:r>
    </w:p>
    <w:p w14:paraId="44FE4CDF">
      <w:pPr>
        <w:pStyle w:val="29"/>
        <w:spacing w:before="0" w:beforeAutospacing="0" w:after="240" w:afterAutospacing="0" w:line="240" w:lineRule="auto"/>
        <w:ind w:left="284"/>
        <w:rPr>
          <w:b/>
          <w:bCs/>
          <w:sz w:val="24"/>
          <w:szCs w:val="24"/>
        </w:rPr>
      </w:pPr>
      <w:r>
        <w:rPr>
          <w:sz w:val="24"/>
          <w:szCs w:val="24"/>
        </w:rPr>
        <w:t>2.8. Quanto a medidas: as medidas constantes do presente edital e seus anexos são aproximadas, admitindo-se variações permitidas pela Legislação específica</w:t>
      </w:r>
      <w:r>
        <w:rPr>
          <w:b/>
          <w:bCs/>
          <w:sz w:val="24"/>
          <w:szCs w:val="24"/>
        </w:rPr>
        <w:t>.</w:t>
      </w:r>
    </w:p>
    <w:p w14:paraId="6AD7E019">
      <w:pPr>
        <w:spacing w:line="240" w:lineRule="auto"/>
        <w:jc w:val="both"/>
        <w:rPr>
          <w:rStyle w:val="5"/>
          <w:rFonts w:ascii="Arial" w:hAnsi="Arial" w:cs="Arial"/>
          <w:bCs w:val="0"/>
          <w:sz w:val="24"/>
          <w:szCs w:val="24"/>
        </w:rPr>
      </w:pPr>
      <w:r>
        <w:rPr>
          <w:rStyle w:val="5"/>
          <w:rFonts w:ascii="Arial" w:hAnsi="Arial" w:cs="Arial"/>
          <w:sz w:val="24"/>
          <w:szCs w:val="24"/>
        </w:rPr>
        <w:t xml:space="preserve">3 – </w:t>
      </w:r>
      <w:r>
        <w:rPr>
          <w:rStyle w:val="5"/>
          <w:rFonts w:ascii="Arial" w:hAnsi="Arial" w:cs="Arial"/>
          <w:bCs w:val="0"/>
          <w:sz w:val="24"/>
          <w:szCs w:val="24"/>
        </w:rPr>
        <w:t>DA DOTAÇÃO ORÇAMENTÁRIA</w:t>
      </w:r>
    </w:p>
    <w:p w14:paraId="1E13871F">
      <w:pPr>
        <w:pStyle w:val="12"/>
        <w:spacing w:before="0" w:beforeAutospacing="0" w:after="200" w:afterAutospacing="0"/>
        <w:ind w:left="284"/>
        <w:jc w:val="both"/>
        <w:rPr>
          <w:rStyle w:val="5"/>
          <w:rFonts w:ascii="Arial" w:hAnsi="Arial" w:cs="Arial"/>
          <w:b w:val="0"/>
          <w:bCs w:val="0"/>
        </w:rPr>
      </w:pPr>
      <w:r>
        <w:rPr>
          <w:rStyle w:val="5"/>
          <w:rFonts w:ascii="Arial" w:hAnsi="Arial" w:cs="Arial"/>
          <w:b w:val="0"/>
          <w:bCs w:val="0"/>
        </w:rPr>
        <w:t xml:space="preserve">3.1. A despesa, estimada em R$ 515.821,00, onerará os recursos das dotações nºs </w:t>
      </w:r>
    </w:p>
    <w:p w14:paraId="46395F50">
      <w:pPr>
        <w:pStyle w:val="12"/>
        <w:spacing w:before="0" w:beforeAutospacing="0" w:after="200" w:afterAutospacing="0"/>
        <w:ind w:left="284"/>
        <w:jc w:val="both"/>
        <w:rPr>
          <w:rStyle w:val="5"/>
          <w:rFonts w:ascii="Arial" w:hAnsi="Arial" w:cs="Arial"/>
          <w:b w:val="0"/>
          <w:bCs w:val="0"/>
        </w:rPr>
      </w:pPr>
      <w:r>
        <w:rPr>
          <w:rStyle w:val="5"/>
          <w:rFonts w:ascii="Arial" w:hAnsi="Arial" w:cs="Arial"/>
          <w:b w:val="0"/>
          <w:bCs w:val="0"/>
        </w:rPr>
        <w:t>(615) 02.10.02.10.303.0032.2.037.3390.3202.01.3100000</w:t>
      </w:r>
    </w:p>
    <w:p w14:paraId="27A8708D">
      <w:pPr>
        <w:pStyle w:val="12"/>
        <w:spacing w:before="0" w:beforeAutospacing="0" w:after="200" w:afterAutospacing="0"/>
        <w:ind w:left="284"/>
        <w:jc w:val="both"/>
        <w:rPr>
          <w:rStyle w:val="5"/>
          <w:rFonts w:ascii="Arial" w:hAnsi="Arial" w:cs="Arial"/>
          <w:b w:val="0"/>
          <w:bCs w:val="0"/>
        </w:rPr>
      </w:pPr>
      <w:r>
        <w:rPr>
          <w:rStyle w:val="5"/>
          <w:rFonts w:ascii="Arial" w:hAnsi="Arial" w:cs="Arial"/>
          <w:b w:val="0"/>
          <w:bCs w:val="0"/>
        </w:rPr>
        <w:t>(662) 02.10.03.10.302.0037.2.037.3390.3009.01.3100000</w:t>
      </w:r>
    </w:p>
    <w:p w14:paraId="486E6E54">
      <w:pPr>
        <w:pStyle w:val="12"/>
        <w:spacing w:before="0" w:beforeAutospacing="0" w:after="0" w:afterAutospacing="0"/>
        <w:ind w:left="284"/>
        <w:jc w:val="both"/>
        <w:rPr>
          <w:rStyle w:val="5"/>
          <w:rFonts w:ascii="Arial" w:hAnsi="Arial" w:cs="Arial"/>
          <w:b w:val="0"/>
          <w:bCs w:val="0"/>
        </w:rPr>
      </w:pPr>
      <w:r>
        <w:rPr>
          <w:rStyle w:val="5"/>
          <w:rFonts w:ascii="Arial" w:hAnsi="Arial" w:cs="Arial"/>
          <w:b w:val="0"/>
          <w:bCs w:val="0"/>
        </w:rPr>
        <w:t xml:space="preserve">(813) 02.10.04.10.302.0046.2.037.3390.3009.01.3100000 </w:t>
      </w:r>
    </w:p>
    <w:p w14:paraId="2FA39C99">
      <w:pPr>
        <w:pStyle w:val="12"/>
        <w:spacing w:before="0" w:beforeAutospacing="0" w:after="0" w:afterAutospacing="0"/>
        <w:ind w:left="284"/>
        <w:jc w:val="both"/>
        <w:rPr>
          <w:rStyle w:val="5"/>
          <w:rFonts w:ascii="Arial" w:hAnsi="Arial" w:cs="Arial"/>
          <w:b w:val="0"/>
          <w:bCs w:val="0"/>
        </w:rPr>
      </w:pPr>
    </w:p>
    <w:p w14:paraId="76BD1E28">
      <w:pPr>
        <w:pStyle w:val="12"/>
        <w:spacing w:before="0" w:beforeAutospacing="0" w:after="240" w:afterAutospacing="0"/>
        <w:ind w:left="284"/>
        <w:jc w:val="both"/>
        <w:rPr>
          <w:rStyle w:val="5"/>
          <w:rFonts w:ascii="Arial" w:hAnsi="Arial" w:cs="Arial"/>
          <w:b w:val="0"/>
          <w:bCs w:val="0"/>
        </w:rPr>
      </w:pPr>
      <w:r>
        <w:rPr>
          <w:rStyle w:val="5"/>
          <w:rFonts w:ascii="Arial" w:hAnsi="Arial" w:cs="Arial"/>
          <w:b w:val="0"/>
          <w:bCs w:val="0"/>
        </w:rPr>
        <w:t>(Recursos Próprios) e demais codificações a serem conjugadas em orçamentos vindouros.</w:t>
      </w:r>
    </w:p>
    <w:p w14:paraId="503AE721">
      <w:pPr>
        <w:spacing w:line="240" w:lineRule="auto"/>
        <w:jc w:val="both"/>
        <w:rPr>
          <w:rFonts w:ascii="Arial" w:hAnsi="Arial" w:cs="Arial"/>
          <w:b/>
          <w:sz w:val="24"/>
          <w:szCs w:val="24"/>
        </w:rPr>
      </w:pPr>
      <w:r>
        <w:rPr>
          <w:rFonts w:ascii="Arial" w:hAnsi="Arial" w:cs="Arial"/>
          <w:b/>
          <w:sz w:val="24"/>
          <w:szCs w:val="24"/>
        </w:rPr>
        <w:t>4 – DA FORMALIZAÇÃO DE CONSULTAS E IMPUGNAÇÕES</w:t>
      </w:r>
    </w:p>
    <w:p w14:paraId="7EC1CDE7">
      <w:pPr>
        <w:pStyle w:val="29"/>
        <w:spacing w:before="0" w:beforeAutospacing="0" w:after="200" w:afterAutospacing="0" w:line="240" w:lineRule="auto"/>
        <w:ind w:left="284"/>
        <w:rPr>
          <w:sz w:val="24"/>
          <w:szCs w:val="24"/>
        </w:rPr>
      </w:pPr>
      <w:r>
        <w:rPr>
          <w:sz w:val="24"/>
          <w:szCs w:val="24"/>
        </w:rPr>
        <w:t xml:space="preserve">4.1. Os </w:t>
      </w:r>
      <w:r>
        <w:rPr>
          <w:sz w:val="24"/>
          <w:szCs w:val="24"/>
          <w:u w:val="single"/>
        </w:rPr>
        <w:t>pedidos de esclarecimentos e impugnações</w:t>
      </w:r>
      <w:r>
        <w:rPr>
          <w:sz w:val="24"/>
          <w:szCs w:val="24"/>
        </w:rPr>
        <w:t xml:space="preserve"> referentes ao processo licitatório deverão ser enviados em até 03 (três) dias úteis anteriores à data fixada para abertura da sessão pública, ou seja, até o dia 19/11/2025, às 23h59, por meio eletrônico via Internet, no endereço </w:t>
      </w:r>
      <w:r>
        <w:fldChar w:fldCharType="begin"/>
      </w:r>
      <w:r>
        <w:instrText xml:space="preserve"> HYPERLINK "https://bnccompras.com/Home/Login" </w:instrText>
      </w:r>
      <w:r>
        <w:fldChar w:fldCharType="separate"/>
      </w:r>
      <w:r>
        <w:rPr>
          <w:rStyle w:val="8"/>
          <w:rFonts w:eastAsia="Times New Roman"/>
          <w:sz w:val="24"/>
          <w:szCs w:val="24"/>
        </w:rPr>
        <w:t>https://bnccompras.com/Home/Login</w:t>
      </w:r>
      <w:r>
        <w:rPr>
          <w:rStyle w:val="8"/>
          <w:rFonts w:eastAsia="Times New Roman"/>
          <w:sz w:val="24"/>
          <w:szCs w:val="24"/>
        </w:rPr>
        <w:fldChar w:fldCharType="end"/>
      </w:r>
      <w:r>
        <w:rPr>
          <w:sz w:val="24"/>
          <w:szCs w:val="24"/>
        </w:rPr>
        <w:t>, e por meio físico até o dia 19/11/2025, às 17h00, no Setor de Protocolo da Prefeitura Municipal de Paulínia.</w:t>
      </w:r>
    </w:p>
    <w:p w14:paraId="6C050CDA">
      <w:pPr>
        <w:pStyle w:val="29"/>
        <w:spacing w:before="0" w:beforeAutospacing="0" w:after="360" w:afterAutospacing="0" w:line="240" w:lineRule="auto"/>
        <w:ind w:left="284"/>
        <w:rPr>
          <w:sz w:val="24"/>
          <w:szCs w:val="24"/>
        </w:rPr>
      </w:pPr>
      <w:r>
        <w:rPr>
          <w:sz w:val="24"/>
          <w:szCs w:val="24"/>
        </w:rPr>
        <w:t xml:space="preserve">4.2. Para realizar uma impugnação ou solicitar um esclarecimento não é necessário a empresa ter um cadastro efetivo no sistema, a impugnação ou esclarecimento pode ser realizado pelo ACESSO PUBLICO - </w:t>
      </w:r>
      <w:r>
        <w:fldChar w:fldCharType="begin"/>
      </w:r>
      <w:r>
        <w:instrText xml:space="preserve"> HYPERLINK "https://bnccompras.com/Home/Login%20" </w:instrText>
      </w:r>
      <w:r>
        <w:fldChar w:fldCharType="separate"/>
      </w:r>
      <w:r>
        <w:rPr>
          <w:rStyle w:val="8"/>
          <w:sz w:val="24"/>
          <w:szCs w:val="24"/>
        </w:rPr>
        <w:t>https://bnccompras.com/Home/Login</w:t>
      </w:r>
      <w:r>
        <w:rPr>
          <w:rStyle w:val="8"/>
          <w:sz w:val="24"/>
          <w:szCs w:val="24"/>
        </w:rPr>
        <w:fldChar w:fldCharType="end"/>
      </w:r>
      <w:r>
        <w:rPr>
          <w:sz w:val="24"/>
          <w:szCs w:val="24"/>
        </w:rPr>
        <w:t xml:space="preserve"> &gt; informações do Processo.</w:t>
      </w:r>
    </w:p>
    <w:p w14:paraId="18CB03CE">
      <w:pPr>
        <w:pStyle w:val="29"/>
        <w:spacing w:before="0" w:beforeAutospacing="0" w:after="200" w:afterAutospacing="0" w:line="240" w:lineRule="auto"/>
        <w:rPr>
          <w:b/>
          <w:sz w:val="24"/>
          <w:szCs w:val="24"/>
        </w:rPr>
      </w:pPr>
      <w:r>
        <w:rPr>
          <w:b/>
          <w:sz w:val="24"/>
          <w:szCs w:val="24"/>
        </w:rPr>
        <w:t>5 – REFERÊNCIA DE TEMPO</w:t>
      </w:r>
    </w:p>
    <w:p w14:paraId="3F5DAC02">
      <w:pPr>
        <w:pStyle w:val="29"/>
        <w:spacing w:before="0" w:beforeAutospacing="0" w:after="200" w:afterAutospacing="0" w:line="240" w:lineRule="auto"/>
        <w:ind w:left="284"/>
        <w:rPr>
          <w:sz w:val="24"/>
          <w:szCs w:val="24"/>
        </w:rPr>
      </w:pPr>
      <w:r>
        <w:rPr>
          <w:sz w:val="24"/>
          <w:szCs w:val="24"/>
        </w:rPr>
        <w:t>5.1. Todas as referências de tempo no Edital, no Aviso e durante a Sessão Pública observarão, obrigatoriamente, o horário de Brasília – DF e, dessa forma, serão registradas no Sistema Eletrônico e na documentação relativa ao certame.</w:t>
      </w:r>
    </w:p>
    <w:p w14:paraId="079CAF15">
      <w:pPr>
        <w:spacing w:line="240" w:lineRule="auto"/>
        <w:jc w:val="both"/>
        <w:rPr>
          <w:rFonts w:ascii="Arial" w:hAnsi="Arial" w:eastAsia="Times New Roman" w:cs="Arial"/>
          <w:b/>
          <w:color w:val="000000"/>
          <w:sz w:val="24"/>
          <w:szCs w:val="24"/>
          <w:lang w:eastAsia="pt-BR"/>
        </w:rPr>
      </w:pPr>
      <w:r>
        <w:rPr>
          <w:rFonts w:ascii="Arial" w:hAnsi="Arial" w:eastAsia="Times New Roman" w:cs="Arial"/>
          <w:b/>
          <w:color w:val="000000"/>
          <w:sz w:val="24"/>
          <w:szCs w:val="24"/>
          <w:lang w:eastAsia="pt-BR"/>
        </w:rPr>
        <w:t>6 – DO CREDENCIAMENTO</w:t>
      </w:r>
    </w:p>
    <w:p w14:paraId="20F570C1">
      <w:pPr>
        <w:spacing w:line="240" w:lineRule="auto"/>
        <w:ind w:left="284"/>
        <w:jc w:val="both"/>
        <w:rPr>
          <w:rFonts w:ascii="Arial" w:hAnsi="Arial" w:eastAsia="Times New Roman" w:cs="Arial"/>
          <w:b/>
          <w:bCs/>
          <w:color w:val="000000"/>
          <w:sz w:val="24"/>
          <w:szCs w:val="24"/>
          <w:lang w:eastAsia="pt-BR"/>
        </w:rPr>
      </w:pPr>
      <w:r>
        <w:rPr>
          <w:rFonts w:ascii="Arial" w:hAnsi="Arial" w:eastAsia="Times New Roman" w:cs="Arial"/>
          <w:color w:val="000000"/>
          <w:sz w:val="24"/>
          <w:szCs w:val="24"/>
          <w:lang w:eastAsia="pt-BR"/>
        </w:rPr>
        <w:t xml:space="preserve">6.1. A licitante deverá providenciar o credenciamento </w:t>
      </w:r>
      <w:r>
        <w:rPr>
          <w:rFonts w:ascii="Arial" w:hAnsi="Arial" w:eastAsia="Times New Roman" w:cs="Arial"/>
          <w:bCs/>
          <w:color w:val="000000"/>
          <w:sz w:val="24"/>
          <w:szCs w:val="24"/>
          <w:lang w:eastAsia="pt-BR"/>
        </w:rPr>
        <w:t>específico para este pregão até a data e horário estabelecidos no preâmbulo, exclusivamente por meio eletrônico, no endereço eletrônico</w:t>
      </w:r>
      <w:r>
        <w:rPr>
          <w:rFonts w:ascii="Arial" w:hAnsi="Arial" w:eastAsia="Times New Roman" w:cs="Arial"/>
          <w:b/>
          <w:bCs/>
          <w:color w:val="000000"/>
          <w:sz w:val="24"/>
          <w:szCs w:val="24"/>
          <w:lang w:eastAsia="pt-BR"/>
        </w:rPr>
        <w:t xml:space="preserv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sz w:val="24"/>
          <w:szCs w:val="24"/>
          <w:lang w:eastAsia="pt-BR"/>
        </w:rPr>
        <w:t>.</w:t>
      </w:r>
      <w:r>
        <w:rPr>
          <w:rFonts w:ascii="Arial" w:hAnsi="Arial" w:eastAsia="Times New Roman" w:cs="Arial"/>
          <w:b/>
          <w:bCs/>
          <w:color w:val="000000"/>
          <w:sz w:val="24"/>
          <w:szCs w:val="24"/>
          <w:lang w:eastAsia="pt-BR"/>
        </w:rPr>
        <w:t xml:space="preserve"> </w:t>
      </w:r>
    </w:p>
    <w:p w14:paraId="02F35177">
      <w:pPr>
        <w:spacing w:line="240" w:lineRule="auto"/>
        <w:ind w:left="568"/>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1.1. Decorrido o prazo para credenciamento, não mais será admitida a participação neste Pregão Eletrônico.</w:t>
      </w:r>
    </w:p>
    <w:p w14:paraId="4B89024B">
      <w:pPr>
        <w:autoSpaceDE w:val="0"/>
        <w:autoSpaceDN w:val="0"/>
        <w:adjustRightInd w:val="0"/>
        <w:spacing w:line="240" w:lineRule="auto"/>
        <w:ind w:left="568"/>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1.2. O simples credenciamento da licitante corresponderá que a empresa atende às condições de participação no certame e eximirá o pregoeiro do disposto no art. 337-M do Decreto-Lei nº 2.848/40 (Código Penal) e posteriores alterações.</w:t>
      </w:r>
    </w:p>
    <w:p w14:paraId="7D858A7E">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 xml:space="preserve">2. O credenciamento dar-se-á pela atribuição de chave de identificação e de senha, pessoal e intransferível, para acesso ao Sistema Eletrônico, no site: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color w:val="0000FF"/>
          <w:sz w:val="24"/>
          <w:szCs w:val="24"/>
          <w:u w:val="single"/>
          <w:lang w:eastAsia="pt-BR"/>
        </w:rPr>
        <w:t>.</w:t>
      </w:r>
    </w:p>
    <w:p w14:paraId="071F0CF9">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3. O credenciamento junto ao provedor do sistema implica na responsabilidade legal, única e exclusiva da licitante ou de seu representante legal, e na presunção de sua capacidade técnica para a realização das transações inerentes ao Pregão Eletrônico.</w:t>
      </w:r>
    </w:p>
    <w:p w14:paraId="4D41500C">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 xml:space="preserve">4. Mais informações sobre o credenciamento e/ou uso da plataforma deverão ser obtidas diretamente pelo site: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color w:val="0000FF"/>
          <w:sz w:val="24"/>
          <w:szCs w:val="24"/>
          <w:u w:val="single"/>
          <w:lang w:eastAsia="pt-BR"/>
        </w:rPr>
        <w:t>.</w:t>
      </w:r>
    </w:p>
    <w:p w14:paraId="5DA8C0E9">
      <w:pPr>
        <w:autoSpaceDE w:val="0"/>
        <w:autoSpaceDN w:val="0"/>
        <w:adjustRightInd w:val="0"/>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5. O uso da senha de acesso pela licitante é de sua responsabilidade exclusiva, incluindo qualquer transação efetuada diretamente ou por seu representante, não cabendo ao provedor do Sistema ou a promotora da licitação, responsabilidade por eventuais danos decorrentes do uso indevido da senha, ainda que por terceiros.</w:t>
      </w:r>
    </w:p>
    <w:p w14:paraId="2DFDA1B5">
      <w:pPr>
        <w:autoSpaceDE w:val="0"/>
        <w:autoSpaceDN w:val="0"/>
        <w:adjustRightInd w:val="0"/>
        <w:spacing w:after="360"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6. A perda da senha ou a quebra de sigilo deverá ser comunicada imediatamente ao provedor do sistema para imediato bloqueio de acesso.</w:t>
      </w:r>
    </w:p>
    <w:p w14:paraId="76316847">
      <w:pPr>
        <w:autoSpaceDE w:val="0"/>
        <w:autoSpaceDN w:val="0"/>
        <w:adjustRightInd w:val="0"/>
        <w:spacing w:line="240" w:lineRule="auto"/>
        <w:jc w:val="both"/>
        <w:rPr>
          <w:rFonts w:ascii="Arial" w:hAnsi="Arial" w:cs="Arial"/>
          <w:b/>
          <w:bCs/>
          <w:sz w:val="24"/>
          <w:szCs w:val="24"/>
        </w:rPr>
      </w:pPr>
      <w:r>
        <w:rPr>
          <w:rFonts w:ascii="Arial" w:hAnsi="Arial" w:eastAsia="Times New Roman" w:cs="Arial"/>
          <w:b/>
          <w:bCs/>
          <w:sz w:val="24"/>
          <w:szCs w:val="24"/>
          <w:lang w:eastAsia="pt-BR"/>
        </w:rPr>
        <w:t xml:space="preserve">7 – </w:t>
      </w:r>
      <w:r>
        <w:rPr>
          <w:rFonts w:ascii="Arial" w:hAnsi="Arial" w:cs="Arial"/>
          <w:b/>
          <w:bCs/>
          <w:sz w:val="24"/>
          <w:szCs w:val="24"/>
        </w:rPr>
        <w:t xml:space="preserve">CONDIÇÕES DE PARTICIPAÇÃO </w:t>
      </w:r>
    </w:p>
    <w:p w14:paraId="607A6F97">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7.1. Poderão participar desta licitação os licitantes do ramo de atividade pertinente ao objeto licitado e que atenderem aos requisitos de habilitação previstos neste Edital.</w:t>
      </w:r>
    </w:p>
    <w:p w14:paraId="5417E12D">
      <w:pPr>
        <w:autoSpaceDE w:val="0"/>
        <w:autoSpaceDN w:val="0"/>
        <w:adjustRightInd w:val="0"/>
        <w:spacing w:line="240" w:lineRule="auto"/>
        <w:ind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 Não será permitida a participação dos licitantes:</w:t>
      </w:r>
    </w:p>
    <w:p w14:paraId="332655B6">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7.2.1. Suspensos temporariamente para licitar e impedidos de contratar com a Prefeitura Municipal de Paulínia;</w:t>
      </w:r>
    </w:p>
    <w:p w14:paraId="60B30334">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7.2.2. Impedidos de licitar e contratar com a Prefeitura Municipal de Paulínia, conforme Súmula nº 51</w:t>
      </w:r>
      <w:r>
        <w:rPr>
          <w:rFonts w:ascii="Arial" w:hAnsi="Arial" w:cs="Arial"/>
          <w:sz w:val="24"/>
          <w:szCs w:val="24"/>
        </w:rPr>
        <w:t xml:space="preserve"> do Egrégio Tribunal de Contas do Estado de São Paulo;</w:t>
      </w:r>
    </w:p>
    <w:p w14:paraId="4E8EC4CC">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7.2.3. Impedidos de licitar e contratar nos termos do art. 10 da Lei nº 9.605/98;</w:t>
      </w:r>
    </w:p>
    <w:p w14:paraId="562096F5">
      <w:pPr>
        <w:autoSpaceDE w:val="0"/>
        <w:autoSpaceDN w:val="0"/>
        <w:adjustRightInd w:val="0"/>
        <w:spacing w:line="240" w:lineRule="auto"/>
        <w:ind w:left="284"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7.2.4. Declarados inidôneos pelo Poder Público e não reabilitados;</w:t>
      </w:r>
    </w:p>
    <w:p w14:paraId="3B4C0E78">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7.2.5. Impedidos de licitar ou contratar por determinação do CADE – Conselho Administrativo de Defesa Econômica;</w:t>
      </w:r>
    </w:p>
    <w:p w14:paraId="6FD3E6C9">
      <w:pPr>
        <w:autoSpaceDE w:val="0"/>
        <w:autoSpaceDN w:val="0"/>
        <w:adjustRightInd w:val="0"/>
        <w:spacing w:line="240" w:lineRule="auto"/>
        <w:ind w:left="284"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7.2.6.</w:t>
      </w:r>
      <w:r>
        <w:rPr>
          <w:rFonts w:ascii="Arial" w:hAnsi="Arial" w:eastAsia="Times New Roman" w:cs="Arial"/>
          <w:sz w:val="24"/>
          <w:szCs w:val="24"/>
          <w:lang w:eastAsia="pt-BR"/>
        </w:rPr>
        <w:tab/>
      </w:r>
      <w:r>
        <w:rPr>
          <w:rFonts w:ascii="Arial" w:hAnsi="Arial" w:eastAsia="Times New Roman" w:cs="Arial"/>
          <w:sz w:val="24"/>
          <w:szCs w:val="24"/>
          <w:lang w:eastAsia="pt-BR"/>
        </w:rPr>
        <w:t>Que não atendam às condições deste Edital e seu(s) anexo(s);</w:t>
      </w:r>
    </w:p>
    <w:p w14:paraId="2F499B04">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7.2.7.</w:t>
      </w:r>
      <w:r>
        <w:rPr>
          <w:rFonts w:ascii="Arial" w:hAnsi="Arial" w:eastAsia="Times New Roman" w:cs="Arial"/>
          <w:sz w:val="24"/>
          <w:szCs w:val="24"/>
          <w:lang w:eastAsia="pt-BR"/>
        </w:rPr>
        <w:tab/>
      </w:r>
      <w:r>
        <w:rPr>
          <w:rFonts w:ascii="Arial" w:hAnsi="Arial" w:eastAsia="Times New Roman" w:cs="Arial"/>
          <w:sz w:val="24"/>
          <w:szCs w:val="24"/>
          <w:lang w:eastAsia="pt-BR"/>
        </w:rPr>
        <w:t>Estrangeiros que não tenham representação legal no Brasil com poderes expressos para receber citação e responder administrativa ou judicialmente;</w:t>
      </w:r>
    </w:p>
    <w:p w14:paraId="227D047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7.2.8. Que se enquadrem nas vedações previstas no artigo 9º, § 1º, da Lei nº 14.133, de 2021.</w:t>
      </w:r>
    </w:p>
    <w:p w14:paraId="31203A9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7.2.9. Que se enquadrem nas vedações determinadas no Art. 14, inc. I ao VI e § 1º ao § 3º da Lei 14.133/2021:</w:t>
      </w:r>
    </w:p>
    <w:p w14:paraId="3C73AC82">
      <w:pPr>
        <w:pStyle w:val="12"/>
        <w:spacing w:before="0" w:beforeAutospacing="0" w:after="200" w:afterAutospacing="0"/>
        <w:ind w:left="852"/>
        <w:jc w:val="both"/>
        <w:rPr>
          <w:rFonts w:ascii="Arial" w:hAnsi="Arial" w:cs="Arial"/>
          <w:color w:val="000000"/>
        </w:rPr>
      </w:pPr>
      <w:bookmarkStart w:id="0" w:name="art14i"/>
      <w:bookmarkEnd w:id="0"/>
      <w:r>
        <w:rPr>
          <w:rFonts w:ascii="Arial" w:hAnsi="Arial" w:cs="Arial"/>
          <w:color w:val="000000"/>
        </w:rPr>
        <w:t>7.2.9.1. Autor do anteprojeto, do projeto básico ou do projeto executivo, pessoa física ou jurídica, quando a licitação versar sobre obra, serviços ou fornecimento de bens a ele relacionados;</w:t>
      </w:r>
    </w:p>
    <w:p w14:paraId="3CADDD48">
      <w:pPr>
        <w:pStyle w:val="12"/>
        <w:spacing w:before="0" w:beforeAutospacing="0" w:after="200" w:afterAutospacing="0"/>
        <w:ind w:left="852"/>
        <w:jc w:val="both"/>
        <w:rPr>
          <w:rFonts w:ascii="Arial" w:hAnsi="Arial" w:cs="Arial"/>
          <w:color w:val="000000"/>
        </w:rPr>
      </w:pPr>
      <w:bookmarkStart w:id="1" w:name="art14ii"/>
      <w:bookmarkEnd w:id="1"/>
      <w:r>
        <w:rPr>
          <w:rFonts w:ascii="Arial" w:hAnsi="Arial" w:cs="Arial"/>
          <w:color w:val="000000"/>
        </w:rPr>
        <w:t>7.2.9.2.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750ED5C4">
      <w:pPr>
        <w:pStyle w:val="12"/>
        <w:spacing w:before="0" w:beforeAutospacing="0" w:after="200" w:afterAutospacing="0"/>
        <w:ind w:left="852"/>
        <w:jc w:val="both"/>
        <w:rPr>
          <w:rFonts w:ascii="Arial" w:hAnsi="Arial" w:cs="Arial"/>
          <w:color w:val="000000"/>
        </w:rPr>
      </w:pPr>
      <w:bookmarkStart w:id="2" w:name="art14iii"/>
      <w:bookmarkEnd w:id="2"/>
      <w:r>
        <w:rPr>
          <w:rFonts w:ascii="Arial" w:hAnsi="Arial" w:cs="Arial"/>
          <w:color w:val="000000"/>
        </w:rPr>
        <w:t>7.2.9.3. Pessoa física ou jurídica que se encontre, ao tempo da licitação, impossibilitada de participar da licitação em decorrência de sanção que lhe foi imposta;</w:t>
      </w:r>
    </w:p>
    <w:p w14:paraId="552BAC66">
      <w:pPr>
        <w:pStyle w:val="12"/>
        <w:spacing w:before="0" w:beforeAutospacing="0" w:after="200" w:afterAutospacing="0"/>
        <w:ind w:left="852"/>
        <w:jc w:val="both"/>
        <w:rPr>
          <w:rFonts w:ascii="Arial" w:hAnsi="Arial" w:cs="Arial"/>
          <w:color w:val="000000"/>
        </w:rPr>
      </w:pPr>
      <w:bookmarkStart w:id="3" w:name="art14iv"/>
      <w:bookmarkEnd w:id="3"/>
      <w:r>
        <w:rPr>
          <w:rFonts w:ascii="Arial" w:hAnsi="Arial" w:cs="Arial"/>
          <w:color w:val="000000"/>
        </w:rPr>
        <w:t>7.2.9.4.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781A9FD">
      <w:pPr>
        <w:pStyle w:val="12"/>
        <w:spacing w:before="0" w:beforeAutospacing="0" w:after="200" w:afterAutospacing="0"/>
        <w:ind w:left="852"/>
        <w:jc w:val="both"/>
        <w:rPr>
          <w:rFonts w:ascii="Arial" w:hAnsi="Arial" w:cs="Arial"/>
          <w:color w:val="000000"/>
        </w:rPr>
      </w:pPr>
      <w:bookmarkStart w:id="4" w:name="art14v"/>
      <w:bookmarkEnd w:id="4"/>
      <w:r>
        <w:rPr>
          <w:rFonts w:ascii="Arial" w:hAnsi="Arial" w:cs="Arial"/>
          <w:color w:val="000000"/>
        </w:rPr>
        <w:t xml:space="preserve">7.2.9.5. Empresas controladoras, controladas ou coligadas, nos termos da </w:t>
      </w:r>
      <w:r>
        <w:fldChar w:fldCharType="begin"/>
      </w:r>
      <w:r>
        <w:instrText xml:space="preserve"> HYPERLINK "https://www.planalto.gov.br/ccivil_03/LEIS/L6404consol.htm" </w:instrText>
      </w:r>
      <w:r>
        <w:fldChar w:fldCharType="separate"/>
      </w:r>
      <w:r>
        <w:rPr>
          <w:rStyle w:val="8"/>
          <w:rFonts w:ascii="Arial" w:hAnsi="Arial" w:cs="Arial"/>
        </w:rPr>
        <w:t>Lei nº 6.404, de 15 de dezembro de 1976</w:t>
      </w:r>
      <w:r>
        <w:rPr>
          <w:rStyle w:val="8"/>
          <w:rFonts w:ascii="Arial" w:hAnsi="Arial" w:cs="Arial"/>
        </w:rPr>
        <w:fldChar w:fldCharType="end"/>
      </w:r>
      <w:r>
        <w:rPr>
          <w:rFonts w:ascii="Arial" w:hAnsi="Arial" w:cs="Arial"/>
          <w:color w:val="000000"/>
        </w:rPr>
        <w:t>, concorrendo entre si;</w:t>
      </w:r>
    </w:p>
    <w:p w14:paraId="1462F5BA">
      <w:pPr>
        <w:pStyle w:val="12"/>
        <w:spacing w:before="0" w:beforeAutospacing="0" w:after="200" w:afterAutospacing="0"/>
        <w:ind w:left="852"/>
        <w:jc w:val="both"/>
        <w:rPr>
          <w:rFonts w:ascii="Arial" w:hAnsi="Arial" w:cs="Arial"/>
          <w:color w:val="000000"/>
        </w:rPr>
      </w:pPr>
      <w:bookmarkStart w:id="5" w:name="art14vi"/>
      <w:bookmarkEnd w:id="5"/>
      <w:r>
        <w:rPr>
          <w:rFonts w:ascii="Arial" w:hAnsi="Arial" w:cs="Arial"/>
          <w:color w:val="000000"/>
        </w:rPr>
        <w:t>7.2.9.6.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379977E">
      <w:pPr>
        <w:pStyle w:val="12"/>
        <w:spacing w:after="200" w:afterAutospacing="0"/>
        <w:ind w:left="852"/>
        <w:jc w:val="both"/>
        <w:rPr>
          <w:rFonts w:ascii="Arial" w:hAnsi="Arial" w:cs="Arial"/>
          <w:color w:val="000000"/>
        </w:rPr>
      </w:pPr>
      <w:r>
        <w:rPr>
          <w:rFonts w:ascii="Arial" w:hAnsi="Arial" w:cs="Arial"/>
          <w:color w:val="000000"/>
        </w:rPr>
        <w:t>7.2.9.6.1. O impedimento de que trata o subitem 7.2.9.3.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AB59C15">
      <w:pPr>
        <w:pStyle w:val="12"/>
        <w:spacing w:after="200" w:afterAutospacing="0"/>
        <w:ind w:left="852"/>
        <w:jc w:val="both"/>
        <w:rPr>
          <w:rFonts w:ascii="Arial" w:hAnsi="Arial" w:cs="Arial"/>
          <w:color w:val="000000"/>
        </w:rPr>
      </w:pPr>
      <w:r>
        <w:rPr>
          <w:rFonts w:ascii="Arial" w:hAnsi="Arial" w:cs="Arial"/>
          <w:color w:val="000000"/>
        </w:rPr>
        <w:t>7.2.9.6.2. A critério da Administração e exclusivamente a seu serviço, o autor dos projetos e a empresa a que se referem os subitens 7.2.9.1. e 7.2.9.2. poderão participar no apoio das atividades de planejamento da contratação, de execução da licitação ou de gestão do contrato, desde que sob supervisão exclusiva de agentes públicos do órgão ou entidade.</w:t>
      </w:r>
    </w:p>
    <w:p w14:paraId="00D0E92A">
      <w:pPr>
        <w:pStyle w:val="12"/>
        <w:spacing w:before="0" w:beforeAutospacing="0" w:after="200" w:afterAutospacing="0"/>
        <w:ind w:left="852"/>
        <w:jc w:val="both"/>
        <w:rPr>
          <w:rFonts w:ascii="Arial" w:hAnsi="Arial" w:cs="Arial"/>
          <w:color w:val="000000"/>
        </w:rPr>
      </w:pPr>
      <w:r>
        <w:rPr>
          <w:rFonts w:ascii="Arial" w:hAnsi="Arial" w:cs="Arial"/>
          <w:color w:val="000000"/>
        </w:rPr>
        <w:t>7.2.9.6.3. Equiparam-se aos autores do projeto as empresas integrantes do mesmo grupo econômico.</w:t>
      </w:r>
    </w:p>
    <w:p w14:paraId="698DB377">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7.2.10. As entidades empresariais que possuam sócio majoritário sancionado com base na Lei de Improbidade Administrativa, pelo prazo fixado em sentença condenatória.</w:t>
      </w:r>
    </w:p>
    <w:p w14:paraId="7C2AD9CF">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7.2.11. Para os fins do disposto nos itens 7.2.4. e 7.2.10. serão consultados nos seguintes cadastros: </w:t>
      </w:r>
    </w:p>
    <w:p w14:paraId="12F2CFFD">
      <w:pPr>
        <w:autoSpaceDE w:val="0"/>
        <w:autoSpaceDN w:val="0"/>
        <w:adjustRightInd w:val="0"/>
        <w:spacing w:line="240" w:lineRule="auto"/>
        <w:ind w:left="568" w:firstLine="284"/>
        <w:jc w:val="both"/>
        <w:rPr>
          <w:rFonts w:ascii="Arial" w:hAnsi="Arial" w:eastAsia="Times New Roman" w:cs="Arial"/>
          <w:sz w:val="24"/>
          <w:szCs w:val="24"/>
          <w:lang w:eastAsia="pt-BR"/>
        </w:rPr>
      </w:pPr>
      <w:r>
        <w:rPr>
          <w:rFonts w:ascii="Arial" w:hAnsi="Arial" w:eastAsia="Times New Roman" w:cs="Arial"/>
          <w:sz w:val="24"/>
          <w:szCs w:val="24"/>
          <w:lang w:eastAsia="pt-BR"/>
        </w:rPr>
        <w:t>I - Cadastro Nacional de Empresas Inidôneas e Suspensas (CEIS);</w:t>
      </w:r>
    </w:p>
    <w:p w14:paraId="0821E512">
      <w:pPr>
        <w:autoSpaceDE w:val="0"/>
        <w:autoSpaceDN w:val="0"/>
        <w:adjustRightInd w:val="0"/>
        <w:spacing w:line="240" w:lineRule="auto"/>
        <w:ind w:left="144" w:firstLine="70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II - Cadastro Nacional de Empresas Punidas (CNEP); </w:t>
      </w:r>
    </w:p>
    <w:p w14:paraId="175D93F2">
      <w:pPr>
        <w:autoSpaceDE w:val="0"/>
        <w:autoSpaceDN w:val="0"/>
        <w:adjustRightInd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Cadastro Nacional de Condenações Cíveis por Atos de Improbidade Administrativa e Inelegibilidade (CNIA - CNJ).</w:t>
      </w:r>
    </w:p>
    <w:p w14:paraId="312E3525">
      <w:pPr>
        <w:autoSpaceDE w:val="0"/>
        <w:autoSpaceDN w:val="0"/>
        <w:adjustRightInd w:val="0"/>
        <w:spacing w:line="240" w:lineRule="auto"/>
        <w:ind w:left="568"/>
        <w:jc w:val="both"/>
        <w:rPr>
          <w:rFonts w:ascii="Arial" w:hAnsi="Arial" w:eastAsia="Times New Roman" w:cs="Arial"/>
          <w:sz w:val="24"/>
          <w:szCs w:val="24"/>
          <w:lang w:eastAsia="pt-BR"/>
        </w:rPr>
      </w:pPr>
      <w:bookmarkStart w:id="6" w:name="_Hlk206077758"/>
      <w:r>
        <w:rPr>
          <w:rFonts w:ascii="Arial" w:hAnsi="Arial" w:eastAsia="Times New Roman" w:cs="Arial"/>
          <w:sz w:val="24"/>
          <w:szCs w:val="24"/>
          <w:lang w:eastAsia="pt-BR"/>
        </w:rPr>
        <w:t>7.2.12. Consorciados, qualquer que seja sua forma de constituição</w:t>
      </w:r>
      <w:bookmarkEnd w:id="6"/>
      <w:r>
        <w:rPr>
          <w:rFonts w:ascii="Arial" w:hAnsi="Arial" w:eastAsia="Times New Roman" w:cs="Arial"/>
          <w:sz w:val="24"/>
          <w:szCs w:val="24"/>
          <w:lang w:eastAsia="pt-BR"/>
        </w:rPr>
        <w:t>;</w:t>
      </w:r>
    </w:p>
    <w:p w14:paraId="7C016B6D">
      <w:pPr>
        <w:autoSpaceDE w:val="0"/>
        <w:autoSpaceDN w:val="0"/>
        <w:adjustRightInd w:val="0"/>
        <w:spacing w:after="360" w:line="240" w:lineRule="auto"/>
        <w:ind w:left="284"/>
        <w:jc w:val="both"/>
        <w:rPr>
          <w:rFonts w:ascii="Arial" w:hAnsi="Arial" w:cs="Arial"/>
          <w:sz w:val="24"/>
          <w:szCs w:val="24"/>
        </w:rPr>
      </w:pPr>
      <w:r>
        <w:rPr>
          <w:rFonts w:ascii="Arial" w:hAnsi="Arial" w:eastAsia="Times New Roman" w:cs="Arial"/>
          <w:sz w:val="24"/>
          <w:szCs w:val="24"/>
          <w:lang w:eastAsia="pt-BR"/>
        </w:rPr>
        <w:t>7.</w:t>
      </w:r>
      <w:r>
        <w:rPr>
          <w:rFonts w:ascii="Arial" w:hAnsi="Arial" w:cs="Arial"/>
          <w:sz w:val="24"/>
          <w:szCs w:val="24"/>
        </w:rPr>
        <w:t xml:space="preserve">3. Será realizada consulta para verificar se os licitantes que apresentaram proposta encontram-se apenados. Caso a pesquisa retorne apenamento de licitante pelo Art. 14, inc III da Lei Federal nº 14.133/2021, o Pregoeiro poderá efetuar diligência para que a licitante apresente decisão judicial suspendendo referido apenamento, se houver.  </w:t>
      </w:r>
    </w:p>
    <w:p w14:paraId="5D831D7F">
      <w:pPr>
        <w:autoSpaceDE w:val="0"/>
        <w:autoSpaceDN w:val="0"/>
        <w:adjustRightInd w:val="0"/>
        <w:spacing w:line="240" w:lineRule="auto"/>
        <w:jc w:val="both"/>
        <w:rPr>
          <w:rFonts w:ascii="Arial" w:hAnsi="Arial" w:eastAsia="Times New Roman" w:cs="Arial"/>
          <w:b/>
          <w:bCs/>
          <w:color w:val="000000"/>
          <w:sz w:val="24"/>
          <w:szCs w:val="24"/>
          <w:lang w:eastAsia="pt-BR"/>
        </w:rPr>
      </w:pPr>
      <w:r>
        <w:rPr>
          <w:rFonts w:ascii="Arial" w:hAnsi="Arial" w:eastAsia="Times New Roman" w:cs="Arial"/>
          <w:b/>
          <w:bCs/>
          <w:color w:val="000000"/>
          <w:sz w:val="24"/>
          <w:szCs w:val="24"/>
          <w:lang w:eastAsia="pt-BR"/>
        </w:rPr>
        <w:t>8 – DAS PROPOSTAS INICIAIS</w:t>
      </w:r>
    </w:p>
    <w:p w14:paraId="0A0F765E">
      <w:pPr>
        <w:autoSpaceDE w:val="0"/>
        <w:autoSpaceDN w:val="0"/>
        <w:adjustRightInd w:val="0"/>
        <w:spacing w:line="240" w:lineRule="auto"/>
        <w:ind w:left="284"/>
        <w:jc w:val="both"/>
        <w:rPr>
          <w:rFonts w:ascii="Arial" w:hAnsi="Arial" w:cs="Arial"/>
          <w:sz w:val="24"/>
          <w:szCs w:val="24"/>
          <w:lang w:eastAsia="pt-BR"/>
        </w:rPr>
      </w:pPr>
      <w:r>
        <w:rPr>
          <w:rFonts w:ascii="Arial" w:hAnsi="Arial" w:cs="Arial"/>
          <w:sz w:val="24"/>
          <w:szCs w:val="24"/>
          <w:lang w:eastAsia="pt-BR"/>
        </w:rPr>
        <w:t>8.1. A proposta comercial inicial deverá ser preenchida, exclusivamente, por meio do sistema eletrônico da Bolsa Nacional de Compras - Plataforma de Licitações Eletrônicas</w:t>
      </w:r>
      <w:r>
        <w:rPr>
          <w:bCs/>
          <w:sz w:val="18"/>
          <w:szCs w:val="18"/>
        </w:rPr>
        <w:t>.</w:t>
      </w:r>
    </w:p>
    <w:p w14:paraId="0E3CB6D7">
      <w:pPr>
        <w:autoSpaceDE w:val="0"/>
        <w:autoSpaceDN w:val="0"/>
        <w:adjustRightInd w:val="0"/>
        <w:spacing w:line="240" w:lineRule="auto"/>
        <w:ind w:left="284"/>
        <w:jc w:val="both"/>
        <w:rPr>
          <w:rFonts w:ascii="Arial" w:hAnsi="Arial" w:cs="Arial"/>
          <w:sz w:val="24"/>
          <w:szCs w:val="24"/>
          <w:lang w:eastAsia="pt-BR"/>
        </w:rPr>
      </w:pPr>
      <w:r>
        <w:rPr>
          <w:rFonts w:ascii="Arial" w:hAnsi="Arial" w:cs="Arial"/>
          <w:sz w:val="24"/>
          <w:szCs w:val="24"/>
          <w:lang w:eastAsia="pt-BR"/>
        </w:rPr>
        <w:t xml:space="preserve">8.2. A licitante deverá preencher sua proposta comercial inicial no sistema eletrônico, contendo: </w:t>
      </w:r>
    </w:p>
    <w:p w14:paraId="4A3EFC8B">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 xml:space="preserve">a) Marca/Fabricante, indicando o produto/modelo e, quando aplicável, número do registro junto ao órgão competente; </w:t>
      </w:r>
    </w:p>
    <w:p w14:paraId="6D6B414D">
      <w:pPr>
        <w:autoSpaceDE w:val="0"/>
        <w:autoSpaceDN w:val="0"/>
        <w:adjustRightInd w:val="0"/>
        <w:spacing w:line="240" w:lineRule="auto"/>
        <w:ind w:left="284" w:firstLine="284"/>
        <w:jc w:val="both"/>
        <w:rPr>
          <w:rFonts w:ascii="Arial" w:hAnsi="Arial" w:cs="Arial"/>
          <w:sz w:val="24"/>
          <w:szCs w:val="24"/>
          <w:lang w:eastAsia="pt-BR"/>
        </w:rPr>
      </w:pPr>
      <w:r>
        <w:rPr>
          <w:rFonts w:ascii="Arial" w:hAnsi="Arial" w:cs="Arial"/>
          <w:sz w:val="24"/>
          <w:szCs w:val="24"/>
          <w:lang w:eastAsia="pt-BR"/>
        </w:rPr>
        <w:t>b) Valor unitário;</w:t>
      </w:r>
    </w:p>
    <w:p w14:paraId="46B51AE3">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8.2.1. Fica expressamente vedada a indicação de 02 (duas) ou mais marcas para cada item, a razão social da licitante, número do CNPJ, endereço, telefone/fax, e-mail, e/ou dados bancários da mesma, ou quaisquer outros dados que identifiquem o participante antes e durante a rodada de lances;</w:t>
      </w:r>
    </w:p>
    <w:p w14:paraId="2CD5504E">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 xml:space="preserve">8.2.2. Caso seja possível a identificação da licitante através da sua proposta antes do fechamento da rodada de lances, a mesma estará automaticamente </w:t>
      </w:r>
      <w:r>
        <w:rPr>
          <w:rFonts w:ascii="Arial" w:hAnsi="Arial" w:cs="Arial"/>
          <w:b/>
          <w:sz w:val="24"/>
          <w:szCs w:val="24"/>
          <w:lang w:eastAsia="pt-BR"/>
        </w:rPr>
        <w:t xml:space="preserve">DESCLASSIFICADA </w:t>
      </w:r>
      <w:r>
        <w:rPr>
          <w:rFonts w:ascii="Arial" w:hAnsi="Arial" w:cs="Arial"/>
          <w:sz w:val="24"/>
          <w:szCs w:val="24"/>
          <w:lang w:eastAsia="pt-BR"/>
        </w:rPr>
        <w:t>de todo o processo licitatório, pelo Pregoeiro;</w:t>
      </w:r>
    </w:p>
    <w:p w14:paraId="0E769203">
      <w:pPr>
        <w:pStyle w:val="29"/>
        <w:spacing w:before="0" w:beforeAutospacing="0" w:after="200" w:afterAutospacing="0" w:line="240" w:lineRule="auto"/>
        <w:ind w:left="568"/>
        <w:rPr>
          <w:sz w:val="24"/>
          <w:szCs w:val="24"/>
        </w:rPr>
      </w:pPr>
      <w:r>
        <w:rPr>
          <w:sz w:val="24"/>
          <w:szCs w:val="24"/>
        </w:rPr>
        <w:t xml:space="preserve">8.2.3. A não inserção do número do registro não será motivo de desclassificação, sendo que sua apresentação ou não se dará em conformidade com as “Observações” do Anexo I – Especificação do Objeto. </w:t>
      </w:r>
    </w:p>
    <w:p w14:paraId="0E8A4061">
      <w:pPr>
        <w:pStyle w:val="29"/>
        <w:spacing w:before="0" w:beforeAutospacing="0" w:after="200" w:afterAutospacing="0" w:line="240" w:lineRule="auto"/>
        <w:ind w:left="284"/>
        <w:rPr>
          <w:sz w:val="24"/>
          <w:szCs w:val="24"/>
        </w:rPr>
      </w:pPr>
      <w:r>
        <w:rPr>
          <w:sz w:val="24"/>
          <w:szCs w:val="24"/>
        </w:rPr>
        <w:t>8.3. O Pregoeiro e a Equipe de Apoio verificarão as propostas iniciais, desclassificando motivadamente aquelas que não estejam em conformidade com o item 8.2., preservando o menor dispêndio para a Municipalidade e evitando o rigorismo exacerbado.</w:t>
      </w:r>
    </w:p>
    <w:p w14:paraId="68D49537">
      <w:pPr>
        <w:pStyle w:val="29"/>
        <w:spacing w:before="0" w:beforeAutospacing="0" w:after="200" w:afterAutospacing="0" w:line="240" w:lineRule="auto"/>
        <w:ind w:left="568"/>
        <w:rPr>
          <w:sz w:val="24"/>
          <w:szCs w:val="24"/>
        </w:rPr>
      </w:pPr>
      <w:r>
        <w:rPr>
          <w:sz w:val="24"/>
          <w:szCs w:val="24"/>
        </w:rPr>
        <w:t>8.3.1. Somente os licitantes com propostas classificadas participarão da etapa de lances.</w:t>
      </w:r>
    </w:p>
    <w:p w14:paraId="3E6D3FDD">
      <w:pPr>
        <w:pStyle w:val="29"/>
        <w:spacing w:before="0" w:beforeAutospacing="0" w:after="360" w:afterAutospacing="0" w:line="240" w:lineRule="auto"/>
        <w:ind w:firstLine="284"/>
        <w:rPr>
          <w:i/>
          <w:sz w:val="24"/>
          <w:szCs w:val="24"/>
        </w:rPr>
      </w:pPr>
      <w:r>
        <w:rPr>
          <w:sz w:val="24"/>
          <w:szCs w:val="24"/>
        </w:rPr>
        <w:t>8.4. Não serão aceitos quantitativos inferiores aos previstos no edital.</w:t>
      </w:r>
    </w:p>
    <w:p w14:paraId="0037D5CF">
      <w:pPr>
        <w:autoSpaceDE w:val="0"/>
        <w:autoSpaceDN w:val="0"/>
        <w:adjustRightInd w:val="0"/>
        <w:spacing w:line="24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9 – DOS LANCES</w:t>
      </w:r>
    </w:p>
    <w:p w14:paraId="7912157A">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 Classificadas as propostas, o Pregoeiro dará início à fase competitiva com o recebimento de lances no endereço eletrônico no dia e horário informados no preâmbulo deste edital, quando então as licitantes poderão oferecer lances, exclusivamente por meio do sistema eletrônico, sem restrições de quantidade de lances ou de qualquer ordem classificatória ou cronológica específica, mas sempre inferior à proposta de menor preço. A cada lance ofertado, o participante será imediatamente informado de seu recebimento, respectivo horário de registro e valor, pressupondo-se a necessidade de as empresas estarem conectadas ao sistema eletrônico.</w:t>
      </w:r>
    </w:p>
    <w:p w14:paraId="45CEDAC3">
      <w:pPr>
        <w:autoSpaceDE w:val="0"/>
        <w:autoSpaceDN w:val="0"/>
        <w:adjustRightInd w:val="0"/>
        <w:spacing w:line="240" w:lineRule="auto"/>
        <w:ind w:firstLine="284"/>
        <w:jc w:val="both"/>
        <w:rPr>
          <w:rFonts w:ascii="Arial" w:hAnsi="Arial" w:cs="Arial"/>
          <w:sz w:val="24"/>
          <w:szCs w:val="24"/>
        </w:rPr>
      </w:pPr>
      <w:r>
        <w:rPr>
          <w:rFonts w:ascii="Arial" w:hAnsi="Arial" w:eastAsia="Times New Roman" w:cs="Arial"/>
          <w:sz w:val="24"/>
          <w:szCs w:val="24"/>
          <w:lang w:eastAsia="pt-BR"/>
        </w:rPr>
        <w:t xml:space="preserve">9.2. </w:t>
      </w:r>
      <w:r>
        <w:rPr>
          <w:rFonts w:ascii="Arial" w:hAnsi="Arial" w:cs="Arial"/>
          <w:sz w:val="24"/>
          <w:szCs w:val="24"/>
        </w:rPr>
        <w:t>Para efeito de seleção será considerado o valor unitário por item.</w:t>
      </w:r>
    </w:p>
    <w:p w14:paraId="2BAB5337">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9.3. O intervalo de diferença entre os lances será definido</w:t>
      </w:r>
      <w:r>
        <w:rPr>
          <w:rFonts w:ascii="Arial" w:hAnsi="Arial" w:cs="Arial"/>
          <w:sz w:val="24"/>
          <w:szCs w:val="24"/>
        </w:rPr>
        <w:t xml:space="preserve"> no endereço eletrônico </w:t>
      </w:r>
      <w:r>
        <w:fldChar w:fldCharType="begin"/>
      </w:r>
      <w:r>
        <w:instrText xml:space="preserve"> HYPERLINK "https://bnccompras.com" </w:instrText>
      </w:r>
      <w:r>
        <w:fldChar w:fldCharType="separate"/>
      </w:r>
      <w:r>
        <w:rPr>
          <w:rStyle w:val="8"/>
          <w:rFonts w:ascii="Arial" w:hAnsi="Arial" w:cs="Arial"/>
          <w:sz w:val="24"/>
          <w:szCs w:val="24"/>
        </w:rPr>
        <w:t>https://bnccompras.com</w:t>
      </w:r>
      <w:r>
        <w:rPr>
          <w:rStyle w:val="8"/>
          <w:rFonts w:ascii="Arial" w:hAnsi="Arial" w:cs="Arial"/>
          <w:sz w:val="24"/>
          <w:szCs w:val="24"/>
        </w:rPr>
        <w:fldChar w:fldCharType="end"/>
      </w:r>
      <w:r>
        <w:rPr>
          <w:rFonts w:ascii="Arial" w:hAnsi="Arial" w:cs="Arial"/>
          <w:sz w:val="24"/>
          <w:szCs w:val="24"/>
        </w:rPr>
        <w:t>, e se dará tanto em relação aos lances intermediários quanto em relação ao lance que cobrir a melhor oferta.</w:t>
      </w:r>
    </w:p>
    <w:p w14:paraId="66A43FCB">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9.4. Não poderá haver desistência dos lances ofertados, sujeitando-se a licitante desistente às penalidades previstas neste edital.</w:t>
      </w:r>
    </w:p>
    <w:p w14:paraId="46302E48">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9.5. Na hipótese de haver lances iguais, prevalecerá como de menor valor o lance que tiver sido primeiramente registrado.</w:t>
      </w:r>
    </w:p>
    <w:p w14:paraId="416C4A56">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9.6. Os licitantes poderão oferecer lances sucessivos, observado o horário fixado e as regras de aceitação dos mesmos.</w:t>
      </w:r>
    </w:p>
    <w:p w14:paraId="726C9856">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9.7. Durante o transcurso da sessão de lances os participantes serão informados, em tempo real, do valor do menor lance registrado. O sistema não identificará os autores dos lances aos demais participantes.</w:t>
      </w:r>
    </w:p>
    <w:p w14:paraId="4B1D05F1">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9.8. A modalidade de disputa será aberta, cabendo aos licitantes apresentarem lances públicos e sucessivos, com prorrogações, sendo esta prorrogação automática.</w:t>
      </w:r>
    </w:p>
    <w:p w14:paraId="3379BB34">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9.9. A etapa de envio de lances na sessão pública durará no mínimo 10 (dez) minutos, e, após isso, será prorrogada automaticamente pelo sistema quando houver lance ofertado nos últimos dois minutos do período de duração da sessão pública. A prorrogação automática é de 02 (dois) minutos, e ocorre sucessivamente sempre que houver lances enviados nesse período de prorrogação.</w:t>
      </w:r>
    </w:p>
    <w:p w14:paraId="4F97EAA2">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9.10. Em cada item, não havendo novos lances na etapa da prorrogação automática, a rodada de lances para este item é encerrada automaticamente.</w:t>
      </w:r>
    </w:p>
    <w:p w14:paraId="121121DF">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9.11. O sistema informará a proposta de menor preço imediatamente após o encerramento da etapa de lances. Os licitantes deverão consultar regularmente o sistema eletrônico para verificar o resultado da licitação.</w:t>
      </w:r>
    </w:p>
    <w:p w14:paraId="364D1365">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9.12. As microempresas e empresas de pequeno porte que pretendem usar do direito de preferência no critério de desempate, quando do julgamento das propostas, nos termos da Lei Complementar n° 123, de 14 de dezembro de 2006, deverão apresentar, também, declaração, de que estão enquadradas como Microempresa ou Empresa de Pequeno Porte (conforme o caso) nos termos do artigo 3º da citada Lei Complementar, conforme modelo do Anexo VI, que deverá ser apresentada juntamente com os documentos de habilitação, que deverão ser anexados na plataforma eletrônica.</w:t>
      </w:r>
    </w:p>
    <w:p w14:paraId="45EDEA0D">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9.13.  Encerrada a etapa de lances, serão classificadas as propostas em ordem crescente dos valores, considerando-se o último preço ofertado. Com base nesta classificação, será assegurada às licitantes microempresas e empresas de pequeno porte direito de preferência a contratação, observadas as seguintes regras:</w:t>
      </w:r>
    </w:p>
    <w:p w14:paraId="5338BED3">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9.13.1. A plataforma selecionará automaticamente a licitante microempresa ou empresa de pequeno porte, detentora da proposta de menor valor, dentre aquelas cujos valores sejam iguais ou superiores até 5% (cinco por cento) ao valor da proposta melhor classificada, abrindo o prazo de 05 (cinco) minutos para que apresente preço inferior ao do melhor classificado, sob pena de preclusão do direito de preferência.</w:t>
      </w:r>
    </w:p>
    <w:p w14:paraId="42FD9725">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9.13.2. A plataforma selecionará mediante sorteio, no caso de haver propostas empatadas nas condições do subitem 9.13.1.</w:t>
      </w:r>
    </w:p>
    <w:p w14:paraId="159C2EE6">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9.13.3.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9.13.1.</w:t>
      </w:r>
    </w:p>
    <w:p w14:paraId="23BFF9D5">
      <w:pPr>
        <w:autoSpaceDE w:val="0"/>
        <w:autoSpaceDN w:val="0"/>
        <w:adjustRightInd w:val="0"/>
        <w:spacing w:after="360"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9.13.4. Caso a detentora da melhor oferta, de acordo com a classificação de que trata o subitem 9.13.1., seja microempresa ou empresa de pequeno porte não será assegurado o direito de preferência, passando-se, desde logo, à negociação do preço.</w:t>
      </w:r>
    </w:p>
    <w:p w14:paraId="16E036C6">
      <w:pPr>
        <w:autoSpaceDE w:val="0"/>
        <w:autoSpaceDN w:val="0"/>
        <w:adjustRightInd w:val="0"/>
        <w:spacing w:line="24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10 – DO ENCERRAMENTO DA ETAPA DE LANCES, NEGOCIAÇÃO E PROPOSTAS FINAIS</w:t>
      </w:r>
    </w:p>
    <w:p w14:paraId="32A20DF7">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10.1. Encerrada a etapa de lances e negociação, o Pregoeiro examinará a proposta de preços classificada em primeiro lugar, quanto à compatibilidade dos preços em relação ao estimado para a contratação.</w:t>
      </w:r>
    </w:p>
    <w:p w14:paraId="76E9AB71">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10.1.1. Caso não ocorram lances deverá ser verificado o valor estimado dos bens e a especificação técnica prevista.</w:t>
      </w:r>
    </w:p>
    <w:p w14:paraId="7D62F539">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10.1.2. No caso de propostas iniciais de mesmo valor sem que haja o envio de lances, haverá a aplicação dos critérios de desempate previsto no artigo 45, inc. I da Lei Complementar nº 123/2006, seguido da aplicação dos critérios estabelecidos no art. 60 da Lei nº 14.133/2021; se não houver licitante que atenda à primeira hipótese; nessa ordem:</w:t>
      </w:r>
    </w:p>
    <w:p w14:paraId="5866908E">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 - Disputa final, hipótese em que os licitantes empatados poderão apresentar nova proposta em ato contínuo à classificação;</w:t>
      </w:r>
    </w:p>
    <w:p w14:paraId="71C4735F">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 - Avaliação do desempenho contratual prévio dos licitantes, para a qual deverão preferencialmente ser utilizados registros cadastrais para efeito de atesto de cumprimento de obrigações previstos nesta Lei;</w:t>
      </w:r>
    </w:p>
    <w:p w14:paraId="188AF0E9">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Desenvolvimento pelo licitante de ações de equidade entre homens e mulheres no ambiente de trabalho, conforme regulamento;</w:t>
      </w:r>
    </w:p>
    <w:p w14:paraId="2548D59D">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IV - Desenvolvimento pelo licitante de programa de integridade, conforme orientações dos órgãos de controle</w:t>
      </w:r>
    </w:p>
    <w:p w14:paraId="7637BFFF">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10.1.3. Persistindo o empate, será assegurada preferência, sucessivamente, aos bens e serviços produzidos ou prestados por:</w:t>
      </w:r>
    </w:p>
    <w:p w14:paraId="53CDA347">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2FDCE8F">
      <w:pPr>
        <w:autoSpaceDE w:val="0"/>
        <w:autoSpaceDN w:val="0"/>
        <w:spacing w:line="240" w:lineRule="auto"/>
        <w:ind w:left="568" w:firstLine="284"/>
        <w:jc w:val="both"/>
        <w:rPr>
          <w:rFonts w:ascii="Arial" w:hAnsi="Arial" w:eastAsia="Times New Roman" w:cs="Arial"/>
          <w:sz w:val="24"/>
          <w:szCs w:val="24"/>
          <w:lang w:eastAsia="pt-BR"/>
        </w:rPr>
      </w:pPr>
      <w:r>
        <w:rPr>
          <w:rFonts w:ascii="Arial" w:hAnsi="Arial" w:eastAsia="Times New Roman" w:cs="Arial"/>
          <w:sz w:val="24"/>
          <w:szCs w:val="24"/>
          <w:lang w:eastAsia="pt-BR"/>
        </w:rPr>
        <w:t>II - Empresas brasileiras;</w:t>
      </w:r>
    </w:p>
    <w:p w14:paraId="2DEA0FC7">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Empresas que invistam em pesquisa e no desenvolvimento de tecnologia no País;</w:t>
      </w:r>
    </w:p>
    <w:p w14:paraId="076C183E">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IV - Empresas que comprovem a prática de mitigação, nos termos da Lei nº 12.187, de 29 de dezembro de 2009.</w:t>
      </w:r>
    </w:p>
    <w:p w14:paraId="58EAB8EC">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10.2. Não poderá haver desistência dos lances ofertados, sujeitando-se o proponente desistente às penalidades estabelecidas neste Edital.</w:t>
      </w:r>
    </w:p>
    <w:p w14:paraId="3FC50AA1">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10.3. A proposta final dos licitantes vencedores, readequada ao último valor ofertado referente ao(s) item(ns) ganho(s), e demais documentações complementares deverão ser anexadas à plataforma em até 03 (três) horas após a solicitação do Pregoeiro, ou em prazo superior expressamente informado na sessão, contendo ou acompanhada de:</w:t>
      </w:r>
    </w:p>
    <w:p w14:paraId="0535949D">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a) Marca/Fabricante, indicando o produto/modelo e, quando aplicável, número do registro junto ao órgão competente, catálogos/ficha técnica, além de demais exigências constantes no Anexo I – Termo de Referência / Especificações do Objeto.</w:t>
      </w:r>
    </w:p>
    <w:p w14:paraId="69ADB416">
      <w:pPr>
        <w:autoSpaceDE w:val="0"/>
        <w:autoSpaceDN w:val="0"/>
        <w:spacing w:line="240" w:lineRule="auto"/>
        <w:ind w:left="284"/>
        <w:jc w:val="both"/>
        <w:rPr>
          <w:rFonts w:ascii="Arial" w:hAnsi="Arial" w:cs="Arial"/>
          <w:sz w:val="24"/>
          <w:szCs w:val="24"/>
        </w:rPr>
      </w:pPr>
      <w:r>
        <w:rPr>
          <w:rFonts w:ascii="Arial" w:hAnsi="Arial" w:eastAsia="Times New Roman" w:cs="Arial"/>
          <w:sz w:val="24"/>
          <w:szCs w:val="24"/>
          <w:lang w:eastAsia="pt-BR"/>
        </w:rPr>
        <w:t>10.4</w:t>
      </w:r>
      <w:r>
        <w:rPr>
          <w:rFonts w:ascii="Arial" w:hAnsi="Arial" w:cs="Arial"/>
          <w:sz w:val="24"/>
          <w:szCs w:val="24"/>
        </w:rPr>
        <w:t>. No caso de ocorrer a desclassificação ou inabilitação do(s) licitante(s) que apresentou(aram) o menor preço na etapa de lances e negociação, os licitantes classificados sequencialmente serão convocados para negociarem os preços, observando-se obrigatoriamente o menor valor ofertado na etapa de lances e negociação, desde que inferiores à pesquisa de mercado. Caso os valores sejam superiores, o pregoeiro da sessão poderá opinar para a autoridade superior revogar ou cancelar referido item e/ou lote.</w:t>
      </w:r>
    </w:p>
    <w:p w14:paraId="47E2A481">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10.5. A licitante será responsável por todas as transações que forem efetuadas em seu nome no sistema eletrônico, assumindo como firmes e verdadeiras suas propostas e lances.</w:t>
      </w:r>
    </w:p>
    <w:p w14:paraId="5CCDD402">
      <w:pPr>
        <w:autoSpaceDE w:val="0"/>
        <w:autoSpaceDN w:val="0"/>
        <w:adjustRightInd w:val="0"/>
        <w:spacing w:line="240" w:lineRule="auto"/>
        <w:ind w:left="284"/>
        <w:jc w:val="both"/>
        <w:rPr>
          <w:rFonts w:ascii="Arial" w:hAnsi="Arial" w:eastAsia="Times New Roman" w:cs="Arial"/>
          <w:b/>
          <w:sz w:val="24"/>
          <w:szCs w:val="24"/>
          <w:lang w:eastAsia="pt-BR"/>
        </w:rPr>
      </w:pPr>
      <w:r>
        <w:rPr>
          <w:rFonts w:ascii="Arial" w:hAnsi="Arial" w:eastAsia="Times New Roman" w:cs="Arial"/>
          <w:b/>
          <w:sz w:val="24"/>
          <w:szCs w:val="24"/>
          <w:lang w:eastAsia="pt-BR"/>
        </w:rPr>
        <w:t>10.6. O pregoeiro suspenderá a sessão pública deste certame, informando a data e horário para retomada da mesma, momento em que verificará a(s) Proposta(s) de Preço(s) Final(is) Atualizada(s) e os Documentos de Habilitação da(s) empresa(s) classificada(s) com menor(es) lance(s), conforme disposições contidas no presente Edital.</w:t>
      </w:r>
    </w:p>
    <w:p w14:paraId="5F4B4730">
      <w:pPr>
        <w:pStyle w:val="29"/>
        <w:spacing w:before="0" w:beforeAutospacing="0" w:after="200" w:afterAutospacing="0" w:line="240" w:lineRule="auto"/>
        <w:ind w:left="284"/>
        <w:rPr>
          <w:sz w:val="24"/>
          <w:szCs w:val="24"/>
        </w:rPr>
      </w:pPr>
      <w:r>
        <w:rPr>
          <w:rFonts w:eastAsia="Times New Roman"/>
          <w:sz w:val="24"/>
          <w:szCs w:val="24"/>
        </w:rPr>
        <w:t>10.7</w:t>
      </w:r>
      <w:r>
        <w:rPr>
          <w:sz w:val="24"/>
          <w:szCs w:val="24"/>
        </w:rPr>
        <w:t>. O Pregoeiro, juntamente com a Equipe de Apoio, verificará as propostas finais enviadas, desclassificando, motivadamente, aquelas que não estejam em conformidade com os requisitos estabelecidos no edital, que forem omissas ou apresentarem irregularidades insanáveis.</w:t>
      </w:r>
    </w:p>
    <w:p w14:paraId="65F6DCF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10.7.1. A licitante que não enviar a proposta comercial final atualizada e, quando aplicável, as demais documentações complementares, no prazo e nos termos definidos no item 10.3., será automaticamente desclassificada no item.</w:t>
      </w:r>
    </w:p>
    <w:p w14:paraId="4A8707F4">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10.8. A proposta final deverá estar assinada pelo Representante Legal da licitante, citado nos documentos de habilitação, em papel timbrado, em linguagem concisa, sem rasuras ou ressalvas, emendas, borrões ou entrelinhas que prejudiquem sua análise, conforme modelo do Anexo VII, contendo os valores unitário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394905E4">
      <w:pPr>
        <w:autoSpaceDE w:val="0"/>
        <w:autoSpaceDN w:val="0"/>
        <w:adjustRightInd w:val="0"/>
        <w:spacing w:after="360" w:line="240" w:lineRule="auto"/>
        <w:ind w:left="540"/>
        <w:jc w:val="both"/>
        <w:rPr>
          <w:rFonts w:ascii="Arial" w:hAnsi="Arial" w:eastAsia="Times New Roman" w:cs="Arial"/>
          <w:sz w:val="24"/>
          <w:szCs w:val="24"/>
          <w:lang w:eastAsia="pt-BR"/>
        </w:rPr>
      </w:pPr>
      <w:r>
        <w:rPr>
          <w:rFonts w:ascii="Arial" w:hAnsi="Arial" w:eastAsia="Times New Roman" w:cs="Arial"/>
          <w:sz w:val="24"/>
          <w:szCs w:val="24"/>
          <w:lang w:eastAsia="pt-BR"/>
        </w:rPr>
        <w:t>10.8.1. O prazo de validade da proposta não poderá ser inferior a 60 (sessenta) dias, a contar da abertura do certame. Não sendo indicado o prazo de validade, fica subentendido como de 60 (sessenta) dias.</w:t>
      </w:r>
    </w:p>
    <w:p w14:paraId="4173C509">
      <w:pPr>
        <w:autoSpaceDE w:val="0"/>
        <w:autoSpaceDN w:val="0"/>
        <w:adjustRightInd w:val="0"/>
        <w:spacing w:line="240" w:lineRule="auto"/>
        <w:ind w:left="540" w:hanging="540"/>
        <w:jc w:val="both"/>
        <w:rPr>
          <w:rFonts w:ascii="Arial" w:hAnsi="Arial" w:eastAsia="Times New Roman" w:cs="Arial"/>
          <w:sz w:val="24"/>
          <w:szCs w:val="24"/>
          <w:lang w:eastAsia="pt-BR"/>
        </w:rPr>
      </w:pPr>
      <w:r>
        <w:rPr>
          <w:rFonts w:ascii="Arial" w:hAnsi="Arial" w:eastAsia="Times New Roman" w:cs="Arial"/>
          <w:b/>
          <w:bCs/>
          <w:sz w:val="24"/>
          <w:szCs w:val="24"/>
          <w:lang w:eastAsia="pt-BR"/>
        </w:rPr>
        <w:t>11 – DA HABILITAÇÃO</w:t>
      </w:r>
    </w:p>
    <w:p w14:paraId="115AAF82">
      <w:pPr>
        <w:autoSpaceDE w:val="0"/>
        <w:autoSpaceDN w:val="0"/>
        <w:adjustRightInd w:val="0"/>
        <w:spacing w:line="240" w:lineRule="auto"/>
        <w:ind w:firstLine="284"/>
        <w:jc w:val="both"/>
        <w:rPr>
          <w:rFonts w:ascii="Arial" w:hAnsi="Arial" w:eastAsia="Times New Roman" w:cs="Arial"/>
          <w:sz w:val="24"/>
          <w:szCs w:val="24"/>
          <w:lang w:eastAsia="pt-BR"/>
        </w:rPr>
      </w:pPr>
      <w:r>
        <w:rPr>
          <w:rFonts w:ascii="Arial" w:hAnsi="Arial" w:eastAsia="Times New Roman" w:cs="Arial"/>
          <w:b/>
          <w:bCs/>
          <w:sz w:val="24"/>
          <w:szCs w:val="24"/>
          <w:lang w:eastAsia="pt-BR"/>
        </w:rPr>
        <w:t>11.1. HABILITAÇÃO JURÍDICA</w:t>
      </w:r>
    </w:p>
    <w:p w14:paraId="5F0BBB68">
      <w:pPr>
        <w:pStyle w:val="29"/>
        <w:spacing w:before="0" w:beforeAutospacing="0" w:after="200" w:afterAutospacing="0" w:line="240" w:lineRule="auto"/>
        <w:ind w:left="284" w:firstLine="284"/>
        <w:rPr>
          <w:sz w:val="24"/>
          <w:szCs w:val="24"/>
        </w:rPr>
      </w:pPr>
      <w:r>
        <w:rPr>
          <w:sz w:val="24"/>
          <w:szCs w:val="24"/>
        </w:rPr>
        <w:t>11.1.1. Apresentação dos seguintes documentos:</w:t>
      </w:r>
    </w:p>
    <w:p w14:paraId="602172ED">
      <w:pPr>
        <w:pStyle w:val="29"/>
        <w:spacing w:before="0" w:beforeAutospacing="0" w:after="200" w:afterAutospacing="0" w:line="240" w:lineRule="auto"/>
        <w:ind w:left="424" w:firstLine="284"/>
        <w:rPr>
          <w:sz w:val="24"/>
          <w:szCs w:val="24"/>
        </w:rPr>
      </w:pPr>
      <w:r>
        <w:rPr>
          <w:sz w:val="24"/>
          <w:szCs w:val="24"/>
        </w:rPr>
        <w:t xml:space="preserve">a) Registro comercial, no caso de empresa individual; </w:t>
      </w:r>
    </w:p>
    <w:p w14:paraId="379633A8">
      <w:pPr>
        <w:pStyle w:val="29"/>
        <w:spacing w:before="0" w:beforeAutospacing="0" w:after="200" w:afterAutospacing="0" w:line="240" w:lineRule="auto"/>
        <w:ind w:left="708"/>
        <w:rPr>
          <w:sz w:val="24"/>
          <w:szCs w:val="24"/>
        </w:rPr>
      </w:pPr>
      <w:r>
        <w:rPr>
          <w:sz w:val="24"/>
          <w:szCs w:val="24"/>
        </w:rPr>
        <w:t xml:space="preserve">b) Ato constitutivo, estatuto ou contrato social em vigor, devidamente registrado na Junta Comercial, em se tratando de sociedades comerciais; </w:t>
      </w:r>
    </w:p>
    <w:p w14:paraId="18488482">
      <w:pPr>
        <w:pStyle w:val="29"/>
        <w:spacing w:before="0" w:beforeAutospacing="0" w:after="200" w:afterAutospacing="0" w:line="240" w:lineRule="auto"/>
        <w:ind w:left="708"/>
        <w:rPr>
          <w:sz w:val="24"/>
          <w:szCs w:val="24"/>
        </w:rPr>
      </w:pPr>
      <w:r>
        <w:rPr>
          <w:sz w:val="24"/>
          <w:szCs w:val="24"/>
        </w:rPr>
        <w:t xml:space="preserve">c) Documentos de eleição dos atuais administradores, tratando-se de sociedades por ações, acompanhados da documentação mencionada na alínea “b” deste subitem; </w:t>
      </w:r>
    </w:p>
    <w:p w14:paraId="311025DA">
      <w:pPr>
        <w:pStyle w:val="29"/>
        <w:spacing w:before="0" w:beforeAutospacing="0" w:after="200" w:afterAutospacing="0" w:line="240" w:lineRule="auto"/>
        <w:ind w:left="708"/>
        <w:rPr>
          <w:sz w:val="24"/>
          <w:szCs w:val="24"/>
        </w:rPr>
      </w:pPr>
      <w:r>
        <w:rPr>
          <w:sz w:val="24"/>
          <w:szCs w:val="24"/>
        </w:rPr>
        <w:t xml:space="preserve">d) Ato constitutivo devidamente registrado no Cartório de Registro Civil de Pessoas Jurídicas tratando-se de sociedades civis, acompanhado de prova da diretoria em exercício; </w:t>
      </w:r>
    </w:p>
    <w:p w14:paraId="5388DFA1">
      <w:pPr>
        <w:pStyle w:val="29"/>
        <w:spacing w:before="0" w:beforeAutospacing="0" w:after="360" w:afterAutospacing="0" w:line="240" w:lineRule="auto"/>
        <w:ind w:left="708"/>
        <w:rPr>
          <w:sz w:val="24"/>
          <w:szCs w:val="24"/>
        </w:rPr>
      </w:pPr>
      <w:r>
        <w:rPr>
          <w:sz w:val="24"/>
          <w:szCs w:val="24"/>
        </w:rPr>
        <w:t>e) Decreto de autorização e ato de registro ou autorização para funcionamento expedido pelo órgão competente, tratando-se de empresa ou sociedade estrangeira em funcionamento no país, quando a atividade assim o exigir.</w:t>
      </w:r>
    </w:p>
    <w:p w14:paraId="44F80F9C">
      <w:pPr>
        <w:pStyle w:val="29"/>
        <w:spacing w:before="0" w:beforeAutospacing="0" w:after="200" w:afterAutospacing="0" w:line="240" w:lineRule="auto"/>
        <w:ind w:firstLine="284"/>
        <w:rPr>
          <w:sz w:val="24"/>
          <w:szCs w:val="24"/>
        </w:rPr>
      </w:pPr>
      <w:r>
        <w:rPr>
          <w:b/>
          <w:sz w:val="24"/>
          <w:szCs w:val="24"/>
        </w:rPr>
        <w:t>11.</w:t>
      </w:r>
      <w:r>
        <w:rPr>
          <w:rStyle w:val="5"/>
          <w:sz w:val="24"/>
          <w:szCs w:val="24"/>
        </w:rPr>
        <w:t>2. REGULARIDADE FISCAL, SOCIAL E TRABALHISTA</w:t>
      </w:r>
    </w:p>
    <w:p w14:paraId="7B7BB1A1">
      <w:pPr>
        <w:pStyle w:val="29"/>
        <w:spacing w:before="0" w:beforeAutospacing="0" w:after="200" w:afterAutospacing="0" w:line="240" w:lineRule="auto"/>
        <w:ind w:left="568"/>
        <w:rPr>
          <w:sz w:val="24"/>
          <w:szCs w:val="24"/>
        </w:rPr>
      </w:pPr>
      <w:r>
        <w:rPr>
          <w:sz w:val="24"/>
          <w:szCs w:val="24"/>
        </w:rPr>
        <w:t>a) Prova de inscrição no Cadastro Nacional de Pessoas Jurídicas do Ministério da Fazenda (CNPJ).</w:t>
      </w:r>
    </w:p>
    <w:p w14:paraId="535A6526">
      <w:pPr>
        <w:pStyle w:val="29"/>
        <w:spacing w:before="0" w:beforeAutospacing="0" w:after="200" w:afterAutospacing="0" w:line="240" w:lineRule="auto"/>
        <w:ind w:left="568"/>
        <w:rPr>
          <w:sz w:val="24"/>
          <w:szCs w:val="24"/>
        </w:rPr>
      </w:pPr>
      <w:r>
        <w:rPr>
          <w:sz w:val="24"/>
          <w:szCs w:val="24"/>
        </w:rPr>
        <w:t>b) Prova de inscrição no Cadastro de Contribuintes Estadual e/ou Municipal, se houver, relativo ao domicilio ou sede do licitante, pertinente ao seu ramo de atividade e compatível com o objeto contratual, ou sua isenção;</w:t>
      </w:r>
    </w:p>
    <w:p w14:paraId="4DE73FCA">
      <w:pPr>
        <w:pStyle w:val="29"/>
        <w:spacing w:before="0" w:beforeAutospacing="0" w:after="200" w:afterAutospacing="0" w:line="240" w:lineRule="auto"/>
        <w:ind w:left="568"/>
        <w:rPr>
          <w:sz w:val="24"/>
          <w:szCs w:val="24"/>
        </w:rPr>
      </w:pPr>
      <w:r>
        <w:rPr>
          <w:sz w:val="24"/>
          <w:szCs w:val="24"/>
        </w:rPr>
        <w:t xml:space="preserve">c) Prova de regularidade para com a Fazenda Federal, do domicílio ou sede da licitante, ou outra equivalente na forma da lei, mediante a apresentação da Certidão Conjunta Negativa </w:t>
      </w:r>
      <w:r>
        <w:rPr>
          <w:sz w:val="24"/>
          <w:szCs w:val="24"/>
          <w:u w:val="single"/>
        </w:rPr>
        <w:t>ou</w:t>
      </w:r>
      <w:r>
        <w:rPr>
          <w:sz w:val="24"/>
          <w:szCs w:val="24"/>
        </w:rPr>
        <w:t xml:space="preserve"> Certidão Conjunta Positiva com Efeitos de Negativa, relativos a Tributos Federais (inclusive às contribuições sociais) e à Dívida Ativa da União, expedida pela Secretaria da Receita Federal.</w:t>
      </w:r>
    </w:p>
    <w:p w14:paraId="3B87122F">
      <w:pPr>
        <w:pStyle w:val="20"/>
        <w:spacing w:after="200" w:line="240" w:lineRule="auto"/>
        <w:ind w:left="568"/>
        <w:jc w:val="both"/>
        <w:rPr>
          <w:rFonts w:ascii="Arial" w:hAnsi="Arial" w:cs="Arial"/>
          <w:sz w:val="24"/>
          <w:szCs w:val="24"/>
        </w:rPr>
      </w:pPr>
      <w:r>
        <w:rPr>
          <w:rFonts w:ascii="Arial" w:hAnsi="Arial" w:cs="Arial"/>
          <w:sz w:val="24"/>
          <w:szCs w:val="24"/>
        </w:rPr>
        <w:t>d) Prova de regularidade para com a Fazenda Estadual, do domicílio ou sede da licitante, ou outra equivalente na forma da lei, mediante a apresentação de Certidão Negativa ou Certidão Positiva com Efeitos de Negativa.</w:t>
      </w:r>
    </w:p>
    <w:p w14:paraId="47D15AD5">
      <w:pPr>
        <w:pStyle w:val="20"/>
        <w:spacing w:after="200" w:line="240" w:lineRule="auto"/>
        <w:ind w:left="568"/>
        <w:jc w:val="both"/>
        <w:rPr>
          <w:rFonts w:ascii="Arial" w:hAnsi="Arial" w:cs="Arial"/>
          <w:sz w:val="24"/>
          <w:szCs w:val="24"/>
        </w:rPr>
      </w:pPr>
      <w:r>
        <w:rPr>
          <w:rFonts w:ascii="Arial" w:hAnsi="Arial" w:cs="Arial"/>
          <w:sz w:val="24"/>
          <w:szCs w:val="24"/>
        </w:rPr>
        <w:t>e) Prova de regularidade perante o Fundo de Garantia por Tempo de Serviço (FGTS), por meio da apresentação do CRF – Certificado de Regularidade do FGTS.</w:t>
      </w:r>
    </w:p>
    <w:p w14:paraId="45967B57">
      <w:pPr>
        <w:pStyle w:val="29"/>
        <w:spacing w:before="0" w:beforeAutospacing="0" w:after="200" w:afterAutospacing="0" w:line="240" w:lineRule="auto"/>
        <w:ind w:left="568"/>
        <w:rPr>
          <w:sz w:val="24"/>
          <w:szCs w:val="24"/>
        </w:rPr>
      </w:pPr>
      <w:r>
        <w:rPr>
          <w:sz w:val="24"/>
          <w:szCs w:val="24"/>
        </w:rPr>
        <w:t>f) Prova de inexistência de débitos inadimplidos perante a Justiça do Trabalho, mediante a apresentação de Certidão Negativa (CNDT) ou Certidão Positiva de Débitos Trabalhistas com os mesmos efeitos da CNDT, nos termos do Título VII-A da Consolidação das Leis do Trabalho, aprovada pelo Decreto-Lei nº 5.452, de 1º de maio de 1943, nos termos da Lei Federal nº 12.440/2011.</w:t>
      </w:r>
    </w:p>
    <w:p w14:paraId="390689E7">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 xml:space="preserve">g) A comprovação de regularidade fiscal e trabalhista das microempresas e empresas de pequeno porte somente será exigida para efeito de </w:t>
      </w:r>
      <w:r>
        <w:rPr>
          <w:rFonts w:ascii="Arial" w:hAnsi="Arial" w:cs="Arial"/>
          <w:bCs/>
          <w:sz w:val="24"/>
          <w:szCs w:val="24"/>
        </w:rPr>
        <w:t>assinatura do contrato</w:t>
      </w:r>
      <w:r>
        <w:rPr>
          <w:rFonts w:ascii="Arial" w:hAnsi="Arial" w:cs="Arial"/>
          <w:sz w:val="24"/>
          <w:szCs w:val="24"/>
        </w:rPr>
        <w:t>.</w:t>
      </w:r>
    </w:p>
    <w:p w14:paraId="57CE8AD8">
      <w:pPr>
        <w:autoSpaceDE w:val="0"/>
        <w:autoSpaceDN w:val="0"/>
        <w:adjustRightInd w:val="0"/>
        <w:spacing w:line="240" w:lineRule="auto"/>
        <w:ind w:left="852"/>
        <w:jc w:val="both"/>
        <w:rPr>
          <w:rFonts w:ascii="Arial" w:hAnsi="Arial" w:cs="Arial"/>
          <w:sz w:val="24"/>
          <w:szCs w:val="24"/>
        </w:rPr>
      </w:pPr>
      <w:r>
        <w:rPr>
          <w:rFonts w:ascii="Arial" w:hAnsi="Arial" w:cs="Arial"/>
          <w:bCs/>
          <w:sz w:val="24"/>
          <w:szCs w:val="24"/>
        </w:rPr>
        <w:t xml:space="preserve">g1) </w:t>
      </w:r>
      <w:r>
        <w:rPr>
          <w:rFonts w:ascii="Arial" w:hAnsi="Arial" w:cs="Arial"/>
          <w:sz w:val="24"/>
          <w:szCs w:val="24"/>
        </w:rPr>
        <w:t>As microempresas e empresas de pequeno porte, por ocasião da participação neste certame, deverão apresentar toda a documentação exigida para fins de comprovação de regularidade fiscal e trabalhista, mesmo que esta apresente alguma restrição;</w:t>
      </w:r>
    </w:p>
    <w:p w14:paraId="29B170B7">
      <w:pPr>
        <w:autoSpaceDE w:val="0"/>
        <w:autoSpaceDN w:val="0"/>
        <w:adjustRightInd w:val="0"/>
        <w:spacing w:line="240" w:lineRule="auto"/>
        <w:ind w:left="852"/>
        <w:jc w:val="both"/>
        <w:rPr>
          <w:rFonts w:ascii="Arial" w:hAnsi="Arial" w:cs="Arial"/>
          <w:bCs/>
          <w:sz w:val="24"/>
          <w:szCs w:val="24"/>
        </w:rPr>
      </w:pPr>
      <w:r>
        <w:rPr>
          <w:rFonts w:ascii="Arial" w:hAnsi="Arial" w:cs="Arial"/>
          <w:bCs/>
          <w:sz w:val="24"/>
          <w:szCs w:val="24"/>
        </w:rPr>
        <w:t>g2) Havendo alguma restrição na comprovação da regularidade fiscal e trabalhista, será assegurado o prazo de 05 (cinco) dias úteis, cujo termo inicial corresponderá ao momento em que o proponente for declarado vencedor do certame, prorrogáveis por igual período, a critério desta Prefeitura, para a regularização da documentação, pagamento ou parcelamento do débito, e emissão de eventuais certidões negativas ou positivas com efeito de certidão negativa;</w:t>
      </w:r>
    </w:p>
    <w:p w14:paraId="173DD3B5">
      <w:pPr>
        <w:autoSpaceDE w:val="0"/>
        <w:autoSpaceDN w:val="0"/>
        <w:adjustRightInd w:val="0"/>
        <w:spacing w:line="240" w:lineRule="auto"/>
        <w:ind w:left="852"/>
        <w:jc w:val="both"/>
        <w:rPr>
          <w:rFonts w:ascii="Arial" w:hAnsi="Arial" w:cs="Arial"/>
          <w:sz w:val="24"/>
          <w:szCs w:val="24"/>
        </w:rPr>
      </w:pPr>
      <w:r>
        <w:rPr>
          <w:rFonts w:ascii="Arial" w:hAnsi="Arial" w:cs="Arial"/>
          <w:bCs/>
          <w:sz w:val="24"/>
          <w:szCs w:val="24"/>
        </w:rPr>
        <w:t xml:space="preserve">g3) </w:t>
      </w:r>
      <w:r>
        <w:rPr>
          <w:rFonts w:ascii="Arial" w:hAnsi="Arial" w:cs="Arial"/>
          <w:sz w:val="24"/>
          <w:szCs w:val="24"/>
        </w:rPr>
        <w:t xml:space="preserve">A não regularização da documentação, no prazo previsto no subitem anterior, implicará na </w:t>
      </w:r>
      <w:r>
        <w:rPr>
          <w:rFonts w:ascii="Arial" w:hAnsi="Arial" w:cs="Arial"/>
          <w:bCs/>
          <w:sz w:val="24"/>
          <w:szCs w:val="24"/>
        </w:rPr>
        <w:t>decadência do direito à contratação</w:t>
      </w:r>
      <w:r>
        <w:rPr>
          <w:rFonts w:ascii="Arial" w:hAnsi="Arial" w:cs="Arial"/>
          <w:sz w:val="24"/>
          <w:szCs w:val="24"/>
        </w:rPr>
        <w:t>, sem prejuízo das sanções previstas neste edital, sendo facultado à Administração convocar os licitantes remanescentes, na ordem de classificação, para assinatura do contrato, ou revogar a licitação.</w:t>
      </w:r>
    </w:p>
    <w:p w14:paraId="39EF7536">
      <w:pPr>
        <w:pStyle w:val="29"/>
        <w:spacing w:before="0" w:beforeAutospacing="0" w:after="200" w:afterAutospacing="0" w:line="240" w:lineRule="auto"/>
        <w:ind w:left="284" w:firstLine="284"/>
        <w:rPr>
          <w:sz w:val="24"/>
          <w:szCs w:val="24"/>
        </w:rPr>
      </w:pPr>
      <w:r>
        <w:rPr>
          <w:sz w:val="24"/>
          <w:szCs w:val="24"/>
        </w:rPr>
        <w:t>h) Declaração da licitante subscrita por seu representante legal:</w:t>
      </w:r>
    </w:p>
    <w:p w14:paraId="327063C5">
      <w:pPr>
        <w:autoSpaceDE w:val="0"/>
        <w:autoSpaceDN w:val="0"/>
        <w:adjustRightInd w:val="0"/>
        <w:spacing w:after="360" w:line="240" w:lineRule="auto"/>
        <w:ind w:left="852"/>
        <w:jc w:val="both"/>
        <w:rPr>
          <w:rFonts w:ascii="Arial" w:hAnsi="Arial" w:cs="Arial"/>
          <w:sz w:val="24"/>
          <w:szCs w:val="24"/>
        </w:rPr>
      </w:pPr>
      <w:r>
        <w:rPr>
          <w:rFonts w:ascii="Arial" w:hAnsi="Arial" w:cs="Arial"/>
          <w:sz w:val="24"/>
          <w:szCs w:val="24"/>
        </w:rPr>
        <w:t>h.1) De que não emprega em trabalho noturno, perigoso ou insalubre menores de 18 (dezoito) anos e de qualquer trabalho a menores de 16 (dezesseis) anos, ressalvado na condição de aprendiz, conforme determina o artigo 7º, inciso XXXIII da Constituição Federal.</w:t>
      </w:r>
    </w:p>
    <w:p w14:paraId="1CB05D87">
      <w:pPr>
        <w:pStyle w:val="29"/>
        <w:spacing w:before="0" w:beforeAutospacing="0" w:after="200" w:afterAutospacing="0" w:line="240" w:lineRule="auto"/>
        <w:ind w:firstLine="284"/>
        <w:rPr>
          <w:sz w:val="24"/>
          <w:szCs w:val="24"/>
        </w:rPr>
      </w:pPr>
      <w:r>
        <w:rPr>
          <w:b/>
          <w:sz w:val="24"/>
          <w:szCs w:val="24"/>
        </w:rPr>
        <w:t>11.</w:t>
      </w:r>
      <w:r>
        <w:rPr>
          <w:rStyle w:val="5"/>
          <w:sz w:val="24"/>
          <w:szCs w:val="24"/>
        </w:rPr>
        <w:t xml:space="preserve">3. HABILITAÇÃO ECONÔMICO-FINANCEIRA </w:t>
      </w:r>
    </w:p>
    <w:p w14:paraId="3500B92B">
      <w:pPr>
        <w:pStyle w:val="29"/>
        <w:spacing w:before="0" w:beforeAutospacing="0" w:after="200" w:afterAutospacing="0" w:line="240" w:lineRule="auto"/>
        <w:ind w:left="568"/>
        <w:rPr>
          <w:rStyle w:val="5"/>
          <w:b w:val="0"/>
          <w:sz w:val="24"/>
          <w:szCs w:val="24"/>
        </w:rPr>
      </w:pPr>
      <w:r>
        <w:rPr>
          <w:sz w:val="24"/>
          <w:szCs w:val="24"/>
        </w:rPr>
        <w:t xml:space="preserve">a) </w:t>
      </w:r>
      <w:r>
        <w:rPr>
          <w:rStyle w:val="5"/>
          <w:b w:val="0"/>
          <w:sz w:val="24"/>
          <w:szCs w:val="24"/>
        </w:rPr>
        <w:t>Certidão negativa de falência ou recuperação judicial, expedida pelo distribuidor da sede da pessoa jurídica.</w:t>
      </w:r>
    </w:p>
    <w:p w14:paraId="77CC7824">
      <w:pPr>
        <w:autoSpaceDE w:val="0"/>
        <w:autoSpaceDN w:val="0"/>
        <w:adjustRightInd w:val="0"/>
        <w:spacing w:after="360" w:line="240" w:lineRule="auto"/>
        <w:ind w:left="852"/>
        <w:jc w:val="both"/>
        <w:rPr>
          <w:rFonts w:ascii="Arial" w:hAnsi="Arial" w:cs="Arial"/>
          <w:sz w:val="24"/>
          <w:szCs w:val="24"/>
        </w:rPr>
      </w:pPr>
      <w:r>
        <w:rPr>
          <w:rFonts w:ascii="Arial" w:hAnsi="Arial" w:cs="Arial"/>
          <w:sz w:val="24"/>
          <w:szCs w:val="24"/>
        </w:rPr>
        <w:t>a1) As licitantes sediadas no Estado de São Paulo deverão observar o Comunicado SPI nº 53/2015 publicado no Diário da Justiça Eletrônico aos 02/09/2015, Caderno Administrativo, Edição 1959, 11.</w:t>
      </w:r>
    </w:p>
    <w:p w14:paraId="7A29EEE4">
      <w:pPr>
        <w:pStyle w:val="29"/>
        <w:spacing w:before="0" w:beforeAutospacing="0" w:after="200" w:afterAutospacing="0" w:line="240" w:lineRule="auto"/>
        <w:ind w:firstLine="284"/>
        <w:rPr>
          <w:sz w:val="24"/>
          <w:szCs w:val="24"/>
        </w:rPr>
      </w:pPr>
      <w:r>
        <w:rPr>
          <w:b/>
          <w:sz w:val="24"/>
          <w:szCs w:val="24"/>
        </w:rPr>
        <w:t>11.</w:t>
      </w:r>
      <w:r>
        <w:rPr>
          <w:rStyle w:val="5"/>
          <w:sz w:val="24"/>
          <w:szCs w:val="24"/>
        </w:rPr>
        <w:t>4. OUTRAS COMPROVAÇÕES</w:t>
      </w:r>
    </w:p>
    <w:p w14:paraId="35BE9DBC">
      <w:pPr>
        <w:pStyle w:val="29"/>
        <w:spacing w:before="0" w:beforeAutospacing="0" w:after="200" w:afterAutospacing="0" w:line="240" w:lineRule="auto"/>
        <w:ind w:left="284" w:firstLine="284"/>
        <w:rPr>
          <w:sz w:val="24"/>
          <w:szCs w:val="24"/>
        </w:rPr>
      </w:pPr>
      <w:r>
        <w:rPr>
          <w:sz w:val="24"/>
          <w:szCs w:val="24"/>
        </w:rPr>
        <w:t>a) Declaração conjunta da licitante subscrita por seu representante legal:</w:t>
      </w:r>
    </w:p>
    <w:p w14:paraId="6CB60757">
      <w:pPr>
        <w:pStyle w:val="29"/>
        <w:spacing w:before="0" w:beforeAutospacing="0" w:after="200" w:afterAutospacing="0" w:line="240" w:lineRule="auto"/>
        <w:ind w:left="852"/>
        <w:rPr>
          <w:sz w:val="24"/>
          <w:szCs w:val="24"/>
        </w:rPr>
      </w:pPr>
      <w:r>
        <w:rPr>
          <w:sz w:val="24"/>
          <w:szCs w:val="24"/>
        </w:rPr>
        <w:t>a.1) De que cumpre as exigências de reserva de cargos para pessoa com deficiência e para reabilitado da Previdência Social, previstas em lei e em outras normas especificas, conforme inciso IV do artigo 63 da Lei 14.133/2021.</w:t>
      </w:r>
    </w:p>
    <w:p w14:paraId="786D09EF">
      <w:pPr>
        <w:pStyle w:val="29"/>
        <w:spacing w:before="0" w:beforeAutospacing="0" w:after="200" w:afterAutospacing="0" w:line="240" w:lineRule="auto"/>
        <w:ind w:left="852"/>
        <w:rPr>
          <w:sz w:val="24"/>
          <w:szCs w:val="24"/>
        </w:rPr>
      </w:pPr>
      <w:r>
        <w:rPr>
          <w:sz w:val="24"/>
          <w:szCs w:val="24"/>
        </w:rPr>
        <w:t>a.2)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em atendimento ao disposto no artigo 63, § 1º da Lei 14.133/2021, sob pena de desclassificação do certame.</w:t>
      </w:r>
    </w:p>
    <w:p w14:paraId="0A2314AE">
      <w:pPr>
        <w:pStyle w:val="29"/>
        <w:spacing w:before="0" w:beforeAutospacing="0" w:after="240" w:afterAutospacing="0" w:line="240" w:lineRule="auto"/>
        <w:ind w:left="568"/>
        <w:rPr>
          <w:sz w:val="24"/>
          <w:szCs w:val="24"/>
        </w:rPr>
      </w:pPr>
      <w:r>
        <w:rPr>
          <w:sz w:val="24"/>
          <w:szCs w:val="24"/>
        </w:rPr>
        <w:t>b) Para microempresas ou empresas de pequeno porte: Declaração de Microempresa ou Empresa de Pequeno Porte, constante no Anexo VI deste edital (nos exatos termos).</w:t>
      </w:r>
    </w:p>
    <w:p w14:paraId="3336A08A">
      <w:pPr>
        <w:pStyle w:val="47"/>
        <w:shd w:val="clear" w:color="auto" w:fill="auto"/>
        <w:spacing w:line="240" w:lineRule="auto"/>
        <w:ind w:left="568"/>
        <w:jc w:val="both"/>
        <w:rPr>
          <w:sz w:val="24"/>
          <w:szCs w:val="24"/>
          <w:u w:val="single"/>
        </w:rPr>
      </w:pPr>
      <w:r>
        <w:rPr>
          <w:sz w:val="24"/>
          <w:szCs w:val="24"/>
          <w:u w:val="single"/>
        </w:rPr>
        <w:t xml:space="preserve"> </w:t>
      </w:r>
    </w:p>
    <w:p w14:paraId="51B99F21">
      <w:pPr>
        <w:pStyle w:val="29"/>
        <w:spacing w:before="0" w:beforeAutospacing="0" w:after="200" w:afterAutospacing="0" w:line="240" w:lineRule="auto"/>
        <w:rPr>
          <w:rStyle w:val="5"/>
          <w:sz w:val="24"/>
          <w:szCs w:val="24"/>
        </w:rPr>
      </w:pPr>
      <w:r>
        <w:rPr>
          <w:b/>
          <w:sz w:val="24"/>
          <w:szCs w:val="24"/>
        </w:rPr>
        <w:t>12 –</w:t>
      </w:r>
      <w:r>
        <w:rPr>
          <w:rStyle w:val="5"/>
          <w:sz w:val="24"/>
          <w:szCs w:val="24"/>
        </w:rPr>
        <w:t xml:space="preserve"> DISPOSIÇÕES GERAIS SOBRE A DOCUMENTAÇÃO DE HABILITAÇÃO </w:t>
      </w:r>
    </w:p>
    <w:p w14:paraId="023515D8">
      <w:pPr>
        <w:pStyle w:val="29"/>
        <w:spacing w:before="0" w:beforeAutospacing="0" w:after="200" w:afterAutospacing="0" w:line="240" w:lineRule="auto"/>
        <w:ind w:left="284"/>
        <w:rPr>
          <w:bCs/>
          <w:sz w:val="24"/>
          <w:szCs w:val="24"/>
        </w:rPr>
      </w:pPr>
      <w:r>
        <w:rPr>
          <w:bCs/>
          <w:sz w:val="24"/>
          <w:szCs w:val="24"/>
        </w:rPr>
        <w:t>12.1. Os documentos deverão ser apresentados exclusivamente em formato digital, por meio da anexação em campo apropriado, no sistema eletrônico da Bolsa Nacional de Compras - Plataforma de Licitações Eletrônicas, obedecendo os prazos e as condições exigidas neste instrumento.</w:t>
      </w:r>
    </w:p>
    <w:p w14:paraId="50F85A97">
      <w:pPr>
        <w:pStyle w:val="29"/>
        <w:spacing w:before="0" w:beforeAutospacing="0" w:after="200" w:afterAutospacing="0" w:line="240" w:lineRule="auto"/>
        <w:ind w:left="284"/>
        <w:rPr>
          <w:bCs/>
          <w:sz w:val="24"/>
          <w:szCs w:val="24"/>
        </w:rPr>
      </w:pPr>
      <w:r>
        <w:rPr>
          <w:bCs/>
          <w:sz w:val="24"/>
          <w:szCs w:val="24"/>
        </w:rPr>
        <w:t xml:space="preserve">12.2. Não serão aceitos protocolos de entrega ou solicitação de documentos em substituição aos documentos ora exigidos, inclusive no que se refere às certidões. </w:t>
      </w:r>
    </w:p>
    <w:p w14:paraId="62B83B4E">
      <w:pPr>
        <w:pStyle w:val="29"/>
        <w:spacing w:before="0" w:beforeAutospacing="0" w:after="200" w:afterAutospacing="0" w:line="240" w:lineRule="auto"/>
        <w:ind w:left="284"/>
        <w:rPr>
          <w:sz w:val="24"/>
          <w:szCs w:val="24"/>
        </w:rPr>
      </w:pPr>
      <w:r>
        <w:rPr>
          <w:sz w:val="24"/>
          <w:szCs w:val="24"/>
        </w:rPr>
        <w:t>12.3. Na hipótese de não constar prazo de validade nas certidões apresentadas, serão aceitas como válidas as expedidas até 90 (noventa) dias imediatamente anteriores à data de apresentação das propostas.</w:t>
      </w:r>
    </w:p>
    <w:p w14:paraId="50C8011E">
      <w:pPr>
        <w:pStyle w:val="29"/>
        <w:spacing w:before="0" w:beforeAutospacing="0" w:after="200" w:afterAutospacing="0" w:line="240" w:lineRule="auto"/>
        <w:ind w:left="284"/>
        <w:rPr>
          <w:sz w:val="24"/>
          <w:szCs w:val="24"/>
        </w:rPr>
      </w:pPr>
      <w:r>
        <w:rPr>
          <w:sz w:val="24"/>
          <w:szCs w:val="24"/>
        </w:rPr>
        <w:t>12.4. Se a licitante for a matriz, todos os documentos deverão estar em nome da matriz, e se for filial, todos os documentos deverão estar em nome da filial, exceto aqueles documentos que, pela própria natureza, comprovadamente, forem emitidos somente em nome da matriz.</w:t>
      </w:r>
    </w:p>
    <w:p w14:paraId="23DFB750">
      <w:pPr>
        <w:pStyle w:val="29"/>
        <w:spacing w:before="0" w:beforeAutospacing="0" w:after="200" w:afterAutospacing="0" w:line="240" w:lineRule="auto"/>
        <w:ind w:left="284"/>
        <w:rPr>
          <w:sz w:val="24"/>
          <w:szCs w:val="24"/>
        </w:rPr>
      </w:pPr>
      <w:r>
        <w:rPr>
          <w:sz w:val="24"/>
          <w:szCs w:val="24"/>
        </w:rPr>
        <w:t>12.5. Caso a licitante pretenda que um de seus estabelecimentos, que não a participante desta licitação, execute o futuro contrato, deverá apresentar toda a documentação de ambos os estabelecimentos.</w:t>
      </w:r>
    </w:p>
    <w:p w14:paraId="5888429D">
      <w:pPr>
        <w:pStyle w:val="29"/>
        <w:spacing w:before="0" w:beforeAutospacing="0" w:after="200" w:afterAutospacing="0" w:line="240" w:lineRule="auto"/>
        <w:ind w:left="284"/>
        <w:rPr>
          <w:sz w:val="24"/>
          <w:szCs w:val="24"/>
        </w:rPr>
      </w:pPr>
      <w:r>
        <w:rPr>
          <w:sz w:val="24"/>
          <w:szCs w:val="24"/>
        </w:rPr>
        <w:t>12.6. O Pregoeiro ou a Equipe de apoio diligenciará efetuando consulta direta nos sítios dos órgãos expedidores na Internet para verificar a veracidade de documentos obtidos por este meio eletrônico.</w:t>
      </w:r>
    </w:p>
    <w:p w14:paraId="7E7076F8">
      <w:pPr>
        <w:pStyle w:val="29"/>
        <w:spacing w:after="200" w:afterAutospacing="0" w:line="240" w:lineRule="auto"/>
        <w:ind w:left="284"/>
        <w:rPr>
          <w:sz w:val="24"/>
          <w:szCs w:val="24"/>
        </w:rPr>
      </w:pPr>
      <w:r>
        <w:rPr>
          <w:sz w:val="24"/>
          <w:szCs w:val="24"/>
        </w:rPr>
        <w:t>12.7. Eventuais falhas, omissões ou outras irregularidades nos documentos de habilitação, poderão ser sanadas na sessão pública de processamento do Pregão, desde que não contrariem a Lei, até o julgamento das habilitações, inclusive mediante:</w:t>
      </w:r>
    </w:p>
    <w:p w14:paraId="3B91048D">
      <w:pPr>
        <w:pStyle w:val="29"/>
        <w:spacing w:after="200" w:afterAutospacing="0" w:line="240" w:lineRule="auto"/>
        <w:ind w:left="568"/>
        <w:rPr>
          <w:sz w:val="24"/>
          <w:szCs w:val="24"/>
        </w:rPr>
      </w:pPr>
      <w:r>
        <w:rPr>
          <w:sz w:val="24"/>
          <w:szCs w:val="24"/>
        </w:rPr>
        <w:t>a) substituição e apresentação de documentos; em conformidade com o art. 64 da Lei nº 14.133/2021; que: após a entrega dos documentos para habilitação, não será permitida a substituição ou a apresentação de novos documentos, salvo em sede de diligência, para (a) complementação de informações acerca dos documentos já apresentados pelos licitantes e desde que necessária para apurar fatos existentes à época da abertura do certame, e (b) atualização de documentos cuja validade tenha expirado após a data de recebimento das propostas;</w:t>
      </w:r>
    </w:p>
    <w:p w14:paraId="456863D3">
      <w:pPr>
        <w:pStyle w:val="29"/>
        <w:spacing w:before="0" w:beforeAutospacing="0" w:after="200" w:afterAutospacing="0" w:line="240" w:lineRule="auto"/>
        <w:ind w:left="284" w:firstLine="284"/>
        <w:rPr>
          <w:sz w:val="24"/>
          <w:szCs w:val="24"/>
        </w:rPr>
      </w:pPr>
      <w:r>
        <w:rPr>
          <w:sz w:val="24"/>
          <w:szCs w:val="24"/>
        </w:rPr>
        <w:t>b) verificação efetuada por meio eletrônico hábil de informações.</w:t>
      </w:r>
    </w:p>
    <w:p w14:paraId="50CA5DE2">
      <w:pPr>
        <w:pStyle w:val="29"/>
        <w:spacing w:before="0" w:beforeAutospacing="0" w:after="200" w:afterAutospacing="0" w:line="240" w:lineRule="auto"/>
        <w:ind w:left="568"/>
        <w:rPr>
          <w:sz w:val="24"/>
          <w:szCs w:val="24"/>
        </w:rPr>
      </w:pPr>
      <w:r>
        <w:rPr>
          <w:sz w:val="24"/>
          <w:szCs w:val="24"/>
        </w:rPr>
        <w:t>c) Na análise dos documentos de habilitação, o pregoeiro poderá sanar erros ou falhas, que não alterem a substância dos documentos e sua validade jurídica, mediante despacho fundamentado, registrado em Ata, ou outro documento de acesso a todos os participantes (CHAT de mensagens), e acessível a todos, atribuindo-lhes eficácia para fins de habilitação e classificação.</w:t>
      </w:r>
    </w:p>
    <w:p w14:paraId="7E8084D5">
      <w:pPr>
        <w:pStyle w:val="29"/>
        <w:spacing w:before="0" w:beforeAutospacing="0" w:after="200" w:afterAutospacing="0" w:line="240" w:lineRule="auto"/>
        <w:ind w:left="284"/>
        <w:rPr>
          <w:sz w:val="24"/>
          <w:szCs w:val="24"/>
        </w:rPr>
      </w:pPr>
      <w:r>
        <w:rPr>
          <w:sz w:val="24"/>
          <w:szCs w:val="24"/>
        </w:rPr>
        <w:t>12.8. Os documentos para as habilitações fiscal, social e trabalhista; de acordo com os documentos exigidos no artigo 68, incs. I ao IV da Lei 14.133/2021; poderão ser substituídos ou supridos, no todo ou em parte, por outros meios hábeis a comprovar a regularidade do licitante vencedor, inclusive por meio eletrônico, consoante art. 68, § 1º da Lei 14.133/2021.</w:t>
      </w:r>
    </w:p>
    <w:p w14:paraId="5708398F">
      <w:pPr>
        <w:pStyle w:val="29"/>
        <w:spacing w:after="200" w:afterAutospacing="0" w:line="240" w:lineRule="auto"/>
        <w:ind w:left="284"/>
        <w:rPr>
          <w:sz w:val="24"/>
          <w:szCs w:val="24"/>
        </w:rPr>
      </w:pPr>
      <w:r>
        <w:rPr>
          <w:sz w:val="24"/>
          <w:szCs w:val="24"/>
        </w:rPr>
        <w:t>12.9. Constatado o atendimento dos requisitos de habilitação previstos neste Edital e tendo sido aceito o menor preço apurado, o Pregoeiro declarará a empresa vencedora do(s) respectivo(s) item(ns).</w:t>
      </w:r>
    </w:p>
    <w:p w14:paraId="71951297">
      <w:pPr>
        <w:pStyle w:val="29"/>
        <w:spacing w:before="0" w:beforeAutospacing="0" w:after="200" w:afterAutospacing="0" w:line="240" w:lineRule="auto"/>
        <w:ind w:left="284"/>
        <w:rPr>
          <w:sz w:val="24"/>
          <w:szCs w:val="24"/>
        </w:rPr>
      </w:pPr>
      <w:r>
        <w:rPr>
          <w:sz w:val="24"/>
          <w:szCs w:val="24"/>
        </w:rPr>
        <w:t>12.10. Se a proposta de preços não for aceitável ou se a Licitante não atender aos requisitos de habilitação, caberá ao pregoeiro, convocar o autor do segundo menor lance e, se necessário, observada a ordem crescente de preços, o(s) autor(es) dos demais lances, até a apuração de uma proposta de preços que atenda ao Edital e seus anexos, sendo a respectiva licitante declarada vencedora.</w:t>
      </w:r>
    </w:p>
    <w:p w14:paraId="7EF71D6B">
      <w:pPr>
        <w:pStyle w:val="29"/>
        <w:spacing w:before="0" w:beforeAutospacing="0" w:after="200" w:afterAutospacing="0" w:line="240" w:lineRule="auto"/>
        <w:ind w:left="284"/>
        <w:rPr>
          <w:sz w:val="24"/>
          <w:szCs w:val="24"/>
        </w:rPr>
      </w:pPr>
      <w:r>
        <w:rPr>
          <w:sz w:val="24"/>
          <w:szCs w:val="24"/>
        </w:rPr>
        <w:t>12.11. A indicação do lance vencedor, a classificação dos lances apresentados e demais informações relativas à Sessão Pública do Pregão Eletrônico constarão em Ata divulgada no Sistema Eletrônico, bem como no site desta Prefeitura, sem prejuízo das demais formas de publicidade previstas na legislação pertinente.</w:t>
      </w:r>
    </w:p>
    <w:p w14:paraId="693087BB">
      <w:pPr>
        <w:widowControl w:val="0"/>
        <w:adjustRightInd w:val="0"/>
        <w:spacing w:line="240" w:lineRule="auto"/>
        <w:jc w:val="both"/>
        <w:textAlignment w:val="baseline"/>
        <w:rPr>
          <w:rFonts w:ascii="Arial" w:hAnsi="Arial" w:cs="Arial"/>
          <w:b/>
          <w:bCs/>
          <w:sz w:val="24"/>
          <w:szCs w:val="24"/>
        </w:rPr>
      </w:pPr>
      <w:r>
        <w:rPr>
          <w:rFonts w:ascii="Arial" w:hAnsi="Arial" w:cs="Arial"/>
          <w:b/>
          <w:bCs/>
          <w:sz w:val="24"/>
          <w:szCs w:val="24"/>
        </w:rPr>
        <w:t>13 – DOS RECURSOS</w:t>
      </w:r>
    </w:p>
    <w:p w14:paraId="7542D6C3">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13.1. Declarado o vencedor, o licitante que desejar recorrer deverá manifestar imediatamente sua intenção durante a sessão pública do certame, abrindo-se então o prazo de 03 (três) dias úteis para apresentação de memoriais, que deverão ser apresentados em campo próprio do sistema eletrônico, por escrito, ficando os demais licitantes desde logo intimadas para apresentar contrarrazões, também via sistema eletrônico, em igual número de dias, que começarão a correr no término do prazo do recorrente, sendo-lhes assegurada vista imediata dos autos.</w:t>
      </w:r>
    </w:p>
    <w:p w14:paraId="2035E403">
      <w:pPr>
        <w:widowControl w:val="0"/>
        <w:adjustRightInd w:val="0"/>
        <w:spacing w:line="240" w:lineRule="auto"/>
        <w:ind w:left="567"/>
        <w:jc w:val="both"/>
        <w:textAlignment w:val="baseline"/>
        <w:rPr>
          <w:rFonts w:ascii="Arial" w:hAnsi="Arial" w:cs="Arial"/>
          <w:sz w:val="24"/>
          <w:szCs w:val="24"/>
          <w:lang w:eastAsia="pt-BR"/>
        </w:rPr>
      </w:pPr>
      <w:r>
        <w:rPr>
          <w:rFonts w:ascii="Arial" w:hAnsi="Arial" w:cs="Arial"/>
          <w:sz w:val="24"/>
          <w:szCs w:val="24"/>
          <w:lang w:eastAsia="pt-BR"/>
        </w:rPr>
        <w:t>13.1.1. Conforme determina o Art. 165 § 1º da Lei 14.133/2021 poderá ser interposto recurso nas seguintes situações:</w:t>
      </w:r>
    </w:p>
    <w:p w14:paraId="4E791397">
      <w:pPr>
        <w:widowControl w:val="0"/>
        <w:numPr>
          <w:ilvl w:val="0"/>
          <w:numId w:val="3"/>
        </w:numPr>
        <w:adjustRightInd w:val="0"/>
        <w:spacing w:line="240" w:lineRule="auto"/>
        <w:ind w:left="851" w:hanging="5"/>
        <w:jc w:val="both"/>
        <w:textAlignment w:val="baseline"/>
        <w:rPr>
          <w:rFonts w:ascii="Arial" w:hAnsi="Arial" w:cs="Arial"/>
          <w:sz w:val="24"/>
          <w:szCs w:val="24"/>
          <w:lang w:eastAsia="pt-BR"/>
        </w:rPr>
      </w:pPr>
      <w:r>
        <w:rPr>
          <w:rFonts w:ascii="Arial" w:hAnsi="Arial" w:cs="Arial"/>
          <w:sz w:val="24"/>
          <w:szCs w:val="24"/>
          <w:lang w:eastAsia="pt-BR"/>
        </w:rPr>
        <w:t>do julgamento das propostas;</w:t>
      </w:r>
    </w:p>
    <w:p w14:paraId="15F17328">
      <w:pPr>
        <w:widowControl w:val="0"/>
        <w:numPr>
          <w:ilvl w:val="0"/>
          <w:numId w:val="3"/>
        </w:numPr>
        <w:adjustRightInd w:val="0"/>
        <w:spacing w:line="240" w:lineRule="auto"/>
        <w:ind w:left="851" w:hanging="5"/>
        <w:jc w:val="both"/>
        <w:textAlignment w:val="baseline"/>
        <w:rPr>
          <w:rFonts w:ascii="Arial" w:hAnsi="Arial" w:cs="Arial"/>
          <w:sz w:val="24"/>
          <w:szCs w:val="24"/>
          <w:lang w:eastAsia="pt-BR"/>
        </w:rPr>
      </w:pPr>
      <w:r>
        <w:rPr>
          <w:rFonts w:ascii="Arial" w:hAnsi="Arial" w:cs="Arial"/>
          <w:sz w:val="24"/>
          <w:szCs w:val="24"/>
          <w:lang w:eastAsia="pt-BR"/>
        </w:rPr>
        <w:t>do ato de habilitação ou inabilitação do licitante.</w:t>
      </w:r>
    </w:p>
    <w:p w14:paraId="6ADB7D33">
      <w:pPr>
        <w:pStyle w:val="29"/>
        <w:spacing w:before="0" w:beforeAutospacing="0" w:after="200" w:afterAutospacing="0" w:line="240" w:lineRule="auto"/>
        <w:ind w:left="568"/>
        <w:rPr>
          <w:sz w:val="24"/>
          <w:szCs w:val="24"/>
        </w:rPr>
      </w:pPr>
      <w:r>
        <w:rPr>
          <w:sz w:val="24"/>
          <w:szCs w:val="24"/>
        </w:rPr>
        <w:t xml:space="preserve">13.1.2. O protocolo deverá ser feito por meio eletrônico via Internet, no endereço </w:t>
      </w:r>
      <w:r>
        <w:fldChar w:fldCharType="begin"/>
      </w:r>
      <w:r>
        <w:instrText xml:space="preserve"> HYPERLINK "https://bnccompras.com/Home/Login" </w:instrText>
      </w:r>
      <w:r>
        <w:fldChar w:fldCharType="separate"/>
      </w:r>
      <w:r>
        <w:rPr>
          <w:rStyle w:val="8"/>
          <w:rFonts w:eastAsia="Times New Roman"/>
          <w:sz w:val="24"/>
          <w:szCs w:val="24"/>
        </w:rPr>
        <w:t>https://bnccompras.com/Home/Login</w:t>
      </w:r>
      <w:r>
        <w:rPr>
          <w:rStyle w:val="8"/>
          <w:rFonts w:eastAsia="Times New Roman"/>
          <w:sz w:val="24"/>
          <w:szCs w:val="24"/>
        </w:rPr>
        <w:fldChar w:fldCharType="end"/>
      </w:r>
      <w:r>
        <w:rPr>
          <w:sz w:val="24"/>
          <w:szCs w:val="24"/>
        </w:rPr>
        <w:t>, em local próprio, ou por meio físico até às 17h00 no Setor de Protocolo da Prefeitura Municipal de Paulínia, respeitando os prazos da Sessão Pública.</w:t>
      </w:r>
    </w:p>
    <w:p w14:paraId="015F0C29">
      <w:pPr>
        <w:widowControl w:val="0"/>
        <w:adjustRightInd w:val="0"/>
        <w:spacing w:line="240" w:lineRule="auto"/>
        <w:ind w:left="568"/>
        <w:jc w:val="both"/>
        <w:textAlignment w:val="baseline"/>
        <w:rPr>
          <w:rFonts w:ascii="Arial" w:hAnsi="Arial" w:cs="Arial"/>
          <w:sz w:val="24"/>
          <w:szCs w:val="24"/>
          <w:lang w:eastAsia="pt-BR"/>
        </w:rPr>
      </w:pPr>
      <w:r>
        <w:rPr>
          <w:rFonts w:ascii="Arial" w:hAnsi="Arial" w:cs="Arial"/>
          <w:sz w:val="24"/>
          <w:szCs w:val="24"/>
          <w:lang w:eastAsia="pt-BR"/>
        </w:rPr>
        <w:t>13.1.3. Caso haja retomada de sessão, cuja data e horário será definido pelo Agente de Contratação no transcorrer da sessão anterior e constará em ata da mesma, a interposição de recurso se dará após a etapa de análise da documentação de habilitação, quando for o caso.</w:t>
      </w:r>
    </w:p>
    <w:p w14:paraId="36623379">
      <w:pPr>
        <w:spacing w:line="240" w:lineRule="auto"/>
        <w:ind w:left="284"/>
        <w:jc w:val="both"/>
        <w:rPr>
          <w:rFonts w:ascii="Arial" w:hAnsi="Arial" w:cs="Arial"/>
          <w:sz w:val="24"/>
          <w:szCs w:val="24"/>
        </w:rPr>
      </w:pPr>
      <w:r>
        <w:rPr>
          <w:rFonts w:ascii="Arial" w:hAnsi="Arial" w:cs="Arial"/>
          <w:sz w:val="24"/>
          <w:szCs w:val="24"/>
        </w:rPr>
        <w:t>13.2. A ausência de manifestação imediata do licitante importará na decadência do direito de recurso e no encaminhamento do processo à autoridade competente para homologação e adjudicação do objeto do certame ao licitante vencedor.</w:t>
      </w:r>
    </w:p>
    <w:p w14:paraId="705D73BC">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13.3. Interposto o recurso, o Agente de Contratação poderá reconsiderar a sua decisão ou encaminhá-lo devidamente informado à autoridade competente – Secretário da Pasta solicitante.</w:t>
      </w:r>
    </w:p>
    <w:p w14:paraId="4C2DE33D">
      <w:pPr>
        <w:widowControl w:val="0"/>
        <w:adjustRightInd w:val="0"/>
        <w:spacing w:line="240" w:lineRule="auto"/>
        <w:ind w:left="568"/>
        <w:jc w:val="both"/>
        <w:textAlignment w:val="baseline"/>
        <w:rPr>
          <w:rFonts w:ascii="Arial" w:hAnsi="Arial" w:cs="Arial"/>
          <w:sz w:val="24"/>
          <w:szCs w:val="24"/>
          <w:lang w:eastAsia="pt-BR"/>
        </w:rPr>
      </w:pPr>
      <w:r>
        <w:rPr>
          <w:rFonts w:ascii="Arial" w:hAnsi="Arial" w:cs="Arial"/>
          <w:sz w:val="24"/>
          <w:szCs w:val="24"/>
          <w:lang w:eastAsia="pt-BR"/>
        </w:rPr>
        <w:t>13.3.1. O prazo para proferir a decisão será de no máximo 10 (dez) dias úteis.</w:t>
      </w:r>
    </w:p>
    <w:p w14:paraId="17738363">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13.4. Decididos os recursos e constatada a regularidade dos atos praticados, o Prefeito Municipal adjudicará o objeto do certame ao licitante vencedor e homologará o procedimento.</w:t>
      </w:r>
    </w:p>
    <w:p w14:paraId="458439D7">
      <w:pPr>
        <w:widowControl w:val="0"/>
        <w:adjustRightInd w:val="0"/>
        <w:spacing w:after="360"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13.5. O recurso terá efeito suspensivo e o seu acolhimento importará a invalidação dos atos insuscetíveis de aproveitamento.</w:t>
      </w:r>
    </w:p>
    <w:p w14:paraId="002F2C53">
      <w:pPr>
        <w:widowControl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14 – DA ADJUDICAÇÃO E DA HOMOLOGAÇÃO</w:t>
      </w:r>
    </w:p>
    <w:p w14:paraId="2CC41B6F">
      <w:pPr>
        <w:spacing w:line="240" w:lineRule="auto"/>
        <w:ind w:firstLine="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14.1. A adjudicação/homologação será feita pelo valor unitário. </w:t>
      </w:r>
    </w:p>
    <w:p w14:paraId="7A5D3C67">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14.2. Serão registrados na ata de registro de preços os preços e quantitativos do licitante mais bem classificado durante a fase competitiva;</w:t>
      </w:r>
    </w:p>
    <w:p w14:paraId="65E323CB">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14.3. Será incluído na respectiva ata, na forma de anexo, quando couber, o registro dos licitantes que aceitarem cotar os bens ou serviços com preços iguais aos do licitante vencedor na sequência da classificação do certame;</w:t>
      </w:r>
    </w:p>
    <w:p w14:paraId="55E0FDA2">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14.4. O preço registrado com indicação dos fornecedores será divulgado no sítio eletrônico oficial do Município e ficará disponibilizado durante a vigência da ata de registro de preços;</w:t>
      </w:r>
    </w:p>
    <w:p w14:paraId="336F165B">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 A ordem de classificação dos licitantes registrados na ata deverá ser respeitada nas contratações.</w:t>
      </w:r>
    </w:p>
    <w:p w14:paraId="47B9671E">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14.5.1. O registro a que se refere o item 14.4 tem por objetivo a formação de cadastro de reserva no caso de impossibilidade de atendimento pelo primeiro colocado da ata, nas hipóteses de cancelamento do registro do fornecedor.</w:t>
      </w:r>
    </w:p>
    <w:p w14:paraId="2EB5BD5F">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14.5.2. Se houver mais de um licitante na situação de que trata o item 14.4, serão classificados segundo a ordem da última proposta apresentada durante a fase competitiva.</w:t>
      </w:r>
    </w:p>
    <w:p w14:paraId="0D2EA654">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14.5.3. A habilitação dos fornecedores que comporão o cadastro de reserva a que se refere o item 14.4 será efetuada na hipótese em que o convocado deixar de assinar a ata de registro de preços no prazo e condições estabelecidos, e quando houver necessidade de contratação de fornecedor remanescente, nas hipóteses de cancelamento do registro do fornecedor.</w:t>
      </w:r>
    </w:p>
    <w:p w14:paraId="51AF9C90">
      <w:pPr>
        <w:spacing w:after="360"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14.5.4. O anexo que trata o 14.4. consiste na ata de realização da sessão pública do pregão, que conterá a informação dos licitantes que aceitarem cotar os bens ou serviços com preços iguais ao do licitante vencedor do certame.</w:t>
      </w:r>
    </w:p>
    <w:p w14:paraId="14E2BFEF">
      <w:pPr>
        <w:pStyle w:val="29"/>
        <w:spacing w:before="0" w:beforeAutospacing="0" w:after="200" w:afterAutospacing="0" w:line="240" w:lineRule="auto"/>
        <w:rPr>
          <w:sz w:val="24"/>
          <w:szCs w:val="24"/>
        </w:rPr>
      </w:pPr>
      <w:r>
        <w:rPr>
          <w:rStyle w:val="5"/>
          <w:sz w:val="24"/>
          <w:szCs w:val="24"/>
        </w:rPr>
        <w:t>15 – DOS PRAZOS, DAS CONDIÇÕES E DO LOCAL DE ENTREGA DO OBJETO DA LICITAÇÃO</w:t>
      </w:r>
    </w:p>
    <w:p w14:paraId="59E9E893">
      <w:pPr>
        <w:pStyle w:val="29"/>
        <w:spacing w:before="0" w:beforeAutospacing="0" w:after="200" w:afterAutospacing="0" w:line="240" w:lineRule="auto"/>
        <w:ind w:left="284"/>
        <w:rPr>
          <w:sz w:val="24"/>
          <w:szCs w:val="24"/>
        </w:rPr>
      </w:pPr>
      <w:r>
        <w:rPr>
          <w:sz w:val="24"/>
          <w:szCs w:val="24"/>
        </w:rPr>
        <w:t>15.1. O objeto desta licitação deverá ser entregue em conformidade com o descrito nas especificações do objeto de responsabilidade da Secretaria Municipal de Saúde.</w:t>
      </w:r>
    </w:p>
    <w:p w14:paraId="7D8C2471">
      <w:pPr>
        <w:pStyle w:val="29"/>
        <w:spacing w:before="0" w:beforeAutospacing="0" w:after="200" w:afterAutospacing="0" w:line="240" w:lineRule="auto"/>
        <w:ind w:left="284"/>
        <w:rPr>
          <w:sz w:val="24"/>
          <w:szCs w:val="24"/>
        </w:rPr>
      </w:pPr>
      <w:r>
        <w:rPr>
          <w:sz w:val="24"/>
          <w:szCs w:val="24"/>
        </w:rPr>
        <w:t>15.2. Não se admitirá a entrega ou prestação contratual ocorrida além do prazo entabulado, salvo justificação prévia, escrita e fundamentada do gestor do contrato, avalizada pela Secretaria da respectiva pasta.</w:t>
      </w:r>
    </w:p>
    <w:p w14:paraId="045F097A">
      <w:pPr>
        <w:pStyle w:val="29"/>
        <w:spacing w:before="0" w:beforeAutospacing="0" w:after="360" w:afterAutospacing="0" w:line="240" w:lineRule="auto"/>
        <w:ind w:left="284"/>
        <w:rPr>
          <w:sz w:val="24"/>
          <w:szCs w:val="24"/>
        </w:rPr>
      </w:pPr>
      <w:r>
        <w:rPr>
          <w:sz w:val="24"/>
          <w:szCs w:val="24"/>
        </w:rPr>
        <w:t>15.3. Não se admitirá, em nenhuma circunstância, a prestação para além do saldo contratual.</w:t>
      </w:r>
    </w:p>
    <w:p w14:paraId="4CFB3BB3">
      <w:pPr>
        <w:pStyle w:val="29"/>
        <w:spacing w:before="0" w:beforeAutospacing="0" w:after="200" w:afterAutospacing="0" w:line="240" w:lineRule="auto"/>
        <w:rPr>
          <w:sz w:val="24"/>
          <w:szCs w:val="24"/>
        </w:rPr>
      </w:pPr>
      <w:r>
        <w:rPr>
          <w:rStyle w:val="5"/>
          <w:sz w:val="24"/>
          <w:szCs w:val="24"/>
        </w:rPr>
        <w:t xml:space="preserve">16 – DAS CONDIÇÕES DE RECEBIMENTO DO OBJETO </w:t>
      </w:r>
    </w:p>
    <w:p w14:paraId="5D2E2C93">
      <w:pPr>
        <w:pStyle w:val="29"/>
        <w:spacing w:before="0" w:beforeAutospacing="0" w:after="200" w:afterAutospacing="0" w:line="240" w:lineRule="auto"/>
        <w:ind w:left="284"/>
        <w:rPr>
          <w:sz w:val="24"/>
          <w:szCs w:val="24"/>
        </w:rPr>
      </w:pPr>
      <w:r>
        <w:rPr>
          <w:sz w:val="24"/>
          <w:szCs w:val="24"/>
        </w:rPr>
        <w:t xml:space="preserve">16.1. O objeto somente será recebido se estiver plenamente de acordo com as especificações, contidas no Anexo I e/ou Termo de Referência do presente Edital. </w:t>
      </w:r>
    </w:p>
    <w:p w14:paraId="4F70E87B">
      <w:pPr>
        <w:pStyle w:val="29"/>
        <w:spacing w:before="0" w:beforeAutospacing="0" w:after="200" w:afterAutospacing="0" w:line="240" w:lineRule="auto"/>
        <w:ind w:firstLine="284"/>
        <w:rPr>
          <w:sz w:val="24"/>
          <w:szCs w:val="24"/>
        </w:rPr>
      </w:pPr>
      <w:r>
        <w:rPr>
          <w:sz w:val="24"/>
          <w:szCs w:val="24"/>
        </w:rPr>
        <w:t>16.2. O recebimento, no caso de compras será:</w:t>
      </w:r>
    </w:p>
    <w:p w14:paraId="399391CC">
      <w:pPr>
        <w:pStyle w:val="29"/>
        <w:spacing w:before="0" w:beforeAutospacing="0" w:after="200" w:afterAutospacing="0" w:line="240" w:lineRule="auto"/>
        <w:ind w:left="568"/>
        <w:rPr>
          <w:sz w:val="24"/>
          <w:szCs w:val="24"/>
        </w:rPr>
      </w:pPr>
      <w:r>
        <w:rPr>
          <w:sz w:val="24"/>
          <w:szCs w:val="24"/>
        </w:rPr>
        <w:t>a) Provisoriamente, de forma sumária, pelo responsável por seu acompanhamento e fiscalização, com verificação posterior da conformidade do material com as exigências contratuais e Termo de Referência do presente edital;</w:t>
      </w:r>
    </w:p>
    <w:p w14:paraId="6D4D1427">
      <w:pPr>
        <w:pStyle w:val="29"/>
        <w:spacing w:before="0" w:beforeAutospacing="0" w:after="200" w:afterAutospacing="0" w:line="240" w:lineRule="auto"/>
        <w:ind w:left="568"/>
        <w:rPr>
          <w:sz w:val="24"/>
          <w:szCs w:val="24"/>
        </w:rPr>
      </w:pPr>
      <w:r>
        <w:rPr>
          <w:sz w:val="24"/>
          <w:szCs w:val="24"/>
        </w:rPr>
        <w:t>b) Definitivamente, por servidor ou comissão designada pela autoridade competente, em prazo não superior a 30 (trinta) dias corridos a contar do recebimento provisório, mediante termo detalhado que comprove o atendimento das exigências contratuais.</w:t>
      </w:r>
    </w:p>
    <w:p w14:paraId="410AFC3A">
      <w:pPr>
        <w:pStyle w:val="12"/>
        <w:spacing w:before="0" w:beforeAutospacing="0" w:after="200" w:afterAutospacing="0"/>
        <w:rPr>
          <w:rFonts w:ascii="Arial" w:hAnsi="Arial" w:cs="Arial"/>
        </w:rPr>
      </w:pPr>
      <w:r>
        <w:rPr>
          <w:rStyle w:val="5"/>
          <w:rFonts w:ascii="Arial" w:hAnsi="Arial" w:cs="Arial"/>
        </w:rPr>
        <w:t>17 – DAS CONDIÇÕES DE PAGAMENTO</w:t>
      </w:r>
    </w:p>
    <w:p w14:paraId="5D7B11D0">
      <w:pPr>
        <w:pStyle w:val="29"/>
        <w:spacing w:before="0" w:beforeAutospacing="0" w:after="200" w:afterAutospacing="0" w:line="240" w:lineRule="auto"/>
        <w:ind w:left="284"/>
        <w:rPr>
          <w:sz w:val="24"/>
          <w:szCs w:val="24"/>
        </w:rPr>
      </w:pPr>
      <w:r>
        <w:rPr>
          <w:sz w:val="24"/>
          <w:szCs w:val="24"/>
        </w:rPr>
        <w:t>17.1. O pagamento será efetuado de forma parcelada, em 30 (trinta) dias, de acordo com as quantidades efetivamente entregues e devidamente atestadas pela Secretaria Municipal de Saúde e com os preços unitários constantes da planilha de preços da(s) licitante(s) vencedora(s).</w:t>
      </w:r>
    </w:p>
    <w:p w14:paraId="5567431C">
      <w:pPr>
        <w:pStyle w:val="29"/>
        <w:spacing w:before="0" w:beforeAutospacing="0" w:after="200" w:afterAutospacing="0" w:line="240" w:lineRule="auto"/>
        <w:ind w:left="568"/>
        <w:rPr>
          <w:sz w:val="24"/>
          <w:szCs w:val="24"/>
        </w:rPr>
      </w:pPr>
      <w:r>
        <w:rPr>
          <w:sz w:val="24"/>
          <w:szCs w:val="24"/>
        </w:rPr>
        <w:t>17.1.1. A contagem do prazo de 30 (trinta) dias se iniciará a partir do ateste da nota fiscal, conforme Decreto nº 8595/2024 de 16 de fevereiro de 2024.</w:t>
      </w:r>
    </w:p>
    <w:p w14:paraId="75866E3F">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17.1.2.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4D578113">
      <w:pPr>
        <w:autoSpaceDE w:val="0"/>
        <w:autoSpaceDN w:val="0"/>
        <w:adjustRightInd w:val="0"/>
        <w:spacing w:line="240" w:lineRule="auto"/>
        <w:ind w:left="568"/>
        <w:jc w:val="both"/>
        <w:rPr>
          <w:rFonts w:ascii="Arial" w:hAnsi="Arial" w:cs="Arial"/>
          <w:sz w:val="24"/>
          <w:szCs w:val="24"/>
        </w:rPr>
      </w:pPr>
      <w:r>
        <w:rPr>
          <w:rFonts w:ascii="Arial" w:hAnsi="Arial" w:cs="Arial"/>
          <w:bCs/>
          <w:sz w:val="24"/>
          <w:szCs w:val="24"/>
        </w:rPr>
        <w:t xml:space="preserve">17.1.3.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30FF8A7F">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17.1.4. Aferidos os produtos e documentos anexados à nota fiscal/fatura pela Secretaria Municipal de Saúde, esta emitirá o seu recebimento e encaminhará para a Secretaria Municipal de Finanças providenciar o respectivo pagamento.</w:t>
      </w:r>
    </w:p>
    <w:p w14:paraId="567106BF">
      <w:pPr>
        <w:spacing w:line="240" w:lineRule="auto"/>
        <w:ind w:left="568"/>
        <w:jc w:val="both"/>
        <w:rPr>
          <w:rFonts w:ascii="Arial" w:hAnsi="Arial" w:cs="Arial"/>
          <w:sz w:val="24"/>
        </w:rPr>
      </w:pPr>
      <w:r>
        <w:rPr>
          <w:rFonts w:ascii="Arial" w:hAnsi="Arial" w:cs="Arial"/>
          <w:sz w:val="24"/>
        </w:rPr>
        <w:t>17.1.5. Os pagamentos a serem efetuados pelo MUNICÍPIO DE PAULÍNIA, não obstante o prazo acima fixado, obedecerão às normas da Lei Federal nº 14.133/2021 e posteriores alterações.</w:t>
      </w:r>
    </w:p>
    <w:p w14:paraId="491CBAB5">
      <w:pPr>
        <w:spacing w:line="240" w:lineRule="auto"/>
        <w:ind w:left="568"/>
        <w:jc w:val="both"/>
        <w:rPr>
          <w:rFonts w:ascii="Arial" w:hAnsi="Arial" w:cs="Arial"/>
          <w:sz w:val="24"/>
        </w:rPr>
      </w:pPr>
      <w:r>
        <w:rPr>
          <w:rFonts w:ascii="Arial" w:hAnsi="Arial" w:cs="Arial"/>
          <w:sz w:val="24"/>
        </w:rPr>
        <w:t>17.1.6. Não haverá correção monetária entre o ateste da Nota Fiscal e o efetivo pagamento, respeitando os prazos previstos no presente Edital. Porém, ocorrendo inadimplemento / mora no pagamento, incidirá o mesmo coeficiente de atualização monetária previsto no presente Edital. O regramento seguira as orientações proferidas na Portaria 001/2024/SMF de 20/02/2024, publicada no Diário Oficial do Município em 22/02/2024.</w:t>
      </w:r>
    </w:p>
    <w:p w14:paraId="6E338C1D">
      <w:pPr>
        <w:pStyle w:val="29"/>
        <w:spacing w:before="0" w:beforeAutospacing="0" w:after="200" w:afterAutospacing="0" w:line="240" w:lineRule="auto"/>
        <w:ind w:left="284"/>
        <w:rPr>
          <w:sz w:val="24"/>
          <w:szCs w:val="24"/>
        </w:rPr>
      </w:pPr>
      <w:r>
        <w:rPr>
          <w:sz w:val="24"/>
          <w:szCs w:val="24"/>
        </w:rPr>
        <w:t xml:space="preserve">17.2. As notas fiscais/faturas que apresentarem incorreções serão devolvidas à Contratada e seu vencimento ocorrerá em 05 (cinco) dias após a data de sua apresentação válida. </w:t>
      </w:r>
    </w:p>
    <w:p w14:paraId="4A9336FC">
      <w:pPr>
        <w:pStyle w:val="29"/>
        <w:spacing w:before="0" w:beforeAutospacing="0" w:after="200" w:afterAutospacing="0" w:line="240" w:lineRule="auto"/>
        <w:ind w:left="284"/>
        <w:rPr>
          <w:sz w:val="24"/>
          <w:szCs w:val="24"/>
        </w:rPr>
      </w:pPr>
      <w:r>
        <w:rPr>
          <w:sz w:val="24"/>
          <w:szCs w:val="24"/>
        </w:rPr>
        <w:t>17.3. O pagamento será feito mediante crédito aberto em conta corrente em nome da Contratada.</w:t>
      </w:r>
    </w:p>
    <w:p w14:paraId="0CB14488">
      <w:pPr>
        <w:pStyle w:val="29"/>
        <w:spacing w:before="0" w:beforeAutospacing="0" w:after="200" w:afterAutospacing="0" w:line="240" w:lineRule="auto"/>
        <w:ind w:left="284"/>
        <w:rPr>
          <w:rStyle w:val="5"/>
          <w:b w:val="0"/>
          <w:sz w:val="24"/>
          <w:szCs w:val="24"/>
        </w:rPr>
      </w:pPr>
      <w:r>
        <w:rPr>
          <w:rStyle w:val="5"/>
          <w:b w:val="0"/>
          <w:sz w:val="24"/>
          <w:szCs w:val="24"/>
        </w:rPr>
        <w:t>17.4. Os preços são fixos e irreajustáveis pelo período de 12 (doze) meses, a contar da data do orçamento estimado em 29/09/2025. Após o período de 12 (doze) meses, os valores contratados poderão ser reajustados, visando a adequação aos preços de mercado pela variação percentual, com base no indicador INPC – Índice Nacional de Preços ao Consumidor (IBGE).</w:t>
      </w:r>
    </w:p>
    <w:p w14:paraId="079EC6DD">
      <w:pPr>
        <w:pStyle w:val="29"/>
        <w:spacing w:before="0" w:beforeAutospacing="0" w:after="200" w:afterAutospacing="0" w:line="240" w:lineRule="auto"/>
        <w:rPr>
          <w:sz w:val="24"/>
          <w:szCs w:val="24"/>
        </w:rPr>
      </w:pPr>
      <w:r>
        <w:rPr>
          <w:rStyle w:val="5"/>
          <w:sz w:val="24"/>
          <w:szCs w:val="24"/>
        </w:rPr>
        <w:t>18 – DA ASSINATURA DA ATA DE REGISTRO DE PREÇOS</w:t>
      </w:r>
    </w:p>
    <w:p w14:paraId="713FBB43">
      <w:pPr>
        <w:pStyle w:val="29"/>
        <w:spacing w:before="0" w:beforeAutospacing="0" w:after="200" w:afterAutospacing="0" w:line="240" w:lineRule="auto"/>
        <w:ind w:left="284"/>
        <w:rPr>
          <w:sz w:val="24"/>
          <w:szCs w:val="24"/>
        </w:rPr>
      </w:pPr>
      <w:r>
        <w:rPr>
          <w:sz w:val="24"/>
          <w:szCs w:val="24"/>
        </w:rPr>
        <w:t>18.1. Homologado o resultado da licitação, o(s) fornecedor(es) mais bem classificado(s) será(ão) convocado(s) para assinar a ata de registro de preços, no prazo e nas condições estabelecidos no edital ou documento equivalente, podendo o prazo ser prorrogado uma vez, por igual período, quando solicitado pelo fornecedor antes do término do prazo inicial, e desde que ocorra motivo justificado aceito pela administração.</w:t>
      </w:r>
    </w:p>
    <w:p w14:paraId="34FFF546">
      <w:pPr>
        <w:pStyle w:val="29"/>
        <w:spacing w:after="200" w:afterAutospacing="0" w:line="240" w:lineRule="auto"/>
        <w:ind w:left="284"/>
        <w:rPr>
          <w:sz w:val="24"/>
          <w:szCs w:val="24"/>
        </w:rPr>
      </w:pPr>
      <w:r>
        <w:rPr>
          <w:sz w:val="24"/>
          <w:szCs w:val="24"/>
        </w:rPr>
        <w:t>18.2.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5A7142B0">
      <w:pPr>
        <w:pStyle w:val="29"/>
        <w:spacing w:after="200" w:afterAutospacing="0" w:line="240" w:lineRule="auto"/>
        <w:ind w:left="284"/>
        <w:rPr>
          <w:sz w:val="24"/>
          <w:szCs w:val="24"/>
        </w:rPr>
      </w:pPr>
      <w:r>
        <w:rPr>
          <w:sz w:val="24"/>
          <w:szCs w:val="24"/>
        </w:rPr>
        <w:t>18.3. A ata de registro de preços implicará compromisso de fornecimento nas condições estabelecidas, após cumpridos os requisitos de publicidade.</w:t>
      </w:r>
    </w:p>
    <w:p w14:paraId="6E5EA28C">
      <w:pPr>
        <w:pStyle w:val="29"/>
        <w:spacing w:after="200" w:afterAutospacing="0" w:line="240" w:lineRule="auto"/>
        <w:ind w:left="568"/>
        <w:rPr>
          <w:sz w:val="24"/>
          <w:szCs w:val="24"/>
        </w:rPr>
      </w:pPr>
      <w:r>
        <w:rPr>
          <w:sz w:val="24"/>
          <w:szCs w:val="24"/>
        </w:rPr>
        <w:t>18.3.1. A recusa injustificada de fornecedor classificado em assinar a ata, dentro do prazo estabelecido, ensejará a aplicação das penalidades legalmente estabelecidas no edital ou documento equivalente.</w:t>
      </w:r>
    </w:p>
    <w:p w14:paraId="3F8ED7C2">
      <w:pPr>
        <w:pStyle w:val="29"/>
        <w:spacing w:after="200" w:afterAutospacing="0" w:line="240" w:lineRule="auto"/>
        <w:ind w:left="284"/>
        <w:rPr>
          <w:sz w:val="24"/>
          <w:szCs w:val="24"/>
        </w:rPr>
      </w:pPr>
      <w:r>
        <w:rPr>
          <w:sz w:val="24"/>
          <w:szCs w:val="24"/>
        </w:rPr>
        <w:t>18.4. A contratação com os fornecedores registrados será formalizada por intermédio de termo contratual, na forma da minuta que acompanhou o edital, salvo nas hipóteses em que possa substituí-lo por outro instrumento hábil, conforme o art. 95 da Lei 14.133, de 2021.</w:t>
      </w:r>
    </w:p>
    <w:p w14:paraId="65F813E7">
      <w:pPr>
        <w:pStyle w:val="29"/>
        <w:spacing w:after="200" w:afterAutospacing="0" w:line="240" w:lineRule="auto"/>
        <w:ind w:left="284"/>
        <w:rPr>
          <w:sz w:val="24"/>
          <w:szCs w:val="24"/>
        </w:rPr>
      </w:pPr>
      <w:r>
        <w:rPr>
          <w:sz w:val="24"/>
          <w:szCs w:val="24"/>
        </w:rPr>
        <w:t>18.5.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79206A5E">
      <w:pPr>
        <w:pStyle w:val="29"/>
        <w:spacing w:after="200" w:afterAutospacing="0" w:line="240" w:lineRule="auto"/>
        <w:ind w:firstLine="284"/>
        <w:rPr>
          <w:sz w:val="24"/>
          <w:szCs w:val="24"/>
        </w:rPr>
      </w:pPr>
      <w:r>
        <w:rPr>
          <w:sz w:val="24"/>
          <w:szCs w:val="24"/>
        </w:rPr>
        <w:t>18.6. Caberá ao órgão participante, através de seu gestor do contrato:</w:t>
      </w:r>
    </w:p>
    <w:p w14:paraId="6B9D961A">
      <w:pPr>
        <w:pStyle w:val="29"/>
        <w:spacing w:after="200" w:afterAutospacing="0" w:line="240" w:lineRule="auto"/>
        <w:ind w:left="568"/>
        <w:rPr>
          <w:sz w:val="24"/>
          <w:szCs w:val="24"/>
        </w:rPr>
      </w:pPr>
      <w:r>
        <w:rPr>
          <w:sz w:val="24"/>
          <w:szCs w:val="24"/>
        </w:rPr>
        <w:t>I - encaminhar ao órgão gerenciador as informações sobre a contratação efetivamente realizada;</w:t>
      </w:r>
    </w:p>
    <w:p w14:paraId="17944A53">
      <w:pPr>
        <w:pStyle w:val="29"/>
        <w:spacing w:after="200" w:afterAutospacing="0" w:line="240" w:lineRule="auto"/>
        <w:ind w:left="284" w:firstLine="284"/>
        <w:rPr>
          <w:sz w:val="24"/>
          <w:szCs w:val="24"/>
        </w:rPr>
      </w:pPr>
      <w:r>
        <w:rPr>
          <w:sz w:val="24"/>
          <w:szCs w:val="24"/>
        </w:rPr>
        <w:t>II - zelar pelo cumprimento das obrigações contratualmente assumidas.</w:t>
      </w:r>
    </w:p>
    <w:p w14:paraId="2EF414C4">
      <w:pPr>
        <w:pStyle w:val="29"/>
        <w:spacing w:before="0" w:beforeAutospacing="0" w:after="200" w:afterAutospacing="0" w:line="240" w:lineRule="auto"/>
        <w:ind w:left="284"/>
        <w:rPr>
          <w:sz w:val="24"/>
          <w:szCs w:val="24"/>
        </w:rPr>
      </w:pPr>
      <w:r>
        <w:rPr>
          <w:sz w:val="24"/>
          <w:szCs w:val="24"/>
        </w:rPr>
        <w:t>18.7. A contratação específica só poderá ocorrer após autorização e declaração formal prestada pelo órgão gerenciador. A adjudicatária deverá, no prazo de 5 (cinco) dias úteis contados da data da convocação, assinar o termo de contrato. O prazo estabelecido no edital para assinatura do contrato poderá ser prorrogado uma única vez, por igual período, mediante solicitação fundamentada do interessado, desde que o motivo seja aceito pela Secretaria requisitante.</w:t>
      </w:r>
    </w:p>
    <w:p w14:paraId="64CD6909">
      <w:pPr>
        <w:pStyle w:val="29"/>
        <w:spacing w:before="0" w:beforeAutospacing="0" w:after="200" w:afterAutospacing="0" w:line="240" w:lineRule="auto"/>
        <w:ind w:left="284"/>
        <w:rPr>
          <w:sz w:val="24"/>
          <w:szCs w:val="24"/>
        </w:rPr>
      </w:pPr>
      <w:bookmarkStart w:id="7" w:name="OLE_LINK1"/>
      <w:r>
        <w:rPr>
          <w:sz w:val="24"/>
          <w:szCs w:val="24"/>
        </w:rPr>
        <w:t xml:space="preserve">18.8. Tratando-se de microempresa ou empresa de pequeno porte, cuja documentação de regularidade fiscal tenha indicado restrições à época da fase de habilitação, deverá comprovar, previamente à assinatura do contrato, a </w:t>
      </w:r>
      <w:r>
        <w:rPr>
          <w:bCs/>
          <w:sz w:val="24"/>
          <w:szCs w:val="24"/>
        </w:rPr>
        <w:t>regularidade fiscal</w:t>
      </w:r>
      <w:r>
        <w:rPr>
          <w:sz w:val="24"/>
          <w:szCs w:val="24"/>
        </w:rPr>
        <w:t>, no prazo de 05 (</w:t>
      </w:r>
      <w:r>
        <w:rPr>
          <w:bCs/>
          <w:sz w:val="24"/>
          <w:szCs w:val="24"/>
        </w:rPr>
        <w:t>cinco) dias úteis</w:t>
      </w:r>
      <w:r>
        <w:rPr>
          <w:sz w:val="24"/>
          <w:szCs w:val="24"/>
        </w:rPr>
        <w:t>, a contar do momento em que o proponente for declarado vencedor do certame, prorrogável por igual período, a critério desta Prefeitura, sob pena de a contratação não se realizar, decaindo do direito à contratação, sem prejuízo das sanções previstas neste edital.</w:t>
      </w:r>
    </w:p>
    <w:p w14:paraId="37436333">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18.8.1. Aplicam-se, no que couberem, as demais disposições da Lei Complementar nº 123, de 14 de dezembro de 2006, e da Lei Complementar nº 147, de 07 de agosto de 2014.</w:t>
      </w:r>
    </w:p>
    <w:p w14:paraId="2F4168B4">
      <w:pPr>
        <w:pStyle w:val="29"/>
        <w:spacing w:before="0" w:beforeAutospacing="0" w:after="200" w:afterAutospacing="0" w:line="240" w:lineRule="auto"/>
        <w:ind w:left="284"/>
        <w:rPr>
          <w:color w:val="000000"/>
          <w:sz w:val="24"/>
          <w:szCs w:val="24"/>
        </w:rPr>
      </w:pPr>
      <w:r>
        <w:rPr>
          <w:color w:val="000000"/>
          <w:sz w:val="24"/>
          <w:szCs w:val="24"/>
        </w:rPr>
        <w:t xml:space="preserve">18.9. </w:t>
      </w:r>
      <w:bookmarkEnd w:id="7"/>
      <w:r>
        <w:rPr>
          <w:color w:val="000000"/>
          <w:sz w:val="24"/>
          <w:szCs w:val="24"/>
        </w:rPr>
        <w:t>O prazo de vigência da ata de registro de preços, será de até 1 (um) ano e poderá ser prorrogado, até o limite de mais 1 (um) ano, desde que comprovado o preço vantajoso.</w:t>
      </w:r>
    </w:p>
    <w:p w14:paraId="7B5A9EAC">
      <w:pPr>
        <w:pStyle w:val="29"/>
        <w:spacing w:after="200" w:afterAutospacing="0" w:line="240" w:lineRule="auto"/>
        <w:ind w:left="568"/>
        <w:rPr>
          <w:color w:val="000000"/>
          <w:sz w:val="24"/>
          <w:szCs w:val="24"/>
        </w:rPr>
      </w:pPr>
      <w:r>
        <w:rPr>
          <w:color w:val="000000"/>
          <w:sz w:val="24"/>
          <w:szCs w:val="24"/>
        </w:rPr>
        <w:t>18.9.1. Ficam limitados os acréscimos nos quantitativos fixados pela ata de registro de preços aos limites estabelecidos no art. 125 da Lei 14.133, de 2021.</w:t>
      </w:r>
    </w:p>
    <w:p w14:paraId="5D3F042B">
      <w:pPr>
        <w:pStyle w:val="29"/>
        <w:spacing w:after="200" w:afterAutospacing="0" w:line="240" w:lineRule="auto"/>
        <w:ind w:left="568"/>
        <w:rPr>
          <w:color w:val="000000"/>
          <w:sz w:val="24"/>
          <w:szCs w:val="24"/>
        </w:rPr>
      </w:pPr>
      <w:r>
        <w:rPr>
          <w:color w:val="000000"/>
          <w:sz w:val="24"/>
          <w:szCs w:val="24"/>
        </w:rPr>
        <w:t>18.9.2. A vigência dos contratos decorrentes do sistema de registro de preços será estabelecida em conformidade com as disposições contidas na ata a que se vincula, não podendo desnaturar a essência do sistema.</w:t>
      </w:r>
    </w:p>
    <w:p w14:paraId="558FC514">
      <w:pPr>
        <w:pStyle w:val="29"/>
        <w:spacing w:after="360" w:afterAutospacing="0" w:line="240" w:lineRule="auto"/>
        <w:ind w:left="568"/>
        <w:rPr>
          <w:color w:val="000000"/>
          <w:sz w:val="24"/>
          <w:szCs w:val="24"/>
        </w:rPr>
      </w:pPr>
      <w:r>
        <w:rPr>
          <w:color w:val="000000"/>
          <w:sz w:val="24"/>
          <w:szCs w:val="24"/>
        </w:rPr>
        <w:t>18.9.3. Os contratos decorrentes do sistema de registro de preços, deverão ser firmados dentro do prazo de validade da ata de registro de preços a que estiverem vinculados, e poderão ser alterados, observado o disposto no art. 124 da Lei 14.133, de 2021.</w:t>
      </w:r>
    </w:p>
    <w:p w14:paraId="078879D8">
      <w:pPr>
        <w:pStyle w:val="29"/>
        <w:spacing w:before="0" w:beforeAutospacing="0" w:after="200" w:afterAutospacing="0" w:line="240" w:lineRule="auto"/>
        <w:rPr>
          <w:sz w:val="24"/>
          <w:szCs w:val="24"/>
        </w:rPr>
      </w:pPr>
      <w:r>
        <w:rPr>
          <w:rStyle w:val="5"/>
          <w:sz w:val="24"/>
          <w:szCs w:val="24"/>
        </w:rPr>
        <w:t xml:space="preserve">19 – DAS SANÇÕES </w:t>
      </w:r>
    </w:p>
    <w:p w14:paraId="19B70453">
      <w:pPr>
        <w:pStyle w:val="29"/>
        <w:spacing w:after="200" w:afterAutospacing="0" w:line="240" w:lineRule="auto"/>
        <w:ind w:firstLine="284"/>
        <w:rPr>
          <w:sz w:val="24"/>
          <w:szCs w:val="24"/>
        </w:rPr>
      </w:pPr>
      <w:r>
        <w:rPr>
          <w:sz w:val="24"/>
          <w:szCs w:val="24"/>
        </w:rPr>
        <w:t>19.1. Comete infração administrativa, nos termos da lei, o licitante que:</w:t>
      </w:r>
    </w:p>
    <w:p w14:paraId="1D2DA81D">
      <w:pPr>
        <w:pStyle w:val="29"/>
        <w:spacing w:after="200" w:afterAutospacing="0" w:line="240" w:lineRule="auto"/>
        <w:ind w:left="568"/>
        <w:rPr>
          <w:sz w:val="24"/>
          <w:szCs w:val="24"/>
        </w:rPr>
      </w:pPr>
      <w:r>
        <w:rPr>
          <w:sz w:val="24"/>
          <w:szCs w:val="24"/>
        </w:rPr>
        <w:t>I – Com dolo ou culpa, ensejar o retardamento da execução de seu objeto, não mantiver a proposta, falhar ou fraudar na execução do contrato, comportar-se de modo inidôneo ou cometer fraude fiscal;</w:t>
      </w:r>
    </w:p>
    <w:p w14:paraId="7B9730B5">
      <w:pPr>
        <w:pStyle w:val="29"/>
        <w:spacing w:after="200" w:afterAutospacing="0" w:line="240" w:lineRule="auto"/>
        <w:ind w:left="568"/>
        <w:rPr>
          <w:sz w:val="24"/>
          <w:szCs w:val="24"/>
        </w:rPr>
      </w:pPr>
      <w:r>
        <w:rPr>
          <w:sz w:val="24"/>
          <w:szCs w:val="24"/>
        </w:rPr>
        <w:t>II - Deixar de entregar a documentação exigida para o certame ou não entregar qualquer documento que tenha sido solicitado pelo/a pregoeiro/a durante o certame;</w:t>
      </w:r>
    </w:p>
    <w:p w14:paraId="7234773A">
      <w:pPr>
        <w:pStyle w:val="29"/>
        <w:spacing w:after="200" w:afterAutospacing="0" w:line="240" w:lineRule="auto"/>
        <w:ind w:left="568"/>
        <w:rPr>
          <w:sz w:val="24"/>
          <w:szCs w:val="24"/>
        </w:rPr>
      </w:pPr>
      <w:r>
        <w:rPr>
          <w:sz w:val="24"/>
          <w:szCs w:val="24"/>
        </w:rPr>
        <w:t>III - Salvo em decorrência de fato superveniente devidamente justificado, não mantiver a proposta em especial quando:</w:t>
      </w:r>
    </w:p>
    <w:p w14:paraId="61CEE66D">
      <w:pPr>
        <w:pStyle w:val="29"/>
        <w:spacing w:after="200" w:afterAutospacing="0" w:line="240" w:lineRule="auto"/>
        <w:ind w:left="852"/>
        <w:rPr>
          <w:sz w:val="24"/>
          <w:szCs w:val="24"/>
        </w:rPr>
      </w:pPr>
      <w:r>
        <w:rPr>
          <w:sz w:val="24"/>
          <w:szCs w:val="24"/>
        </w:rPr>
        <w:t>A - Não enviar a proposta adequada ao último lance ofertado ou após a negociação;</w:t>
      </w:r>
    </w:p>
    <w:p w14:paraId="596AD543">
      <w:pPr>
        <w:pStyle w:val="29"/>
        <w:spacing w:after="200" w:afterAutospacing="0" w:line="240" w:lineRule="auto"/>
        <w:ind w:left="144" w:firstLine="708"/>
        <w:rPr>
          <w:sz w:val="24"/>
          <w:szCs w:val="24"/>
        </w:rPr>
      </w:pPr>
      <w:r>
        <w:rPr>
          <w:sz w:val="24"/>
          <w:szCs w:val="24"/>
        </w:rPr>
        <w:t>B - Recusar-se a enviar o detalhamento da proposta quando exigível;</w:t>
      </w:r>
    </w:p>
    <w:p w14:paraId="72845A3B">
      <w:pPr>
        <w:pStyle w:val="29"/>
        <w:spacing w:after="200" w:afterAutospacing="0" w:line="240" w:lineRule="auto"/>
        <w:ind w:left="852"/>
        <w:rPr>
          <w:sz w:val="24"/>
          <w:szCs w:val="24"/>
        </w:rPr>
      </w:pPr>
      <w:r>
        <w:rPr>
          <w:sz w:val="24"/>
          <w:szCs w:val="24"/>
        </w:rPr>
        <w:t>C - Pedir para ser desclassificado quando encerrada a etapa competitiva;</w:t>
      </w:r>
    </w:p>
    <w:p w14:paraId="5A86830A">
      <w:pPr>
        <w:pStyle w:val="29"/>
        <w:spacing w:after="200" w:afterAutospacing="0" w:line="240" w:lineRule="auto"/>
        <w:ind w:left="428" w:firstLine="424"/>
        <w:rPr>
          <w:sz w:val="24"/>
          <w:szCs w:val="24"/>
        </w:rPr>
      </w:pPr>
      <w:r>
        <w:rPr>
          <w:sz w:val="24"/>
          <w:szCs w:val="24"/>
        </w:rPr>
        <w:t>D - Deixar de apresentar amostra;</w:t>
      </w:r>
    </w:p>
    <w:p w14:paraId="755E0F57">
      <w:pPr>
        <w:pStyle w:val="29"/>
        <w:spacing w:after="200" w:afterAutospacing="0" w:line="240" w:lineRule="auto"/>
        <w:ind w:left="852"/>
        <w:rPr>
          <w:sz w:val="24"/>
          <w:szCs w:val="24"/>
        </w:rPr>
      </w:pPr>
      <w:r>
        <w:rPr>
          <w:sz w:val="24"/>
          <w:szCs w:val="24"/>
        </w:rPr>
        <w:t>E - Apresentar proposta ou amostra em desacordo com as especificações do edital;</w:t>
      </w:r>
    </w:p>
    <w:p w14:paraId="347F6E59">
      <w:pPr>
        <w:pStyle w:val="29"/>
        <w:spacing w:after="200" w:afterAutospacing="0" w:line="240" w:lineRule="auto"/>
        <w:ind w:left="568"/>
        <w:rPr>
          <w:sz w:val="24"/>
          <w:szCs w:val="24"/>
        </w:rPr>
      </w:pPr>
      <w:r>
        <w:rPr>
          <w:sz w:val="24"/>
          <w:szCs w:val="24"/>
        </w:rPr>
        <w:t>IV - Não celebrar o contrato ou 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7B91BFC">
      <w:pPr>
        <w:pStyle w:val="29"/>
        <w:spacing w:after="200" w:afterAutospacing="0" w:line="240" w:lineRule="auto"/>
        <w:ind w:left="568"/>
        <w:rPr>
          <w:sz w:val="24"/>
          <w:szCs w:val="24"/>
        </w:rPr>
      </w:pPr>
      <w:r>
        <w:rPr>
          <w:sz w:val="24"/>
          <w:szCs w:val="24"/>
        </w:rPr>
        <w:t>V - Apresentar declaração ou documentação falsa exigida para o certame ou prestar declaração falsa durante a licitação.</w:t>
      </w:r>
    </w:p>
    <w:p w14:paraId="3373493F">
      <w:pPr>
        <w:pStyle w:val="29"/>
        <w:spacing w:after="200" w:afterAutospacing="0" w:line="240" w:lineRule="auto"/>
        <w:ind w:left="284" w:firstLine="284"/>
        <w:rPr>
          <w:sz w:val="24"/>
          <w:szCs w:val="24"/>
        </w:rPr>
      </w:pPr>
      <w:r>
        <w:rPr>
          <w:sz w:val="24"/>
          <w:szCs w:val="24"/>
        </w:rPr>
        <w:t>VI - Fraudar a licitação.</w:t>
      </w:r>
    </w:p>
    <w:p w14:paraId="72E5C26F">
      <w:pPr>
        <w:pStyle w:val="29"/>
        <w:spacing w:after="200" w:afterAutospacing="0" w:line="240" w:lineRule="auto"/>
        <w:ind w:left="568"/>
        <w:rPr>
          <w:sz w:val="24"/>
          <w:szCs w:val="24"/>
        </w:rPr>
      </w:pPr>
      <w:r>
        <w:rPr>
          <w:sz w:val="24"/>
          <w:szCs w:val="24"/>
        </w:rPr>
        <w:t>VII - Comportar-se de modo inidôneo ou cometer fraude de qualquer natureza, em especial quando:</w:t>
      </w:r>
    </w:p>
    <w:p w14:paraId="73611076">
      <w:pPr>
        <w:pStyle w:val="29"/>
        <w:spacing w:after="200" w:afterAutospacing="0" w:line="240" w:lineRule="auto"/>
        <w:ind w:left="568" w:firstLine="284"/>
        <w:rPr>
          <w:sz w:val="24"/>
          <w:szCs w:val="24"/>
        </w:rPr>
      </w:pPr>
      <w:r>
        <w:rPr>
          <w:sz w:val="24"/>
          <w:szCs w:val="24"/>
        </w:rPr>
        <w:t>A - Agir em conluio ou em desconformidade com a lei;</w:t>
      </w:r>
    </w:p>
    <w:p w14:paraId="6DC16DAF">
      <w:pPr>
        <w:pStyle w:val="29"/>
        <w:spacing w:after="200" w:afterAutospacing="0" w:line="240" w:lineRule="auto"/>
        <w:ind w:left="568" w:firstLine="284"/>
        <w:rPr>
          <w:sz w:val="24"/>
          <w:szCs w:val="24"/>
        </w:rPr>
      </w:pPr>
      <w:r>
        <w:rPr>
          <w:sz w:val="24"/>
          <w:szCs w:val="24"/>
        </w:rPr>
        <w:t>B - Induzir deliberadamente a erro no julgamento;</w:t>
      </w:r>
    </w:p>
    <w:p w14:paraId="3099C54A">
      <w:pPr>
        <w:pStyle w:val="29"/>
        <w:spacing w:after="200" w:afterAutospacing="0" w:line="240" w:lineRule="auto"/>
        <w:ind w:left="568" w:firstLine="284"/>
        <w:rPr>
          <w:sz w:val="24"/>
          <w:szCs w:val="24"/>
        </w:rPr>
      </w:pPr>
      <w:r>
        <w:rPr>
          <w:sz w:val="24"/>
          <w:szCs w:val="24"/>
        </w:rPr>
        <w:t>C - Apresentar amostra falsificada ou deteriorada;</w:t>
      </w:r>
    </w:p>
    <w:p w14:paraId="16328552">
      <w:pPr>
        <w:pStyle w:val="29"/>
        <w:spacing w:after="200" w:afterAutospacing="0" w:line="240" w:lineRule="auto"/>
        <w:ind w:left="284" w:firstLine="284"/>
        <w:rPr>
          <w:sz w:val="24"/>
          <w:szCs w:val="24"/>
        </w:rPr>
      </w:pPr>
      <w:r>
        <w:rPr>
          <w:sz w:val="24"/>
          <w:szCs w:val="24"/>
        </w:rPr>
        <w:t>VIII - Praticar atos ilícitos com vistas a frustrar os objetivos da licitação.</w:t>
      </w:r>
    </w:p>
    <w:p w14:paraId="2B3161AC">
      <w:pPr>
        <w:pStyle w:val="29"/>
        <w:spacing w:after="200" w:afterAutospacing="0" w:line="240" w:lineRule="auto"/>
        <w:ind w:left="284" w:firstLine="284"/>
        <w:rPr>
          <w:sz w:val="24"/>
          <w:szCs w:val="24"/>
        </w:rPr>
      </w:pPr>
      <w:r>
        <w:rPr>
          <w:sz w:val="24"/>
          <w:szCs w:val="24"/>
        </w:rPr>
        <w:t>IX - Praticar ato lesivo previsto no art. 5º da Lei n.º 12.846, de 2013.</w:t>
      </w:r>
    </w:p>
    <w:p w14:paraId="207CD6E2">
      <w:pPr>
        <w:pStyle w:val="29"/>
        <w:spacing w:after="200" w:afterAutospacing="0" w:line="240" w:lineRule="auto"/>
        <w:ind w:left="284"/>
        <w:rPr>
          <w:sz w:val="24"/>
          <w:szCs w:val="24"/>
        </w:rPr>
      </w:pPr>
      <w:r>
        <w:rPr>
          <w:sz w:val="24"/>
          <w:szCs w:val="24"/>
        </w:rPr>
        <w:t>19.2. Com fulcro na Lei nº 14.133, de 2021 e Arts. 156 e 157 do Decreto nº 8.388/2023 a Administração poderá, garantida a prévia defesa e o contraditório, aplicar aos licitantes e/ou adjudicatários as seguintes sanções, sem prejuízo das responsabilidades civil e criminal:</w:t>
      </w:r>
    </w:p>
    <w:p w14:paraId="704C55F2">
      <w:pPr>
        <w:pStyle w:val="29"/>
        <w:spacing w:after="200" w:afterAutospacing="0" w:line="240" w:lineRule="auto"/>
        <w:ind w:left="284" w:firstLine="284"/>
        <w:rPr>
          <w:sz w:val="24"/>
          <w:szCs w:val="24"/>
        </w:rPr>
      </w:pPr>
      <w:r>
        <w:rPr>
          <w:sz w:val="24"/>
          <w:szCs w:val="24"/>
        </w:rPr>
        <w:t>A - Advertência;</w:t>
      </w:r>
    </w:p>
    <w:p w14:paraId="3B8A0772">
      <w:pPr>
        <w:pStyle w:val="29"/>
        <w:spacing w:after="200" w:afterAutospacing="0" w:line="240" w:lineRule="auto"/>
        <w:ind w:left="284" w:firstLine="284"/>
        <w:rPr>
          <w:sz w:val="24"/>
          <w:szCs w:val="24"/>
        </w:rPr>
      </w:pPr>
      <w:r>
        <w:rPr>
          <w:sz w:val="24"/>
          <w:szCs w:val="24"/>
        </w:rPr>
        <w:t>B - Multa;</w:t>
      </w:r>
    </w:p>
    <w:p w14:paraId="394C74DC">
      <w:pPr>
        <w:pStyle w:val="29"/>
        <w:spacing w:after="200" w:afterAutospacing="0" w:line="240" w:lineRule="auto"/>
        <w:ind w:left="284" w:firstLine="284"/>
        <w:rPr>
          <w:sz w:val="24"/>
          <w:szCs w:val="24"/>
        </w:rPr>
      </w:pPr>
      <w:r>
        <w:rPr>
          <w:sz w:val="24"/>
          <w:szCs w:val="24"/>
        </w:rPr>
        <w:t>C - Impedimento de licitar e contratar com o Município de Paulínia; e</w:t>
      </w:r>
    </w:p>
    <w:p w14:paraId="452BEA99">
      <w:pPr>
        <w:pStyle w:val="29"/>
        <w:spacing w:after="200" w:afterAutospacing="0" w:line="240" w:lineRule="auto"/>
        <w:ind w:left="568"/>
        <w:rPr>
          <w:sz w:val="24"/>
          <w:szCs w:val="24"/>
        </w:rPr>
      </w:pPr>
      <w:r>
        <w:rPr>
          <w:sz w:val="24"/>
          <w:szCs w:val="24"/>
        </w:rPr>
        <w:t>D - Declaração de inidoneidade para licitar ou contratar, enquanto perdurarem os motivos determinantes da punição ou até que seja promovida sua reabilitação perante a própria autoridade que aplicou a penalidade.</w:t>
      </w:r>
    </w:p>
    <w:p w14:paraId="40D3BEC8">
      <w:pPr>
        <w:pStyle w:val="29"/>
        <w:spacing w:after="200" w:afterAutospacing="0" w:line="240" w:lineRule="auto"/>
        <w:ind w:firstLine="284"/>
        <w:rPr>
          <w:sz w:val="24"/>
          <w:szCs w:val="24"/>
        </w:rPr>
      </w:pPr>
      <w:r>
        <w:rPr>
          <w:sz w:val="24"/>
          <w:szCs w:val="24"/>
        </w:rPr>
        <w:t>19.3. Na aplicação das sanções serão considerados:</w:t>
      </w:r>
    </w:p>
    <w:p w14:paraId="164AD846">
      <w:pPr>
        <w:pStyle w:val="29"/>
        <w:spacing w:after="200" w:afterAutospacing="0" w:line="240" w:lineRule="auto"/>
        <w:ind w:left="284" w:firstLine="284"/>
        <w:rPr>
          <w:sz w:val="24"/>
          <w:szCs w:val="24"/>
        </w:rPr>
      </w:pPr>
      <w:r>
        <w:rPr>
          <w:sz w:val="24"/>
          <w:szCs w:val="24"/>
        </w:rPr>
        <w:t>A - A natureza e a gravidade da infração cometida;</w:t>
      </w:r>
    </w:p>
    <w:p w14:paraId="5057B232">
      <w:pPr>
        <w:pStyle w:val="29"/>
        <w:spacing w:after="200" w:afterAutospacing="0" w:line="240" w:lineRule="auto"/>
        <w:ind w:left="284" w:firstLine="284"/>
        <w:rPr>
          <w:sz w:val="24"/>
          <w:szCs w:val="24"/>
        </w:rPr>
      </w:pPr>
      <w:r>
        <w:rPr>
          <w:sz w:val="24"/>
          <w:szCs w:val="24"/>
        </w:rPr>
        <w:t>B - As peculiaridades do caso concreto;</w:t>
      </w:r>
    </w:p>
    <w:p w14:paraId="4F5C0DEB">
      <w:pPr>
        <w:pStyle w:val="29"/>
        <w:spacing w:after="200" w:afterAutospacing="0" w:line="240" w:lineRule="auto"/>
        <w:ind w:left="284" w:firstLine="284"/>
        <w:rPr>
          <w:sz w:val="24"/>
          <w:szCs w:val="24"/>
        </w:rPr>
      </w:pPr>
      <w:r>
        <w:rPr>
          <w:sz w:val="24"/>
          <w:szCs w:val="24"/>
        </w:rPr>
        <w:t>C - As circunstâncias agravantes ou atenuantes;</w:t>
      </w:r>
    </w:p>
    <w:p w14:paraId="198EBD7A">
      <w:pPr>
        <w:pStyle w:val="29"/>
        <w:spacing w:after="200" w:afterAutospacing="0" w:line="240" w:lineRule="auto"/>
        <w:ind w:left="284" w:firstLine="284"/>
        <w:rPr>
          <w:sz w:val="24"/>
          <w:szCs w:val="24"/>
        </w:rPr>
      </w:pPr>
      <w:r>
        <w:rPr>
          <w:sz w:val="24"/>
          <w:szCs w:val="24"/>
        </w:rPr>
        <w:t>D - Os danos que dela provierem para a Administração Pública;</w:t>
      </w:r>
    </w:p>
    <w:p w14:paraId="1407A147">
      <w:pPr>
        <w:pStyle w:val="29"/>
        <w:spacing w:after="200" w:afterAutospacing="0" w:line="240" w:lineRule="auto"/>
        <w:ind w:left="568"/>
        <w:rPr>
          <w:sz w:val="24"/>
          <w:szCs w:val="24"/>
        </w:rPr>
      </w:pPr>
      <w:r>
        <w:rPr>
          <w:sz w:val="24"/>
          <w:szCs w:val="24"/>
        </w:rPr>
        <w:t>E - A implantação ou o aperfeiçoamento de programa de integridade, conforme normas e orientações dos órgãos de controle.</w:t>
      </w:r>
    </w:p>
    <w:p w14:paraId="03C2DDDD">
      <w:pPr>
        <w:pStyle w:val="29"/>
        <w:spacing w:after="200" w:afterAutospacing="0" w:line="240" w:lineRule="auto"/>
        <w:ind w:left="284"/>
        <w:rPr>
          <w:sz w:val="24"/>
          <w:szCs w:val="24"/>
        </w:rPr>
      </w:pPr>
      <w:r>
        <w:rPr>
          <w:sz w:val="24"/>
          <w:szCs w:val="24"/>
        </w:rPr>
        <w:t xml:space="preserve">19.4. A multa será recolhida em percentual de 0,5% a 30% incidente sobre o valor empenhado </w:t>
      </w:r>
      <w:r>
        <w:rPr>
          <w:i/>
          <w:sz w:val="24"/>
          <w:szCs w:val="24"/>
        </w:rPr>
        <w:t>da respectiva Autorização de Fornecimento</w:t>
      </w:r>
      <w:r>
        <w:rPr>
          <w:sz w:val="24"/>
          <w:szCs w:val="24"/>
        </w:rPr>
        <w:t>, recolhida no prazo máximo de 30 (trinta) dias corridos, a contar da comunicação oficial.</w:t>
      </w:r>
    </w:p>
    <w:p w14:paraId="65C61C2F">
      <w:pPr>
        <w:pStyle w:val="29"/>
        <w:spacing w:after="200" w:afterAutospacing="0" w:line="240" w:lineRule="auto"/>
        <w:ind w:left="568"/>
        <w:rPr>
          <w:sz w:val="24"/>
          <w:szCs w:val="24"/>
        </w:rPr>
      </w:pPr>
      <w:r>
        <w:rPr>
          <w:sz w:val="24"/>
          <w:szCs w:val="24"/>
        </w:rPr>
        <w:t>I - Para as infrações previstas no item 19.1 - Inc. I, II e III: a multa será de 0,5% a 15% do valor do contrato licitado.</w:t>
      </w:r>
    </w:p>
    <w:p w14:paraId="75D862E6">
      <w:pPr>
        <w:pStyle w:val="29"/>
        <w:spacing w:after="200" w:afterAutospacing="0" w:line="240" w:lineRule="auto"/>
        <w:ind w:left="568"/>
        <w:rPr>
          <w:sz w:val="24"/>
          <w:szCs w:val="24"/>
        </w:rPr>
      </w:pPr>
      <w:r>
        <w:rPr>
          <w:sz w:val="24"/>
          <w:szCs w:val="24"/>
        </w:rPr>
        <w:t>II - Para as infrações previstas no item 19.1 - Inc. IV, V, VI, VII, VIII e IX: a multa será de 15% a 30% do valor do contrato licitado.</w:t>
      </w:r>
    </w:p>
    <w:p w14:paraId="09570D44">
      <w:pPr>
        <w:pStyle w:val="29"/>
        <w:spacing w:after="200" w:afterAutospacing="0" w:line="240" w:lineRule="auto"/>
        <w:ind w:left="568"/>
        <w:rPr>
          <w:sz w:val="24"/>
          <w:szCs w:val="24"/>
        </w:rPr>
      </w:pPr>
      <w:r>
        <w:rPr>
          <w:sz w:val="24"/>
          <w:szCs w:val="24"/>
        </w:rPr>
        <w:t>III - Por dia de atraso na entrega injustificado: 0,5% por dia de atraso, sobre o valor solicitado na entrega, conforme Autorização de Fornecimento ou Solicitação de Compra, até o Trigésimo dia, configurando-se, após esse prazo, a hipótese de rescisão unilateral da avença por parte dessa Administração pela inexecução, parcial ou total, de seu objeto.</w:t>
      </w:r>
    </w:p>
    <w:p w14:paraId="6BA498FB">
      <w:pPr>
        <w:pStyle w:val="29"/>
        <w:spacing w:after="200" w:afterAutospacing="0" w:line="240" w:lineRule="auto"/>
        <w:ind w:left="568"/>
        <w:rPr>
          <w:sz w:val="24"/>
          <w:szCs w:val="24"/>
        </w:rPr>
      </w:pPr>
      <w:r>
        <w:rPr>
          <w:sz w:val="24"/>
          <w:szCs w:val="24"/>
        </w:rPr>
        <w:t xml:space="preserve">IV – Por inexecução contratual parcial: 15% sobre o valor do saldo contratual </w:t>
      </w:r>
      <w:r>
        <w:rPr>
          <w:i/>
          <w:sz w:val="24"/>
          <w:szCs w:val="24"/>
        </w:rPr>
        <w:t>da respectiva Autorização de Fornecimento</w:t>
      </w:r>
      <w:r>
        <w:rPr>
          <w:sz w:val="24"/>
          <w:szCs w:val="24"/>
        </w:rPr>
        <w:t>.</w:t>
      </w:r>
    </w:p>
    <w:p w14:paraId="248DC6A1">
      <w:pPr>
        <w:pStyle w:val="29"/>
        <w:spacing w:after="200" w:afterAutospacing="0" w:line="240" w:lineRule="auto"/>
        <w:ind w:left="852"/>
        <w:rPr>
          <w:sz w:val="24"/>
          <w:szCs w:val="24"/>
        </w:rPr>
      </w:pPr>
      <w:r>
        <w:rPr>
          <w:sz w:val="24"/>
          <w:szCs w:val="24"/>
        </w:rPr>
        <w:t>A – Sobre a parcela não executada do ajuste decorrente deste certame; ou por material não aceito pela Contratante e não substituído no prazo fixado por esta, prazo este que não excederá 15 (quinze) dias úteis, contados da intimação.</w:t>
      </w:r>
    </w:p>
    <w:p w14:paraId="6E09C243">
      <w:pPr>
        <w:pStyle w:val="29"/>
        <w:spacing w:after="200" w:afterAutospacing="0" w:line="240" w:lineRule="auto"/>
        <w:ind w:left="568"/>
        <w:rPr>
          <w:sz w:val="24"/>
          <w:szCs w:val="24"/>
        </w:rPr>
      </w:pPr>
      <w:r>
        <w:rPr>
          <w:sz w:val="24"/>
          <w:szCs w:val="24"/>
        </w:rPr>
        <w:t xml:space="preserve">V – Por inexecução contratual total: 30% sobre o valor do contrato licitado </w:t>
      </w:r>
      <w:r>
        <w:rPr>
          <w:i/>
          <w:sz w:val="24"/>
          <w:szCs w:val="24"/>
        </w:rPr>
        <w:t>da respectiva Autorização de Fornecimento</w:t>
      </w:r>
      <w:r>
        <w:rPr>
          <w:sz w:val="24"/>
          <w:szCs w:val="24"/>
        </w:rPr>
        <w:t>.</w:t>
      </w:r>
    </w:p>
    <w:p w14:paraId="076E71E4">
      <w:pPr>
        <w:pStyle w:val="29"/>
        <w:spacing w:after="200" w:afterAutospacing="0" w:line="240" w:lineRule="auto"/>
        <w:ind w:left="568"/>
        <w:rPr>
          <w:sz w:val="24"/>
          <w:szCs w:val="24"/>
        </w:rPr>
      </w:pPr>
      <w:r>
        <w:rPr>
          <w:sz w:val="24"/>
          <w:szCs w:val="24"/>
        </w:rPr>
        <w:t>VI – As multas, calculadas como acima, deverão ser recolhidas no prazo de 30 (trinta) dias corridos, a contar da data do recebimento da comunicação enviada por esta Administração.</w:t>
      </w:r>
    </w:p>
    <w:p w14:paraId="3313DA85">
      <w:pPr>
        <w:pStyle w:val="29"/>
        <w:spacing w:after="200" w:afterAutospacing="0" w:line="240" w:lineRule="auto"/>
        <w:ind w:left="852"/>
        <w:rPr>
          <w:sz w:val="24"/>
          <w:szCs w:val="24"/>
        </w:rPr>
      </w:pPr>
      <w:r>
        <w:rPr>
          <w:sz w:val="24"/>
          <w:szCs w:val="24"/>
        </w:rPr>
        <w:t>A - As multas, calculada como acima, poderão ser deduzidas, até seu valor total, de quaisquer pagamentos devidos à adjudicatária, mesmo que referentes a outras avenças, ou deduzidas de eventual de garantia de contrato. Poderão, alternativamente, ser inscritas em Dívida Ativa do Município para cobrança executiva ou cobradas judicialmente.</w:t>
      </w:r>
    </w:p>
    <w:p w14:paraId="1BB2FDFB">
      <w:pPr>
        <w:pStyle w:val="29"/>
        <w:spacing w:after="200" w:afterAutospacing="0" w:line="240" w:lineRule="auto"/>
        <w:ind w:left="852"/>
        <w:rPr>
          <w:sz w:val="24"/>
          <w:szCs w:val="24"/>
        </w:rPr>
      </w:pPr>
      <w:r>
        <w:rPr>
          <w:sz w:val="24"/>
          <w:szCs w:val="24"/>
        </w:rPr>
        <w:t>B - Se a multa aplicada e as indenizações cabíveis forem superiores ao valor de pagamento eventualmente devido pela Administração ao contratado, além da perda desse valor, a diferença será descontada da garantia prestada ou será cobrada judicialmente.</w:t>
      </w:r>
    </w:p>
    <w:p w14:paraId="3CC63B9C">
      <w:pPr>
        <w:pStyle w:val="29"/>
        <w:spacing w:after="200" w:afterAutospacing="0" w:line="240" w:lineRule="auto"/>
        <w:ind w:left="284"/>
        <w:rPr>
          <w:sz w:val="24"/>
          <w:szCs w:val="24"/>
        </w:rPr>
      </w:pPr>
      <w:r>
        <w:rPr>
          <w:sz w:val="24"/>
          <w:szCs w:val="24"/>
        </w:rPr>
        <w:t>19.5. As sanções de advertência, impedimento de licitar e contratar e declaração de inidoneidade para licitar ou contratar poderão ser aplicadas, cumulativamente ou não, à penalidade de multa.</w:t>
      </w:r>
    </w:p>
    <w:p w14:paraId="1BE996B5">
      <w:pPr>
        <w:pStyle w:val="29"/>
        <w:spacing w:after="200" w:afterAutospacing="0" w:line="240" w:lineRule="auto"/>
        <w:ind w:left="284"/>
        <w:rPr>
          <w:sz w:val="24"/>
          <w:szCs w:val="24"/>
        </w:rPr>
      </w:pPr>
      <w:r>
        <w:rPr>
          <w:sz w:val="24"/>
          <w:szCs w:val="24"/>
        </w:rPr>
        <w:t>19.6. Na aplicação da sanção de multa será facultada a defesa do interessado no prazo de 15 (quinze) dias úteis, contado da data de sua intimação.</w:t>
      </w:r>
    </w:p>
    <w:p w14:paraId="6B4758B8">
      <w:pPr>
        <w:pStyle w:val="29"/>
        <w:spacing w:after="200" w:afterAutospacing="0" w:line="240" w:lineRule="auto"/>
        <w:ind w:left="284"/>
        <w:rPr>
          <w:sz w:val="24"/>
          <w:szCs w:val="24"/>
        </w:rPr>
      </w:pPr>
      <w:r>
        <w:rPr>
          <w:sz w:val="24"/>
          <w:szCs w:val="24"/>
        </w:rPr>
        <w:t>19.7.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D52406B">
      <w:pPr>
        <w:pStyle w:val="29"/>
        <w:spacing w:after="200" w:afterAutospacing="0" w:line="240" w:lineRule="auto"/>
        <w:ind w:left="284"/>
        <w:rPr>
          <w:sz w:val="24"/>
          <w:szCs w:val="24"/>
        </w:rPr>
      </w:pPr>
      <w:r>
        <w:rPr>
          <w:sz w:val="24"/>
          <w:szCs w:val="24"/>
        </w:rPr>
        <w:t>19.8. Poderá ser aplicada ao responsável a sanção de declaração de inidoneidade para licitar ou contratar, em decorrência da prática das infrações acima descriminadas, que justifiquem a imposição de penalidade mais grave que a sanção de impedimento de licitar e contratar, cuja duração observará o prazo previsto no art. 156, §5º, da Lei nº 14.133/2021.</w:t>
      </w:r>
    </w:p>
    <w:p w14:paraId="277DFDC6">
      <w:pPr>
        <w:pStyle w:val="29"/>
        <w:spacing w:after="200" w:afterAutospacing="0" w:line="240" w:lineRule="auto"/>
        <w:ind w:left="284"/>
        <w:rPr>
          <w:sz w:val="24"/>
          <w:szCs w:val="24"/>
        </w:rPr>
      </w:pPr>
      <w:r>
        <w:rPr>
          <w:sz w:val="24"/>
          <w:szCs w:val="24"/>
        </w:rPr>
        <w:t>19.9.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277D518C">
      <w:pPr>
        <w:pStyle w:val="29"/>
        <w:spacing w:after="200" w:afterAutospacing="0" w:line="240" w:lineRule="auto"/>
        <w:ind w:left="284"/>
        <w:rPr>
          <w:sz w:val="24"/>
          <w:szCs w:val="24"/>
        </w:rPr>
      </w:pPr>
      <w:r>
        <w:rPr>
          <w:sz w:val="24"/>
          <w:szCs w:val="24"/>
        </w:rPr>
        <w:t>19.10.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 que será nomeada pelo Secretário da Pasta requisitante - que avaliará fatos e circunstâncias conhecidos e intimará o licitante ou o adjudicatário para, no prazo de 15 (quinze) dias úteis, contado da data de sua intimação, apresentar defesa escrita e especificar as provas que pretenda produzir.</w:t>
      </w:r>
    </w:p>
    <w:p w14:paraId="0DAE3FAE">
      <w:pPr>
        <w:pStyle w:val="29"/>
        <w:spacing w:after="200" w:afterAutospacing="0" w:line="240" w:lineRule="auto"/>
        <w:ind w:left="284"/>
        <w:rPr>
          <w:sz w:val="24"/>
          <w:szCs w:val="24"/>
        </w:rPr>
      </w:pPr>
      <w:r>
        <w:rPr>
          <w:sz w:val="24"/>
          <w:szCs w:val="24"/>
        </w:rPr>
        <w:t>19.11.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 Sr. Prefeito Municipal, que deverá proferir sua decisão no prazo máximo de 20 (vinte) dias úteis, contado do recebimento dos autos.</w:t>
      </w:r>
    </w:p>
    <w:p w14:paraId="70CDA530">
      <w:pPr>
        <w:pStyle w:val="29"/>
        <w:spacing w:after="200" w:afterAutospacing="0" w:line="240" w:lineRule="auto"/>
        <w:ind w:left="284"/>
        <w:rPr>
          <w:sz w:val="24"/>
          <w:szCs w:val="24"/>
        </w:rPr>
      </w:pPr>
      <w:r>
        <w:rPr>
          <w:sz w:val="24"/>
          <w:szCs w:val="24"/>
        </w:rPr>
        <w:t>19.12.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471E5F">
      <w:pPr>
        <w:pStyle w:val="29"/>
        <w:spacing w:after="200" w:afterAutospacing="0" w:line="240" w:lineRule="auto"/>
        <w:ind w:left="284"/>
        <w:rPr>
          <w:sz w:val="24"/>
          <w:szCs w:val="24"/>
        </w:rPr>
      </w:pPr>
      <w:r>
        <w:rPr>
          <w:sz w:val="24"/>
          <w:szCs w:val="24"/>
        </w:rPr>
        <w:t>19.13. O recurso e o pedido de reconsideração terão efeito suspensivo do ato ou da decisão recorrida até que sobrevenha decisão final da autoridade competente.</w:t>
      </w:r>
    </w:p>
    <w:p w14:paraId="6F64E6C5">
      <w:pPr>
        <w:pStyle w:val="29"/>
        <w:spacing w:after="200" w:afterAutospacing="0" w:line="240" w:lineRule="auto"/>
        <w:ind w:left="284"/>
        <w:rPr>
          <w:sz w:val="24"/>
          <w:szCs w:val="24"/>
        </w:rPr>
      </w:pPr>
      <w:r>
        <w:rPr>
          <w:sz w:val="24"/>
          <w:szCs w:val="24"/>
        </w:rPr>
        <w:t>19.14. A aplicação das sanções previstas neste edital não exclui, em hipótese alguma, a obrigação de reparação integral dos danos causados.</w:t>
      </w:r>
    </w:p>
    <w:p w14:paraId="0CF5FF9E">
      <w:pPr>
        <w:pStyle w:val="29"/>
        <w:spacing w:before="0" w:beforeAutospacing="0" w:after="0" w:afterAutospacing="0" w:line="240" w:lineRule="auto"/>
        <w:rPr>
          <w:rStyle w:val="5"/>
          <w:sz w:val="24"/>
          <w:szCs w:val="24"/>
        </w:rPr>
      </w:pPr>
      <w:r>
        <w:rPr>
          <w:rStyle w:val="5"/>
          <w:sz w:val="24"/>
          <w:szCs w:val="24"/>
        </w:rPr>
        <w:t xml:space="preserve">20 – DA CONTRATAÇÃO </w:t>
      </w:r>
    </w:p>
    <w:p w14:paraId="545C012D">
      <w:pPr>
        <w:pStyle w:val="29"/>
        <w:spacing w:before="240" w:beforeAutospacing="0" w:after="120" w:afterAutospacing="0" w:line="240" w:lineRule="auto"/>
        <w:ind w:left="284"/>
        <w:rPr>
          <w:rStyle w:val="5"/>
          <w:b w:val="0"/>
          <w:sz w:val="24"/>
          <w:szCs w:val="24"/>
        </w:rPr>
      </w:pPr>
      <w:r>
        <w:rPr>
          <w:rStyle w:val="5"/>
          <w:b w:val="0"/>
          <w:sz w:val="24"/>
          <w:szCs w:val="24"/>
        </w:rPr>
        <w:t>20.1.</w:t>
      </w:r>
      <w:r>
        <w:rPr>
          <w:rStyle w:val="5"/>
          <w:b w:val="0"/>
          <w:sz w:val="24"/>
          <w:szCs w:val="24"/>
        </w:rPr>
        <w:tab/>
      </w:r>
      <w:r>
        <w:rPr>
          <w:rStyle w:val="5"/>
          <w:b w:val="0"/>
          <w:sz w:val="24"/>
          <w:szCs w:val="24"/>
        </w:rPr>
        <w:t>A contratação decorrente desta licitação será formalizada nos termos do da lei 14.133/2021.</w:t>
      </w:r>
    </w:p>
    <w:p w14:paraId="19E507AE">
      <w:pPr>
        <w:pStyle w:val="29"/>
        <w:spacing w:before="0" w:beforeAutospacing="0" w:after="200" w:afterAutospacing="0" w:line="240" w:lineRule="auto"/>
        <w:ind w:left="284"/>
        <w:rPr>
          <w:rStyle w:val="5"/>
          <w:b w:val="0"/>
          <w:sz w:val="24"/>
          <w:szCs w:val="24"/>
        </w:rPr>
      </w:pPr>
      <w:r>
        <w:rPr>
          <w:rStyle w:val="5"/>
          <w:b w:val="0"/>
          <w:sz w:val="24"/>
          <w:szCs w:val="24"/>
        </w:rPr>
        <w:t>20.2.</w:t>
      </w:r>
      <w:r>
        <w:rPr>
          <w:rStyle w:val="5"/>
          <w:b w:val="0"/>
          <w:sz w:val="24"/>
          <w:szCs w:val="24"/>
        </w:rPr>
        <w:tab/>
      </w:r>
      <w:r>
        <w:rPr>
          <w:rStyle w:val="5"/>
          <w:b w:val="0"/>
          <w:sz w:val="24"/>
          <w:szCs w:val="24"/>
        </w:rPr>
        <w:t>O prazo da contratação será definido em conformidade com os itens registrados, a demanda da Secretaria e o prazo de entrega dos itens.</w:t>
      </w:r>
    </w:p>
    <w:p w14:paraId="02644F4B">
      <w:pPr>
        <w:pStyle w:val="29"/>
        <w:spacing w:before="0" w:beforeAutospacing="0" w:after="200" w:afterAutospacing="0" w:line="240" w:lineRule="auto"/>
        <w:ind w:left="284"/>
        <w:rPr>
          <w:sz w:val="24"/>
          <w:szCs w:val="24"/>
        </w:rPr>
      </w:pPr>
      <w:r>
        <w:rPr>
          <w:sz w:val="24"/>
          <w:szCs w:val="24"/>
        </w:rPr>
        <w:t>20.3. A execução contratual e sua fiscalização deverão ser de responsabilidade da Secretaria Municipal de Saúde, através do respectivo gestor, o servidor Sr. Orly Alves de Freitas Júnior e fiscal Sr. João Carlos da Fonseca Filho, cujas atribuições são:</w:t>
      </w:r>
    </w:p>
    <w:p w14:paraId="5D42A2BF">
      <w:pPr>
        <w:spacing w:line="240" w:lineRule="auto"/>
        <w:ind w:left="284" w:firstLine="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a) Controlar os saldos contratuais e orçamentários; </w:t>
      </w:r>
    </w:p>
    <w:p w14:paraId="606A639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b) Controlar os prazos de vigências contratuais, incluindo-se aditamentos, prorrogações e/ou reajustes;</w:t>
      </w:r>
    </w:p>
    <w:p w14:paraId="6C7A648D">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c) Aplicar as penalidades previstas no edital e no contrato quando da ocorrência de descumprimento das cláusulas acordadas e solicitar através dos protocolos administrativos as devidas providências; </w:t>
      </w:r>
    </w:p>
    <w:p w14:paraId="2E705BE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d) Solicitar à Contratada e seus prepostos, ou obter da Administração, tempestivamente, todas as providências necessárias para o bom andamento das prestações de serviços; </w:t>
      </w:r>
    </w:p>
    <w:p w14:paraId="27817485">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e) Acompanhar e atestar o recebimento definitivo dos materiais e produtos, desde que atendidas especificações de responsabilidade da secretaria requisitante e as obrigações contratuais; </w:t>
      </w:r>
    </w:p>
    <w:p w14:paraId="2C5FEB7C">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f) Solicitar ou ratificar por escrito o Atestado de Capacidade Operacional e/ou Profissional quando requerido pela contratada, desde que atendidas plenamente as obrigações contratuais e, devidamente atestado o efetivo cumprimento das mesmas, conforme edital e contrato, para o Fundo Municipal de Saúde;</w:t>
      </w:r>
    </w:p>
    <w:p w14:paraId="76D9AD5D">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g) Atestar e encaminhar ao Setor competente as notas fiscais em estrito cumprimento ao Edital e Contrato para os procedimentos quanto aos trâmites administrativos relacionados aos respectivos pagamentos;</w:t>
      </w:r>
    </w:p>
    <w:p w14:paraId="17DCC744">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h) Designar formalmente um servidor para acompanhar a fiscalização da execução de cada contrato de prestação e/ou aquisição de produtos.</w:t>
      </w:r>
    </w:p>
    <w:p w14:paraId="0BD5468F">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i) Verificar e atestar se o contratado mantém as mesmas condições habilitatórias, bem como a manutenção de regularidade fiscal durante toda a vigência contratual.</w:t>
      </w:r>
    </w:p>
    <w:p w14:paraId="1000A109">
      <w:pPr>
        <w:spacing w:after="360"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20.4.1. A ação da fiscalização contratual não exonera a contratada de suas responsabilidades contratuais.</w:t>
      </w:r>
    </w:p>
    <w:p w14:paraId="032E9BE2">
      <w:pPr>
        <w:pStyle w:val="29"/>
        <w:spacing w:before="0" w:beforeAutospacing="0" w:after="200" w:afterAutospacing="0" w:line="240" w:lineRule="auto"/>
        <w:rPr>
          <w:sz w:val="24"/>
          <w:szCs w:val="24"/>
        </w:rPr>
      </w:pPr>
      <w:r>
        <w:rPr>
          <w:rStyle w:val="5"/>
          <w:sz w:val="24"/>
          <w:szCs w:val="24"/>
        </w:rPr>
        <w:t xml:space="preserve">21. DA GARANTIA CONTRATUAL </w:t>
      </w:r>
    </w:p>
    <w:p w14:paraId="2E1ED6C3">
      <w:pPr>
        <w:pStyle w:val="29"/>
        <w:spacing w:before="0" w:beforeAutospacing="0" w:after="240" w:afterAutospacing="0" w:line="240" w:lineRule="auto"/>
        <w:ind w:left="284"/>
        <w:rPr>
          <w:rStyle w:val="5"/>
          <w:b w:val="0"/>
          <w:sz w:val="24"/>
          <w:szCs w:val="24"/>
        </w:rPr>
      </w:pPr>
      <w:r>
        <w:rPr>
          <w:rStyle w:val="5"/>
          <w:b w:val="0"/>
          <w:sz w:val="24"/>
          <w:szCs w:val="24"/>
        </w:rPr>
        <w:t xml:space="preserve">21.1. Não será exigida a prestação de garantia para a contratação resultante desta licitação. </w:t>
      </w:r>
    </w:p>
    <w:p w14:paraId="374D5A36">
      <w:pPr>
        <w:pStyle w:val="29"/>
        <w:spacing w:before="0" w:beforeAutospacing="0" w:after="0" w:afterAutospacing="0" w:line="240" w:lineRule="auto"/>
        <w:ind w:left="284"/>
        <w:rPr>
          <w:rStyle w:val="5"/>
          <w:b w:val="0"/>
          <w:bCs w:val="0"/>
          <w:sz w:val="24"/>
          <w:szCs w:val="24"/>
        </w:rPr>
      </w:pPr>
      <w:r>
        <w:rPr>
          <w:rStyle w:val="5"/>
          <w:b w:val="0"/>
          <w:bCs w:val="0"/>
          <w:sz w:val="24"/>
          <w:szCs w:val="24"/>
        </w:rPr>
        <w:t xml:space="preserve"> </w:t>
      </w:r>
    </w:p>
    <w:p w14:paraId="2D8A9898">
      <w:pPr>
        <w:autoSpaceDE w:val="0"/>
        <w:autoSpaceDN w:val="0"/>
        <w:adjustRightInd w:val="0"/>
        <w:spacing w:line="24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22 – REVISÃO E CANCELAMENTO</w:t>
      </w:r>
    </w:p>
    <w:p w14:paraId="390CC3E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 Assegurados o contraditório e a ampla defesa, a empresa detentora/contratada terá seu Registro de Preços cancelado quando: </w:t>
      </w:r>
    </w:p>
    <w:p w14:paraId="39C54A97">
      <w:pPr>
        <w:autoSpaceDE w:val="0"/>
        <w:autoSpaceDN w:val="0"/>
        <w:adjustRightInd w:val="0"/>
        <w:spacing w:line="240" w:lineRule="auto"/>
        <w:ind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22.2. Descumprir as condições da Ata de Registro de Preços; </w:t>
      </w:r>
    </w:p>
    <w:p w14:paraId="60CB677C">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22.3. Recusar-se a assinar o Contrato ou não retirar o instrumento equivalente, no prazo estabelecido por esta Prefeitura, sem justificativa aceitável;</w:t>
      </w:r>
    </w:p>
    <w:p w14:paraId="764DD7B6">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22.4. Não aceitar reduzir seu preço registrado, na hipótese deste se tornar superior àquele praticados no mercado;</w:t>
      </w:r>
    </w:p>
    <w:p w14:paraId="23594EE4">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22.5. Daqueles que estejam cumprindo penalidade de suspensão temporária para licitar e impedimento de contratar com a Prefeitura Municipal de Paulínia;</w:t>
      </w:r>
    </w:p>
    <w:p w14:paraId="3434385A">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22.6. Impedidas de licitar e contratar com a Prefeitura Municipal de Paulínia, nos termos da Súmula nº 51, do Egrégio Tribunal de Contas do Estado de São Paulo;</w:t>
      </w:r>
    </w:p>
    <w:p w14:paraId="52629F06">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22.7. Impedidas de licitar e contratar nos termos do art. 10º da Lei nº 9.605/98;</w:t>
      </w:r>
    </w:p>
    <w:p w14:paraId="2C7B8A3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22.8. Que tenham sido declaradas inidôneas pelo Poder Público e não reabilitadas. </w:t>
      </w:r>
    </w:p>
    <w:p w14:paraId="26ABD24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22.9. De empresas impedidas de licitar ou contratar por determinação do CADE – Conselho Administrativo de Defesa Econômica.</w:t>
      </w:r>
    </w:p>
    <w:p w14:paraId="28AFC62A">
      <w:pPr>
        <w:autoSpaceDE w:val="0"/>
        <w:autoSpaceDN w:val="0"/>
        <w:adjustRightInd w:val="0"/>
        <w:spacing w:line="240" w:lineRule="auto"/>
        <w:ind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22.10. Que não atendam às condições deste Edital e seu(s) anexo(s);</w:t>
      </w:r>
    </w:p>
    <w:p w14:paraId="7A520C33">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22.11.</w:t>
      </w:r>
      <w:r>
        <w:rPr>
          <w:rFonts w:ascii="Arial" w:hAnsi="Arial" w:eastAsia="Times New Roman" w:cs="Arial"/>
          <w:bCs/>
          <w:sz w:val="24"/>
          <w:szCs w:val="24"/>
          <w:lang w:eastAsia="pt-BR"/>
        </w:rPr>
        <w:tab/>
      </w:r>
      <w:r>
        <w:rPr>
          <w:rFonts w:ascii="Arial" w:hAnsi="Arial" w:eastAsia="Times New Roman" w:cs="Arial"/>
          <w:bCs/>
          <w:sz w:val="24"/>
          <w:szCs w:val="24"/>
          <w:lang w:eastAsia="pt-BR"/>
        </w:rPr>
        <w:t>Estrangeiros que não tenham representação legal no Brasil com poderes expressos para receber citação e responder administrativa ou judicialmente;</w:t>
      </w:r>
    </w:p>
    <w:p w14:paraId="38AB03A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22.12.</w:t>
      </w:r>
      <w:r>
        <w:rPr>
          <w:rFonts w:ascii="Arial" w:hAnsi="Arial" w:eastAsia="Times New Roman" w:cs="Arial"/>
          <w:bCs/>
          <w:sz w:val="24"/>
          <w:szCs w:val="24"/>
          <w:lang w:eastAsia="pt-BR"/>
        </w:rPr>
        <w:tab/>
      </w:r>
      <w:r>
        <w:rPr>
          <w:rFonts w:ascii="Arial" w:hAnsi="Arial" w:eastAsia="Times New Roman" w:cs="Arial"/>
          <w:bCs/>
          <w:sz w:val="24"/>
          <w:szCs w:val="24"/>
          <w:lang w:eastAsia="pt-BR"/>
        </w:rPr>
        <w:t>Que se enquadrem nas vedações previstas no artigo 9º, § 1º, da Lei nº 14.133, de 2021.</w:t>
      </w:r>
    </w:p>
    <w:p w14:paraId="13B7F2B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22.13. Que se enquadrem nas vedações determinadas no Art. 14, inc. I ao VI e § 1º ao § 3º da Lei 14.133/2021:</w:t>
      </w:r>
    </w:p>
    <w:p w14:paraId="12E7102E">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22.13.1. Autor do anteprojeto, do projeto básico ou do projeto executivo, pessoa física ou jurídica, quando a licitação versar sobre obra, serviços ou fornecimento de bens a ele relacionados;</w:t>
      </w:r>
    </w:p>
    <w:p w14:paraId="456462F1">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734942A">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22.13.3. Pessoa física ou jurídica que se encontre, ao tempo da licitação, impossibilitada de participar da licitação em decorrência de sanção que lhe foi imposta;</w:t>
      </w:r>
    </w:p>
    <w:p w14:paraId="7724D636">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B3AD658">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22.13.5. Empresas controladoras, controladas ou coligadas, nos termos da Lei nº 6.404, de 15 de dezembro de 1976, concorrendo entre si;</w:t>
      </w:r>
    </w:p>
    <w:p w14:paraId="7B3DCA34">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22.13.6.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C831DBC">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22.14. Aqueles proibidos de contratar com o poder público por decisão judicial em ação de improbidade.</w:t>
      </w:r>
    </w:p>
    <w:p w14:paraId="13307749">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22.15. Independentemente das previsões retro indicadas, a detentora/contratada poderá solicitar o cancelamento de seu Registro de Preço na ocorrência de fato superveniente que venha comprometer a perfeita execução contratual, decorrente de caso fortuito ou de força maior devidamente comprovado. </w:t>
      </w:r>
    </w:p>
    <w:p w14:paraId="455CF10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22.16. Os fornecedores incluídos na Ata de Registro de Preços estarão obrigados a fornecer, nas condições estabelecidas no ato convocatório, respectivos anexos e na própria ata. </w:t>
      </w:r>
    </w:p>
    <w:p w14:paraId="19986F25">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22.17.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artigo 124 da Lei 14.133, de 2021.</w:t>
      </w:r>
    </w:p>
    <w:p w14:paraId="07EC95B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22.18. Quando o preço registrado tornar-se superior ao preço praticado no mercado, por motivo superveniente, o órgão gerenciador convocará os fornecedores para negociarem a redução dos preços aos valores praticados pelo mercado.</w:t>
      </w:r>
    </w:p>
    <w:p w14:paraId="1A394F73">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22.18.1. Os fornecedores que não aceitarem reduzir seus preços aos valores praticados pelo mercado serão liberados do compromisso assumido, sem aplicação de penalidade.</w:t>
      </w:r>
    </w:p>
    <w:p w14:paraId="23A9B5D0">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22.18.2. A ordem de classificação dos fornecedores que aceitarem reduzir seus preços aos valores de mercado observará a classificação original.</w:t>
      </w:r>
    </w:p>
    <w:p w14:paraId="40B0A788">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22.18.3. No caso da impossibilidade de redução de preços para equiparação aos valores de mercado, caberá aos órgãos gerenciador e centralizador produzir ato administrativo suspendendo a eficácia do registro de preços, podendo recair sobre parte ou a totalidade da respectiva ata.</w:t>
      </w:r>
    </w:p>
    <w:p w14:paraId="5417E45F">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22.19. Quando o preço registrado tornar-se inferior ao preço praticado no mercado, e o fornecedor não puder cumprir o compromisso, o órgão gerenciador poderá:</w:t>
      </w:r>
    </w:p>
    <w:p w14:paraId="33A0F3CB">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I - se constatado o desequilíbrio, liberar o fornecedor do compromisso assumido, caso a comunicação ocorra antes do pedido de fornecimento, e sem aplicação da penalidade se confirmada a veracidade dos motivos;</w:t>
      </w:r>
    </w:p>
    <w:p w14:paraId="40B58013">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II - convocar os demais fornecedores para assegurar igual oportunidade de negociação.</w:t>
      </w:r>
    </w:p>
    <w:p w14:paraId="0DFF1DC4">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22.19.1. Não havendo êxito nas negociações, os órgãos gerenciador e centralizador deverão proceder à revogação da ata de registro de preços, adotando as medidas cabíveis para obtenção da contratação mais vantajosa.</w:t>
      </w:r>
    </w:p>
    <w:p w14:paraId="0F2598E9">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22.20. O cancelamento do registro de preços poderá ocorrer por fato superveniente, decorrente de caso fortuito ou força maior, que prejudique o cumprimento da ata, devidamente comprovados e justificados:</w:t>
      </w:r>
    </w:p>
    <w:p w14:paraId="01EB9E80">
      <w:pPr>
        <w:autoSpaceDE w:val="0"/>
        <w:autoSpaceDN w:val="0"/>
        <w:adjustRightInd w:val="0"/>
        <w:spacing w:line="240" w:lineRule="auto"/>
        <w:ind w:left="284"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I - por razão de interesse público; ou</w:t>
      </w:r>
    </w:p>
    <w:p w14:paraId="472C4919">
      <w:pPr>
        <w:autoSpaceDE w:val="0"/>
        <w:autoSpaceDN w:val="0"/>
        <w:adjustRightInd w:val="0"/>
        <w:spacing w:line="240" w:lineRule="auto"/>
        <w:ind w:left="284"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II - a pedido do fornecedor.</w:t>
      </w:r>
    </w:p>
    <w:p w14:paraId="08FD318F">
      <w:pPr>
        <w:autoSpaceDE w:val="0"/>
        <w:autoSpaceDN w:val="0"/>
        <w:adjustRightInd w:val="0"/>
        <w:spacing w:after="360"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22.21. Por força do § 3º do artigo 86 da Lei 14.133, de 2021, fica vedada a utilização da ata de registro de preços por órgãos ou entidades não participantes, com exceção dos órgãos da Administração direta do Município.</w:t>
      </w:r>
    </w:p>
    <w:p w14:paraId="7462ED86">
      <w:pPr>
        <w:autoSpaceDE w:val="0"/>
        <w:autoSpaceDN w:val="0"/>
        <w:adjustRightInd w:val="0"/>
        <w:spacing w:line="240" w:lineRule="auto"/>
        <w:jc w:val="both"/>
        <w:rPr>
          <w:rFonts w:ascii="Arial" w:hAnsi="Arial" w:eastAsia="Times New Roman" w:cs="Arial"/>
          <w:sz w:val="24"/>
          <w:szCs w:val="24"/>
          <w:lang w:eastAsia="pt-BR"/>
        </w:rPr>
      </w:pPr>
      <w:r>
        <w:rPr>
          <w:rFonts w:ascii="Arial" w:hAnsi="Arial" w:eastAsia="Times New Roman" w:cs="Arial"/>
          <w:b/>
          <w:bCs/>
          <w:sz w:val="24"/>
          <w:szCs w:val="24"/>
          <w:lang w:eastAsia="pt-BR"/>
        </w:rPr>
        <w:t>23 – DO SISTEMA ELETRÔNICO</w:t>
      </w:r>
    </w:p>
    <w:p w14:paraId="123F1ED3">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23.1. O comparecimento ao site do representante legal da licitante é imprescindível em todas as sessões pertinentes a este certame licitatório, e sua ausência nos horários e datas marcadas no CHAT MENSAGENS, implicará na aceitação de todas e quaisquer decisões tomadas pelo Pregoeiro e aceitas pelas licitantes presentes.</w:t>
      </w:r>
    </w:p>
    <w:p w14:paraId="1A8E42EC">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23.2. No caso de desconexão com o pregoeiro, no decorrer da etapa competitiva do pregão, o sistema eletrônico poderá permanecer acessível aos licitantes para a recepção dos lances.</w:t>
      </w:r>
    </w:p>
    <w:p w14:paraId="5EAA0909">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23.2.1. O pregoeiro, quando possível, dará continuidade à sua atuação no certame, sem prejuízo dos atos realizados.</w:t>
      </w:r>
    </w:p>
    <w:p w14:paraId="3C298C0A">
      <w:pPr>
        <w:autoSpaceDE w:val="0"/>
        <w:autoSpaceDN w:val="0"/>
        <w:adjustRightInd w:val="0"/>
        <w:spacing w:after="360"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23.2.2. Quando a desconexão persistir por tempo superior a 10 (dez) minutos, a sessão do Pregão Eletrônico poderá ser suspensa e terá reinício somente após comunicação expressa do pregoeiro aos licitantes participantes. </w:t>
      </w:r>
    </w:p>
    <w:p w14:paraId="20EE3972">
      <w:pPr>
        <w:pStyle w:val="12"/>
        <w:spacing w:before="0" w:beforeAutospacing="0" w:after="200" w:afterAutospacing="0"/>
        <w:rPr>
          <w:rFonts w:ascii="Arial" w:hAnsi="Arial" w:cs="Arial"/>
        </w:rPr>
      </w:pPr>
      <w:r>
        <w:rPr>
          <w:rStyle w:val="5"/>
          <w:rFonts w:ascii="Arial" w:hAnsi="Arial" w:cs="Arial"/>
          <w:bCs w:val="0"/>
        </w:rPr>
        <w:t xml:space="preserve">24 – </w:t>
      </w:r>
      <w:r>
        <w:rPr>
          <w:rStyle w:val="5"/>
          <w:rFonts w:ascii="Arial" w:hAnsi="Arial" w:cs="Arial"/>
        </w:rPr>
        <w:t>DAS DISPOSIÇÕES FINAIS</w:t>
      </w:r>
    </w:p>
    <w:p w14:paraId="6E1E8DC6">
      <w:pPr>
        <w:pStyle w:val="29"/>
        <w:spacing w:before="0" w:beforeAutospacing="0" w:after="200" w:afterAutospacing="0" w:line="240" w:lineRule="auto"/>
        <w:ind w:left="284"/>
        <w:rPr>
          <w:sz w:val="24"/>
          <w:szCs w:val="24"/>
        </w:rPr>
      </w:pPr>
      <w:r>
        <w:rPr>
          <w:sz w:val="24"/>
          <w:szCs w:val="24"/>
        </w:rPr>
        <w:t xml:space="preserve">24.1. As normas disciplinadoras desta licitação serão interpretadas em favor da ampliação da disputa, respeitada a igualdade de oportunidade entre as licitantes e desde que não comprometam o interesse público, a finalidade e a segurança da contratação. </w:t>
      </w:r>
    </w:p>
    <w:p w14:paraId="2531CA16">
      <w:pPr>
        <w:pStyle w:val="29"/>
        <w:spacing w:after="200" w:afterAutospacing="0" w:line="240" w:lineRule="auto"/>
        <w:ind w:left="284"/>
        <w:rPr>
          <w:sz w:val="24"/>
          <w:szCs w:val="24"/>
        </w:rPr>
      </w:pPr>
      <w:r>
        <w:rPr>
          <w:sz w:val="24"/>
          <w:szCs w:val="24"/>
        </w:rPr>
        <w:t xml:space="preserve">24.2. Quanto a marcas: qualquer menção a marca/modelo que porventura conste deste Edital e seus anexos configuram-se como simples referência para cotação dos produtos solicitados, sendo que serão aceitos similares ou de qualidade / tecnologia superior. </w:t>
      </w:r>
    </w:p>
    <w:p w14:paraId="022269DD">
      <w:pPr>
        <w:pStyle w:val="29"/>
        <w:spacing w:before="0" w:beforeAutospacing="0" w:after="200" w:afterAutospacing="0" w:line="240" w:lineRule="auto"/>
        <w:ind w:left="284"/>
        <w:rPr>
          <w:sz w:val="24"/>
          <w:szCs w:val="24"/>
        </w:rPr>
      </w:pPr>
      <w:r>
        <w:rPr>
          <w:sz w:val="24"/>
          <w:szCs w:val="24"/>
        </w:rPr>
        <w:t>24.3. Quanto a medidas: As medidas constantes do presente edital e seus anexos são aproximadas, admitindo-se variações permitidas pela Legislação específica.</w:t>
      </w:r>
    </w:p>
    <w:p w14:paraId="7D43FBC7">
      <w:pPr>
        <w:pStyle w:val="29"/>
        <w:spacing w:before="0" w:beforeAutospacing="0" w:after="200" w:afterAutospacing="0" w:line="240" w:lineRule="auto"/>
        <w:ind w:left="284"/>
        <w:rPr>
          <w:sz w:val="24"/>
          <w:szCs w:val="24"/>
        </w:rPr>
      </w:pPr>
      <w:r>
        <w:rPr>
          <w:sz w:val="24"/>
          <w:szCs w:val="24"/>
        </w:rPr>
        <w:t xml:space="preserve">24.4. Das sessões públicas de processamento do Pregão serão lavradas atas circunstanciadas a serem assinadas pelo Pregoeiro. </w:t>
      </w:r>
    </w:p>
    <w:p w14:paraId="341EFFDA">
      <w:pPr>
        <w:pStyle w:val="29"/>
        <w:spacing w:before="0" w:beforeAutospacing="0" w:after="200" w:afterAutospacing="0" w:line="240" w:lineRule="auto"/>
        <w:ind w:left="284"/>
        <w:rPr>
          <w:sz w:val="24"/>
          <w:szCs w:val="24"/>
        </w:rPr>
      </w:pPr>
      <w:r>
        <w:rPr>
          <w:sz w:val="24"/>
          <w:szCs w:val="24"/>
        </w:rPr>
        <w:t>24.5. A homologação do presente certame será divulgada no Diário Oficial do Estado e no Diário Oficial do Município.</w:t>
      </w:r>
    </w:p>
    <w:p w14:paraId="244A10A9">
      <w:pPr>
        <w:spacing w:line="240" w:lineRule="auto"/>
        <w:ind w:left="284"/>
        <w:jc w:val="both"/>
        <w:rPr>
          <w:rFonts w:ascii="Arial" w:hAnsi="Arial" w:cs="Arial"/>
          <w:sz w:val="24"/>
          <w:szCs w:val="24"/>
          <w:lang w:eastAsia="pt-BR"/>
        </w:rPr>
      </w:pPr>
      <w:r>
        <w:rPr>
          <w:rFonts w:ascii="Arial" w:hAnsi="Arial" w:cs="Arial"/>
          <w:sz w:val="24"/>
          <w:szCs w:val="24"/>
        </w:rPr>
        <w:t>24</w:t>
      </w:r>
      <w:r>
        <w:rPr>
          <w:rFonts w:ascii="Arial" w:hAnsi="Arial" w:eastAsia="Times New Roman" w:cs="Arial"/>
          <w:color w:val="000000"/>
          <w:sz w:val="24"/>
          <w:szCs w:val="24"/>
          <w:lang w:eastAsia="pt-BR"/>
        </w:rPr>
        <w:t>.6.</w:t>
      </w:r>
      <w:r>
        <w:rPr>
          <w:rFonts w:ascii="Arial" w:hAnsi="Arial" w:cs="Arial"/>
          <w:sz w:val="24"/>
          <w:szCs w:val="24"/>
          <w:lang w:eastAsia="pt-BR"/>
        </w:rPr>
        <w:t xml:space="preserve"> Eventuais retificações do Edital serão disponibilizadas no </w:t>
      </w:r>
      <w:r>
        <w:rPr>
          <w:rFonts w:ascii="Arial" w:hAnsi="Arial" w:cs="Arial"/>
          <w:sz w:val="24"/>
          <w:szCs w:val="24"/>
        </w:rPr>
        <w:t xml:space="preserve">endereço </w:t>
      </w:r>
      <w:r>
        <w:fldChar w:fldCharType="begin"/>
      </w:r>
      <w:r>
        <w:instrText xml:space="preserve"> HYPERLINK "https://bnccompras.com/Home/Login" </w:instrText>
      </w:r>
      <w:r>
        <w:fldChar w:fldCharType="separate"/>
      </w:r>
      <w:r>
        <w:rPr>
          <w:rStyle w:val="8"/>
          <w:rFonts w:ascii="Arial" w:hAnsi="Arial" w:eastAsia="Times New Roman" w:cs="Arial"/>
          <w:sz w:val="24"/>
          <w:szCs w:val="24"/>
        </w:rPr>
        <w:t>https://bnccompras.com/Home/Login</w:t>
      </w:r>
      <w:r>
        <w:rPr>
          <w:rStyle w:val="8"/>
          <w:rFonts w:ascii="Arial" w:hAnsi="Arial" w:eastAsia="Times New Roman" w:cs="Arial"/>
          <w:sz w:val="24"/>
          <w:szCs w:val="24"/>
        </w:rPr>
        <w:fldChar w:fldCharType="end"/>
      </w:r>
      <w:r>
        <w:rPr>
          <w:rFonts w:ascii="Arial" w:hAnsi="Arial" w:cs="Arial"/>
          <w:sz w:val="24"/>
          <w:szCs w:val="24"/>
          <w:lang w:eastAsia="pt-BR"/>
        </w:rPr>
        <w:t>.</w:t>
      </w:r>
    </w:p>
    <w:p w14:paraId="3982930E">
      <w:pPr>
        <w:spacing w:line="240" w:lineRule="auto"/>
        <w:ind w:left="284"/>
        <w:jc w:val="both"/>
        <w:rPr>
          <w:rFonts w:ascii="Arial" w:hAnsi="Arial" w:cs="Arial"/>
          <w:sz w:val="24"/>
          <w:szCs w:val="24"/>
        </w:rPr>
      </w:pPr>
      <w:r>
        <w:rPr>
          <w:rFonts w:ascii="Arial" w:hAnsi="Arial" w:cs="Arial"/>
          <w:sz w:val="24"/>
          <w:szCs w:val="24"/>
        </w:rPr>
        <w:t>24.7. O preenchimento da proposta sem que tenha sido tempestivamente impugnado este Edital implicará na plena aceitação, por parte das interessadas, das condições nele estabelecidas.</w:t>
      </w:r>
    </w:p>
    <w:p w14:paraId="61504C83">
      <w:pPr>
        <w:pStyle w:val="29"/>
        <w:spacing w:before="0" w:beforeAutospacing="0" w:after="200" w:afterAutospacing="0" w:line="240" w:lineRule="auto"/>
        <w:ind w:left="284"/>
        <w:rPr>
          <w:rFonts w:eastAsia="Calibri"/>
          <w:sz w:val="24"/>
          <w:szCs w:val="24"/>
          <w:lang w:eastAsia="en-US"/>
        </w:rPr>
      </w:pPr>
      <w:r>
        <w:rPr>
          <w:sz w:val="24"/>
          <w:szCs w:val="24"/>
        </w:rPr>
        <w:t>24</w:t>
      </w:r>
      <w:r>
        <w:rPr>
          <w:rFonts w:eastAsia="Calibri"/>
          <w:sz w:val="24"/>
          <w:szCs w:val="24"/>
          <w:lang w:eastAsia="en-US"/>
        </w:rPr>
        <w:t>.8. Com o simples preenchimento da proposta, os licitantes expressam o pleno conhecimento, declaram e se submetem plenamente às seguintes condições:</w:t>
      </w:r>
    </w:p>
    <w:p w14:paraId="609421EB">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a) Que atende às condições de participação no certame e assim eximirá a Administração do disposto no art. 337-M do Decreto-Lei nº 2.848/40 (Código Penal) e posteriores alterações.</w:t>
      </w:r>
    </w:p>
    <w:p w14:paraId="2DE61687">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b) Que tomou conhecimento de todas as informações locais para o cumprimento das obrigações relacionadas ao objeto da licitação, que o mesmo está perfeitamente definido e que tem a exata compreensão da futura execução do objeto.</w:t>
      </w:r>
    </w:p>
    <w:p w14:paraId="6EFB10EE">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c) Que assume a inteira responsabilidade pela perfeita execução do objeto que está sendo licitado, se for contratada, e adere plenamente aos termos do presente Edital como integrante do contrato que resultar independentemente de sua transcrição.</w:t>
      </w:r>
    </w:p>
    <w:p w14:paraId="30C57D23">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 xml:space="preserve">d) Que assegura que atende as normas relativas à saúde e à segurança do trabalho.    </w:t>
      </w:r>
    </w:p>
    <w:p w14:paraId="235E792A">
      <w:pPr>
        <w:pStyle w:val="29"/>
        <w:spacing w:before="0" w:beforeAutospacing="0" w:after="200" w:afterAutospacing="0" w:line="240" w:lineRule="auto"/>
        <w:ind w:left="284"/>
        <w:rPr>
          <w:sz w:val="24"/>
          <w:szCs w:val="24"/>
        </w:rPr>
      </w:pPr>
      <w:r>
        <w:rPr>
          <w:sz w:val="24"/>
          <w:szCs w:val="24"/>
        </w:rPr>
        <w:t>24.9. O(s) licitante(s) contratada(s) fica(m) obrigada(s) a aceitar, nas mesmas condições contratuais, os acréscimos ou supressões que se fizerem necessários no fornecimento, até os limites da Lei Federal nº 14.133/2021 e posteriores alterações.</w:t>
      </w:r>
    </w:p>
    <w:p w14:paraId="7A5B04BD">
      <w:pPr>
        <w:spacing w:line="240" w:lineRule="auto"/>
        <w:ind w:left="284"/>
        <w:jc w:val="both"/>
        <w:rPr>
          <w:rFonts w:ascii="Arial" w:hAnsi="Arial" w:cs="Arial"/>
          <w:sz w:val="24"/>
          <w:szCs w:val="24"/>
        </w:rPr>
      </w:pPr>
      <w:r>
        <w:rPr>
          <w:rFonts w:ascii="Arial" w:hAnsi="Arial" w:cs="Arial"/>
          <w:sz w:val="24"/>
          <w:szCs w:val="24"/>
        </w:rPr>
        <w:t xml:space="preserve">24.10. É de inteira responsabilidade dos licitantes o acompanhamento dos esclarecimentos/adendo/erratas ou quaisquer outras informações acerca da presente licitação, dos quais serão publicados avisos no DOE (Diário Oficial do Estado de São Paulo) e disponibilizados na íntegra no endereço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 xml:space="preserve">. </w:t>
      </w:r>
    </w:p>
    <w:p w14:paraId="10D1C79D">
      <w:pPr>
        <w:pStyle w:val="29"/>
        <w:spacing w:before="0" w:beforeAutospacing="0" w:after="200" w:afterAutospacing="0" w:line="240" w:lineRule="auto"/>
        <w:ind w:left="284"/>
        <w:rPr>
          <w:sz w:val="24"/>
          <w:szCs w:val="24"/>
        </w:rPr>
      </w:pPr>
      <w:r>
        <w:rPr>
          <w:sz w:val="24"/>
          <w:szCs w:val="24"/>
        </w:rPr>
        <w:t>24.11. Para dirimir quaisquer questões decorrentes da licitação, não resolvidas na esfera administrativa, será competente o Foro da Comarca de Paulínia (SP).</w:t>
      </w:r>
    </w:p>
    <w:p w14:paraId="5AE39CBD">
      <w:pPr>
        <w:pStyle w:val="29"/>
        <w:spacing w:before="0" w:beforeAutospacing="0" w:after="200" w:afterAutospacing="0" w:line="240" w:lineRule="auto"/>
        <w:ind w:left="284"/>
        <w:rPr>
          <w:sz w:val="24"/>
          <w:szCs w:val="24"/>
        </w:rPr>
      </w:pPr>
      <w:r>
        <w:rPr>
          <w:sz w:val="24"/>
          <w:szCs w:val="24"/>
        </w:rPr>
        <w:t>24.12. É facultada ao Pregoeiro ou autoridade superior, em qualquer fase da licitação, a promoção de diligência destinada a esclarecer ou a complementar a instrução do processo, vedada a inclusão posterior de documento ou informação que deveria constar originariamente da proposta, conforme art. 64 da Lei 14.133/2021.</w:t>
      </w:r>
    </w:p>
    <w:p w14:paraId="1F70D00A">
      <w:pPr>
        <w:pStyle w:val="29"/>
        <w:tabs>
          <w:tab w:val="left" w:pos="8228"/>
        </w:tabs>
        <w:spacing w:before="0" w:beforeAutospacing="0" w:after="200" w:afterAutospacing="0" w:line="240" w:lineRule="auto"/>
        <w:ind w:left="284" w:right="89"/>
        <w:rPr>
          <w:sz w:val="24"/>
          <w:szCs w:val="24"/>
        </w:rPr>
      </w:pPr>
      <w:r>
        <w:rPr>
          <w:sz w:val="24"/>
          <w:szCs w:val="24"/>
        </w:rPr>
        <w:t>24.13. Constituem parte integrante do contrato ou outro instrumento equivalente resultante desta licitação, mesmo que não transcritos, todos os itens deste edital, seus anexos, a(s) proposta(s) da(s) licitante(s) vencedora(s) e quaisquer outros documentos ou cartas que por ventura sejam apresentados em qualquer fase da licitação para complementar ou esclarecer a instrução do processo.</w:t>
      </w:r>
    </w:p>
    <w:p w14:paraId="45E9C847">
      <w:pPr>
        <w:pStyle w:val="29"/>
        <w:tabs>
          <w:tab w:val="left" w:pos="8228"/>
        </w:tabs>
        <w:spacing w:before="0" w:beforeAutospacing="0" w:after="200" w:afterAutospacing="0" w:line="240" w:lineRule="auto"/>
        <w:ind w:right="89"/>
        <w:rPr>
          <w:sz w:val="24"/>
          <w:szCs w:val="24"/>
        </w:rPr>
      </w:pPr>
    </w:p>
    <w:p w14:paraId="34B531EC">
      <w:pPr>
        <w:spacing w:line="240" w:lineRule="auto"/>
        <w:jc w:val="both"/>
        <w:rPr>
          <w:rFonts w:ascii="Arial" w:hAnsi="Arial" w:cs="Arial"/>
          <w:sz w:val="24"/>
          <w:szCs w:val="24"/>
        </w:rPr>
      </w:pPr>
      <w:r>
        <w:rPr>
          <w:rFonts w:ascii="Arial" w:hAnsi="Arial" w:cs="Arial"/>
          <w:sz w:val="24"/>
          <w:szCs w:val="24"/>
        </w:rPr>
        <w:t xml:space="preserve">Paulínia, 11 NOV 2025. </w:t>
      </w:r>
    </w:p>
    <w:p w14:paraId="2648F451">
      <w:pPr>
        <w:spacing w:line="240" w:lineRule="auto"/>
        <w:jc w:val="both"/>
        <w:rPr>
          <w:rFonts w:ascii="Arial" w:hAnsi="Arial" w:cs="Arial"/>
          <w:sz w:val="24"/>
          <w:szCs w:val="24"/>
        </w:rPr>
      </w:pPr>
    </w:p>
    <w:p w14:paraId="135BAE7C">
      <w:pPr>
        <w:spacing w:line="240" w:lineRule="auto"/>
        <w:jc w:val="center"/>
        <w:rPr>
          <w:rFonts w:ascii="Arial" w:hAnsi="Arial" w:cs="Arial"/>
          <w:b/>
          <w:sz w:val="24"/>
          <w:szCs w:val="24"/>
        </w:rPr>
      </w:pPr>
    </w:p>
    <w:p w14:paraId="1AB21DB6">
      <w:pPr>
        <w:spacing w:line="240" w:lineRule="auto"/>
        <w:jc w:val="center"/>
        <w:rPr>
          <w:rFonts w:ascii="Arial" w:hAnsi="Arial" w:cs="Arial"/>
          <w:b/>
          <w:sz w:val="24"/>
          <w:szCs w:val="24"/>
        </w:rPr>
      </w:pPr>
    </w:p>
    <w:p w14:paraId="57D18923">
      <w:pPr>
        <w:spacing w:line="240" w:lineRule="auto"/>
        <w:jc w:val="center"/>
        <w:rPr>
          <w:rFonts w:ascii="Arial" w:hAnsi="Arial" w:cs="Arial"/>
          <w:b/>
          <w:sz w:val="24"/>
          <w:szCs w:val="24"/>
        </w:rPr>
      </w:pPr>
      <w:r>
        <w:rPr>
          <w:rFonts w:ascii="Arial" w:hAnsi="Arial" w:cs="Arial"/>
          <w:b/>
          <w:sz w:val="24"/>
          <w:szCs w:val="24"/>
        </w:rPr>
        <w:t xml:space="preserve"> </w:t>
      </w:r>
    </w:p>
    <w:p w14:paraId="1C86E905">
      <w:pPr>
        <w:spacing w:after="0" w:line="240" w:lineRule="auto"/>
        <w:jc w:val="center"/>
        <w:rPr>
          <w:rFonts w:ascii="Arial" w:hAnsi="Arial" w:eastAsia="Arial Unicode MS" w:cs="Arial"/>
          <w:b/>
          <w:sz w:val="24"/>
          <w:szCs w:val="24"/>
          <w:lang w:eastAsia="pt-BR"/>
        </w:rPr>
      </w:pPr>
      <w:r>
        <w:rPr>
          <w:rFonts w:ascii="Arial" w:hAnsi="Arial" w:eastAsia="Arial Unicode MS" w:cs="Arial"/>
          <w:b/>
          <w:sz w:val="24"/>
          <w:szCs w:val="24"/>
          <w:lang w:eastAsia="pt-BR"/>
        </w:rPr>
        <w:t>DANILO BARROS</w:t>
      </w:r>
    </w:p>
    <w:p w14:paraId="7EA62E78">
      <w:pPr>
        <w:spacing w:after="0" w:line="240" w:lineRule="auto"/>
        <w:jc w:val="center"/>
        <w:rPr>
          <w:rFonts w:ascii="Arial" w:hAnsi="Arial" w:eastAsia="Arial Unicode MS" w:cs="Arial"/>
          <w:b/>
          <w:sz w:val="24"/>
          <w:szCs w:val="24"/>
          <w:lang w:eastAsia="pt-BR"/>
        </w:rPr>
      </w:pPr>
      <w:r>
        <w:rPr>
          <w:rFonts w:ascii="Arial" w:hAnsi="Arial" w:eastAsia="Arial Unicode MS" w:cs="Arial"/>
          <w:b/>
          <w:sz w:val="24"/>
          <w:szCs w:val="24"/>
          <w:lang w:eastAsia="pt-BR"/>
        </w:rPr>
        <w:t>PREFEITO MUNICIPAL</w:t>
      </w:r>
    </w:p>
    <w:p w14:paraId="4851A0A3">
      <w:pPr>
        <w:spacing w:line="240" w:lineRule="auto"/>
        <w:jc w:val="center"/>
        <w:rPr>
          <w:rFonts w:ascii="Arial" w:hAnsi="Arial" w:eastAsia="Arial Unicode MS" w:cs="Arial"/>
          <w:b/>
          <w:sz w:val="24"/>
          <w:szCs w:val="24"/>
          <w:lang w:eastAsia="pt-BR"/>
        </w:rPr>
      </w:pPr>
    </w:p>
    <w:p w14:paraId="7E8C6E8B">
      <w:pPr>
        <w:spacing w:line="240" w:lineRule="auto"/>
        <w:jc w:val="center"/>
        <w:rPr>
          <w:rFonts w:ascii="Arial" w:hAnsi="Arial" w:eastAsia="Arial Unicode MS" w:cs="Arial"/>
          <w:b/>
          <w:sz w:val="24"/>
          <w:szCs w:val="24"/>
          <w:lang w:eastAsia="pt-BR"/>
        </w:rPr>
      </w:pPr>
    </w:p>
    <w:p w14:paraId="6C79C8D3">
      <w:pPr>
        <w:spacing w:line="240" w:lineRule="auto"/>
        <w:jc w:val="center"/>
        <w:rPr>
          <w:rFonts w:ascii="Arial" w:hAnsi="Arial" w:eastAsia="Arial Unicode MS" w:cs="Arial"/>
          <w:b/>
          <w:sz w:val="24"/>
          <w:szCs w:val="24"/>
          <w:lang w:eastAsia="pt-BR"/>
        </w:rPr>
      </w:pPr>
    </w:p>
    <w:p w14:paraId="171A2A16">
      <w:pPr>
        <w:spacing w:line="240" w:lineRule="auto"/>
        <w:jc w:val="center"/>
        <w:rPr>
          <w:rFonts w:ascii="Arial" w:hAnsi="Arial" w:eastAsia="Arial Unicode MS" w:cs="Arial"/>
          <w:b/>
          <w:sz w:val="24"/>
          <w:szCs w:val="24"/>
          <w:lang w:eastAsia="pt-BR"/>
        </w:rPr>
      </w:pPr>
    </w:p>
    <w:p w14:paraId="61CD42F7">
      <w:pPr>
        <w:spacing w:line="240" w:lineRule="auto"/>
        <w:jc w:val="center"/>
        <w:rPr>
          <w:rFonts w:ascii="Arial" w:hAnsi="Arial" w:eastAsia="Arial Unicode MS" w:cs="Arial"/>
          <w:b/>
          <w:sz w:val="24"/>
          <w:szCs w:val="24"/>
          <w:lang w:eastAsia="pt-BR"/>
        </w:rPr>
      </w:pPr>
    </w:p>
    <w:p w14:paraId="1A8EE7AF">
      <w:pPr>
        <w:spacing w:line="240" w:lineRule="auto"/>
        <w:jc w:val="center"/>
        <w:rPr>
          <w:rFonts w:ascii="Arial" w:hAnsi="Arial" w:eastAsia="Arial Unicode MS" w:cs="Arial"/>
          <w:b/>
          <w:sz w:val="24"/>
          <w:szCs w:val="24"/>
          <w:lang w:eastAsia="pt-BR"/>
        </w:rPr>
      </w:pPr>
    </w:p>
    <w:p w14:paraId="775AD1E7">
      <w:pPr>
        <w:spacing w:line="240" w:lineRule="auto"/>
        <w:jc w:val="center"/>
        <w:rPr>
          <w:rFonts w:ascii="Arial" w:hAnsi="Arial" w:eastAsia="Arial Unicode MS" w:cs="Arial"/>
          <w:b/>
          <w:sz w:val="24"/>
          <w:szCs w:val="24"/>
          <w:lang w:eastAsia="pt-BR"/>
        </w:rPr>
      </w:pPr>
    </w:p>
    <w:p w14:paraId="723386FF">
      <w:pPr>
        <w:spacing w:line="240" w:lineRule="auto"/>
        <w:jc w:val="center"/>
        <w:rPr>
          <w:rFonts w:ascii="Arial" w:hAnsi="Arial" w:eastAsia="Arial Unicode MS" w:cs="Arial"/>
          <w:b/>
          <w:sz w:val="24"/>
          <w:szCs w:val="24"/>
          <w:lang w:eastAsia="pt-BR"/>
        </w:rPr>
      </w:pPr>
    </w:p>
    <w:p w14:paraId="3DCEDD0C">
      <w:pPr>
        <w:spacing w:line="240" w:lineRule="auto"/>
        <w:jc w:val="center"/>
        <w:rPr>
          <w:rFonts w:ascii="Arial" w:hAnsi="Arial" w:eastAsia="Arial Unicode MS" w:cs="Arial"/>
          <w:b/>
          <w:sz w:val="24"/>
          <w:szCs w:val="24"/>
          <w:lang w:eastAsia="pt-BR"/>
        </w:rPr>
      </w:pPr>
    </w:p>
    <w:p w14:paraId="4402EB4D">
      <w:pPr>
        <w:spacing w:line="240" w:lineRule="auto"/>
        <w:jc w:val="center"/>
        <w:rPr>
          <w:rFonts w:ascii="Arial" w:hAnsi="Arial" w:eastAsia="Arial Unicode MS" w:cs="Arial"/>
          <w:b/>
          <w:sz w:val="24"/>
          <w:szCs w:val="24"/>
          <w:lang w:eastAsia="pt-BR"/>
        </w:rPr>
      </w:pPr>
    </w:p>
    <w:p w14:paraId="3F09CFED">
      <w:pPr>
        <w:spacing w:line="240" w:lineRule="auto"/>
        <w:jc w:val="center"/>
        <w:rPr>
          <w:rFonts w:ascii="Arial" w:hAnsi="Arial" w:eastAsia="Arial Unicode MS" w:cs="Arial"/>
          <w:b/>
          <w:sz w:val="24"/>
          <w:szCs w:val="24"/>
          <w:lang w:eastAsia="pt-BR"/>
        </w:rPr>
      </w:pPr>
    </w:p>
    <w:p w14:paraId="767A8099">
      <w:pPr>
        <w:spacing w:line="240" w:lineRule="auto"/>
        <w:jc w:val="center"/>
        <w:rPr>
          <w:rFonts w:ascii="Arial" w:hAnsi="Arial" w:eastAsia="Arial Unicode MS" w:cs="Arial"/>
          <w:b/>
          <w:sz w:val="24"/>
          <w:szCs w:val="24"/>
          <w:lang w:eastAsia="pt-BR"/>
        </w:rPr>
      </w:pPr>
    </w:p>
    <w:p w14:paraId="443E1C2D">
      <w:pPr>
        <w:spacing w:line="240" w:lineRule="auto"/>
        <w:jc w:val="center"/>
        <w:rPr>
          <w:rFonts w:ascii="Arial" w:hAnsi="Arial" w:cs="Arial"/>
          <w:b/>
          <w:sz w:val="24"/>
          <w:szCs w:val="24"/>
        </w:rPr>
      </w:pPr>
      <w:r>
        <w:rPr>
          <w:rFonts w:ascii="Arial" w:hAnsi="Arial" w:cs="Arial"/>
          <w:b/>
          <w:sz w:val="24"/>
          <w:szCs w:val="24"/>
        </w:rPr>
        <w:t>ANEXO I – TERMO DE REFERÊNCIA</w:t>
      </w:r>
      <w:r>
        <w:rPr>
          <w:rFonts w:ascii="Arial" w:hAnsi="Arial" w:cs="Arial"/>
          <w:b/>
          <w:sz w:val="24"/>
          <w:szCs w:val="24"/>
          <w:lang w:eastAsia="pt-BR"/>
        </w:rPr>
        <w:t>/ ESPECIFICAÇÕES DO OBJETO</w:t>
      </w:r>
    </w:p>
    <w:p w14:paraId="4D19C943">
      <w:pPr>
        <w:widowControl w:val="0"/>
        <w:suppressAutoHyphens/>
        <w:spacing w:after="0"/>
        <w:ind w:left="-426" w:right="-1" w:firstLine="142"/>
        <w:contextualSpacing/>
        <w:jc w:val="both"/>
        <w:rPr>
          <w:rFonts w:cs="Calibri"/>
          <w:b/>
          <w:bCs/>
          <w:sz w:val="28"/>
          <w:szCs w:val="28"/>
        </w:rPr>
      </w:pPr>
      <w:bookmarkStart w:id="8" w:name="_Hlk202884436"/>
      <w:r>
        <w:rPr>
          <w:rFonts w:cs="Calibri"/>
          <w:b/>
          <w:bCs/>
          <w:sz w:val="28"/>
          <w:szCs w:val="28"/>
        </w:rPr>
        <w:t>RC Nº 199/2025</w:t>
      </w:r>
    </w:p>
    <w:bookmarkEnd w:id="8"/>
    <w:p w14:paraId="714AE248">
      <w:pPr>
        <w:widowControl w:val="0"/>
        <w:suppressAutoHyphens/>
        <w:spacing w:after="0"/>
        <w:ind w:right="-1"/>
        <w:contextualSpacing/>
        <w:jc w:val="center"/>
        <w:rPr>
          <w:rFonts w:cs="Calibri"/>
          <w:b/>
          <w:bCs/>
          <w:sz w:val="20"/>
          <w:szCs w:val="20"/>
        </w:rPr>
      </w:pPr>
    </w:p>
    <w:p w14:paraId="60D7E747">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DEFINIÇÃO DO OBJETO</w:t>
      </w:r>
    </w:p>
    <w:p w14:paraId="55D08A33">
      <w:pPr>
        <w:widowControl w:val="0"/>
        <w:suppressAutoHyphens/>
        <w:spacing w:after="0"/>
        <w:ind w:right="-568"/>
        <w:contextualSpacing/>
        <w:jc w:val="both"/>
        <w:rPr>
          <w:rFonts w:cs="Calibri"/>
          <w:sz w:val="24"/>
          <w:szCs w:val="24"/>
        </w:rPr>
      </w:pPr>
    </w:p>
    <w:p w14:paraId="3C52A696">
      <w:pPr>
        <w:pStyle w:val="40"/>
        <w:widowControl w:val="0"/>
        <w:numPr>
          <w:ilvl w:val="0"/>
          <w:numId w:val="5"/>
        </w:numPr>
        <w:suppressAutoHyphens/>
        <w:spacing w:after="0" w:line="276" w:lineRule="auto"/>
        <w:ind w:left="426" w:right="-568" w:hanging="502"/>
        <w:jc w:val="both"/>
        <w:rPr>
          <w:rFonts w:cs="Calibri"/>
          <w:b/>
          <w:bCs/>
        </w:rPr>
      </w:pPr>
      <w:r>
        <w:rPr>
          <w:rFonts w:cs="Calibri"/>
          <w:b/>
        </w:rPr>
        <w:t>ESPECIFICAÇÃO DO OBJETO</w:t>
      </w:r>
    </w:p>
    <w:p w14:paraId="49CD9D16">
      <w:pPr>
        <w:pStyle w:val="40"/>
        <w:widowControl w:val="0"/>
        <w:suppressAutoHyphens/>
        <w:spacing w:after="0" w:line="276" w:lineRule="auto"/>
        <w:ind w:left="426" w:right="-568"/>
        <w:jc w:val="both"/>
        <w:rPr>
          <w:rFonts w:cs="Calibri"/>
        </w:rPr>
      </w:pPr>
    </w:p>
    <w:p w14:paraId="7010319A">
      <w:pPr>
        <w:pStyle w:val="40"/>
        <w:widowControl w:val="0"/>
        <w:suppressAutoHyphens/>
        <w:spacing w:after="0" w:line="276" w:lineRule="auto"/>
        <w:ind w:left="0" w:right="-568" w:firstLine="567"/>
        <w:jc w:val="both"/>
        <w:rPr>
          <w:rFonts w:cs="Calibri"/>
          <w:b/>
          <w:bCs/>
        </w:rPr>
      </w:pPr>
      <w:r>
        <w:rPr>
          <w:rFonts w:cs="Calibri"/>
        </w:rPr>
        <w:t>O presente termo de referência tem por objeto: REGISTRO DE PREÇOS PARA AQUISIÇÃO DE MEDICAMENTOS DIVERSOS, conforme especificações técnicas e quantitativos detalhados abaixo.</w:t>
      </w:r>
    </w:p>
    <w:p w14:paraId="384BCE44">
      <w:pPr>
        <w:spacing w:after="0" w:line="360" w:lineRule="auto"/>
        <w:rPr>
          <w:rFonts w:eastAsia="Times New Roman" w:cs="Calibri"/>
          <w:b/>
          <w:bCs/>
          <w:color w:val="000000"/>
          <w:sz w:val="24"/>
          <w:szCs w:val="24"/>
          <w:lang w:eastAsia="pt-BR"/>
        </w:rPr>
      </w:pPr>
    </w:p>
    <w:tbl>
      <w:tblPr>
        <w:tblStyle w:val="4"/>
        <w:tblW w:w="935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92"/>
        <w:gridCol w:w="850"/>
        <w:gridCol w:w="4253"/>
        <w:gridCol w:w="1276"/>
        <w:gridCol w:w="1275"/>
      </w:tblGrid>
      <w:tr w14:paraId="32E20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F34E124">
            <w:pPr>
              <w:tabs>
                <w:tab w:val="center" w:pos="4252"/>
                <w:tab w:val="right" w:pos="8504"/>
              </w:tabs>
              <w:spacing w:after="0" w:line="240" w:lineRule="auto"/>
              <w:jc w:val="center"/>
              <w:rPr>
                <w:rFonts w:eastAsia="Arial" w:cstheme="minorHAnsi"/>
                <w:b/>
              </w:rPr>
            </w:pPr>
            <w:r>
              <w:rPr>
                <w:rFonts w:eastAsia="Arial" w:cstheme="minorHAnsi"/>
                <w:b/>
              </w:rPr>
              <w:t>ITEM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AAE0522">
            <w:pPr>
              <w:tabs>
                <w:tab w:val="center" w:pos="4252"/>
                <w:tab w:val="right" w:pos="8504"/>
              </w:tabs>
              <w:spacing w:after="0" w:line="240" w:lineRule="auto"/>
              <w:jc w:val="center"/>
              <w:rPr>
                <w:rFonts w:eastAsia="Arial" w:cstheme="minorHAnsi"/>
                <w:b/>
              </w:rPr>
            </w:pPr>
            <w:r>
              <w:rPr>
                <w:rFonts w:eastAsia="Arial" w:cstheme="minorHAnsi"/>
                <w:b/>
              </w:rPr>
              <w:t>QTDE</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107C823">
            <w:pPr>
              <w:tabs>
                <w:tab w:val="center" w:pos="4252"/>
                <w:tab w:val="right" w:pos="8504"/>
              </w:tabs>
              <w:spacing w:after="0" w:line="240" w:lineRule="auto"/>
              <w:jc w:val="center"/>
              <w:rPr>
                <w:rFonts w:eastAsia="Arial" w:cstheme="minorHAnsi"/>
                <w:b/>
              </w:rPr>
            </w:pPr>
            <w:r>
              <w:rPr>
                <w:rFonts w:eastAsia="Arial" w:cstheme="minorHAnsi"/>
                <w:b/>
              </w:rPr>
              <w:t>UNID</w:t>
            </w:r>
          </w:p>
        </w:tc>
        <w:tc>
          <w:tcPr>
            <w:tcW w:w="4253"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295B7EF">
            <w:pPr>
              <w:tabs>
                <w:tab w:val="center" w:pos="4252"/>
                <w:tab w:val="right" w:pos="8504"/>
              </w:tabs>
              <w:spacing w:after="0" w:line="240" w:lineRule="auto"/>
              <w:jc w:val="center"/>
              <w:rPr>
                <w:rFonts w:eastAsia="Arial" w:cstheme="minorHAnsi"/>
                <w:b/>
              </w:rPr>
            </w:pPr>
            <w:r>
              <w:rPr>
                <w:rFonts w:eastAsia="Arial" w:cstheme="minorHAnsi"/>
                <w:b/>
              </w:rPr>
              <w:t>ESPECIFICAÇÕES TÉCNICAS DETALHADAS</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4BE4822">
            <w:pPr>
              <w:tabs>
                <w:tab w:val="center" w:pos="4252"/>
                <w:tab w:val="right" w:pos="8504"/>
              </w:tabs>
              <w:spacing w:after="0" w:line="240" w:lineRule="auto"/>
              <w:jc w:val="center"/>
              <w:rPr>
                <w:rFonts w:eastAsia="Arial" w:cstheme="minorHAnsi"/>
                <w:b/>
              </w:rPr>
            </w:pPr>
            <w:r>
              <w:rPr>
                <w:rFonts w:eastAsia="Arial" w:cstheme="minorHAnsi"/>
                <w:b/>
              </w:rPr>
              <w:t>VALORES ESTIMADOS</w:t>
            </w:r>
          </w:p>
        </w:tc>
      </w:tr>
      <w:tr w14:paraId="3F97E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14:paraId="234AE70F">
            <w:pPr>
              <w:spacing w:after="0"/>
              <w:rPr>
                <w:rFonts w:eastAsia="Arial" w:cstheme="minorHAnsi"/>
                <w:b/>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B8EE532">
            <w:pPr>
              <w:spacing w:after="0"/>
              <w:rPr>
                <w:rFonts w:eastAsia="Arial" w:cstheme="minorHAnsi"/>
                <w:b/>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03FB723B">
            <w:pPr>
              <w:spacing w:after="0"/>
              <w:rPr>
                <w:rFonts w:eastAsia="Arial" w:cstheme="minorHAnsi"/>
                <w:b/>
              </w:rPr>
            </w:pPr>
          </w:p>
        </w:tc>
        <w:tc>
          <w:tcPr>
            <w:tcW w:w="4253" w:type="dxa"/>
            <w:vMerge w:val="continue"/>
            <w:tcBorders>
              <w:top w:val="single" w:color="000000" w:sz="4" w:space="0"/>
              <w:left w:val="single" w:color="000000" w:sz="4" w:space="0"/>
              <w:bottom w:val="single" w:color="000000" w:sz="4" w:space="0"/>
              <w:right w:val="single" w:color="000000" w:sz="4" w:space="0"/>
            </w:tcBorders>
            <w:vAlign w:val="center"/>
          </w:tcPr>
          <w:p w14:paraId="6059E459">
            <w:pPr>
              <w:spacing w:after="0"/>
              <w:rPr>
                <w:rFonts w:eastAsia="Arial" w:cstheme="minorHAnsi"/>
                <w:b/>
              </w:rPr>
            </w:pPr>
          </w:p>
        </w:tc>
        <w:tc>
          <w:tcPr>
            <w:tcW w:w="127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39A1CE5">
            <w:pPr>
              <w:tabs>
                <w:tab w:val="center" w:pos="4252"/>
                <w:tab w:val="right" w:pos="8504"/>
              </w:tabs>
              <w:spacing w:after="0" w:line="240" w:lineRule="auto"/>
              <w:jc w:val="center"/>
              <w:rPr>
                <w:rFonts w:eastAsia="Arial" w:cstheme="minorHAnsi"/>
                <w:b/>
              </w:rPr>
            </w:pPr>
            <w:r>
              <w:rPr>
                <w:rFonts w:eastAsia="Arial" w:cstheme="minorHAnsi"/>
                <w:b/>
              </w:rPr>
              <w:t>UNITÁRIO</w:t>
            </w:r>
          </w:p>
          <w:p w14:paraId="7A5372FA">
            <w:pPr>
              <w:tabs>
                <w:tab w:val="center" w:pos="4252"/>
                <w:tab w:val="right" w:pos="8504"/>
              </w:tabs>
              <w:spacing w:after="0" w:line="240" w:lineRule="auto"/>
              <w:jc w:val="center"/>
              <w:rPr>
                <w:rFonts w:eastAsia="Arial" w:cstheme="minorHAnsi"/>
                <w:b/>
              </w:rPr>
            </w:pPr>
            <w:r>
              <w:rPr>
                <w:rFonts w:eastAsia="Arial" w:cstheme="minorHAnsi"/>
                <w:b/>
              </w:rPr>
              <w:t>(R$)</w:t>
            </w:r>
          </w:p>
        </w:tc>
        <w:tc>
          <w:tcPr>
            <w:tcW w:w="127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E6ECF56">
            <w:pPr>
              <w:tabs>
                <w:tab w:val="center" w:pos="4252"/>
                <w:tab w:val="right" w:pos="8504"/>
              </w:tabs>
              <w:spacing w:after="0" w:line="240" w:lineRule="auto"/>
              <w:jc w:val="center"/>
              <w:rPr>
                <w:rFonts w:eastAsia="Arial" w:cstheme="minorHAnsi"/>
                <w:b/>
              </w:rPr>
            </w:pPr>
            <w:r>
              <w:rPr>
                <w:rFonts w:eastAsia="Arial" w:cstheme="minorHAnsi"/>
                <w:b/>
              </w:rPr>
              <w:t>TOTAL</w:t>
            </w:r>
          </w:p>
          <w:p w14:paraId="2C151373">
            <w:pPr>
              <w:tabs>
                <w:tab w:val="center" w:pos="4252"/>
                <w:tab w:val="right" w:pos="8504"/>
              </w:tabs>
              <w:spacing w:after="0" w:line="240" w:lineRule="auto"/>
              <w:jc w:val="center"/>
              <w:rPr>
                <w:rFonts w:eastAsia="Arial" w:cstheme="minorHAnsi"/>
                <w:b/>
              </w:rPr>
            </w:pPr>
            <w:r>
              <w:rPr>
                <w:rFonts w:eastAsia="Arial" w:cstheme="minorHAnsi"/>
                <w:b/>
              </w:rPr>
              <w:t>(R$)</w:t>
            </w:r>
          </w:p>
        </w:tc>
      </w:tr>
      <w:tr w14:paraId="0A6BD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205AAA0">
            <w:pPr>
              <w:tabs>
                <w:tab w:val="center" w:pos="4252"/>
                <w:tab w:val="right" w:pos="8504"/>
              </w:tabs>
              <w:spacing w:after="0" w:line="240" w:lineRule="auto"/>
              <w:jc w:val="center"/>
              <w:rPr>
                <w:rFonts w:eastAsia="Arial" w:cstheme="minorHAnsi"/>
              </w:rPr>
            </w:pPr>
            <w:r>
              <w:rPr>
                <w:rFonts w:ascii="Arial" w:hAnsi="Arial" w:cs="Arial"/>
                <w:color w:val="000000"/>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6E6F9D9B">
            <w:pPr>
              <w:tabs>
                <w:tab w:val="center" w:pos="4252"/>
                <w:tab w:val="right" w:pos="8504"/>
              </w:tabs>
              <w:spacing w:after="0" w:line="240" w:lineRule="auto"/>
              <w:jc w:val="center"/>
              <w:rPr>
                <w:rFonts w:eastAsia="Arial" w:cstheme="minorHAnsi"/>
              </w:rPr>
            </w:pPr>
            <w:r>
              <w:rPr>
                <w:rFonts w:ascii="Arial" w:hAnsi="Arial" w:cs="Arial"/>
                <w:color w:val="000000"/>
              </w:rPr>
              <w:t>300</w:t>
            </w:r>
          </w:p>
        </w:tc>
        <w:tc>
          <w:tcPr>
            <w:tcW w:w="850" w:type="dxa"/>
            <w:tcBorders>
              <w:top w:val="single" w:color="000000" w:sz="4" w:space="0"/>
              <w:left w:val="single" w:color="000000" w:sz="4" w:space="0"/>
              <w:bottom w:val="single" w:color="000000" w:sz="4" w:space="0"/>
              <w:right w:val="single" w:color="000000" w:sz="4" w:space="0"/>
            </w:tcBorders>
            <w:vAlign w:val="center"/>
          </w:tcPr>
          <w:p w14:paraId="4AFE2936">
            <w:pPr>
              <w:tabs>
                <w:tab w:val="center" w:pos="4252"/>
                <w:tab w:val="right" w:pos="8504"/>
              </w:tabs>
              <w:spacing w:after="0" w:line="240" w:lineRule="auto"/>
              <w:jc w:val="center"/>
              <w:rPr>
                <w:rFonts w:eastAsia="Arial" w:cstheme="minorHAnsi"/>
              </w:rPr>
            </w:pPr>
            <w:r>
              <w:rPr>
                <w:rFonts w:ascii="Arial" w:hAnsi="Arial" w:cs="Arial"/>
                <w:color w:val="000000"/>
              </w:rPr>
              <w:t>AMP</w:t>
            </w:r>
          </w:p>
        </w:tc>
        <w:tc>
          <w:tcPr>
            <w:tcW w:w="4253" w:type="dxa"/>
            <w:tcBorders>
              <w:top w:val="single" w:color="000000" w:sz="4" w:space="0"/>
              <w:left w:val="single" w:color="000000" w:sz="4" w:space="0"/>
              <w:bottom w:val="single" w:color="000000" w:sz="4" w:space="0"/>
              <w:right w:val="single" w:color="000000" w:sz="4" w:space="0"/>
            </w:tcBorders>
            <w:vAlign w:val="center"/>
          </w:tcPr>
          <w:p w14:paraId="137FD7A8">
            <w:pPr>
              <w:tabs>
                <w:tab w:val="center" w:pos="4252"/>
                <w:tab w:val="right" w:pos="8504"/>
              </w:tabs>
              <w:spacing w:after="0" w:line="240" w:lineRule="auto"/>
              <w:jc w:val="both"/>
              <w:rPr>
                <w:rFonts w:eastAsia="Arial" w:cstheme="minorHAnsi"/>
              </w:rPr>
            </w:pPr>
            <w:r>
              <w:rPr>
                <w:rFonts w:ascii="Arial" w:hAnsi="Arial" w:cs="Arial"/>
                <w:color w:val="000000"/>
              </w:rPr>
              <w:t>AMICACINA, SULFATO 50 MG/ML SOLUÇÃO INJETÁVEL AMPOLA DE 2 ML</w:t>
            </w:r>
          </w:p>
        </w:tc>
        <w:tc>
          <w:tcPr>
            <w:tcW w:w="1276" w:type="dxa"/>
            <w:tcBorders>
              <w:top w:val="single" w:color="auto" w:sz="4" w:space="0"/>
              <w:left w:val="single" w:color="auto" w:sz="4" w:space="0"/>
              <w:bottom w:val="single" w:color="auto" w:sz="4" w:space="0"/>
              <w:right w:val="single" w:color="auto" w:sz="4" w:space="0"/>
            </w:tcBorders>
            <w:shd w:val="clear" w:color="auto" w:fill="F2F2F2"/>
            <w:vAlign w:val="center"/>
          </w:tcPr>
          <w:p w14:paraId="2A81161C">
            <w:pPr>
              <w:tabs>
                <w:tab w:val="center" w:pos="4252"/>
                <w:tab w:val="right" w:pos="8504"/>
              </w:tabs>
              <w:spacing w:after="0" w:line="240" w:lineRule="auto"/>
              <w:jc w:val="center"/>
              <w:rPr>
                <w:rFonts w:eastAsia="Arial" w:cstheme="minorHAnsi"/>
              </w:rPr>
            </w:pPr>
            <w:r>
              <w:rPr>
                <w:rFonts w:ascii="Arial" w:hAnsi="Arial" w:cs="Arial"/>
                <w:color w:val="000000"/>
              </w:rPr>
              <w:t>6,59</w:t>
            </w:r>
          </w:p>
        </w:tc>
        <w:tc>
          <w:tcPr>
            <w:tcW w:w="1275" w:type="dxa"/>
            <w:tcBorders>
              <w:top w:val="single" w:color="auto" w:sz="4" w:space="0"/>
              <w:left w:val="nil"/>
              <w:bottom w:val="single" w:color="auto" w:sz="4" w:space="0"/>
              <w:right w:val="single" w:color="auto" w:sz="4" w:space="0"/>
            </w:tcBorders>
            <w:shd w:val="clear" w:color="auto" w:fill="F2F2F2"/>
            <w:vAlign w:val="center"/>
          </w:tcPr>
          <w:p w14:paraId="3539EDFD">
            <w:pPr>
              <w:tabs>
                <w:tab w:val="center" w:pos="4252"/>
                <w:tab w:val="right" w:pos="8504"/>
              </w:tabs>
              <w:spacing w:after="0" w:line="240" w:lineRule="auto"/>
              <w:jc w:val="center"/>
              <w:rPr>
                <w:rFonts w:eastAsia="Arial" w:cstheme="minorHAnsi"/>
              </w:rPr>
            </w:pPr>
            <w:r>
              <w:rPr>
                <w:rFonts w:ascii="Arial" w:hAnsi="Arial" w:cs="Arial"/>
                <w:color w:val="000000"/>
              </w:rPr>
              <w:t>1.977,00</w:t>
            </w:r>
          </w:p>
        </w:tc>
      </w:tr>
      <w:tr w14:paraId="2050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628ED1F">
            <w:pPr>
              <w:tabs>
                <w:tab w:val="center" w:pos="4252"/>
                <w:tab w:val="right" w:pos="8504"/>
              </w:tabs>
              <w:spacing w:after="0" w:line="240" w:lineRule="auto"/>
              <w:jc w:val="center"/>
              <w:rPr>
                <w:rFonts w:eastAsia="Arial" w:cstheme="minorHAnsi"/>
              </w:rPr>
            </w:pPr>
            <w:r>
              <w:rPr>
                <w:rFonts w:ascii="Arial" w:hAnsi="Arial" w:cs="Arial"/>
                <w:color w:val="000000"/>
              </w:rPr>
              <w:t>2</w:t>
            </w:r>
          </w:p>
        </w:tc>
        <w:tc>
          <w:tcPr>
            <w:tcW w:w="992" w:type="dxa"/>
            <w:tcBorders>
              <w:top w:val="single" w:color="000000" w:sz="4" w:space="0"/>
              <w:left w:val="single" w:color="000000" w:sz="4" w:space="0"/>
              <w:bottom w:val="single" w:color="000000" w:sz="4" w:space="0"/>
              <w:right w:val="single" w:color="000000" w:sz="4" w:space="0"/>
            </w:tcBorders>
            <w:vAlign w:val="center"/>
          </w:tcPr>
          <w:p w14:paraId="4B1D99D3">
            <w:pPr>
              <w:tabs>
                <w:tab w:val="center" w:pos="4252"/>
                <w:tab w:val="right" w:pos="8504"/>
              </w:tabs>
              <w:spacing w:after="0" w:line="240" w:lineRule="auto"/>
              <w:jc w:val="center"/>
              <w:rPr>
                <w:rFonts w:eastAsia="Arial" w:cstheme="minorHAnsi"/>
              </w:rPr>
            </w:pPr>
            <w:r>
              <w:rPr>
                <w:rFonts w:ascii="Arial" w:hAnsi="Arial" w:cs="Arial"/>
                <w:color w:val="000000"/>
              </w:rPr>
              <w:t>400</w:t>
            </w:r>
          </w:p>
        </w:tc>
        <w:tc>
          <w:tcPr>
            <w:tcW w:w="850" w:type="dxa"/>
            <w:tcBorders>
              <w:top w:val="single" w:color="000000" w:sz="4" w:space="0"/>
              <w:left w:val="single" w:color="000000" w:sz="4" w:space="0"/>
              <w:bottom w:val="single" w:color="000000" w:sz="4" w:space="0"/>
              <w:right w:val="single" w:color="000000" w:sz="4" w:space="0"/>
            </w:tcBorders>
            <w:vAlign w:val="center"/>
          </w:tcPr>
          <w:p w14:paraId="49A30C24">
            <w:pPr>
              <w:tabs>
                <w:tab w:val="center" w:pos="4252"/>
                <w:tab w:val="right" w:pos="8504"/>
              </w:tabs>
              <w:spacing w:after="0" w:line="240" w:lineRule="auto"/>
              <w:jc w:val="center"/>
              <w:rPr>
                <w:rFonts w:eastAsia="Arial" w:cstheme="minorHAnsi"/>
              </w:rPr>
            </w:pPr>
            <w:r>
              <w:rPr>
                <w:rFonts w:ascii="Arial" w:hAnsi="Arial" w:cs="Arial"/>
                <w:color w:val="000000"/>
              </w:rPr>
              <w:t>FAM</w:t>
            </w:r>
          </w:p>
        </w:tc>
        <w:tc>
          <w:tcPr>
            <w:tcW w:w="4253" w:type="dxa"/>
            <w:tcBorders>
              <w:top w:val="single" w:color="000000" w:sz="4" w:space="0"/>
              <w:left w:val="single" w:color="000000" w:sz="4" w:space="0"/>
              <w:bottom w:val="single" w:color="000000" w:sz="4" w:space="0"/>
              <w:right w:val="single" w:color="000000" w:sz="4" w:space="0"/>
            </w:tcBorders>
            <w:vAlign w:val="center"/>
          </w:tcPr>
          <w:p w14:paraId="0F15AEC7">
            <w:pPr>
              <w:tabs>
                <w:tab w:val="center" w:pos="4252"/>
                <w:tab w:val="right" w:pos="8504"/>
              </w:tabs>
              <w:spacing w:after="0" w:line="240" w:lineRule="auto"/>
              <w:jc w:val="both"/>
              <w:rPr>
                <w:rFonts w:eastAsia="Arial" w:cstheme="minorHAnsi"/>
              </w:rPr>
            </w:pPr>
            <w:r>
              <w:rPr>
                <w:rFonts w:ascii="Arial" w:hAnsi="Arial" w:cs="Arial"/>
                <w:color w:val="000000"/>
              </w:rPr>
              <w:t>CEFTAZIDIMA 1000 MG SOLUÇÃO INJETÁVEL FRASCO AMPOLA</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4DDEB8C5">
            <w:pPr>
              <w:tabs>
                <w:tab w:val="center" w:pos="4252"/>
                <w:tab w:val="right" w:pos="8504"/>
              </w:tabs>
              <w:spacing w:after="0" w:line="240" w:lineRule="auto"/>
              <w:jc w:val="center"/>
              <w:rPr>
                <w:rFonts w:eastAsia="Arial" w:cstheme="minorHAnsi"/>
              </w:rPr>
            </w:pPr>
            <w:r>
              <w:rPr>
                <w:rFonts w:ascii="Arial" w:hAnsi="Arial" w:cs="Arial"/>
                <w:color w:val="000000"/>
              </w:rPr>
              <w:t>20,92</w:t>
            </w:r>
          </w:p>
        </w:tc>
        <w:tc>
          <w:tcPr>
            <w:tcW w:w="1275" w:type="dxa"/>
            <w:tcBorders>
              <w:top w:val="nil"/>
              <w:left w:val="nil"/>
              <w:bottom w:val="single" w:color="auto" w:sz="4" w:space="0"/>
              <w:right w:val="single" w:color="auto" w:sz="4" w:space="0"/>
            </w:tcBorders>
            <w:shd w:val="clear" w:color="auto" w:fill="F2F2F2"/>
            <w:vAlign w:val="center"/>
          </w:tcPr>
          <w:p w14:paraId="74634B69">
            <w:pPr>
              <w:tabs>
                <w:tab w:val="center" w:pos="4252"/>
                <w:tab w:val="right" w:pos="8504"/>
              </w:tabs>
              <w:spacing w:after="0" w:line="240" w:lineRule="auto"/>
              <w:jc w:val="center"/>
              <w:rPr>
                <w:rFonts w:eastAsia="Arial" w:cstheme="minorHAnsi"/>
              </w:rPr>
            </w:pPr>
            <w:r>
              <w:rPr>
                <w:rFonts w:ascii="Arial" w:hAnsi="Arial" w:cs="Arial"/>
                <w:color w:val="000000"/>
              </w:rPr>
              <w:t>8.368,00</w:t>
            </w:r>
          </w:p>
        </w:tc>
      </w:tr>
      <w:tr w14:paraId="1650C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9AB4669">
            <w:pPr>
              <w:tabs>
                <w:tab w:val="center" w:pos="4252"/>
                <w:tab w:val="right" w:pos="8504"/>
              </w:tabs>
              <w:spacing w:after="0" w:line="240" w:lineRule="auto"/>
              <w:jc w:val="center"/>
              <w:rPr>
                <w:rFonts w:eastAsia="Arial" w:cstheme="minorHAnsi"/>
              </w:rPr>
            </w:pPr>
            <w:r>
              <w:rPr>
                <w:rFonts w:ascii="Arial" w:hAnsi="Arial" w:cs="Arial"/>
                <w:color w:val="000000"/>
              </w:rPr>
              <w:t>3</w:t>
            </w:r>
          </w:p>
        </w:tc>
        <w:tc>
          <w:tcPr>
            <w:tcW w:w="992" w:type="dxa"/>
            <w:tcBorders>
              <w:top w:val="single" w:color="000000" w:sz="4" w:space="0"/>
              <w:left w:val="single" w:color="000000" w:sz="4" w:space="0"/>
              <w:bottom w:val="single" w:color="000000" w:sz="4" w:space="0"/>
              <w:right w:val="single" w:color="000000" w:sz="4" w:space="0"/>
            </w:tcBorders>
            <w:vAlign w:val="center"/>
          </w:tcPr>
          <w:p w14:paraId="1AB916A5">
            <w:pPr>
              <w:tabs>
                <w:tab w:val="center" w:pos="4252"/>
                <w:tab w:val="right" w:pos="8504"/>
              </w:tabs>
              <w:spacing w:after="0" w:line="240" w:lineRule="auto"/>
              <w:jc w:val="center"/>
              <w:rPr>
                <w:rFonts w:eastAsia="Arial" w:cstheme="minorHAnsi"/>
              </w:rPr>
            </w:pPr>
            <w:r>
              <w:rPr>
                <w:rFonts w:ascii="Arial" w:hAnsi="Arial" w:cs="Arial"/>
                <w:color w:val="000000"/>
              </w:rPr>
              <w:t>200</w:t>
            </w:r>
          </w:p>
        </w:tc>
        <w:tc>
          <w:tcPr>
            <w:tcW w:w="850" w:type="dxa"/>
            <w:tcBorders>
              <w:top w:val="single" w:color="000000" w:sz="4" w:space="0"/>
              <w:left w:val="single" w:color="000000" w:sz="4" w:space="0"/>
              <w:bottom w:val="single" w:color="000000" w:sz="4" w:space="0"/>
              <w:right w:val="single" w:color="000000" w:sz="4" w:space="0"/>
            </w:tcBorders>
            <w:vAlign w:val="center"/>
          </w:tcPr>
          <w:p w14:paraId="49A66C04">
            <w:pPr>
              <w:tabs>
                <w:tab w:val="center" w:pos="4252"/>
                <w:tab w:val="right" w:pos="8504"/>
              </w:tabs>
              <w:spacing w:after="0" w:line="240" w:lineRule="auto"/>
              <w:jc w:val="center"/>
              <w:rPr>
                <w:rFonts w:eastAsia="Arial" w:cstheme="minorHAnsi"/>
              </w:rPr>
            </w:pPr>
            <w:r>
              <w:rPr>
                <w:rFonts w:ascii="Arial" w:hAnsi="Arial" w:cs="Arial"/>
                <w:color w:val="000000"/>
              </w:rPr>
              <w:t>FAM</w:t>
            </w:r>
          </w:p>
        </w:tc>
        <w:tc>
          <w:tcPr>
            <w:tcW w:w="4253" w:type="dxa"/>
            <w:tcBorders>
              <w:top w:val="single" w:color="000000" w:sz="4" w:space="0"/>
              <w:left w:val="single" w:color="000000" w:sz="4" w:space="0"/>
              <w:bottom w:val="single" w:color="000000" w:sz="4" w:space="0"/>
              <w:right w:val="single" w:color="000000" w:sz="4" w:space="0"/>
            </w:tcBorders>
            <w:vAlign w:val="center"/>
          </w:tcPr>
          <w:p w14:paraId="108AB883">
            <w:pPr>
              <w:tabs>
                <w:tab w:val="center" w:pos="4252"/>
                <w:tab w:val="right" w:pos="8504"/>
              </w:tabs>
              <w:spacing w:after="0" w:line="240" w:lineRule="auto"/>
              <w:jc w:val="both"/>
              <w:rPr>
                <w:rFonts w:eastAsia="Arial" w:cstheme="minorHAnsi"/>
              </w:rPr>
            </w:pPr>
            <w:r>
              <w:rPr>
                <w:rFonts w:ascii="Arial" w:hAnsi="Arial" w:cs="Arial"/>
                <w:color w:val="000000"/>
              </w:rPr>
              <w:t>CEFTAZIDIMA + AVIBACTAM 2000 MG + 500 MG SOLUÇÃO INJETÁVEL FRASCO AMPOLA</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34D53203">
            <w:pPr>
              <w:tabs>
                <w:tab w:val="center" w:pos="4252"/>
                <w:tab w:val="right" w:pos="8504"/>
              </w:tabs>
              <w:spacing w:after="0" w:line="240" w:lineRule="auto"/>
              <w:jc w:val="center"/>
              <w:rPr>
                <w:rFonts w:eastAsia="Arial" w:cstheme="minorHAnsi"/>
              </w:rPr>
            </w:pPr>
            <w:r>
              <w:rPr>
                <w:rFonts w:ascii="Arial" w:hAnsi="Arial" w:cs="Arial"/>
                <w:color w:val="000000"/>
              </w:rPr>
              <w:t>826,64</w:t>
            </w:r>
          </w:p>
        </w:tc>
        <w:tc>
          <w:tcPr>
            <w:tcW w:w="1275" w:type="dxa"/>
            <w:tcBorders>
              <w:top w:val="nil"/>
              <w:left w:val="nil"/>
              <w:bottom w:val="single" w:color="auto" w:sz="4" w:space="0"/>
              <w:right w:val="single" w:color="auto" w:sz="4" w:space="0"/>
            </w:tcBorders>
            <w:shd w:val="clear" w:color="auto" w:fill="F2F2F2"/>
            <w:vAlign w:val="center"/>
          </w:tcPr>
          <w:p w14:paraId="71EC6E4F">
            <w:pPr>
              <w:tabs>
                <w:tab w:val="center" w:pos="4252"/>
                <w:tab w:val="right" w:pos="8504"/>
              </w:tabs>
              <w:spacing w:after="0" w:line="240" w:lineRule="auto"/>
              <w:jc w:val="center"/>
              <w:rPr>
                <w:rFonts w:eastAsia="Arial" w:cstheme="minorHAnsi"/>
                <w:sz w:val="20"/>
                <w:szCs w:val="20"/>
              </w:rPr>
            </w:pPr>
            <w:r>
              <w:rPr>
                <w:rFonts w:ascii="Arial" w:hAnsi="Arial" w:cs="Arial"/>
                <w:color w:val="000000"/>
                <w:sz w:val="20"/>
                <w:szCs w:val="20"/>
              </w:rPr>
              <w:t>165.328,00</w:t>
            </w:r>
          </w:p>
        </w:tc>
      </w:tr>
      <w:tr w14:paraId="4F7E3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43C1264">
            <w:pPr>
              <w:tabs>
                <w:tab w:val="center" w:pos="4252"/>
                <w:tab w:val="right" w:pos="8504"/>
              </w:tabs>
              <w:spacing w:after="0" w:line="240" w:lineRule="auto"/>
              <w:jc w:val="center"/>
              <w:rPr>
                <w:rFonts w:eastAsia="Arial" w:cstheme="minorHAnsi"/>
              </w:rPr>
            </w:pPr>
            <w:r>
              <w:rPr>
                <w:rFonts w:ascii="Arial" w:hAnsi="Arial" w:cs="Arial"/>
                <w:color w:val="000000"/>
              </w:rPr>
              <w:t>4</w:t>
            </w:r>
          </w:p>
        </w:tc>
        <w:tc>
          <w:tcPr>
            <w:tcW w:w="992" w:type="dxa"/>
            <w:tcBorders>
              <w:top w:val="single" w:color="000000" w:sz="4" w:space="0"/>
              <w:left w:val="single" w:color="000000" w:sz="4" w:space="0"/>
              <w:bottom w:val="single" w:color="000000" w:sz="4" w:space="0"/>
              <w:right w:val="single" w:color="000000" w:sz="4" w:space="0"/>
            </w:tcBorders>
            <w:vAlign w:val="center"/>
          </w:tcPr>
          <w:p w14:paraId="7F9A56CC">
            <w:pPr>
              <w:tabs>
                <w:tab w:val="center" w:pos="4252"/>
                <w:tab w:val="right" w:pos="8504"/>
              </w:tabs>
              <w:spacing w:after="0" w:line="240" w:lineRule="auto"/>
              <w:jc w:val="center"/>
              <w:rPr>
                <w:rFonts w:eastAsia="Arial" w:cstheme="minorHAnsi"/>
              </w:rPr>
            </w:pPr>
            <w:r>
              <w:rPr>
                <w:rFonts w:ascii="Arial" w:hAnsi="Arial" w:cs="Arial"/>
                <w:color w:val="000000"/>
              </w:rPr>
              <w:t>300</w:t>
            </w:r>
          </w:p>
        </w:tc>
        <w:tc>
          <w:tcPr>
            <w:tcW w:w="850" w:type="dxa"/>
            <w:tcBorders>
              <w:top w:val="single" w:color="000000" w:sz="4" w:space="0"/>
              <w:left w:val="single" w:color="000000" w:sz="4" w:space="0"/>
              <w:bottom w:val="single" w:color="000000" w:sz="4" w:space="0"/>
              <w:right w:val="single" w:color="000000" w:sz="4" w:space="0"/>
            </w:tcBorders>
            <w:vAlign w:val="center"/>
          </w:tcPr>
          <w:p w14:paraId="5F00D375">
            <w:pPr>
              <w:tabs>
                <w:tab w:val="center" w:pos="4252"/>
                <w:tab w:val="right" w:pos="8504"/>
              </w:tabs>
              <w:spacing w:after="0" w:line="240" w:lineRule="auto"/>
              <w:jc w:val="center"/>
              <w:rPr>
                <w:rFonts w:eastAsia="Arial" w:cstheme="minorHAnsi"/>
              </w:rPr>
            </w:pPr>
            <w:r>
              <w:rPr>
                <w:rFonts w:ascii="Arial" w:hAnsi="Arial" w:cs="Arial"/>
                <w:color w:val="000000"/>
              </w:rPr>
              <w:t>AMP</w:t>
            </w:r>
          </w:p>
        </w:tc>
        <w:tc>
          <w:tcPr>
            <w:tcW w:w="4253" w:type="dxa"/>
            <w:tcBorders>
              <w:top w:val="single" w:color="000000" w:sz="4" w:space="0"/>
              <w:left w:val="single" w:color="000000" w:sz="4" w:space="0"/>
              <w:bottom w:val="single" w:color="000000" w:sz="4" w:space="0"/>
              <w:right w:val="single" w:color="000000" w:sz="4" w:space="0"/>
            </w:tcBorders>
            <w:vAlign w:val="center"/>
          </w:tcPr>
          <w:p w14:paraId="3DBD1961">
            <w:pPr>
              <w:tabs>
                <w:tab w:val="center" w:pos="4252"/>
                <w:tab w:val="right" w:pos="8504"/>
              </w:tabs>
              <w:spacing w:after="0" w:line="240" w:lineRule="auto"/>
              <w:jc w:val="both"/>
              <w:rPr>
                <w:rFonts w:eastAsia="Arial" w:cstheme="minorHAnsi"/>
              </w:rPr>
            </w:pPr>
            <w:r>
              <w:rPr>
                <w:rFonts w:ascii="Arial" w:hAnsi="Arial" w:cs="Arial"/>
                <w:color w:val="000000"/>
              </w:rPr>
              <w:t>CLINDAMICINA, FOSFATO 150 MG/ML SOLUÇÃO INJETÁVEL AMPOLA DE 2 ML</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1A836AF8">
            <w:pPr>
              <w:tabs>
                <w:tab w:val="center" w:pos="4252"/>
                <w:tab w:val="right" w:pos="8504"/>
              </w:tabs>
              <w:spacing w:after="0" w:line="240" w:lineRule="auto"/>
              <w:jc w:val="center"/>
              <w:rPr>
                <w:rFonts w:eastAsia="Arial" w:cstheme="minorHAnsi"/>
              </w:rPr>
            </w:pPr>
            <w:r>
              <w:rPr>
                <w:rFonts w:ascii="Arial" w:hAnsi="Arial" w:cs="Arial"/>
                <w:color w:val="000000"/>
              </w:rPr>
              <w:t>3,66</w:t>
            </w:r>
          </w:p>
        </w:tc>
        <w:tc>
          <w:tcPr>
            <w:tcW w:w="1275" w:type="dxa"/>
            <w:tcBorders>
              <w:top w:val="nil"/>
              <w:left w:val="nil"/>
              <w:bottom w:val="single" w:color="auto" w:sz="4" w:space="0"/>
              <w:right w:val="single" w:color="auto" w:sz="4" w:space="0"/>
            </w:tcBorders>
            <w:shd w:val="clear" w:color="auto" w:fill="F2F2F2"/>
            <w:vAlign w:val="center"/>
          </w:tcPr>
          <w:p w14:paraId="3EAB5F92">
            <w:pPr>
              <w:tabs>
                <w:tab w:val="center" w:pos="4252"/>
                <w:tab w:val="right" w:pos="8504"/>
              </w:tabs>
              <w:spacing w:after="0" w:line="240" w:lineRule="auto"/>
              <w:jc w:val="center"/>
              <w:rPr>
                <w:rFonts w:eastAsia="Arial" w:cstheme="minorHAnsi"/>
              </w:rPr>
            </w:pPr>
            <w:r>
              <w:rPr>
                <w:rFonts w:ascii="Arial" w:hAnsi="Arial" w:cs="Arial"/>
                <w:color w:val="000000"/>
              </w:rPr>
              <w:t>1.098,00</w:t>
            </w:r>
          </w:p>
        </w:tc>
      </w:tr>
      <w:tr w14:paraId="5837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7DF6082">
            <w:pPr>
              <w:tabs>
                <w:tab w:val="center" w:pos="4252"/>
                <w:tab w:val="right" w:pos="8504"/>
              </w:tabs>
              <w:spacing w:after="0" w:line="240" w:lineRule="auto"/>
              <w:jc w:val="center"/>
              <w:rPr>
                <w:rFonts w:eastAsia="Arial" w:cstheme="minorHAnsi"/>
              </w:rPr>
            </w:pPr>
            <w:r>
              <w:rPr>
                <w:rFonts w:ascii="Arial" w:hAnsi="Arial" w:cs="Arial"/>
                <w:color w:val="000000"/>
              </w:rPr>
              <w:t>5</w:t>
            </w:r>
          </w:p>
        </w:tc>
        <w:tc>
          <w:tcPr>
            <w:tcW w:w="992" w:type="dxa"/>
            <w:tcBorders>
              <w:top w:val="single" w:color="000000" w:sz="4" w:space="0"/>
              <w:left w:val="single" w:color="000000" w:sz="4" w:space="0"/>
              <w:bottom w:val="single" w:color="000000" w:sz="4" w:space="0"/>
              <w:right w:val="single" w:color="000000" w:sz="4" w:space="0"/>
            </w:tcBorders>
            <w:vAlign w:val="center"/>
          </w:tcPr>
          <w:p w14:paraId="0F862974">
            <w:pPr>
              <w:tabs>
                <w:tab w:val="center" w:pos="4252"/>
                <w:tab w:val="right" w:pos="8504"/>
              </w:tabs>
              <w:spacing w:after="0" w:line="240" w:lineRule="auto"/>
              <w:jc w:val="center"/>
              <w:rPr>
                <w:rFonts w:eastAsia="Arial" w:cstheme="minorHAnsi"/>
              </w:rPr>
            </w:pPr>
            <w:r>
              <w:rPr>
                <w:rFonts w:ascii="Arial" w:hAnsi="Arial" w:cs="Arial"/>
                <w:color w:val="000000"/>
              </w:rPr>
              <w:t>400</w:t>
            </w:r>
          </w:p>
        </w:tc>
        <w:tc>
          <w:tcPr>
            <w:tcW w:w="850" w:type="dxa"/>
            <w:tcBorders>
              <w:top w:val="single" w:color="000000" w:sz="4" w:space="0"/>
              <w:left w:val="single" w:color="000000" w:sz="4" w:space="0"/>
              <w:bottom w:val="single" w:color="000000" w:sz="4" w:space="0"/>
              <w:right w:val="single" w:color="000000" w:sz="4" w:space="0"/>
            </w:tcBorders>
            <w:vAlign w:val="center"/>
          </w:tcPr>
          <w:p w14:paraId="28F112E5">
            <w:pPr>
              <w:tabs>
                <w:tab w:val="center" w:pos="4252"/>
                <w:tab w:val="right" w:pos="8504"/>
              </w:tabs>
              <w:spacing w:after="0" w:line="240" w:lineRule="auto"/>
              <w:jc w:val="center"/>
              <w:rPr>
                <w:rFonts w:eastAsia="Arial" w:cstheme="minorHAnsi"/>
              </w:rPr>
            </w:pPr>
            <w:r>
              <w:rPr>
                <w:rFonts w:ascii="Arial" w:hAnsi="Arial" w:cs="Arial"/>
                <w:color w:val="000000"/>
              </w:rPr>
              <w:t>FAM</w:t>
            </w:r>
          </w:p>
        </w:tc>
        <w:tc>
          <w:tcPr>
            <w:tcW w:w="4253" w:type="dxa"/>
            <w:tcBorders>
              <w:top w:val="single" w:color="000000" w:sz="4" w:space="0"/>
              <w:left w:val="single" w:color="000000" w:sz="4" w:space="0"/>
              <w:bottom w:val="single" w:color="000000" w:sz="4" w:space="0"/>
              <w:right w:val="single" w:color="000000" w:sz="4" w:space="0"/>
            </w:tcBorders>
            <w:vAlign w:val="center"/>
          </w:tcPr>
          <w:p w14:paraId="436EA72B">
            <w:pPr>
              <w:tabs>
                <w:tab w:val="center" w:pos="4252"/>
                <w:tab w:val="right" w:pos="8504"/>
              </w:tabs>
              <w:spacing w:after="0" w:line="240" w:lineRule="auto"/>
              <w:jc w:val="both"/>
              <w:rPr>
                <w:rFonts w:eastAsia="Arial" w:cstheme="minorHAnsi"/>
              </w:rPr>
            </w:pPr>
            <w:r>
              <w:rPr>
                <w:rFonts w:ascii="Arial" w:hAnsi="Arial" w:cs="Arial"/>
                <w:color w:val="000000"/>
              </w:rPr>
              <w:t>CLORANFENICOL 1000 MG PÓ PARA SOLUÇÃO INJETÁVEL FRASCO AMPOLA</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070FFD82">
            <w:pPr>
              <w:tabs>
                <w:tab w:val="center" w:pos="4252"/>
                <w:tab w:val="right" w:pos="8504"/>
              </w:tabs>
              <w:spacing w:after="0" w:line="240" w:lineRule="auto"/>
              <w:jc w:val="center"/>
              <w:rPr>
                <w:rFonts w:eastAsia="Arial" w:cstheme="minorHAnsi"/>
              </w:rPr>
            </w:pPr>
            <w:r>
              <w:rPr>
                <w:rFonts w:ascii="Arial" w:hAnsi="Arial" w:cs="Arial"/>
                <w:color w:val="000000"/>
              </w:rPr>
              <w:t>5,70</w:t>
            </w:r>
          </w:p>
        </w:tc>
        <w:tc>
          <w:tcPr>
            <w:tcW w:w="1275" w:type="dxa"/>
            <w:tcBorders>
              <w:top w:val="nil"/>
              <w:left w:val="nil"/>
              <w:bottom w:val="single" w:color="auto" w:sz="4" w:space="0"/>
              <w:right w:val="single" w:color="auto" w:sz="4" w:space="0"/>
            </w:tcBorders>
            <w:shd w:val="clear" w:color="auto" w:fill="F2F2F2"/>
            <w:vAlign w:val="center"/>
          </w:tcPr>
          <w:p w14:paraId="0B7D1263">
            <w:pPr>
              <w:tabs>
                <w:tab w:val="center" w:pos="4252"/>
                <w:tab w:val="right" w:pos="8504"/>
              </w:tabs>
              <w:spacing w:after="0" w:line="240" w:lineRule="auto"/>
              <w:jc w:val="center"/>
              <w:rPr>
                <w:rFonts w:eastAsia="Arial" w:cstheme="minorHAnsi"/>
              </w:rPr>
            </w:pPr>
            <w:r>
              <w:rPr>
                <w:rFonts w:ascii="Arial" w:hAnsi="Arial" w:cs="Arial"/>
                <w:color w:val="000000"/>
              </w:rPr>
              <w:t>2.280,00</w:t>
            </w:r>
          </w:p>
        </w:tc>
      </w:tr>
      <w:tr w14:paraId="7B86D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350AEF7">
            <w:pPr>
              <w:tabs>
                <w:tab w:val="center" w:pos="4252"/>
                <w:tab w:val="right" w:pos="8504"/>
              </w:tabs>
              <w:spacing w:after="0" w:line="240" w:lineRule="auto"/>
              <w:jc w:val="center"/>
              <w:rPr>
                <w:rFonts w:eastAsia="Arial" w:cstheme="minorHAnsi"/>
              </w:rPr>
            </w:pPr>
            <w:r>
              <w:rPr>
                <w:rFonts w:ascii="Arial" w:hAnsi="Arial" w:cs="Arial"/>
                <w:color w:val="000000"/>
              </w:rPr>
              <w:t>6</w:t>
            </w:r>
          </w:p>
        </w:tc>
        <w:tc>
          <w:tcPr>
            <w:tcW w:w="992" w:type="dxa"/>
            <w:tcBorders>
              <w:top w:val="single" w:color="000000" w:sz="4" w:space="0"/>
              <w:left w:val="single" w:color="000000" w:sz="4" w:space="0"/>
              <w:bottom w:val="single" w:color="000000" w:sz="4" w:space="0"/>
              <w:right w:val="single" w:color="000000" w:sz="4" w:space="0"/>
            </w:tcBorders>
            <w:vAlign w:val="center"/>
          </w:tcPr>
          <w:p w14:paraId="595513B8">
            <w:pPr>
              <w:tabs>
                <w:tab w:val="center" w:pos="4252"/>
                <w:tab w:val="right" w:pos="8504"/>
              </w:tabs>
              <w:spacing w:after="0" w:line="240" w:lineRule="auto"/>
              <w:jc w:val="center"/>
              <w:rPr>
                <w:rFonts w:eastAsia="Arial" w:cstheme="minorHAnsi"/>
              </w:rPr>
            </w:pPr>
            <w:r>
              <w:rPr>
                <w:rFonts w:ascii="Arial" w:hAnsi="Arial" w:cs="Arial"/>
                <w:color w:val="000000"/>
              </w:rPr>
              <w:t>25.000</w:t>
            </w:r>
          </w:p>
        </w:tc>
        <w:tc>
          <w:tcPr>
            <w:tcW w:w="850" w:type="dxa"/>
            <w:tcBorders>
              <w:top w:val="single" w:color="000000" w:sz="4" w:space="0"/>
              <w:left w:val="single" w:color="000000" w:sz="4" w:space="0"/>
              <w:bottom w:val="single" w:color="000000" w:sz="4" w:space="0"/>
              <w:right w:val="single" w:color="000000" w:sz="4" w:space="0"/>
            </w:tcBorders>
            <w:vAlign w:val="center"/>
          </w:tcPr>
          <w:p w14:paraId="2FE25974">
            <w:pPr>
              <w:tabs>
                <w:tab w:val="center" w:pos="4252"/>
                <w:tab w:val="right" w:pos="8504"/>
              </w:tabs>
              <w:spacing w:after="0" w:line="240" w:lineRule="auto"/>
              <w:jc w:val="center"/>
              <w:rPr>
                <w:rFonts w:eastAsia="Arial" w:cstheme="minorHAnsi"/>
              </w:rPr>
            </w:pPr>
            <w:r>
              <w:rPr>
                <w:rFonts w:ascii="Arial" w:hAnsi="Arial" w:cs="Arial"/>
                <w:color w:val="000000"/>
              </w:rPr>
              <w:t>CPR</w:t>
            </w:r>
          </w:p>
        </w:tc>
        <w:tc>
          <w:tcPr>
            <w:tcW w:w="4253" w:type="dxa"/>
            <w:tcBorders>
              <w:top w:val="single" w:color="000000" w:sz="4" w:space="0"/>
              <w:left w:val="single" w:color="000000" w:sz="4" w:space="0"/>
              <w:bottom w:val="single" w:color="000000" w:sz="4" w:space="0"/>
              <w:right w:val="single" w:color="000000" w:sz="4" w:space="0"/>
            </w:tcBorders>
            <w:vAlign w:val="center"/>
          </w:tcPr>
          <w:p w14:paraId="198E884A">
            <w:pPr>
              <w:tabs>
                <w:tab w:val="center" w:pos="4252"/>
                <w:tab w:val="right" w:pos="8504"/>
              </w:tabs>
              <w:spacing w:after="0" w:line="240" w:lineRule="auto"/>
              <w:jc w:val="both"/>
              <w:rPr>
                <w:rFonts w:eastAsia="Arial" w:cstheme="minorHAnsi"/>
              </w:rPr>
            </w:pPr>
            <w:r>
              <w:rPr>
                <w:rFonts w:ascii="Arial" w:hAnsi="Arial" w:cs="Arial"/>
                <w:color w:val="000000"/>
              </w:rPr>
              <w:t>CLOROQUINA, DIFOSFATO 250 MG COMPRIMIDO</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0C0F4DDC">
            <w:pPr>
              <w:tabs>
                <w:tab w:val="center" w:pos="4252"/>
                <w:tab w:val="right" w:pos="8504"/>
              </w:tabs>
              <w:spacing w:after="0" w:line="240" w:lineRule="auto"/>
              <w:jc w:val="center"/>
              <w:rPr>
                <w:rFonts w:eastAsia="Arial" w:cstheme="minorHAnsi"/>
              </w:rPr>
            </w:pPr>
            <w:r>
              <w:rPr>
                <w:rFonts w:ascii="Arial" w:hAnsi="Arial" w:cs="Arial"/>
                <w:color w:val="000000"/>
              </w:rPr>
              <w:t>0,78</w:t>
            </w:r>
          </w:p>
        </w:tc>
        <w:tc>
          <w:tcPr>
            <w:tcW w:w="1275" w:type="dxa"/>
            <w:tcBorders>
              <w:top w:val="nil"/>
              <w:left w:val="nil"/>
              <w:bottom w:val="single" w:color="auto" w:sz="4" w:space="0"/>
              <w:right w:val="single" w:color="auto" w:sz="4" w:space="0"/>
            </w:tcBorders>
            <w:shd w:val="clear" w:color="auto" w:fill="F2F2F2"/>
            <w:vAlign w:val="center"/>
          </w:tcPr>
          <w:p w14:paraId="422AB5A2">
            <w:pPr>
              <w:tabs>
                <w:tab w:val="center" w:pos="4252"/>
                <w:tab w:val="right" w:pos="8504"/>
              </w:tabs>
              <w:spacing w:after="0" w:line="240" w:lineRule="auto"/>
              <w:jc w:val="center"/>
              <w:rPr>
                <w:rFonts w:eastAsia="Arial" w:cstheme="minorHAnsi"/>
              </w:rPr>
            </w:pPr>
            <w:r>
              <w:rPr>
                <w:rFonts w:ascii="Arial" w:hAnsi="Arial" w:cs="Arial"/>
                <w:color w:val="000000"/>
              </w:rPr>
              <w:t>19.500,00</w:t>
            </w:r>
          </w:p>
        </w:tc>
      </w:tr>
      <w:tr w14:paraId="3985C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E0C11CF">
            <w:pPr>
              <w:tabs>
                <w:tab w:val="center" w:pos="4252"/>
                <w:tab w:val="right" w:pos="8504"/>
              </w:tabs>
              <w:spacing w:after="0" w:line="240" w:lineRule="auto"/>
              <w:jc w:val="center"/>
              <w:rPr>
                <w:rFonts w:eastAsia="Arial" w:cstheme="minorHAnsi"/>
              </w:rPr>
            </w:pPr>
            <w:r>
              <w:rPr>
                <w:rFonts w:ascii="Arial" w:hAnsi="Arial" w:cs="Arial"/>
                <w:color w:val="000000"/>
              </w:rPr>
              <w:t>7</w:t>
            </w:r>
          </w:p>
        </w:tc>
        <w:tc>
          <w:tcPr>
            <w:tcW w:w="992" w:type="dxa"/>
            <w:tcBorders>
              <w:top w:val="single" w:color="000000" w:sz="4" w:space="0"/>
              <w:left w:val="single" w:color="000000" w:sz="4" w:space="0"/>
              <w:bottom w:val="single" w:color="000000" w:sz="4" w:space="0"/>
              <w:right w:val="single" w:color="000000" w:sz="4" w:space="0"/>
            </w:tcBorders>
            <w:vAlign w:val="center"/>
          </w:tcPr>
          <w:p w14:paraId="3014304E">
            <w:pPr>
              <w:tabs>
                <w:tab w:val="center" w:pos="4252"/>
                <w:tab w:val="right" w:pos="8504"/>
              </w:tabs>
              <w:spacing w:after="0" w:line="240" w:lineRule="auto"/>
              <w:jc w:val="center"/>
              <w:rPr>
                <w:rFonts w:eastAsia="Arial" w:cstheme="minorHAnsi"/>
              </w:rPr>
            </w:pPr>
            <w:r>
              <w:rPr>
                <w:rFonts w:ascii="Arial" w:hAnsi="Arial" w:cs="Arial"/>
                <w:color w:val="000000"/>
              </w:rPr>
              <w:t>200</w:t>
            </w:r>
          </w:p>
        </w:tc>
        <w:tc>
          <w:tcPr>
            <w:tcW w:w="850" w:type="dxa"/>
            <w:tcBorders>
              <w:top w:val="single" w:color="000000" w:sz="4" w:space="0"/>
              <w:left w:val="single" w:color="000000" w:sz="4" w:space="0"/>
              <w:bottom w:val="single" w:color="000000" w:sz="4" w:space="0"/>
              <w:right w:val="single" w:color="000000" w:sz="4" w:space="0"/>
            </w:tcBorders>
            <w:vAlign w:val="center"/>
          </w:tcPr>
          <w:p w14:paraId="118DEECA">
            <w:pPr>
              <w:tabs>
                <w:tab w:val="center" w:pos="4252"/>
                <w:tab w:val="right" w:pos="8504"/>
              </w:tabs>
              <w:spacing w:after="0" w:line="240" w:lineRule="auto"/>
              <w:jc w:val="center"/>
              <w:rPr>
                <w:rFonts w:eastAsia="Arial" w:cstheme="minorHAnsi"/>
              </w:rPr>
            </w:pPr>
            <w:r>
              <w:rPr>
                <w:rFonts w:ascii="Arial" w:hAnsi="Arial" w:cs="Arial"/>
                <w:color w:val="000000"/>
              </w:rPr>
              <w:t>AMP</w:t>
            </w:r>
          </w:p>
        </w:tc>
        <w:tc>
          <w:tcPr>
            <w:tcW w:w="4253" w:type="dxa"/>
            <w:tcBorders>
              <w:top w:val="single" w:color="000000" w:sz="4" w:space="0"/>
              <w:left w:val="single" w:color="000000" w:sz="4" w:space="0"/>
              <w:bottom w:val="single" w:color="000000" w:sz="4" w:space="0"/>
              <w:right w:val="single" w:color="000000" w:sz="4" w:space="0"/>
            </w:tcBorders>
            <w:vAlign w:val="center"/>
          </w:tcPr>
          <w:p w14:paraId="0D0E75AE">
            <w:pPr>
              <w:tabs>
                <w:tab w:val="center" w:pos="4252"/>
                <w:tab w:val="right" w:pos="8504"/>
              </w:tabs>
              <w:spacing w:after="0" w:line="240" w:lineRule="auto"/>
              <w:jc w:val="both"/>
              <w:rPr>
                <w:rFonts w:eastAsia="Arial" w:cstheme="minorHAnsi"/>
              </w:rPr>
            </w:pPr>
            <w:r>
              <w:rPr>
                <w:rFonts w:ascii="Arial" w:hAnsi="Arial" w:cs="Arial"/>
                <w:color w:val="000000"/>
              </w:rPr>
              <w:t>GENTAMICINA, SULFATO 20 MG/ML SOLUÇÃO INJETÁVEL AMPOLA DE 1 ML</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7EC553D2">
            <w:pPr>
              <w:tabs>
                <w:tab w:val="center" w:pos="4252"/>
                <w:tab w:val="right" w:pos="8504"/>
              </w:tabs>
              <w:spacing w:after="0" w:line="240" w:lineRule="auto"/>
              <w:jc w:val="center"/>
              <w:rPr>
                <w:rFonts w:eastAsia="Arial" w:cstheme="minorHAnsi"/>
              </w:rPr>
            </w:pPr>
            <w:r>
              <w:rPr>
                <w:rFonts w:ascii="Arial" w:hAnsi="Arial" w:cs="Arial"/>
                <w:color w:val="000000"/>
              </w:rPr>
              <w:t>1,51</w:t>
            </w:r>
          </w:p>
        </w:tc>
        <w:tc>
          <w:tcPr>
            <w:tcW w:w="1275" w:type="dxa"/>
            <w:tcBorders>
              <w:top w:val="nil"/>
              <w:left w:val="nil"/>
              <w:bottom w:val="single" w:color="auto" w:sz="4" w:space="0"/>
              <w:right w:val="single" w:color="auto" w:sz="4" w:space="0"/>
            </w:tcBorders>
            <w:shd w:val="clear" w:color="auto" w:fill="F2F2F2"/>
            <w:vAlign w:val="center"/>
          </w:tcPr>
          <w:p w14:paraId="732DA7A8">
            <w:pPr>
              <w:tabs>
                <w:tab w:val="center" w:pos="4252"/>
                <w:tab w:val="right" w:pos="8504"/>
              </w:tabs>
              <w:spacing w:after="0" w:line="240" w:lineRule="auto"/>
              <w:jc w:val="center"/>
              <w:rPr>
                <w:rFonts w:eastAsia="Arial" w:cstheme="minorHAnsi"/>
              </w:rPr>
            </w:pPr>
            <w:r>
              <w:rPr>
                <w:rFonts w:ascii="Arial" w:hAnsi="Arial" w:cs="Arial"/>
                <w:color w:val="000000"/>
              </w:rPr>
              <w:t>302,00</w:t>
            </w:r>
          </w:p>
        </w:tc>
      </w:tr>
      <w:tr w14:paraId="6F0B4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C63E2F6">
            <w:pPr>
              <w:tabs>
                <w:tab w:val="center" w:pos="4252"/>
                <w:tab w:val="right" w:pos="8504"/>
              </w:tabs>
              <w:spacing w:after="0" w:line="240" w:lineRule="auto"/>
              <w:jc w:val="center"/>
              <w:rPr>
                <w:rFonts w:eastAsia="Arial" w:cstheme="minorHAnsi"/>
              </w:rPr>
            </w:pPr>
            <w:r>
              <w:rPr>
                <w:rFonts w:ascii="Arial" w:hAnsi="Arial" w:cs="Arial"/>
                <w:color w:val="000000"/>
              </w:rPr>
              <w:t>8</w:t>
            </w:r>
          </w:p>
        </w:tc>
        <w:tc>
          <w:tcPr>
            <w:tcW w:w="992" w:type="dxa"/>
            <w:tcBorders>
              <w:top w:val="single" w:color="000000" w:sz="4" w:space="0"/>
              <w:left w:val="single" w:color="000000" w:sz="4" w:space="0"/>
              <w:bottom w:val="single" w:color="000000" w:sz="4" w:space="0"/>
              <w:right w:val="single" w:color="000000" w:sz="4" w:space="0"/>
            </w:tcBorders>
            <w:vAlign w:val="center"/>
          </w:tcPr>
          <w:p w14:paraId="7F06CF08">
            <w:pPr>
              <w:tabs>
                <w:tab w:val="center" w:pos="4252"/>
                <w:tab w:val="right" w:pos="8504"/>
              </w:tabs>
              <w:spacing w:after="0" w:line="240" w:lineRule="auto"/>
              <w:jc w:val="center"/>
              <w:rPr>
                <w:rFonts w:eastAsia="Arial" w:cstheme="minorHAnsi"/>
              </w:rPr>
            </w:pPr>
            <w:r>
              <w:rPr>
                <w:rFonts w:ascii="Arial" w:hAnsi="Arial" w:cs="Arial"/>
                <w:color w:val="000000"/>
              </w:rPr>
              <w:t>1.500</w:t>
            </w:r>
          </w:p>
        </w:tc>
        <w:tc>
          <w:tcPr>
            <w:tcW w:w="850" w:type="dxa"/>
            <w:tcBorders>
              <w:top w:val="single" w:color="000000" w:sz="4" w:space="0"/>
              <w:left w:val="single" w:color="000000" w:sz="4" w:space="0"/>
              <w:bottom w:val="single" w:color="000000" w:sz="4" w:space="0"/>
              <w:right w:val="single" w:color="000000" w:sz="4" w:space="0"/>
            </w:tcBorders>
            <w:vAlign w:val="center"/>
          </w:tcPr>
          <w:p w14:paraId="434153AD">
            <w:pPr>
              <w:tabs>
                <w:tab w:val="center" w:pos="4252"/>
                <w:tab w:val="right" w:pos="8504"/>
              </w:tabs>
              <w:spacing w:after="0" w:line="240" w:lineRule="auto"/>
              <w:jc w:val="center"/>
              <w:rPr>
                <w:rFonts w:eastAsia="Arial" w:cstheme="minorHAnsi"/>
              </w:rPr>
            </w:pPr>
            <w:r>
              <w:rPr>
                <w:rFonts w:ascii="Arial" w:hAnsi="Arial" w:cs="Arial"/>
                <w:color w:val="000000"/>
              </w:rPr>
              <w:t>FAM</w:t>
            </w:r>
          </w:p>
        </w:tc>
        <w:tc>
          <w:tcPr>
            <w:tcW w:w="4253" w:type="dxa"/>
            <w:tcBorders>
              <w:top w:val="single" w:color="000000" w:sz="4" w:space="0"/>
              <w:left w:val="single" w:color="000000" w:sz="4" w:space="0"/>
              <w:bottom w:val="single" w:color="000000" w:sz="4" w:space="0"/>
              <w:right w:val="single" w:color="000000" w:sz="4" w:space="0"/>
            </w:tcBorders>
            <w:vAlign w:val="center"/>
          </w:tcPr>
          <w:p w14:paraId="3C33F1BC">
            <w:pPr>
              <w:tabs>
                <w:tab w:val="center" w:pos="4252"/>
                <w:tab w:val="right" w:pos="8504"/>
              </w:tabs>
              <w:spacing w:after="0" w:line="240" w:lineRule="auto"/>
              <w:jc w:val="both"/>
              <w:rPr>
                <w:rFonts w:eastAsia="Arial" w:cstheme="minorHAnsi"/>
              </w:rPr>
            </w:pPr>
            <w:r>
              <w:rPr>
                <w:rFonts w:ascii="Arial" w:hAnsi="Arial" w:cs="Arial"/>
                <w:color w:val="000000"/>
              </w:rPr>
              <w:t>IMIPENEM MONIDRATADA + CILASTATINA SÓDICA 500 MG + 500 MG PÓ PARA SOLUÇÃO INJETÁVEL FRASCO AMPOLA</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2FCD83A1">
            <w:pPr>
              <w:tabs>
                <w:tab w:val="center" w:pos="4252"/>
                <w:tab w:val="right" w:pos="8504"/>
              </w:tabs>
              <w:spacing w:after="0" w:line="240" w:lineRule="auto"/>
              <w:jc w:val="center"/>
              <w:rPr>
                <w:rFonts w:eastAsia="Arial" w:cstheme="minorHAnsi"/>
              </w:rPr>
            </w:pPr>
            <w:r>
              <w:rPr>
                <w:rFonts w:ascii="Arial" w:hAnsi="Arial" w:cs="Arial"/>
                <w:color w:val="000000"/>
              </w:rPr>
              <w:t>58,72</w:t>
            </w:r>
          </w:p>
        </w:tc>
        <w:tc>
          <w:tcPr>
            <w:tcW w:w="1275" w:type="dxa"/>
            <w:tcBorders>
              <w:top w:val="nil"/>
              <w:left w:val="nil"/>
              <w:bottom w:val="single" w:color="auto" w:sz="4" w:space="0"/>
              <w:right w:val="single" w:color="auto" w:sz="4" w:space="0"/>
            </w:tcBorders>
            <w:shd w:val="clear" w:color="auto" w:fill="F2F2F2"/>
            <w:vAlign w:val="center"/>
          </w:tcPr>
          <w:p w14:paraId="7A3F7227">
            <w:pPr>
              <w:tabs>
                <w:tab w:val="center" w:pos="4252"/>
                <w:tab w:val="right" w:pos="8504"/>
              </w:tabs>
              <w:spacing w:after="0" w:line="240" w:lineRule="auto"/>
              <w:jc w:val="center"/>
              <w:rPr>
                <w:rFonts w:eastAsia="Arial" w:cstheme="minorHAnsi"/>
              </w:rPr>
            </w:pPr>
            <w:r>
              <w:rPr>
                <w:rFonts w:ascii="Arial" w:hAnsi="Arial" w:cs="Arial"/>
                <w:color w:val="000000"/>
              </w:rPr>
              <w:t>88.080,00</w:t>
            </w:r>
          </w:p>
        </w:tc>
      </w:tr>
      <w:tr w14:paraId="4C726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F489977">
            <w:pPr>
              <w:tabs>
                <w:tab w:val="center" w:pos="4252"/>
                <w:tab w:val="right" w:pos="8504"/>
              </w:tabs>
              <w:spacing w:after="0" w:line="240" w:lineRule="auto"/>
              <w:jc w:val="center"/>
              <w:rPr>
                <w:rFonts w:eastAsia="Arial" w:cstheme="minorHAnsi"/>
              </w:rPr>
            </w:pPr>
            <w:r>
              <w:rPr>
                <w:rFonts w:ascii="Arial" w:hAnsi="Arial" w:cs="Arial"/>
                <w:color w:val="000000"/>
              </w:rPr>
              <w:t>9</w:t>
            </w:r>
          </w:p>
        </w:tc>
        <w:tc>
          <w:tcPr>
            <w:tcW w:w="992" w:type="dxa"/>
            <w:tcBorders>
              <w:top w:val="single" w:color="000000" w:sz="4" w:space="0"/>
              <w:left w:val="single" w:color="000000" w:sz="4" w:space="0"/>
              <w:bottom w:val="single" w:color="000000" w:sz="4" w:space="0"/>
              <w:right w:val="single" w:color="000000" w:sz="4" w:space="0"/>
            </w:tcBorders>
            <w:vAlign w:val="center"/>
          </w:tcPr>
          <w:p w14:paraId="3F341DB5">
            <w:pPr>
              <w:tabs>
                <w:tab w:val="center" w:pos="4252"/>
                <w:tab w:val="right" w:pos="8504"/>
              </w:tabs>
              <w:spacing w:after="0" w:line="240" w:lineRule="auto"/>
              <w:jc w:val="center"/>
              <w:rPr>
                <w:rFonts w:eastAsia="Arial" w:cstheme="minorHAnsi"/>
              </w:rPr>
            </w:pPr>
            <w:r>
              <w:rPr>
                <w:rFonts w:ascii="Arial" w:hAnsi="Arial" w:cs="Arial"/>
                <w:color w:val="000000"/>
              </w:rPr>
              <w:t>1.000</w:t>
            </w:r>
          </w:p>
        </w:tc>
        <w:tc>
          <w:tcPr>
            <w:tcW w:w="850" w:type="dxa"/>
            <w:tcBorders>
              <w:top w:val="single" w:color="000000" w:sz="4" w:space="0"/>
              <w:left w:val="single" w:color="000000" w:sz="4" w:space="0"/>
              <w:bottom w:val="single" w:color="000000" w:sz="4" w:space="0"/>
              <w:right w:val="single" w:color="000000" w:sz="4" w:space="0"/>
            </w:tcBorders>
            <w:vAlign w:val="center"/>
          </w:tcPr>
          <w:p w14:paraId="4D647A6D">
            <w:pPr>
              <w:tabs>
                <w:tab w:val="center" w:pos="4252"/>
                <w:tab w:val="right" w:pos="8504"/>
              </w:tabs>
              <w:spacing w:after="0" w:line="240" w:lineRule="auto"/>
              <w:jc w:val="center"/>
              <w:rPr>
                <w:rFonts w:eastAsia="Arial" w:cstheme="minorHAnsi"/>
              </w:rPr>
            </w:pPr>
            <w:r>
              <w:rPr>
                <w:rFonts w:ascii="Arial" w:hAnsi="Arial" w:cs="Arial"/>
                <w:color w:val="000000"/>
              </w:rPr>
              <w:t>CPR</w:t>
            </w:r>
          </w:p>
        </w:tc>
        <w:tc>
          <w:tcPr>
            <w:tcW w:w="4253" w:type="dxa"/>
            <w:tcBorders>
              <w:top w:val="single" w:color="000000" w:sz="4" w:space="0"/>
              <w:left w:val="single" w:color="000000" w:sz="4" w:space="0"/>
              <w:bottom w:val="single" w:color="000000" w:sz="4" w:space="0"/>
              <w:right w:val="single" w:color="000000" w:sz="4" w:space="0"/>
            </w:tcBorders>
            <w:vAlign w:val="center"/>
          </w:tcPr>
          <w:p w14:paraId="22B980FD">
            <w:pPr>
              <w:tabs>
                <w:tab w:val="center" w:pos="4252"/>
                <w:tab w:val="right" w:pos="8504"/>
              </w:tabs>
              <w:spacing w:after="0" w:line="240" w:lineRule="auto"/>
              <w:jc w:val="both"/>
              <w:rPr>
                <w:rFonts w:eastAsia="Arial" w:cstheme="minorHAnsi"/>
              </w:rPr>
            </w:pPr>
            <w:r>
              <w:rPr>
                <w:rFonts w:ascii="Arial" w:hAnsi="Arial" w:cs="Arial"/>
                <w:color w:val="000000"/>
              </w:rPr>
              <w:t>SULFADIAZINA 500 MG COMPRIMIDO</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41963823">
            <w:pPr>
              <w:tabs>
                <w:tab w:val="center" w:pos="4252"/>
                <w:tab w:val="right" w:pos="8504"/>
              </w:tabs>
              <w:spacing w:after="0" w:line="240" w:lineRule="auto"/>
              <w:jc w:val="center"/>
              <w:rPr>
                <w:rFonts w:eastAsia="Arial" w:cstheme="minorHAnsi"/>
              </w:rPr>
            </w:pPr>
            <w:r>
              <w:rPr>
                <w:rFonts w:ascii="Arial" w:hAnsi="Arial" w:cs="Arial"/>
                <w:color w:val="000000"/>
              </w:rPr>
              <w:t>0,27</w:t>
            </w:r>
          </w:p>
        </w:tc>
        <w:tc>
          <w:tcPr>
            <w:tcW w:w="1275" w:type="dxa"/>
            <w:tcBorders>
              <w:top w:val="nil"/>
              <w:left w:val="nil"/>
              <w:bottom w:val="single" w:color="auto" w:sz="4" w:space="0"/>
              <w:right w:val="single" w:color="auto" w:sz="4" w:space="0"/>
            </w:tcBorders>
            <w:shd w:val="clear" w:color="auto" w:fill="F2F2F2"/>
            <w:vAlign w:val="center"/>
          </w:tcPr>
          <w:p w14:paraId="3AF46278">
            <w:pPr>
              <w:tabs>
                <w:tab w:val="center" w:pos="4252"/>
                <w:tab w:val="right" w:pos="8504"/>
              </w:tabs>
              <w:spacing w:after="0" w:line="240" w:lineRule="auto"/>
              <w:jc w:val="center"/>
              <w:rPr>
                <w:rFonts w:eastAsia="Arial" w:cstheme="minorHAnsi"/>
              </w:rPr>
            </w:pPr>
            <w:r>
              <w:rPr>
                <w:rFonts w:ascii="Arial" w:hAnsi="Arial" w:cs="Arial"/>
                <w:color w:val="000000"/>
              </w:rPr>
              <w:t>270,00</w:t>
            </w:r>
          </w:p>
        </w:tc>
      </w:tr>
      <w:tr w14:paraId="332EE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B15FEEC">
            <w:pPr>
              <w:tabs>
                <w:tab w:val="center" w:pos="4252"/>
                <w:tab w:val="right" w:pos="8504"/>
              </w:tabs>
              <w:spacing w:after="0" w:line="240" w:lineRule="auto"/>
              <w:jc w:val="center"/>
              <w:rPr>
                <w:rFonts w:eastAsia="Arial" w:cstheme="minorHAnsi"/>
              </w:rPr>
            </w:pPr>
            <w:r>
              <w:rPr>
                <w:rFonts w:ascii="Arial" w:hAnsi="Arial" w:cs="Arial"/>
                <w:color w:val="000000"/>
              </w:rPr>
              <w:t>10</w:t>
            </w:r>
          </w:p>
        </w:tc>
        <w:tc>
          <w:tcPr>
            <w:tcW w:w="992" w:type="dxa"/>
            <w:tcBorders>
              <w:top w:val="single" w:color="000000" w:sz="4" w:space="0"/>
              <w:left w:val="single" w:color="000000" w:sz="4" w:space="0"/>
              <w:bottom w:val="single" w:color="000000" w:sz="4" w:space="0"/>
              <w:right w:val="single" w:color="000000" w:sz="4" w:space="0"/>
            </w:tcBorders>
            <w:vAlign w:val="center"/>
          </w:tcPr>
          <w:p w14:paraId="75E17840">
            <w:pPr>
              <w:tabs>
                <w:tab w:val="center" w:pos="4252"/>
                <w:tab w:val="right" w:pos="8504"/>
              </w:tabs>
              <w:spacing w:after="0" w:line="240" w:lineRule="auto"/>
              <w:jc w:val="center"/>
              <w:rPr>
                <w:rFonts w:eastAsia="Arial" w:cstheme="minorHAnsi"/>
              </w:rPr>
            </w:pPr>
            <w:r>
              <w:rPr>
                <w:rFonts w:ascii="Arial" w:hAnsi="Arial" w:cs="Arial"/>
                <w:color w:val="000000"/>
              </w:rPr>
              <w:t>2.000</w:t>
            </w:r>
          </w:p>
        </w:tc>
        <w:tc>
          <w:tcPr>
            <w:tcW w:w="850" w:type="dxa"/>
            <w:tcBorders>
              <w:top w:val="single" w:color="000000" w:sz="4" w:space="0"/>
              <w:left w:val="single" w:color="000000" w:sz="4" w:space="0"/>
              <w:bottom w:val="single" w:color="000000" w:sz="4" w:space="0"/>
              <w:right w:val="single" w:color="000000" w:sz="4" w:space="0"/>
            </w:tcBorders>
            <w:vAlign w:val="center"/>
          </w:tcPr>
          <w:p w14:paraId="65CF2B41">
            <w:pPr>
              <w:tabs>
                <w:tab w:val="center" w:pos="4252"/>
                <w:tab w:val="right" w:pos="8504"/>
              </w:tabs>
              <w:spacing w:after="0" w:line="240" w:lineRule="auto"/>
              <w:jc w:val="center"/>
              <w:rPr>
                <w:rFonts w:eastAsia="Arial" w:cstheme="minorHAnsi"/>
              </w:rPr>
            </w:pPr>
            <w:r>
              <w:rPr>
                <w:rFonts w:ascii="Arial" w:hAnsi="Arial" w:cs="Arial"/>
                <w:color w:val="000000"/>
              </w:rPr>
              <w:t>AMP</w:t>
            </w:r>
          </w:p>
        </w:tc>
        <w:tc>
          <w:tcPr>
            <w:tcW w:w="4253" w:type="dxa"/>
            <w:tcBorders>
              <w:top w:val="single" w:color="000000" w:sz="4" w:space="0"/>
              <w:left w:val="single" w:color="000000" w:sz="4" w:space="0"/>
              <w:bottom w:val="single" w:color="000000" w:sz="4" w:space="0"/>
              <w:right w:val="single" w:color="000000" w:sz="4" w:space="0"/>
            </w:tcBorders>
            <w:vAlign w:val="center"/>
          </w:tcPr>
          <w:p w14:paraId="57BB4E21">
            <w:pPr>
              <w:tabs>
                <w:tab w:val="center" w:pos="4252"/>
                <w:tab w:val="right" w:pos="8504"/>
              </w:tabs>
              <w:spacing w:after="0" w:line="240" w:lineRule="auto"/>
              <w:jc w:val="both"/>
              <w:rPr>
                <w:rFonts w:eastAsia="Arial" w:cstheme="minorHAnsi"/>
              </w:rPr>
            </w:pPr>
            <w:r>
              <w:rPr>
                <w:rFonts w:ascii="Arial" w:hAnsi="Arial" w:cs="Arial"/>
                <w:color w:val="000000"/>
              </w:rPr>
              <w:t>SULFAMETOXAZOL + TRIMETOPRIMA 80 MG/ML + 16 MG/ML SOLUÇÃO INJETÁVEL INTRAVENOSA AMPOLA DE 5 ML</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47B128F2">
            <w:pPr>
              <w:tabs>
                <w:tab w:val="center" w:pos="4252"/>
                <w:tab w:val="right" w:pos="8504"/>
              </w:tabs>
              <w:spacing w:after="0" w:line="240" w:lineRule="auto"/>
              <w:jc w:val="center"/>
              <w:rPr>
                <w:rFonts w:eastAsia="Arial" w:cstheme="minorHAnsi"/>
              </w:rPr>
            </w:pPr>
            <w:r>
              <w:rPr>
                <w:rFonts w:ascii="Arial" w:hAnsi="Arial" w:cs="Arial"/>
                <w:color w:val="000000"/>
              </w:rPr>
              <w:t>3,78</w:t>
            </w:r>
          </w:p>
        </w:tc>
        <w:tc>
          <w:tcPr>
            <w:tcW w:w="1275" w:type="dxa"/>
            <w:tcBorders>
              <w:top w:val="nil"/>
              <w:left w:val="nil"/>
              <w:bottom w:val="single" w:color="auto" w:sz="4" w:space="0"/>
              <w:right w:val="single" w:color="auto" w:sz="4" w:space="0"/>
            </w:tcBorders>
            <w:shd w:val="clear" w:color="auto" w:fill="F2F2F2"/>
            <w:vAlign w:val="center"/>
          </w:tcPr>
          <w:p w14:paraId="727CA766">
            <w:pPr>
              <w:tabs>
                <w:tab w:val="center" w:pos="4252"/>
                <w:tab w:val="right" w:pos="8504"/>
              </w:tabs>
              <w:spacing w:after="0" w:line="240" w:lineRule="auto"/>
              <w:jc w:val="center"/>
              <w:rPr>
                <w:rFonts w:eastAsia="Arial" w:cstheme="minorHAnsi"/>
              </w:rPr>
            </w:pPr>
            <w:r>
              <w:rPr>
                <w:rFonts w:ascii="Arial" w:hAnsi="Arial" w:cs="Arial"/>
                <w:color w:val="000000"/>
              </w:rPr>
              <w:t>7.560,00</w:t>
            </w:r>
          </w:p>
        </w:tc>
      </w:tr>
      <w:tr w14:paraId="33166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auto" w:sz="4" w:space="0"/>
              <w:right w:val="single" w:color="000000" w:sz="4" w:space="0"/>
            </w:tcBorders>
            <w:vAlign w:val="center"/>
          </w:tcPr>
          <w:p w14:paraId="2A1E4801">
            <w:pPr>
              <w:tabs>
                <w:tab w:val="center" w:pos="4252"/>
                <w:tab w:val="right" w:pos="8504"/>
              </w:tabs>
              <w:spacing w:after="0" w:line="240" w:lineRule="auto"/>
              <w:jc w:val="center"/>
              <w:rPr>
                <w:rFonts w:eastAsia="Arial" w:cstheme="minorHAnsi"/>
              </w:rPr>
            </w:pPr>
            <w:r>
              <w:rPr>
                <w:rFonts w:ascii="Arial" w:hAnsi="Arial" w:cs="Arial"/>
                <w:color w:val="000000"/>
              </w:rPr>
              <w:t>11</w:t>
            </w:r>
          </w:p>
        </w:tc>
        <w:tc>
          <w:tcPr>
            <w:tcW w:w="992" w:type="dxa"/>
            <w:tcBorders>
              <w:top w:val="single" w:color="000000" w:sz="4" w:space="0"/>
              <w:left w:val="single" w:color="000000" w:sz="4" w:space="0"/>
              <w:bottom w:val="single" w:color="auto" w:sz="4" w:space="0"/>
              <w:right w:val="single" w:color="000000" w:sz="4" w:space="0"/>
            </w:tcBorders>
            <w:vAlign w:val="center"/>
          </w:tcPr>
          <w:p w14:paraId="66BD24D4">
            <w:pPr>
              <w:tabs>
                <w:tab w:val="center" w:pos="4252"/>
                <w:tab w:val="right" w:pos="8504"/>
              </w:tabs>
              <w:spacing w:after="0" w:line="240" w:lineRule="auto"/>
              <w:jc w:val="center"/>
              <w:rPr>
                <w:rFonts w:eastAsia="Arial" w:cstheme="minorHAnsi"/>
              </w:rPr>
            </w:pPr>
            <w:r>
              <w:rPr>
                <w:rFonts w:ascii="Arial" w:hAnsi="Arial" w:cs="Arial"/>
                <w:color w:val="000000"/>
              </w:rPr>
              <w:t>1.000</w:t>
            </w:r>
          </w:p>
        </w:tc>
        <w:tc>
          <w:tcPr>
            <w:tcW w:w="850" w:type="dxa"/>
            <w:tcBorders>
              <w:top w:val="single" w:color="000000" w:sz="4" w:space="0"/>
              <w:left w:val="single" w:color="000000" w:sz="4" w:space="0"/>
              <w:bottom w:val="single" w:color="auto" w:sz="4" w:space="0"/>
              <w:right w:val="single" w:color="000000" w:sz="4" w:space="0"/>
            </w:tcBorders>
            <w:vAlign w:val="center"/>
          </w:tcPr>
          <w:p w14:paraId="013ACA63">
            <w:pPr>
              <w:tabs>
                <w:tab w:val="center" w:pos="4252"/>
                <w:tab w:val="right" w:pos="8504"/>
              </w:tabs>
              <w:spacing w:after="0" w:line="240" w:lineRule="auto"/>
              <w:jc w:val="center"/>
              <w:rPr>
                <w:rFonts w:eastAsia="Arial" w:cstheme="minorHAnsi"/>
              </w:rPr>
            </w:pPr>
            <w:r>
              <w:rPr>
                <w:rFonts w:ascii="Arial" w:hAnsi="Arial" w:cs="Arial"/>
                <w:color w:val="000000"/>
              </w:rPr>
              <w:t>CPR</w:t>
            </w:r>
          </w:p>
        </w:tc>
        <w:tc>
          <w:tcPr>
            <w:tcW w:w="4253" w:type="dxa"/>
            <w:tcBorders>
              <w:top w:val="single" w:color="000000" w:sz="4" w:space="0"/>
              <w:left w:val="single" w:color="000000" w:sz="4" w:space="0"/>
              <w:bottom w:val="single" w:color="auto" w:sz="4" w:space="0"/>
              <w:right w:val="single" w:color="000000" w:sz="4" w:space="0"/>
            </w:tcBorders>
            <w:vAlign w:val="center"/>
          </w:tcPr>
          <w:p w14:paraId="4772E49F">
            <w:pPr>
              <w:tabs>
                <w:tab w:val="center" w:pos="4252"/>
                <w:tab w:val="right" w:pos="8504"/>
              </w:tabs>
              <w:spacing w:after="0" w:line="240" w:lineRule="auto"/>
              <w:jc w:val="both"/>
              <w:rPr>
                <w:rFonts w:eastAsia="Arial" w:cstheme="minorHAnsi"/>
              </w:rPr>
            </w:pPr>
            <w:r>
              <w:rPr>
                <w:rFonts w:ascii="Arial" w:hAnsi="Arial" w:cs="Arial"/>
                <w:color w:val="000000"/>
              </w:rPr>
              <w:t>TINIDAZOL 500 MG COMPRIMIDO</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1DB98B7F">
            <w:pPr>
              <w:tabs>
                <w:tab w:val="center" w:pos="4252"/>
                <w:tab w:val="right" w:pos="8504"/>
              </w:tabs>
              <w:spacing w:after="0" w:line="240" w:lineRule="auto"/>
              <w:jc w:val="center"/>
              <w:rPr>
                <w:rFonts w:eastAsia="Arial" w:cstheme="minorHAnsi"/>
              </w:rPr>
            </w:pPr>
            <w:r>
              <w:rPr>
                <w:rFonts w:ascii="Arial" w:hAnsi="Arial" w:cs="Arial"/>
                <w:color w:val="000000"/>
              </w:rPr>
              <w:t>3,32</w:t>
            </w:r>
          </w:p>
        </w:tc>
        <w:tc>
          <w:tcPr>
            <w:tcW w:w="1275" w:type="dxa"/>
            <w:tcBorders>
              <w:top w:val="nil"/>
              <w:left w:val="nil"/>
              <w:bottom w:val="single" w:color="auto" w:sz="4" w:space="0"/>
              <w:right w:val="single" w:color="auto" w:sz="4" w:space="0"/>
            </w:tcBorders>
            <w:shd w:val="clear" w:color="auto" w:fill="F2F2F2"/>
            <w:vAlign w:val="center"/>
          </w:tcPr>
          <w:p w14:paraId="72293D02">
            <w:pPr>
              <w:tabs>
                <w:tab w:val="center" w:pos="4252"/>
                <w:tab w:val="right" w:pos="8504"/>
              </w:tabs>
              <w:spacing w:after="0" w:line="240" w:lineRule="auto"/>
              <w:jc w:val="center"/>
              <w:rPr>
                <w:rFonts w:eastAsia="Arial" w:cstheme="minorHAnsi"/>
              </w:rPr>
            </w:pPr>
            <w:r>
              <w:rPr>
                <w:rFonts w:ascii="Arial" w:hAnsi="Arial" w:cs="Arial"/>
                <w:color w:val="000000"/>
              </w:rPr>
              <w:t>3.320,00</w:t>
            </w:r>
          </w:p>
        </w:tc>
      </w:tr>
      <w:tr w14:paraId="5296D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auto" w:sz="4" w:space="0"/>
              <w:bottom w:val="single" w:color="auto" w:sz="4" w:space="0"/>
              <w:right w:val="single" w:color="auto" w:sz="4" w:space="0"/>
            </w:tcBorders>
            <w:vAlign w:val="center"/>
          </w:tcPr>
          <w:p w14:paraId="7D69B7CA">
            <w:pPr>
              <w:tabs>
                <w:tab w:val="center" w:pos="4252"/>
                <w:tab w:val="right" w:pos="8504"/>
              </w:tabs>
              <w:spacing w:after="0" w:line="240" w:lineRule="auto"/>
              <w:jc w:val="center"/>
              <w:rPr>
                <w:rFonts w:eastAsia="Arial" w:cstheme="minorHAnsi"/>
              </w:rPr>
            </w:pPr>
            <w:r>
              <w:rPr>
                <w:rFonts w:ascii="Arial" w:hAnsi="Arial" w:cs="Arial"/>
                <w:color w:val="000000"/>
              </w:rPr>
              <w:t>12</w:t>
            </w:r>
          </w:p>
        </w:tc>
        <w:tc>
          <w:tcPr>
            <w:tcW w:w="992" w:type="dxa"/>
            <w:tcBorders>
              <w:top w:val="single" w:color="auto" w:sz="4" w:space="0"/>
              <w:left w:val="single" w:color="auto" w:sz="4" w:space="0"/>
              <w:bottom w:val="single" w:color="auto" w:sz="4" w:space="0"/>
              <w:right w:val="single" w:color="auto" w:sz="4" w:space="0"/>
            </w:tcBorders>
            <w:vAlign w:val="center"/>
          </w:tcPr>
          <w:p w14:paraId="5BBCCEE5">
            <w:pPr>
              <w:tabs>
                <w:tab w:val="center" w:pos="4252"/>
                <w:tab w:val="right" w:pos="8504"/>
              </w:tabs>
              <w:spacing w:after="0" w:line="240" w:lineRule="auto"/>
              <w:jc w:val="center"/>
              <w:rPr>
                <w:rFonts w:eastAsia="Arial" w:cstheme="minorHAnsi"/>
              </w:rPr>
            </w:pPr>
            <w:r>
              <w:rPr>
                <w:rFonts w:ascii="Arial" w:hAnsi="Arial" w:cs="Arial"/>
                <w:color w:val="000000"/>
              </w:rPr>
              <w:t>3.000</w:t>
            </w:r>
          </w:p>
        </w:tc>
        <w:tc>
          <w:tcPr>
            <w:tcW w:w="850" w:type="dxa"/>
            <w:tcBorders>
              <w:top w:val="single" w:color="auto" w:sz="4" w:space="0"/>
              <w:left w:val="single" w:color="auto" w:sz="4" w:space="0"/>
              <w:bottom w:val="single" w:color="auto" w:sz="4" w:space="0"/>
              <w:right w:val="single" w:color="auto" w:sz="4" w:space="0"/>
            </w:tcBorders>
            <w:vAlign w:val="center"/>
          </w:tcPr>
          <w:p w14:paraId="755A139C">
            <w:pPr>
              <w:tabs>
                <w:tab w:val="center" w:pos="4252"/>
                <w:tab w:val="right" w:pos="8504"/>
              </w:tabs>
              <w:spacing w:after="0" w:line="240" w:lineRule="auto"/>
              <w:jc w:val="center"/>
              <w:rPr>
                <w:rFonts w:eastAsia="Arial" w:cstheme="minorHAnsi"/>
              </w:rPr>
            </w:pPr>
            <w:r>
              <w:rPr>
                <w:rFonts w:ascii="Arial" w:hAnsi="Arial" w:cs="Arial"/>
                <w:color w:val="000000"/>
              </w:rPr>
              <w:t>SAC</w:t>
            </w:r>
          </w:p>
        </w:tc>
        <w:tc>
          <w:tcPr>
            <w:tcW w:w="4253" w:type="dxa"/>
            <w:tcBorders>
              <w:top w:val="single" w:color="auto" w:sz="4" w:space="0"/>
              <w:left w:val="single" w:color="auto" w:sz="4" w:space="0"/>
              <w:bottom w:val="single" w:color="auto" w:sz="4" w:space="0"/>
              <w:right w:val="single" w:color="auto" w:sz="4" w:space="0"/>
            </w:tcBorders>
            <w:vAlign w:val="center"/>
          </w:tcPr>
          <w:p w14:paraId="1BAF4182">
            <w:pPr>
              <w:tabs>
                <w:tab w:val="center" w:pos="4252"/>
                <w:tab w:val="right" w:pos="8504"/>
              </w:tabs>
              <w:spacing w:after="0" w:line="240" w:lineRule="auto"/>
              <w:jc w:val="both"/>
              <w:rPr>
                <w:rFonts w:eastAsia="Arial" w:cstheme="minorHAnsi"/>
              </w:rPr>
            </w:pPr>
            <w:r>
              <w:rPr>
                <w:rFonts w:ascii="Arial" w:hAnsi="Arial" w:cs="Arial"/>
                <w:color w:val="000000"/>
              </w:rPr>
              <w:t>CICLOSSILICATO DE ZIRCÔNIO SÓDICO PÓ PARA SUSPENSÃO ORAL SACHÊ DE 5 G</w:t>
            </w:r>
          </w:p>
        </w:tc>
        <w:tc>
          <w:tcPr>
            <w:tcW w:w="1276" w:type="dxa"/>
            <w:tcBorders>
              <w:top w:val="single" w:color="auto" w:sz="4" w:space="0"/>
              <w:left w:val="single" w:color="auto" w:sz="4" w:space="0"/>
              <w:bottom w:val="single" w:color="auto" w:sz="4" w:space="0"/>
              <w:right w:val="single" w:color="auto" w:sz="4" w:space="0"/>
            </w:tcBorders>
            <w:shd w:val="clear" w:color="auto" w:fill="F2F2F2"/>
            <w:vAlign w:val="center"/>
          </w:tcPr>
          <w:p w14:paraId="2D70D931">
            <w:pPr>
              <w:tabs>
                <w:tab w:val="center" w:pos="4252"/>
                <w:tab w:val="right" w:pos="8504"/>
              </w:tabs>
              <w:spacing w:after="0" w:line="240" w:lineRule="auto"/>
              <w:jc w:val="center"/>
              <w:rPr>
                <w:rFonts w:eastAsia="Arial" w:cstheme="minorHAnsi"/>
              </w:rPr>
            </w:pPr>
            <w:r>
              <w:rPr>
                <w:rFonts w:ascii="Arial" w:hAnsi="Arial" w:cs="Arial"/>
                <w:color w:val="000000"/>
              </w:rPr>
              <w:t>55,57</w:t>
            </w:r>
          </w:p>
        </w:tc>
        <w:tc>
          <w:tcPr>
            <w:tcW w:w="1275" w:type="dxa"/>
            <w:tcBorders>
              <w:top w:val="single" w:color="auto" w:sz="4" w:space="0"/>
              <w:left w:val="single" w:color="auto" w:sz="4" w:space="0"/>
              <w:bottom w:val="single" w:color="auto" w:sz="4" w:space="0"/>
              <w:right w:val="single" w:color="auto" w:sz="4" w:space="0"/>
            </w:tcBorders>
            <w:shd w:val="clear" w:color="auto" w:fill="F2F2F2"/>
            <w:vAlign w:val="center"/>
          </w:tcPr>
          <w:p w14:paraId="5D48F2C8">
            <w:pPr>
              <w:tabs>
                <w:tab w:val="center" w:pos="4252"/>
                <w:tab w:val="right" w:pos="8504"/>
              </w:tabs>
              <w:spacing w:after="0" w:line="240" w:lineRule="auto"/>
              <w:jc w:val="center"/>
              <w:rPr>
                <w:rFonts w:eastAsia="Arial" w:cstheme="minorHAnsi"/>
                <w:sz w:val="20"/>
                <w:szCs w:val="20"/>
              </w:rPr>
            </w:pPr>
            <w:r>
              <w:rPr>
                <w:rFonts w:ascii="Arial" w:hAnsi="Arial" w:cs="Arial"/>
                <w:color w:val="000000"/>
                <w:sz w:val="20"/>
                <w:szCs w:val="20"/>
              </w:rPr>
              <w:t>166.710,00</w:t>
            </w:r>
          </w:p>
        </w:tc>
      </w:tr>
      <w:tr w14:paraId="3359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000000" w:sz="4" w:space="0"/>
              <w:bottom w:val="single" w:color="000000" w:sz="4" w:space="0"/>
              <w:right w:val="single" w:color="000000" w:sz="4" w:space="0"/>
            </w:tcBorders>
            <w:vAlign w:val="center"/>
          </w:tcPr>
          <w:p w14:paraId="7F8A3A9C">
            <w:pPr>
              <w:tabs>
                <w:tab w:val="center" w:pos="4252"/>
                <w:tab w:val="right" w:pos="8504"/>
              </w:tabs>
              <w:spacing w:after="0" w:line="240" w:lineRule="auto"/>
              <w:jc w:val="center"/>
              <w:rPr>
                <w:rFonts w:eastAsia="Arial" w:cstheme="minorHAnsi"/>
              </w:rPr>
            </w:pPr>
            <w:r>
              <w:rPr>
                <w:rFonts w:ascii="Arial" w:hAnsi="Arial" w:cs="Arial"/>
                <w:color w:val="000000"/>
              </w:rPr>
              <w:t>13</w:t>
            </w:r>
          </w:p>
        </w:tc>
        <w:tc>
          <w:tcPr>
            <w:tcW w:w="992" w:type="dxa"/>
            <w:tcBorders>
              <w:top w:val="single" w:color="auto" w:sz="4" w:space="0"/>
              <w:left w:val="single" w:color="000000" w:sz="4" w:space="0"/>
              <w:bottom w:val="single" w:color="000000" w:sz="4" w:space="0"/>
              <w:right w:val="single" w:color="000000" w:sz="4" w:space="0"/>
            </w:tcBorders>
            <w:vAlign w:val="center"/>
          </w:tcPr>
          <w:p w14:paraId="74F77711">
            <w:pPr>
              <w:tabs>
                <w:tab w:val="center" w:pos="4252"/>
                <w:tab w:val="right" w:pos="8504"/>
              </w:tabs>
              <w:spacing w:after="0" w:line="240" w:lineRule="auto"/>
              <w:jc w:val="center"/>
              <w:rPr>
                <w:rFonts w:eastAsia="Arial" w:cstheme="minorHAnsi"/>
              </w:rPr>
            </w:pPr>
            <w:r>
              <w:rPr>
                <w:rFonts w:ascii="Arial" w:hAnsi="Arial" w:cs="Arial"/>
                <w:color w:val="000000"/>
              </w:rPr>
              <w:t>500</w:t>
            </w:r>
          </w:p>
        </w:tc>
        <w:tc>
          <w:tcPr>
            <w:tcW w:w="850" w:type="dxa"/>
            <w:tcBorders>
              <w:top w:val="single" w:color="auto" w:sz="4" w:space="0"/>
              <w:left w:val="single" w:color="000000" w:sz="4" w:space="0"/>
              <w:bottom w:val="single" w:color="000000" w:sz="4" w:space="0"/>
              <w:right w:val="single" w:color="000000" w:sz="4" w:space="0"/>
            </w:tcBorders>
            <w:vAlign w:val="center"/>
          </w:tcPr>
          <w:p w14:paraId="549FC5E1">
            <w:pPr>
              <w:tabs>
                <w:tab w:val="center" w:pos="4252"/>
                <w:tab w:val="right" w:pos="8504"/>
              </w:tabs>
              <w:spacing w:after="0" w:line="240" w:lineRule="auto"/>
              <w:jc w:val="center"/>
              <w:rPr>
                <w:rFonts w:eastAsia="Arial" w:cstheme="minorHAnsi"/>
              </w:rPr>
            </w:pPr>
            <w:r>
              <w:rPr>
                <w:rFonts w:ascii="Arial" w:hAnsi="Arial" w:cs="Arial"/>
                <w:color w:val="000000"/>
              </w:rPr>
              <w:t>AMP</w:t>
            </w:r>
          </w:p>
        </w:tc>
        <w:tc>
          <w:tcPr>
            <w:tcW w:w="4253" w:type="dxa"/>
            <w:tcBorders>
              <w:top w:val="single" w:color="auto" w:sz="4" w:space="0"/>
              <w:left w:val="single" w:color="000000" w:sz="4" w:space="0"/>
              <w:bottom w:val="single" w:color="000000" w:sz="4" w:space="0"/>
              <w:right w:val="single" w:color="000000" w:sz="4" w:space="0"/>
            </w:tcBorders>
            <w:vAlign w:val="center"/>
          </w:tcPr>
          <w:p w14:paraId="10772893">
            <w:pPr>
              <w:tabs>
                <w:tab w:val="center" w:pos="4252"/>
                <w:tab w:val="right" w:pos="8504"/>
              </w:tabs>
              <w:spacing w:after="0" w:line="240" w:lineRule="auto"/>
              <w:jc w:val="both"/>
              <w:rPr>
                <w:rFonts w:eastAsia="Arial" w:cstheme="minorHAnsi"/>
              </w:rPr>
            </w:pPr>
            <w:r>
              <w:rPr>
                <w:rFonts w:ascii="Arial" w:hAnsi="Arial" w:cs="Arial"/>
                <w:color w:val="000000"/>
              </w:rPr>
              <w:t>DESLANOSÍDEO 0,4 MG, SOLUÇÃO INJETÁVEL, AMPOLA DE 2 ML</w:t>
            </w:r>
          </w:p>
        </w:tc>
        <w:tc>
          <w:tcPr>
            <w:tcW w:w="1276" w:type="dxa"/>
            <w:tcBorders>
              <w:top w:val="single" w:color="auto" w:sz="4" w:space="0"/>
              <w:left w:val="single" w:color="auto" w:sz="4" w:space="0"/>
              <w:bottom w:val="single" w:color="auto" w:sz="4" w:space="0"/>
              <w:right w:val="single" w:color="auto" w:sz="4" w:space="0"/>
            </w:tcBorders>
            <w:shd w:val="clear" w:color="auto" w:fill="F2F2F2"/>
            <w:vAlign w:val="center"/>
          </w:tcPr>
          <w:p w14:paraId="465C4F17">
            <w:pPr>
              <w:tabs>
                <w:tab w:val="center" w:pos="4252"/>
                <w:tab w:val="right" w:pos="8504"/>
              </w:tabs>
              <w:spacing w:after="0" w:line="240" w:lineRule="auto"/>
              <w:jc w:val="center"/>
              <w:rPr>
                <w:rFonts w:eastAsia="Arial" w:cstheme="minorHAnsi"/>
              </w:rPr>
            </w:pPr>
            <w:r>
              <w:rPr>
                <w:rFonts w:ascii="Arial" w:hAnsi="Arial" w:cs="Arial"/>
                <w:color w:val="000000"/>
              </w:rPr>
              <w:t>2,16</w:t>
            </w:r>
          </w:p>
        </w:tc>
        <w:tc>
          <w:tcPr>
            <w:tcW w:w="1275" w:type="dxa"/>
            <w:tcBorders>
              <w:top w:val="single" w:color="auto" w:sz="4" w:space="0"/>
              <w:left w:val="nil"/>
              <w:bottom w:val="single" w:color="auto" w:sz="4" w:space="0"/>
              <w:right w:val="single" w:color="auto" w:sz="4" w:space="0"/>
            </w:tcBorders>
            <w:shd w:val="clear" w:color="auto" w:fill="F2F2F2"/>
            <w:vAlign w:val="center"/>
          </w:tcPr>
          <w:p w14:paraId="5E530E54">
            <w:pPr>
              <w:tabs>
                <w:tab w:val="center" w:pos="4252"/>
                <w:tab w:val="right" w:pos="8504"/>
              </w:tabs>
              <w:spacing w:after="0" w:line="240" w:lineRule="auto"/>
              <w:jc w:val="center"/>
              <w:rPr>
                <w:rFonts w:eastAsia="Arial" w:cstheme="minorHAnsi"/>
              </w:rPr>
            </w:pPr>
            <w:r>
              <w:rPr>
                <w:rFonts w:ascii="Arial" w:hAnsi="Arial" w:cs="Arial"/>
                <w:color w:val="000000"/>
              </w:rPr>
              <w:t>1.080,00</w:t>
            </w:r>
          </w:p>
        </w:tc>
      </w:tr>
      <w:tr w14:paraId="473EC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F44630D">
            <w:pPr>
              <w:tabs>
                <w:tab w:val="center" w:pos="4252"/>
                <w:tab w:val="right" w:pos="8504"/>
              </w:tabs>
              <w:spacing w:after="0" w:line="240" w:lineRule="auto"/>
              <w:jc w:val="center"/>
              <w:rPr>
                <w:rFonts w:eastAsia="Arial" w:cstheme="minorHAnsi"/>
              </w:rPr>
            </w:pPr>
            <w:r>
              <w:rPr>
                <w:rFonts w:ascii="Arial" w:hAnsi="Arial" w:cs="Arial"/>
                <w:color w:val="000000"/>
              </w:rPr>
              <w:t>14</w:t>
            </w:r>
          </w:p>
        </w:tc>
        <w:tc>
          <w:tcPr>
            <w:tcW w:w="992" w:type="dxa"/>
            <w:tcBorders>
              <w:top w:val="single" w:color="000000" w:sz="4" w:space="0"/>
              <w:left w:val="single" w:color="000000" w:sz="4" w:space="0"/>
              <w:bottom w:val="single" w:color="000000" w:sz="4" w:space="0"/>
              <w:right w:val="single" w:color="000000" w:sz="4" w:space="0"/>
            </w:tcBorders>
            <w:vAlign w:val="center"/>
          </w:tcPr>
          <w:p w14:paraId="4D989089">
            <w:pPr>
              <w:tabs>
                <w:tab w:val="center" w:pos="4252"/>
                <w:tab w:val="right" w:pos="8504"/>
              </w:tabs>
              <w:spacing w:after="0" w:line="240" w:lineRule="auto"/>
              <w:jc w:val="center"/>
              <w:rPr>
                <w:rFonts w:eastAsia="Arial" w:cstheme="minorHAnsi"/>
              </w:rPr>
            </w:pPr>
            <w:r>
              <w:rPr>
                <w:rFonts w:ascii="Arial" w:hAnsi="Arial" w:cs="Arial"/>
                <w:color w:val="000000"/>
              </w:rPr>
              <w:t>50</w:t>
            </w:r>
          </w:p>
        </w:tc>
        <w:tc>
          <w:tcPr>
            <w:tcW w:w="850" w:type="dxa"/>
            <w:tcBorders>
              <w:top w:val="single" w:color="000000" w:sz="4" w:space="0"/>
              <w:left w:val="single" w:color="000000" w:sz="4" w:space="0"/>
              <w:bottom w:val="single" w:color="000000" w:sz="4" w:space="0"/>
              <w:right w:val="single" w:color="000000" w:sz="4" w:space="0"/>
            </w:tcBorders>
            <w:vAlign w:val="center"/>
          </w:tcPr>
          <w:p w14:paraId="70EDB50D">
            <w:pPr>
              <w:tabs>
                <w:tab w:val="center" w:pos="4252"/>
                <w:tab w:val="right" w:pos="8504"/>
              </w:tabs>
              <w:spacing w:after="0" w:line="240" w:lineRule="auto"/>
              <w:jc w:val="center"/>
              <w:rPr>
                <w:rFonts w:eastAsia="Arial" w:cstheme="minorHAnsi"/>
              </w:rPr>
            </w:pPr>
            <w:r>
              <w:rPr>
                <w:rFonts w:ascii="Arial" w:hAnsi="Arial" w:cs="Arial"/>
                <w:color w:val="000000"/>
              </w:rPr>
              <w:t>FR</w:t>
            </w:r>
          </w:p>
        </w:tc>
        <w:tc>
          <w:tcPr>
            <w:tcW w:w="4253" w:type="dxa"/>
            <w:tcBorders>
              <w:top w:val="single" w:color="000000" w:sz="4" w:space="0"/>
              <w:left w:val="single" w:color="000000" w:sz="4" w:space="0"/>
              <w:bottom w:val="single" w:color="000000" w:sz="4" w:space="0"/>
              <w:right w:val="single" w:color="000000" w:sz="4" w:space="0"/>
            </w:tcBorders>
            <w:vAlign w:val="center"/>
          </w:tcPr>
          <w:p w14:paraId="6A47B964">
            <w:pPr>
              <w:tabs>
                <w:tab w:val="center" w:pos="4252"/>
                <w:tab w:val="right" w:pos="8504"/>
              </w:tabs>
              <w:spacing w:after="0" w:line="240" w:lineRule="auto"/>
              <w:jc w:val="both"/>
              <w:rPr>
                <w:rFonts w:eastAsia="Arial" w:cstheme="minorHAnsi"/>
              </w:rPr>
            </w:pPr>
            <w:r>
              <w:rPr>
                <w:rFonts w:ascii="Arial" w:hAnsi="Arial" w:cs="Arial"/>
                <w:color w:val="000000"/>
              </w:rPr>
              <w:t>DIGOXINA 0,05 MG/ML, ELIXIR, FRASCO DE 60 ML</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5CA03354">
            <w:pPr>
              <w:tabs>
                <w:tab w:val="center" w:pos="4252"/>
                <w:tab w:val="right" w:pos="8504"/>
              </w:tabs>
              <w:spacing w:after="0" w:line="240" w:lineRule="auto"/>
              <w:jc w:val="center"/>
              <w:rPr>
                <w:rFonts w:eastAsia="Arial" w:cstheme="minorHAnsi"/>
              </w:rPr>
            </w:pPr>
            <w:r>
              <w:rPr>
                <w:rFonts w:ascii="Arial" w:hAnsi="Arial" w:cs="Arial"/>
                <w:color w:val="000000"/>
              </w:rPr>
              <w:t>16,12</w:t>
            </w:r>
          </w:p>
        </w:tc>
        <w:tc>
          <w:tcPr>
            <w:tcW w:w="1275" w:type="dxa"/>
            <w:tcBorders>
              <w:top w:val="nil"/>
              <w:left w:val="nil"/>
              <w:bottom w:val="single" w:color="auto" w:sz="4" w:space="0"/>
              <w:right w:val="single" w:color="auto" w:sz="4" w:space="0"/>
            </w:tcBorders>
            <w:shd w:val="clear" w:color="auto" w:fill="F2F2F2"/>
            <w:vAlign w:val="center"/>
          </w:tcPr>
          <w:p w14:paraId="08DDFCFA">
            <w:pPr>
              <w:tabs>
                <w:tab w:val="center" w:pos="4252"/>
                <w:tab w:val="right" w:pos="8504"/>
              </w:tabs>
              <w:spacing w:after="0" w:line="240" w:lineRule="auto"/>
              <w:jc w:val="center"/>
              <w:rPr>
                <w:rFonts w:eastAsia="Arial" w:cstheme="minorHAnsi"/>
              </w:rPr>
            </w:pPr>
            <w:r>
              <w:rPr>
                <w:rFonts w:ascii="Arial" w:hAnsi="Arial" w:cs="Arial"/>
                <w:color w:val="000000"/>
              </w:rPr>
              <w:t>806,00</w:t>
            </w:r>
          </w:p>
        </w:tc>
      </w:tr>
      <w:tr w14:paraId="71326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E3FF81F">
            <w:pPr>
              <w:tabs>
                <w:tab w:val="center" w:pos="4252"/>
                <w:tab w:val="right" w:pos="8504"/>
              </w:tabs>
              <w:spacing w:after="0" w:line="240" w:lineRule="auto"/>
              <w:jc w:val="center"/>
              <w:rPr>
                <w:rFonts w:eastAsia="Arial" w:cstheme="minorHAnsi"/>
              </w:rPr>
            </w:pPr>
            <w:r>
              <w:rPr>
                <w:rFonts w:ascii="Arial" w:hAnsi="Arial" w:cs="Arial"/>
                <w:color w:val="000000"/>
              </w:rPr>
              <w:t>15</w:t>
            </w:r>
          </w:p>
        </w:tc>
        <w:tc>
          <w:tcPr>
            <w:tcW w:w="992" w:type="dxa"/>
            <w:tcBorders>
              <w:top w:val="single" w:color="000000" w:sz="4" w:space="0"/>
              <w:left w:val="single" w:color="000000" w:sz="4" w:space="0"/>
              <w:bottom w:val="single" w:color="000000" w:sz="4" w:space="0"/>
              <w:right w:val="single" w:color="000000" w:sz="4" w:space="0"/>
            </w:tcBorders>
            <w:vAlign w:val="center"/>
          </w:tcPr>
          <w:p w14:paraId="071EA797">
            <w:pPr>
              <w:tabs>
                <w:tab w:val="center" w:pos="4252"/>
                <w:tab w:val="right" w:pos="8504"/>
              </w:tabs>
              <w:spacing w:after="0" w:line="240" w:lineRule="auto"/>
              <w:jc w:val="center"/>
              <w:rPr>
                <w:rFonts w:eastAsia="Arial" w:cstheme="minorHAnsi"/>
              </w:rPr>
            </w:pPr>
            <w:r>
              <w:rPr>
                <w:rFonts w:ascii="Arial" w:hAnsi="Arial" w:cs="Arial"/>
                <w:color w:val="000000"/>
              </w:rPr>
              <w:t>100</w:t>
            </w:r>
          </w:p>
        </w:tc>
        <w:tc>
          <w:tcPr>
            <w:tcW w:w="850" w:type="dxa"/>
            <w:tcBorders>
              <w:top w:val="single" w:color="000000" w:sz="4" w:space="0"/>
              <w:left w:val="single" w:color="000000" w:sz="4" w:space="0"/>
              <w:bottom w:val="single" w:color="000000" w:sz="4" w:space="0"/>
              <w:right w:val="single" w:color="000000" w:sz="4" w:space="0"/>
            </w:tcBorders>
            <w:vAlign w:val="center"/>
          </w:tcPr>
          <w:p w14:paraId="3E0FF5AA">
            <w:pPr>
              <w:tabs>
                <w:tab w:val="center" w:pos="4252"/>
                <w:tab w:val="right" w:pos="8504"/>
              </w:tabs>
              <w:spacing w:after="0" w:line="240" w:lineRule="auto"/>
              <w:jc w:val="center"/>
              <w:rPr>
                <w:rFonts w:eastAsia="Arial" w:cstheme="minorHAnsi"/>
              </w:rPr>
            </w:pPr>
            <w:r>
              <w:rPr>
                <w:rFonts w:ascii="Arial" w:hAnsi="Arial" w:cs="Arial"/>
                <w:color w:val="000000"/>
              </w:rPr>
              <w:t>CPR</w:t>
            </w:r>
          </w:p>
        </w:tc>
        <w:tc>
          <w:tcPr>
            <w:tcW w:w="4253" w:type="dxa"/>
            <w:tcBorders>
              <w:top w:val="single" w:color="000000" w:sz="4" w:space="0"/>
              <w:left w:val="single" w:color="000000" w:sz="4" w:space="0"/>
              <w:bottom w:val="single" w:color="000000" w:sz="4" w:space="0"/>
              <w:right w:val="single" w:color="000000" w:sz="4" w:space="0"/>
            </w:tcBorders>
            <w:vAlign w:val="center"/>
          </w:tcPr>
          <w:p w14:paraId="0550623D">
            <w:pPr>
              <w:tabs>
                <w:tab w:val="center" w:pos="4252"/>
                <w:tab w:val="right" w:pos="8504"/>
              </w:tabs>
              <w:spacing w:after="0" w:line="240" w:lineRule="auto"/>
              <w:jc w:val="both"/>
              <w:rPr>
                <w:rFonts w:eastAsia="Arial" w:cstheme="minorHAnsi"/>
              </w:rPr>
            </w:pPr>
            <w:r>
              <w:rPr>
                <w:rFonts w:ascii="Arial" w:hAnsi="Arial" w:cs="Arial"/>
                <w:color w:val="000000"/>
              </w:rPr>
              <w:t>EVEROLIMO 2,5 MG COMPRIMIDO</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77D56BB7">
            <w:pPr>
              <w:tabs>
                <w:tab w:val="center" w:pos="4252"/>
                <w:tab w:val="right" w:pos="8504"/>
              </w:tabs>
              <w:spacing w:after="0" w:line="240" w:lineRule="auto"/>
              <w:jc w:val="center"/>
              <w:rPr>
                <w:rFonts w:eastAsia="Arial" w:cstheme="minorHAnsi"/>
              </w:rPr>
            </w:pPr>
            <w:r>
              <w:rPr>
                <w:rFonts w:ascii="Arial" w:hAnsi="Arial" w:cs="Arial"/>
                <w:color w:val="000000"/>
              </w:rPr>
              <w:t>113,52</w:t>
            </w:r>
          </w:p>
        </w:tc>
        <w:tc>
          <w:tcPr>
            <w:tcW w:w="1275" w:type="dxa"/>
            <w:tcBorders>
              <w:top w:val="nil"/>
              <w:left w:val="nil"/>
              <w:bottom w:val="single" w:color="auto" w:sz="4" w:space="0"/>
              <w:right w:val="single" w:color="auto" w:sz="4" w:space="0"/>
            </w:tcBorders>
            <w:shd w:val="clear" w:color="auto" w:fill="F2F2F2"/>
            <w:vAlign w:val="center"/>
          </w:tcPr>
          <w:p w14:paraId="5192361A">
            <w:pPr>
              <w:tabs>
                <w:tab w:val="center" w:pos="4252"/>
                <w:tab w:val="right" w:pos="8504"/>
              </w:tabs>
              <w:spacing w:after="0" w:line="240" w:lineRule="auto"/>
              <w:jc w:val="center"/>
              <w:rPr>
                <w:rFonts w:eastAsia="Arial" w:cstheme="minorHAnsi"/>
              </w:rPr>
            </w:pPr>
            <w:r>
              <w:rPr>
                <w:rFonts w:ascii="Arial" w:hAnsi="Arial" w:cs="Arial"/>
                <w:color w:val="000000"/>
              </w:rPr>
              <w:t>11.352,00</w:t>
            </w:r>
          </w:p>
        </w:tc>
      </w:tr>
      <w:tr w14:paraId="1F18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6EEEBA3">
            <w:pPr>
              <w:tabs>
                <w:tab w:val="center" w:pos="4252"/>
                <w:tab w:val="right" w:pos="8504"/>
              </w:tabs>
              <w:spacing w:after="0" w:line="240" w:lineRule="auto"/>
              <w:jc w:val="center"/>
              <w:rPr>
                <w:rFonts w:eastAsia="Arial" w:cstheme="minorHAnsi"/>
              </w:rPr>
            </w:pPr>
            <w:r>
              <w:rPr>
                <w:rFonts w:ascii="Arial" w:hAnsi="Arial" w:cs="Arial"/>
                <w:color w:val="000000"/>
              </w:rPr>
              <w:t>16</w:t>
            </w:r>
          </w:p>
        </w:tc>
        <w:tc>
          <w:tcPr>
            <w:tcW w:w="992" w:type="dxa"/>
            <w:tcBorders>
              <w:top w:val="single" w:color="000000" w:sz="4" w:space="0"/>
              <w:left w:val="single" w:color="000000" w:sz="4" w:space="0"/>
              <w:bottom w:val="single" w:color="000000" w:sz="4" w:space="0"/>
              <w:right w:val="single" w:color="000000" w:sz="4" w:space="0"/>
            </w:tcBorders>
            <w:vAlign w:val="center"/>
          </w:tcPr>
          <w:p w14:paraId="06D29DAA">
            <w:pPr>
              <w:tabs>
                <w:tab w:val="center" w:pos="4252"/>
                <w:tab w:val="right" w:pos="8504"/>
              </w:tabs>
              <w:spacing w:after="0" w:line="240" w:lineRule="auto"/>
              <w:jc w:val="center"/>
              <w:rPr>
                <w:rFonts w:eastAsia="Arial" w:cstheme="minorHAnsi"/>
              </w:rPr>
            </w:pPr>
            <w:r>
              <w:rPr>
                <w:rFonts w:ascii="Arial" w:hAnsi="Arial" w:cs="Arial"/>
                <w:color w:val="000000"/>
              </w:rPr>
              <w:t>900</w:t>
            </w:r>
          </w:p>
        </w:tc>
        <w:tc>
          <w:tcPr>
            <w:tcW w:w="850" w:type="dxa"/>
            <w:tcBorders>
              <w:top w:val="single" w:color="000000" w:sz="4" w:space="0"/>
              <w:left w:val="single" w:color="000000" w:sz="4" w:space="0"/>
              <w:bottom w:val="single" w:color="000000" w:sz="4" w:space="0"/>
              <w:right w:val="single" w:color="000000" w:sz="4" w:space="0"/>
            </w:tcBorders>
            <w:vAlign w:val="center"/>
          </w:tcPr>
          <w:p w14:paraId="58F7473E">
            <w:pPr>
              <w:tabs>
                <w:tab w:val="center" w:pos="4252"/>
                <w:tab w:val="right" w:pos="8504"/>
              </w:tabs>
              <w:spacing w:after="0" w:line="240" w:lineRule="auto"/>
              <w:jc w:val="center"/>
              <w:rPr>
                <w:rFonts w:eastAsia="Arial" w:cstheme="minorHAnsi"/>
              </w:rPr>
            </w:pPr>
            <w:r>
              <w:rPr>
                <w:rFonts w:ascii="Arial" w:hAnsi="Arial" w:cs="Arial"/>
                <w:color w:val="000000"/>
              </w:rPr>
              <w:t>BFR</w:t>
            </w:r>
          </w:p>
        </w:tc>
        <w:tc>
          <w:tcPr>
            <w:tcW w:w="4253" w:type="dxa"/>
            <w:tcBorders>
              <w:top w:val="single" w:color="000000" w:sz="4" w:space="0"/>
              <w:left w:val="single" w:color="000000" w:sz="4" w:space="0"/>
              <w:bottom w:val="single" w:color="000000" w:sz="4" w:space="0"/>
              <w:right w:val="single" w:color="000000" w:sz="4" w:space="0"/>
            </w:tcBorders>
            <w:vAlign w:val="center"/>
          </w:tcPr>
          <w:p w14:paraId="2174F01D">
            <w:pPr>
              <w:tabs>
                <w:tab w:val="center" w:pos="4252"/>
                <w:tab w:val="right" w:pos="8504"/>
              </w:tabs>
              <w:spacing w:after="0" w:line="240" w:lineRule="auto"/>
              <w:jc w:val="both"/>
              <w:rPr>
                <w:rFonts w:eastAsia="Arial" w:cstheme="minorHAnsi"/>
              </w:rPr>
            </w:pPr>
            <w:r>
              <w:rPr>
                <w:rFonts w:ascii="Arial" w:hAnsi="Arial" w:cs="Arial"/>
                <w:color w:val="000000"/>
              </w:rPr>
              <w:t>GLICOSE 10% 1000 ML, ESTÉRIL, ACONDICIONADA EM SISTEMA FECHADO LIVRE DE PVC, BOLSA OU FRASCO, APRESENTANDO, DOIS SÍTIOS, UM PARA CONEXÃO DO EQUIPO, OUTRO PARA ADIÇÃO DE MEDICAMENTO AUTO-VEDANTE, LIVRE DE LÁTEX, COM GRADUAÇÃO IMPRESSA NA BOLSA, RÓTULO IMPRESSO CONTENDO TODAS AS INFORMAÇÕES REGULAMENTADAS PELA PORTARIA 500 DE 09/10/97 - SVS</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1E2C532B">
            <w:pPr>
              <w:tabs>
                <w:tab w:val="center" w:pos="4252"/>
                <w:tab w:val="right" w:pos="8504"/>
              </w:tabs>
              <w:spacing w:after="0" w:line="240" w:lineRule="auto"/>
              <w:jc w:val="center"/>
              <w:rPr>
                <w:rFonts w:eastAsia="Arial" w:cstheme="minorHAnsi"/>
              </w:rPr>
            </w:pPr>
            <w:r>
              <w:rPr>
                <w:rFonts w:ascii="Arial" w:hAnsi="Arial" w:cs="Arial"/>
                <w:color w:val="000000"/>
              </w:rPr>
              <w:t>11,27</w:t>
            </w:r>
          </w:p>
        </w:tc>
        <w:tc>
          <w:tcPr>
            <w:tcW w:w="1275" w:type="dxa"/>
            <w:tcBorders>
              <w:top w:val="nil"/>
              <w:left w:val="nil"/>
              <w:bottom w:val="single" w:color="auto" w:sz="4" w:space="0"/>
              <w:right w:val="single" w:color="auto" w:sz="4" w:space="0"/>
            </w:tcBorders>
            <w:shd w:val="clear" w:color="auto" w:fill="F2F2F2"/>
            <w:vAlign w:val="center"/>
          </w:tcPr>
          <w:p w14:paraId="257F48CD">
            <w:pPr>
              <w:tabs>
                <w:tab w:val="center" w:pos="4252"/>
                <w:tab w:val="right" w:pos="8504"/>
              </w:tabs>
              <w:spacing w:after="0" w:line="240" w:lineRule="auto"/>
              <w:jc w:val="center"/>
              <w:rPr>
                <w:rFonts w:eastAsia="Arial" w:cstheme="minorHAnsi"/>
              </w:rPr>
            </w:pPr>
            <w:r>
              <w:rPr>
                <w:rFonts w:ascii="Arial" w:hAnsi="Arial" w:cs="Arial"/>
                <w:color w:val="000000"/>
              </w:rPr>
              <w:t>10.143,00</w:t>
            </w:r>
          </w:p>
        </w:tc>
      </w:tr>
      <w:tr w14:paraId="37083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1828E51">
            <w:pPr>
              <w:tabs>
                <w:tab w:val="center" w:pos="4252"/>
                <w:tab w:val="right" w:pos="8504"/>
              </w:tabs>
              <w:spacing w:after="0" w:line="240" w:lineRule="auto"/>
              <w:jc w:val="center"/>
              <w:rPr>
                <w:rFonts w:eastAsia="Arial" w:cstheme="minorHAnsi"/>
              </w:rPr>
            </w:pPr>
            <w:r>
              <w:rPr>
                <w:rFonts w:ascii="Arial" w:hAnsi="Arial" w:cs="Arial"/>
                <w:color w:val="000000"/>
              </w:rPr>
              <w:t>17</w:t>
            </w:r>
          </w:p>
        </w:tc>
        <w:tc>
          <w:tcPr>
            <w:tcW w:w="992" w:type="dxa"/>
            <w:tcBorders>
              <w:top w:val="single" w:color="000000" w:sz="4" w:space="0"/>
              <w:left w:val="single" w:color="000000" w:sz="4" w:space="0"/>
              <w:bottom w:val="single" w:color="000000" w:sz="4" w:space="0"/>
              <w:right w:val="single" w:color="000000" w:sz="4" w:space="0"/>
            </w:tcBorders>
            <w:vAlign w:val="center"/>
          </w:tcPr>
          <w:p w14:paraId="589A772A">
            <w:pPr>
              <w:tabs>
                <w:tab w:val="center" w:pos="4252"/>
                <w:tab w:val="right" w:pos="8504"/>
              </w:tabs>
              <w:spacing w:after="0" w:line="240" w:lineRule="auto"/>
              <w:jc w:val="center"/>
              <w:rPr>
                <w:rFonts w:eastAsia="Arial" w:cstheme="minorHAnsi"/>
              </w:rPr>
            </w:pPr>
            <w:r>
              <w:rPr>
                <w:rFonts w:ascii="Arial" w:hAnsi="Arial" w:cs="Arial"/>
                <w:color w:val="000000"/>
              </w:rPr>
              <w:t>1.500</w:t>
            </w:r>
          </w:p>
        </w:tc>
        <w:tc>
          <w:tcPr>
            <w:tcW w:w="850" w:type="dxa"/>
            <w:tcBorders>
              <w:top w:val="single" w:color="000000" w:sz="4" w:space="0"/>
              <w:left w:val="single" w:color="000000" w:sz="4" w:space="0"/>
              <w:bottom w:val="single" w:color="000000" w:sz="4" w:space="0"/>
              <w:right w:val="single" w:color="000000" w:sz="4" w:space="0"/>
            </w:tcBorders>
            <w:vAlign w:val="center"/>
          </w:tcPr>
          <w:p w14:paraId="38DA79DF">
            <w:pPr>
              <w:tabs>
                <w:tab w:val="center" w:pos="4252"/>
                <w:tab w:val="right" w:pos="8504"/>
              </w:tabs>
              <w:spacing w:after="0" w:line="240" w:lineRule="auto"/>
              <w:jc w:val="center"/>
              <w:rPr>
                <w:rFonts w:eastAsia="Arial" w:cstheme="minorHAnsi"/>
              </w:rPr>
            </w:pPr>
            <w:r>
              <w:rPr>
                <w:rFonts w:ascii="Arial" w:hAnsi="Arial" w:cs="Arial"/>
                <w:color w:val="000000"/>
              </w:rPr>
              <w:t>CPR</w:t>
            </w:r>
          </w:p>
        </w:tc>
        <w:tc>
          <w:tcPr>
            <w:tcW w:w="4253" w:type="dxa"/>
            <w:tcBorders>
              <w:top w:val="single" w:color="000000" w:sz="4" w:space="0"/>
              <w:left w:val="single" w:color="000000" w:sz="4" w:space="0"/>
              <w:bottom w:val="single" w:color="000000" w:sz="4" w:space="0"/>
              <w:right w:val="single" w:color="000000" w:sz="4" w:space="0"/>
            </w:tcBorders>
            <w:vAlign w:val="center"/>
          </w:tcPr>
          <w:p w14:paraId="30824444">
            <w:pPr>
              <w:tabs>
                <w:tab w:val="center" w:pos="4252"/>
                <w:tab w:val="right" w:pos="8504"/>
              </w:tabs>
              <w:spacing w:after="0" w:line="240" w:lineRule="auto"/>
              <w:jc w:val="both"/>
              <w:rPr>
                <w:rFonts w:eastAsia="Arial" w:cstheme="minorHAnsi"/>
              </w:rPr>
            </w:pPr>
            <w:r>
              <w:rPr>
                <w:rFonts w:ascii="Arial" w:hAnsi="Arial" w:cs="Arial"/>
                <w:color w:val="000000"/>
              </w:rPr>
              <w:t>IVERMECTINA 6 MG COMPRIMIDO</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1081BFE5">
            <w:pPr>
              <w:tabs>
                <w:tab w:val="center" w:pos="4252"/>
                <w:tab w:val="right" w:pos="8504"/>
              </w:tabs>
              <w:spacing w:after="0" w:line="240" w:lineRule="auto"/>
              <w:jc w:val="center"/>
              <w:rPr>
                <w:rFonts w:eastAsia="Arial" w:cstheme="minorHAnsi"/>
              </w:rPr>
            </w:pPr>
            <w:r>
              <w:rPr>
                <w:rFonts w:ascii="Arial" w:hAnsi="Arial" w:cs="Arial"/>
                <w:color w:val="000000"/>
              </w:rPr>
              <w:t>0,32</w:t>
            </w:r>
          </w:p>
        </w:tc>
        <w:tc>
          <w:tcPr>
            <w:tcW w:w="1275" w:type="dxa"/>
            <w:tcBorders>
              <w:top w:val="nil"/>
              <w:left w:val="nil"/>
              <w:bottom w:val="single" w:color="auto" w:sz="4" w:space="0"/>
              <w:right w:val="single" w:color="auto" w:sz="4" w:space="0"/>
            </w:tcBorders>
            <w:shd w:val="clear" w:color="auto" w:fill="F2F2F2"/>
            <w:vAlign w:val="center"/>
          </w:tcPr>
          <w:p w14:paraId="5CAB69D7">
            <w:pPr>
              <w:tabs>
                <w:tab w:val="center" w:pos="4252"/>
                <w:tab w:val="right" w:pos="8504"/>
              </w:tabs>
              <w:spacing w:after="0" w:line="240" w:lineRule="auto"/>
              <w:jc w:val="center"/>
              <w:rPr>
                <w:rFonts w:eastAsia="Arial" w:cstheme="minorHAnsi"/>
              </w:rPr>
            </w:pPr>
            <w:r>
              <w:rPr>
                <w:rFonts w:ascii="Arial" w:hAnsi="Arial" w:cs="Arial"/>
                <w:color w:val="000000"/>
              </w:rPr>
              <w:t>480,00</w:t>
            </w:r>
          </w:p>
        </w:tc>
      </w:tr>
      <w:tr w14:paraId="5748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1812FF7">
            <w:pPr>
              <w:tabs>
                <w:tab w:val="center" w:pos="4252"/>
                <w:tab w:val="right" w:pos="8504"/>
              </w:tabs>
              <w:spacing w:after="0" w:line="240" w:lineRule="auto"/>
              <w:jc w:val="center"/>
              <w:rPr>
                <w:rFonts w:eastAsia="Arial" w:cstheme="minorHAnsi"/>
              </w:rPr>
            </w:pPr>
            <w:r>
              <w:rPr>
                <w:rFonts w:ascii="Arial" w:hAnsi="Arial" w:cs="Arial"/>
                <w:color w:val="000000"/>
              </w:rPr>
              <w:t>18</w:t>
            </w:r>
          </w:p>
        </w:tc>
        <w:tc>
          <w:tcPr>
            <w:tcW w:w="992" w:type="dxa"/>
            <w:tcBorders>
              <w:top w:val="single" w:color="000000" w:sz="4" w:space="0"/>
              <w:left w:val="single" w:color="000000" w:sz="4" w:space="0"/>
              <w:bottom w:val="single" w:color="000000" w:sz="4" w:space="0"/>
              <w:right w:val="single" w:color="000000" w:sz="4" w:space="0"/>
            </w:tcBorders>
            <w:vAlign w:val="center"/>
          </w:tcPr>
          <w:p w14:paraId="6419EFD1">
            <w:pPr>
              <w:tabs>
                <w:tab w:val="center" w:pos="4252"/>
                <w:tab w:val="right" w:pos="8504"/>
              </w:tabs>
              <w:spacing w:after="0" w:line="240" w:lineRule="auto"/>
              <w:jc w:val="center"/>
              <w:rPr>
                <w:rFonts w:eastAsia="Arial" w:cstheme="minorHAnsi"/>
              </w:rPr>
            </w:pPr>
            <w:r>
              <w:rPr>
                <w:rFonts w:ascii="Arial" w:hAnsi="Arial" w:cs="Arial"/>
                <w:color w:val="000000"/>
              </w:rPr>
              <w:t>300</w:t>
            </w:r>
          </w:p>
        </w:tc>
        <w:tc>
          <w:tcPr>
            <w:tcW w:w="850" w:type="dxa"/>
            <w:tcBorders>
              <w:top w:val="single" w:color="000000" w:sz="4" w:space="0"/>
              <w:left w:val="single" w:color="000000" w:sz="4" w:space="0"/>
              <w:bottom w:val="single" w:color="000000" w:sz="4" w:space="0"/>
              <w:right w:val="single" w:color="000000" w:sz="4" w:space="0"/>
            </w:tcBorders>
            <w:vAlign w:val="center"/>
          </w:tcPr>
          <w:p w14:paraId="52122401">
            <w:pPr>
              <w:tabs>
                <w:tab w:val="center" w:pos="4252"/>
                <w:tab w:val="right" w:pos="8504"/>
              </w:tabs>
              <w:spacing w:after="0" w:line="240" w:lineRule="auto"/>
              <w:jc w:val="center"/>
              <w:rPr>
                <w:rFonts w:eastAsia="Arial" w:cstheme="minorHAnsi"/>
              </w:rPr>
            </w:pPr>
            <w:r>
              <w:rPr>
                <w:rFonts w:ascii="Arial" w:hAnsi="Arial" w:cs="Arial"/>
                <w:color w:val="000000"/>
              </w:rPr>
              <w:t>AMP</w:t>
            </w:r>
          </w:p>
        </w:tc>
        <w:tc>
          <w:tcPr>
            <w:tcW w:w="4253" w:type="dxa"/>
            <w:tcBorders>
              <w:top w:val="single" w:color="000000" w:sz="4" w:space="0"/>
              <w:left w:val="single" w:color="000000" w:sz="4" w:space="0"/>
              <w:bottom w:val="single" w:color="000000" w:sz="4" w:space="0"/>
              <w:right w:val="single" w:color="000000" w:sz="4" w:space="0"/>
            </w:tcBorders>
            <w:vAlign w:val="center"/>
          </w:tcPr>
          <w:p w14:paraId="1CFC169A">
            <w:pPr>
              <w:tabs>
                <w:tab w:val="center" w:pos="4252"/>
                <w:tab w:val="right" w:pos="8504"/>
              </w:tabs>
              <w:spacing w:after="0" w:line="240" w:lineRule="auto"/>
              <w:jc w:val="both"/>
              <w:rPr>
                <w:rFonts w:eastAsia="Arial" w:cstheme="minorHAnsi"/>
              </w:rPr>
            </w:pPr>
            <w:r>
              <w:rPr>
                <w:rFonts w:ascii="Arial" w:hAnsi="Arial" w:cs="Arial"/>
                <w:color w:val="000000"/>
              </w:rPr>
              <w:t>METILERGOMETRINA, MALEATO 0,2 MG/ML, SOLUÇÃO INJETÁVEL, AMPOLA DE 1 ML</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0DFBDC6D">
            <w:pPr>
              <w:tabs>
                <w:tab w:val="center" w:pos="4252"/>
                <w:tab w:val="right" w:pos="8504"/>
              </w:tabs>
              <w:spacing w:after="0" w:line="240" w:lineRule="auto"/>
              <w:jc w:val="center"/>
              <w:rPr>
                <w:rFonts w:eastAsia="Arial" w:cstheme="minorHAnsi"/>
              </w:rPr>
            </w:pPr>
            <w:r>
              <w:rPr>
                <w:rFonts w:ascii="Arial" w:hAnsi="Arial" w:cs="Arial"/>
                <w:color w:val="000000"/>
              </w:rPr>
              <w:t>2,27</w:t>
            </w:r>
          </w:p>
        </w:tc>
        <w:tc>
          <w:tcPr>
            <w:tcW w:w="1275" w:type="dxa"/>
            <w:tcBorders>
              <w:top w:val="nil"/>
              <w:left w:val="nil"/>
              <w:bottom w:val="single" w:color="auto" w:sz="4" w:space="0"/>
              <w:right w:val="single" w:color="auto" w:sz="4" w:space="0"/>
            </w:tcBorders>
            <w:shd w:val="clear" w:color="auto" w:fill="F2F2F2"/>
            <w:vAlign w:val="center"/>
          </w:tcPr>
          <w:p w14:paraId="12440A35">
            <w:pPr>
              <w:tabs>
                <w:tab w:val="center" w:pos="4252"/>
                <w:tab w:val="right" w:pos="8504"/>
              </w:tabs>
              <w:spacing w:after="0" w:line="240" w:lineRule="auto"/>
              <w:jc w:val="center"/>
              <w:rPr>
                <w:rFonts w:eastAsia="Arial" w:cstheme="minorHAnsi"/>
              </w:rPr>
            </w:pPr>
            <w:r>
              <w:rPr>
                <w:rFonts w:ascii="Arial" w:hAnsi="Arial" w:cs="Arial"/>
                <w:color w:val="000000"/>
              </w:rPr>
              <w:t>681,00</w:t>
            </w:r>
          </w:p>
        </w:tc>
      </w:tr>
      <w:tr w14:paraId="18801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ADCA4F6">
            <w:pPr>
              <w:tabs>
                <w:tab w:val="center" w:pos="4252"/>
                <w:tab w:val="right" w:pos="8504"/>
              </w:tabs>
              <w:spacing w:after="0" w:line="240" w:lineRule="auto"/>
              <w:jc w:val="center"/>
              <w:rPr>
                <w:rFonts w:eastAsia="Arial" w:cstheme="minorHAnsi"/>
              </w:rPr>
            </w:pPr>
            <w:r>
              <w:rPr>
                <w:rFonts w:ascii="Arial" w:hAnsi="Arial" w:cs="Arial"/>
                <w:color w:val="000000"/>
              </w:rPr>
              <w:t>19</w:t>
            </w:r>
          </w:p>
        </w:tc>
        <w:tc>
          <w:tcPr>
            <w:tcW w:w="992" w:type="dxa"/>
            <w:tcBorders>
              <w:top w:val="single" w:color="000000" w:sz="4" w:space="0"/>
              <w:left w:val="single" w:color="000000" w:sz="4" w:space="0"/>
              <w:bottom w:val="single" w:color="000000" w:sz="4" w:space="0"/>
              <w:right w:val="single" w:color="000000" w:sz="4" w:space="0"/>
            </w:tcBorders>
            <w:vAlign w:val="center"/>
          </w:tcPr>
          <w:p w14:paraId="4DB13627">
            <w:pPr>
              <w:tabs>
                <w:tab w:val="center" w:pos="4252"/>
                <w:tab w:val="right" w:pos="8504"/>
              </w:tabs>
              <w:spacing w:after="0" w:line="240" w:lineRule="auto"/>
              <w:jc w:val="center"/>
              <w:rPr>
                <w:rFonts w:eastAsia="Arial" w:cstheme="minorHAnsi"/>
              </w:rPr>
            </w:pPr>
            <w:r>
              <w:rPr>
                <w:rFonts w:ascii="Arial" w:hAnsi="Arial" w:cs="Arial"/>
                <w:color w:val="000000"/>
              </w:rPr>
              <w:t>30</w:t>
            </w:r>
          </w:p>
        </w:tc>
        <w:tc>
          <w:tcPr>
            <w:tcW w:w="850" w:type="dxa"/>
            <w:tcBorders>
              <w:top w:val="single" w:color="000000" w:sz="4" w:space="0"/>
              <w:left w:val="single" w:color="000000" w:sz="4" w:space="0"/>
              <w:bottom w:val="single" w:color="000000" w:sz="4" w:space="0"/>
              <w:right w:val="single" w:color="000000" w:sz="4" w:space="0"/>
            </w:tcBorders>
            <w:vAlign w:val="center"/>
          </w:tcPr>
          <w:p w14:paraId="22774645">
            <w:pPr>
              <w:tabs>
                <w:tab w:val="center" w:pos="4252"/>
                <w:tab w:val="right" w:pos="8504"/>
              </w:tabs>
              <w:spacing w:after="0" w:line="240" w:lineRule="auto"/>
              <w:jc w:val="center"/>
              <w:rPr>
                <w:rFonts w:eastAsia="Arial" w:cstheme="minorHAnsi"/>
              </w:rPr>
            </w:pPr>
            <w:r>
              <w:rPr>
                <w:rFonts w:ascii="Arial" w:hAnsi="Arial" w:cs="Arial"/>
                <w:color w:val="000000"/>
              </w:rPr>
              <w:t>FAM</w:t>
            </w:r>
          </w:p>
        </w:tc>
        <w:tc>
          <w:tcPr>
            <w:tcW w:w="4253" w:type="dxa"/>
            <w:tcBorders>
              <w:top w:val="single" w:color="000000" w:sz="4" w:space="0"/>
              <w:left w:val="single" w:color="000000" w:sz="4" w:space="0"/>
              <w:bottom w:val="single" w:color="000000" w:sz="4" w:space="0"/>
              <w:right w:val="single" w:color="000000" w:sz="4" w:space="0"/>
            </w:tcBorders>
            <w:vAlign w:val="center"/>
          </w:tcPr>
          <w:p w14:paraId="54CF7F36">
            <w:pPr>
              <w:tabs>
                <w:tab w:val="center" w:pos="4252"/>
                <w:tab w:val="right" w:pos="8504"/>
              </w:tabs>
              <w:spacing w:after="0" w:line="240" w:lineRule="auto"/>
              <w:jc w:val="both"/>
              <w:rPr>
                <w:rFonts w:eastAsia="Arial" w:cstheme="minorHAnsi"/>
              </w:rPr>
            </w:pPr>
            <w:r>
              <w:rPr>
                <w:rFonts w:ascii="Arial" w:hAnsi="Arial" w:cs="Arial"/>
                <w:color w:val="000000"/>
              </w:rPr>
              <w:t>METOTREXATO 100 MG/ML SOLUÇÃO INJETÁVEL FRASCO AMPOLA DE 10 ML</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375012A9">
            <w:pPr>
              <w:tabs>
                <w:tab w:val="center" w:pos="4252"/>
                <w:tab w:val="right" w:pos="8504"/>
              </w:tabs>
              <w:spacing w:after="0" w:line="240" w:lineRule="auto"/>
              <w:jc w:val="center"/>
              <w:rPr>
                <w:rFonts w:eastAsia="Arial" w:cstheme="minorHAnsi"/>
              </w:rPr>
            </w:pPr>
            <w:r>
              <w:rPr>
                <w:rFonts w:ascii="Arial" w:hAnsi="Arial" w:cs="Arial"/>
                <w:color w:val="000000"/>
              </w:rPr>
              <w:t>724,17</w:t>
            </w:r>
          </w:p>
        </w:tc>
        <w:tc>
          <w:tcPr>
            <w:tcW w:w="1275" w:type="dxa"/>
            <w:tcBorders>
              <w:top w:val="nil"/>
              <w:left w:val="nil"/>
              <w:bottom w:val="single" w:color="auto" w:sz="4" w:space="0"/>
              <w:right w:val="single" w:color="auto" w:sz="4" w:space="0"/>
            </w:tcBorders>
            <w:shd w:val="clear" w:color="auto" w:fill="F2F2F2"/>
            <w:vAlign w:val="center"/>
          </w:tcPr>
          <w:p w14:paraId="15E8A148">
            <w:pPr>
              <w:tabs>
                <w:tab w:val="center" w:pos="4252"/>
                <w:tab w:val="right" w:pos="8504"/>
              </w:tabs>
              <w:spacing w:after="0" w:line="240" w:lineRule="auto"/>
              <w:jc w:val="center"/>
              <w:rPr>
                <w:rFonts w:eastAsia="Arial" w:cstheme="minorHAnsi"/>
              </w:rPr>
            </w:pPr>
            <w:r>
              <w:rPr>
                <w:rFonts w:ascii="Arial" w:hAnsi="Arial" w:cs="Arial"/>
                <w:color w:val="000000"/>
              </w:rPr>
              <w:t>21.725,10</w:t>
            </w:r>
          </w:p>
        </w:tc>
      </w:tr>
      <w:tr w14:paraId="25899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4008506">
            <w:pPr>
              <w:tabs>
                <w:tab w:val="center" w:pos="4252"/>
                <w:tab w:val="right" w:pos="8504"/>
              </w:tabs>
              <w:spacing w:after="0" w:line="240" w:lineRule="auto"/>
              <w:jc w:val="center"/>
              <w:rPr>
                <w:rFonts w:eastAsia="Arial" w:cstheme="minorHAnsi"/>
              </w:rPr>
            </w:pPr>
            <w:r>
              <w:rPr>
                <w:rFonts w:ascii="Arial" w:hAnsi="Arial" w:cs="Arial"/>
                <w:color w:val="000000"/>
              </w:rPr>
              <w:t>20</w:t>
            </w:r>
          </w:p>
        </w:tc>
        <w:tc>
          <w:tcPr>
            <w:tcW w:w="992" w:type="dxa"/>
            <w:tcBorders>
              <w:top w:val="single" w:color="000000" w:sz="4" w:space="0"/>
              <w:left w:val="single" w:color="000000" w:sz="4" w:space="0"/>
              <w:bottom w:val="single" w:color="000000" w:sz="4" w:space="0"/>
              <w:right w:val="single" w:color="000000" w:sz="4" w:space="0"/>
            </w:tcBorders>
            <w:vAlign w:val="center"/>
          </w:tcPr>
          <w:p w14:paraId="22FBE45D">
            <w:pPr>
              <w:tabs>
                <w:tab w:val="center" w:pos="4252"/>
                <w:tab w:val="right" w:pos="8504"/>
              </w:tabs>
              <w:spacing w:after="0" w:line="240" w:lineRule="auto"/>
              <w:jc w:val="center"/>
              <w:rPr>
                <w:rFonts w:eastAsia="Arial" w:cstheme="minorHAnsi"/>
              </w:rPr>
            </w:pPr>
            <w:r>
              <w:rPr>
                <w:rFonts w:ascii="Arial" w:hAnsi="Arial" w:cs="Arial"/>
                <w:color w:val="000000"/>
              </w:rPr>
              <w:t>300</w:t>
            </w:r>
          </w:p>
        </w:tc>
        <w:tc>
          <w:tcPr>
            <w:tcW w:w="850" w:type="dxa"/>
            <w:tcBorders>
              <w:top w:val="single" w:color="000000" w:sz="4" w:space="0"/>
              <w:left w:val="single" w:color="000000" w:sz="4" w:space="0"/>
              <w:bottom w:val="single" w:color="000000" w:sz="4" w:space="0"/>
              <w:right w:val="single" w:color="000000" w:sz="4" w:space="0"/>
            </w:tcBorders>
            <w:vAlign w:val="center"/>
          </w:tcPr>
          <w:p w14:paraId="34748B91">
            <w:pPr>
              <w:tabs>
                <w:tab w:val="center" w:pos="4252"/>
                <w:tab w:val="right" w:pos="8504"/>
              </w:tabs>
              <w:spacing w:after="0" w:line="240" w:lineRule="auto"/>
              <w:jc w:val="center"/>
              <w:rPr>
                <w:rFonts w:eastAsia="Arial" w:cstheme="minorHAnsi"/>
              </w:rPr>
            </w:pPr>
            <w:r>
              <w:rPr>
                <w:rFonts w:ascii="Arial" w:hAnsi="Arial" w:cs="Arial"/>
                <w:color w:val="000000"/>
              </w:rPr>
              <w:t>CPR</w:t>
            </w:r>
          </w:p>
        </w:tc>
        <w:tc>
          <w:tcPr>
            <w:tcW w:w="4253" w:type="dxa"/>
            <w:tcBorders>
              <w:top w:val="single" w:color="000000" w:sz="4" w:space="0"/>
              <w:left w:val="single" w:color="000000" w:sz="4" w:space="0"/>
              <w:bottom w:val="single" w:color="000000" w:sz="4" w:space="0"/>
              <w:right w:val="single" w:color="000000" w:sz="4" w:space="0"/>
            </w:tcBorders>
            <w:vAlign w:val="center"/>
          </w:tcPr>
          <w:p w14:paraId="761B13F6">
            <w:pPr>
              <w:tabs>
                <w:tab w:val="center" w:pos="4252"/>
                <w:tab w:val="right" w:pos="8504"/>
              </w:tabs>
              <w:spacing w:after="0" w:line="240" w:lineRule="auto"/>
              <w:jc w:val="both"/>
              <w:rPr>
                <w:rFonts w:eastAsia="Arial" w:cstheme="minorHAnsi"/>
              </w:rPr>
            </w:pPr>
            <w:r>
              <w:rPr>
                <w:rFonts w:ascii="Arial" w:hAnsi="Arial" w:cs="Arial"/>
                <w:color w:val="000000"/>
              </w:rPr>
              <w:t>NIMODIPINO 30 MG, COMPRIMIDO</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07D9BFDA">
            <w:pPr>
              <w:tabs>
                <w:tab w:val="center" w:pos="4252"/>
                <w:tab w:val="right" w:pos="8504"/>
              </w:tabs>
              <w:spacing w:after="0" w:line="240" w:lineRule="auto"/>
              <w:jc w:val="center"/>
              <w:rPr>
                <w:rFonts w:eastAsia="Arial" w:cstheme="minorHAnsi"/>
              </w:rPr>
            </w:pPr>
            <w:r>
              <w:rPr>
                <w:rFonts w:ascii="Arial" w:hAnsi="Arial" w:cs="Arial"/>
                <w:color w:val="000000"/>
              </w:rPr>
              <w:t>1,47</w:t>
            </w:r>
          </w:p>
        </w:tc>
        <w:tc>
          <w:tcPr>
            <w:tcW w:w="1275" w:type="dxa"/>
            <w:tcBorders>
              <w:top w:val="nil"/>
              <w:left w:val="nil"/>
              <w:bottom w:val="single" w:color="auto" w:sz="4" w:space="0"/>
              <w:right w:val="single" w:color="auto" w:sz="4" w:space="0"/>
            </w:tcBorders>
            <w:shd w:val="clear" w:color="auto" w:fill="F2F2F2"/>
            <w:vAlign w:val="center"/>
          </w:tcPr>
          <w:p w14:paraId="47A1CEDC">
            <w:pPr>
              <w:tabs>
                <w:tab w:val="center" w:pos="4252"/>
                <w:tab w:val="right" w:pos="8504"/>
              </w:tabs>
              <w:spacing w:after="0" w:line="240" w:lineRule="auto"/>
              <w:jc w:val="center"/>
              <w:rPr>
                <w:rFonts w:eastAsia="Arial" w:cstheme="minorHAnsi"/>
              </w:rPr>
            </w:pPr>
            <w:r>
              <w:rPr>
                <w:rFonts w:ascii="Arial" w:hAnsi="Arial" w:cs="Arial"/>
                <w:color w:val="000000"/>
              </w:rPr>
              <w:t>441,00</w:t>
            </w:r>
          </w:p>
        </w:tc>
      </w:tr>
      <w:tr w14:paraId="5ED8A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B8E65AE">
            <w:pPr>
              <w:tabs>
                <w:tab w:val="center" w:pos="4252"/>
                <w:tab w:val="right" w:pos="8504"/>
              </w:tabs>
              <w:spacing w:after="0" w:line="240" w:lineRule="auto"/>
              <w:jc w:val="center"/>
              <w:rPr>
                <w:rFonts w:eastAsia="Arial" w:cstheme="minorHAnsi"/>
              </w:rPr>
            </w:pPr>
            <w:r>
              <w:rPr>
                <w:rFonts w:ascii="Arial" w:hAnsi="Arial" w:cs="Arial"/>
                <w:color w:val="000000"/>
              </w:rPr>
              <w:t>21</w:t>
            </w:r>
          </w:p>
        </w:tc>
        <w:tc>
          <w:tcPr>
            <w:tcW w:w="992" w:type="dxa"/>
            <w:tcBorders>
              <w:top w:val="single" w:color="000000" w:sz="4" w:space="0"/>
              <w:left w:val="single" w:color="000000" w:sz="4" w:space="0"/>
              <w:bottom w:val="single" w:color="000000" w:sz="4" w:space="0"/>
              <w:right w:val="single" w:color="000000" w:sz="4" w:space="0"/>
            </w:tcBorders>
            <w:vAlign w:val="center"/>
          </w:tcPr>
          <w:p w14:paraId="10DF87A6">
            <w:pPr>
              <w:tabs>
                <w:tab w:val="center" w:pos="4252"/>
                <w:tab w:val="right" w:pos="8504"/>
              </w:tabs>
              <w:spacing w:after="0" w:line="240" w:lineRule="auto"/>
              <w:jc w:val="center"/>
              <w:rPr>
                <w:rFonts w:eastAsia="Arial" w:cstheme="minorHAnsi"/>
              </w:rPr>
            </w:pPr>
            <w:r>
              <w:rPr>
                <w:rFonts w:ascii="Arial" w:hAnsi="Arial" w:cs="Arial"/>
                <w:color w:val="000000"/>
              </w:rPr>
              <w:t>30</w:t>
            </w:r>
          </w:p>
        </w:tc>
        <w:tc>
          <w:tcPr>
            <w:tcW w:w="850" w:type="dxa"/>
            <w:tcBorders>
              <w:top w:val="single" w:color="000000" w:sz="4" w:space="0"/>
              <w:left w:val="single" w:color="000000" w:sz="4" w:space="0"/>
              <w:bottom w:val="single" w:color="000000" w:sz="4" w:space="0"/>
              <w:right w:val="single" w:color="000000" w:sz="4" w:space="0"/>
            </w:tcBorders>
            <w:vAlign w:val="center"/>
          </w:tcPr>
          <w:p w14:paraId="6A63B110">
            <w:pPr>
              <w:tabs>
                <w:tab w:val="center" w:pos="4252"/>
                <w:tab w:val="right" w:pos="8504"/>
              </w:tabs>
              <w:spacing w:after="0" w:line="240" w:lineRule="auto"/>
              <w:jc w:val="center"/>
              <w:rPr>
                <w:rFonts w:eastAsia="Arial" w:cstheme="minorHAnsi"/>
              </w:rPr>
            </w:pPr>
            <w:r>
              <w:rPr>
                <w:rFonts w:ascii="Arial" w:hAnsi="Arial" w:cs="Arial"/>
                <w:color w:val="000000"/>
              </w:rPr>
              <w:t>FRS</w:t>
            </w:r>
          </w:p>
        </w:tc>
        <w:tc>
          <w:tcPr>
            <w:tcW w:w="4253" w:type="dxa"/>
            <w:tcBorders>
              <w:top w:val="single" w:color="000000" w:sz="4" w:space="0"/>
              <w:left w:val="single" w:color="000000" w:sz="4" w:space="0"/>
              <w:bottom w:val="single" w:color="000000" w:sz="4" w:space="0"/>
              <w:right w:val="single" w:color="000000" w:sz="4" w:space="0"/>
            </w:tcBorders>
            <w:vAlign w:val="center"/>
          </w:tcPr>
          <w:p w14:paraId="0D8C90C7">
            <w:pPr>
              <w:tabs>
                <w:tab w:val="center" w:pos="4252"/>
                <w:tab w:val="right" w:pos="8504"/>
              </w:tabs>
              <w:spacing w:after="0" w:line="240" w:lineRule="auto"/>
              <w:jc w:val="both"/>
              <w:rPr>
                <w:rFonts w:eastAsia="Arial" w:cstheme="minorHAnsi"/>
              </w:rPr>
            </w:pPr>
            <w:r>
              <w:rPr>
                <w:rFonts w:ascii="Arial" w:hAnsi="Arial" w:cs="Arial"/>
                <w:color w:val="000000"/>
              </w:rPr>
              <w:t>PILOCARPINA, CLORIDRATO 40 MG/ML, SOLUÇÃO OFTÁLMICA, FRASCO DE 10 ML COM CONTA-GOTAS</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649ACD3A">
            <w:pPr>
              <w:tabs>
                <w:tab w:val="center" w:pos="4252"/>
                <w:tab w:val="right" w:pos="8504"/>
              </w:tabs>
              <w:spacing w:after="0" w:line="240" w:lineRule="auto"/>
              <w:jc w:val="center"/>
              <w:rPr>
                <w:rFonts w:eastAsia="Arial" w:cstheme="minorHAnsi"/>
              </w:rPr>
            </w:pPr>
            <w:r>
              <w:rPr>
                <w:rFonts w:ascii="Arial" w:hAnsi="Arial" w:cs="Arial"/>
                <w:color w:val="000000"/>
              </w:rPr>
              <w:t>47,53</w:t>
            </w:r>
          </w:p>
        </w:tc>
        <w:tc>
          <w:tcPr>
            <w:tcW w:w="1275" w:type="dxa"/>
            <w:tcBorders>
              <w:top w:val="nil"/>
              <w:left w:val="nil"/>
              <w:bottom w:val="single" w:color="auto" w:sz="4" w:space="0"/>
              <w:right w:val="single" w:color="auto" w:sz="4" w:space="0"/>
            </w:tcBorders>
            <w:shd w:val="clear" w:color="auto" w:fill="F2F2F2"/>
            <w:vAlign w:val="center"/>
          </w:tcPr>
          <w:p w14:paraId="21C006FC">
            <w:pPr>
              <w:tabs>
                <w:tab w:val="center" w:pos="4252"/>
                <w:tab w:val="right" w:pos="8504"/>
              </w:tabs>
              <w:spacing w:after="0" w:line="240" w:lineRule="auto"/>
              <w:jc w:val="center"/>
              <w:rPr>
                <w:rFonts w:eastAsia="Arial" w:cstheme="minorHAnsi"/>
              </w:rPr>
            </w:pPr>
            <w:r>
              <w:rPr>
                <w:rFonts w:ascii="Arial" w:hAnsi="Arial" w:cs="Arial"/>
                <w:color w:val="000000"/>
              </w:rPr>
              <w:t>1.425,90</w:t>
            </w:r>
          </w:p>
        </w:tc>
      </w:tr>
      <w:tr w14:paraId="24FB9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9989955">
            <w:pPr>
              <w:tabs>
                <w:tab w:val="center" w:pos="4252"/>
                <w:tab w:val="right" w:pos="8504"/>
              </w:tabs>
              <w:spacing w:after="0" w:line="240" w:lineRule="auto"/>
              <w:jc w:val="center"/>
              <w:rPr>
                <w:rFonts w:eastAsia="Arial" w:cstheme="minorHAnsi"/>
              </w:rPr>
            </w:pPr>
            <w:r>
              <w:rPr>
                <w:rFonts w:ascii="Arial" w:hAnsi="Arial" w:cs="Arial"/>
                <w:color w:val="000000"/>
              </w:rPr>
              <w:t>22</w:t>
            </w:r>
          </w:p>
        </w:tc>
        <w:tc>
          <w:tcPr>
            <w:tcW w:w="992" w:type="dxa"/>
            <w:tcBorders>
              <w:top w:val="single" w:color="000000" w:sz="4" w:space="0"/>
              <w:left w:val="single" w:color="000000" w:sz="4" w:space="0"/>
              <w:bottom w:val="single" w:color="000000" w:sz="4" w:space="0"/>
              <w:right w:val="single" w:color="000000" w:sz="4" w:space="0"/>
            </w:tcBorders>
            <w:vAlign w:val="center"/>
          </w:tcPr>
          <w:p w14:paraId="2E3F2F77">
            <w:pPr>
              <w:tabs>
                <w:tab w:val="center" w:pos="4252"/>
                <w:tab w:val="right" w:pos="8504"/>
              </w:tabs>
              <w:spacing w:after="0" w:line="240" w:lineRule="auto"/>
              <w:jc w:val="center"/>
              <w:rPr>
                <w:rFonts w:eastAsia="Arial" w:cstheme="minorHAnsi"/>
              </w:rPr>
            </w:pPr>
            <w:r>
              <w:rPr>
                <w:rFonts w:ascii="Arial" w:hAnsi="Arial" w:cs="Arial"/>
                <w:color w:val="000000"/>
              </w:rPr>
              <w:t>200</w:t>
            </w:r>
          </w:p>
        </w:tc>
        <w:tc>
          <w:tcPr>
            <w:tcW w:w="850" w:type="dxa"/>
            <w:tcBorders>
              <w:top w:val="single" w:color="000000" w:sz="4" w:space="0"/>
              <w:left w:val="single" w:color="000000" w:sz="4" w:space="0"/>
              <w:bottom w:val="single" w:color="000000" w:sz="4" w:space="0"/>
              <w:right w:val="single" w:color="000000" w:sz="4" w:space="0"/>
            </w:tcBorders>
            <w:vAlign w:val="center"/>
          </w:tcPr>
          <w:p w14:paraId="490CBD0D">
            <w:pPr>
              <w:tabs>
                <w:tab w:val="center" w:pos="4252"/>
                <w:tab w:val="right" w:pos="8504"/>
              </w:tabs>
              <w:spacing w:after="0" w:line="240" w:lineRule="auto"/>
              <w:jc w:val="center"/>
              <w:rPr>
                <w:rFonts w:eastAsia="Arial" w:cstheme="minorHAnsi"/>
              </w:rPr>
            </w:pPr>
            <w:r>
              <w:rPr>
                <w:rFonts w:ascii="Arial" w:hAnsi="Arial" w:cs="Arial"/>
                <w:color w:val="000000"/>
              </w:rPr>
              <w:t>FRS</w:t>
            </w:r>
          </w:p>
        </w:tc>
        <w:tc>
          <w:tcPr>
            <w:tcW w:w="4253" w:type="dxa"/>
            <w:tcBorders>
              <w:top w:val="single" w:color="000000" w:sz="4" w:space="0"/>
              <w:left w:val="single" w:color="000000" w:sz="4" w:space="0"/>
              <w:bottom w:val="single" w:color="000000" w:sz="4" w:space="0"/>
              <w:right w:val="single" w:color="000000" w:sz="4" w:space="0"/>
            </w:tcBorders>
            <w:vAlign w:val="center"/>
          </w:tcPr>
          <w:p w14:paraId="08BD66E1">
            <w:pPr>
              <w:tabs>
                <w:tab w:val="center" w:pos="4252"/>
                <w:tab w:val="right" w:pos="8504"/>
              </w:tabs>
              <w:spacing w:after="0" w:line="240" w:lineRule="auto"/>
              <w:jc w:val="both"/>
              <w:rPr>
                <w:rFonts w:eastAsia="Arial" w:cstheme="minorHAnsi"/>
              </w:rPr>
            </w:pPr>
            <w:r>
              <w:rPr>
                <w:rFonts w:ascii="Arial" w:hAnsi="Arial" w:cs="Arial"/>
                <w:color w:val="000000"/>
              </w:rPr>
              <w:t>SALBUTAMOL, SULFATO 6 MG (EQUIVALENTE A 5 MG DE SALBUTAMOL), SOLUÇÃO PARA NEBULIZAÇÃO, FRASCO DE 10 ML</w:t>
            </w:r>
          </w:p>
        </w:tc>
        <w:tc>
          <w:tcPr>
            <w:tcW w:w="1276" w:type="dxa"/>
            <w:tcBorders>
              <w:top w:val="nil"/>
              <w:left w:val="single" w:color="auto" w:sz="4" w:space="0"/>
              <w:bottom w:val="single" w:color="auto" w:sz="4" w:space="0"/>
              <w:right w:val="single" w:color="auto" w:sz="4" w:space="0"/>
            </w:tcBorders>
            <w:shd w:val="clear" w:color="auto" w:fill="F2F2F2"/>
            <w:vAlign w:val="center"/>
          </w:tcPr>
          <w:p w14:paraId="65208055">
            <w:pPr>
              <w:tabs>
                <w:tab w:val="center" w:pos="4252"/>
                <w:tab w:val="right" w:pos="8504"/>
              </w:tabs>
              <w:spacing w:after="0" w:line="240" w:lineRule="auto"/>
              <w:jc w:val="center"/>
              <w:rPr>
                <w:rFonts w:eastAsia="Arial" w:cstheme="minorHAnsi"/>
              </w:rPr>
            </w:pPr>
            <w:r>
              <w:rPr>
                <w:rFonts w:ascii="Arial" w:hAnsi="Arial" w:cs="Arial"/>
                <w:color w:val="000000"/>
              </w:rPr>
              <w:t>14,47</w:t>
            </w:r>
          </w:p>
        </w:tc>
        <w:tc>
          <w:tcPr>
            <w:tcW w:w="1275" w:type="dxa"/>
            <w:tcBorders>
              <w:top w:val="nil"/>
              <w:left w:val="nil"/>
              <w:bottom w:val="single" w:color="auto" w:sz="4" w:space="0"/>
              <w:right w:val="single" w:color="auto" w:sz="4" w:space="0"/>
            </w:tcBorders>
            <w:shd w:val="clear" w:color="auto" w:fill="F2F2F2"/>
            <w:vAlign w:val="center"/>
          </w:tcPr>
          <w:p w14:paraId="2AE8185E">
            <w:pPr>
              <w:tabs>
                <w:tab w:val="center" w:pos="4252"/>
                <w:tab w:val="right" w:pos="8504"/>
              </w:tabs>
              <w:spacing w:after="0" w:line="240" w:lineRule="auto"/>
              <w:jc w:val="center"/>
              <w:rPr>
                <w:rFonts w:eastAsia="Arial" w:cstheme="minorHAnsi"/>
              </w:rPr>
            </w:pPr>
            <w:r>
              <w:rPr>
                <w:rFonts w:eastAsia="Arial" w:cstheme="minorHAnsi"/>
              </w:rPr>
              <w:t>2.894,00</w:t>
            </w:r>
          </w:p>
        </w:tc>
      </w:tr>
      <w:tr w14:paraId="0DC56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805"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42954EF">
            <w:pPr>
              <w:spacing w:after="0" w:line="240" w:lineRule="auto"/>
              <w:jc w:val="right"/>
              <w:rPr>
                <w:rFonts w:eastAsia="Arial" w:cstheme="minorHAnsi"/>
                <w:b/>
              </w:rPr>
            </w:pPr>
            <w:r>
              <w:rPr>
                <w:rFonts w:eastAsia="Arial" w:cstheme="minorHAnsi"/>
                <w:b/>
              </w:rPr>
              <w:t>VALOR ESTIMADO DA CONTRATAÇÃO:</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0AC51A8">
            <w:pPr>
              <w:spacing w:after="0" w:line="240" w:lineRule="auto"/>
              <w:jc w:val="center"/>
              <w:rPr>
                <w:rFonts w:cstheme="minorHAnsi"/>
                <w:b/>
                <w:bCs/>
                <w:color w:val="000000"/>
              </w:rPr>
            </w:pPr>
            <w:r>
              <w:rPr>
                <w:rFonts w:cstheme="minorHAnsi"/>
                <w:b/>
                <w:bCs/>
                <w:color w:val="000000"/>
              </w:rPr>
              <w:t>R$ 515.821,00</w:t>
            </w:r>
          </w:p>
        </w:tc>
      </w:tr>
    </w:tbl>
    <w:p w14:paraId="68C1DD4A">
      <w:pPr>
        <w:spacing w:after="0"/>
        <w:ind w:left="-567"/>
        <w:rPr>
          <w:rFonts w:cs="Calibri"/>
          <w:b/>
          <w:sz w:val="24"/>
          <w:szCs w:val="24"/>
        </w:rPr>
      </w:pPr>
    </w:p>
    <w:p w14:paraId="7053439C">
      <w:pPr>
        <w:pStyle w:val="40"/>
        <w:widowControl w:val="0"/>
        <w:numPr>
          <w:ilvl w:val="0"/>
          <w:numId w:val="5"/>
        </w:numPr>
        <w:suppressAutoHyphens/>
        <w:spacing w:after="0" w:line="276" w:lineRule="auto"/>
        <w:ind w:left="426" w:right="-852" w:hanging="502"/>
        <w:jc w:val="both"/>
        <w:rPr>
          <w:rFonts w:cs="Calibri"/>
          <w:b/>
        </w:rPr>
      </w:pPr>
      <w:r>
        <w:rPr>
          <w:rFonts w:cs="Calibri"/>
          <w:b/>
        </w:rPr>
        <w:t>CLASSIFICAÇÃO DO OBJETO</w:t>
      </w:r>
    </w:p>
    <w:p w14:paraId="4555AECF">
      <w:pPr>
        <w:spacing w:after="0"/>
        <w:ind w:left="-567"/>
        <w:rPr>
          <w:rFonts w:cs="Calibri"/>
          <w:sz w:val="24"/>
          <w:szCs w:val="24"/>
        </w:rPr>
      </w:pPr>
    </w:p>
    <w:p w14:paraId="03200DD9">
      <w:pPr>
        <w:pStyle w:val="40"/>
        <w:numPr>
          <w:ilvl w:val="0"/>
          <w:numId w:val="6"/>
        </w:numPr>
        <w:spacing w:after="0" w:line="276" w:lineRule="auto"/>
        <w:ind w:left="851" w:right="-568" w:hanging="644"/>
        <w:jc w:val="both"/>
        <w:rPr>
          <w:rFonts w:cs="Calibri"/>
        </w:rPr>
      </w:pPr>
      <w:r>
        <w:rPr>
          <w:rFonts w:cs="Calibri"/>
        </w:rPr>
        <w:t>Os itens objeto dessa licitação são classificados como bens comuns, cujos padrões de desempenho e qualidade estão objetivamente definidos pelo edital, por meio de especificações usuais de mercado, conforme estabelece o inciso XIII do art. 6º da Lei Federal nº 14.133, de 2021.</w:t>
      </w:r>
    </w:p>
    <w:p w14:paraId="7FBFFEB7">
      <w:pPr>
        <w:pStyle w:val="40"/>
        <w:spacing w:line="276" w:lineRule="auto"/>
        <w:ind w:left="851" w:right="-568"/>
        <w:jc w:val="both"/>
        <w:rPr>
          <w:rFonts w:cs="Calibri"/>
        </w:rPr>
      </w:pPr>
    </w:p>
    <w:p w14:paraId="039BBE3A">
      <w:pPr>
        <w:pStyle w:val="40"/>
        <w:numPr>
          <w:ilvl w:val="0"/>
          <w:numId w:val="6"/>
        </w:numPr>
        <w:spacing w:after="0" w:line="276" w:lineRule="auto"/>
        <w:ind w:left="851" w:right="-568" w:hanging="644"/>
        <w:jc w:val="both"/>
        <w:rPr>
          <w:rFonts w:cs="Calibri"/>
        </w:rPr>
      </w:pPr>
      <w:r>
        <w:rPr>
          <w:rFonts w:cs="Calibri"/>
        </w:rPr>
        <w:t>Os itens objeto desta contratação não se enquadram como bens de luxo, observando o disposto no artigo 20 da Lei nº 14.133, de 2021, e no artigo 28 do Decreto Municipal nº 8.388, de 31 de março de 2023.</w:t>
      </w:r>
    </w:p>
    <w:p w14:paraId="08DD7856">
      <w:pPr>
        <w:spacing w:after="0"/>
        <w:ind w:left="-567"/>
        <w:rPr>
          <w:rFonts w:cs="Calibri"/>
          <w:b/>
          <w:sz w:val="24"/>
          <w:szCs w:val="24"/>
        </w:rPr>
      </w:pPr>
    </w:p>
    <w:p w14:paraId="335E36BD">
      <w:pPr>
        <w:pStyle w:val="40"/>
        <w:widowControl w:val="0"/>
        <w:numPr>
          <w:ilvl w:val="0"/>
          <w:numId w:val="5"/>
        </w:numPr>
        <w:suppressAutoHyphens/>
        <w:spacing w:after="0" w:line="276" w:lineRule="auto"/>
        <w:ind w:left="426" w:right="-852" w:hanging="502"/>
        <w:jc w:val="both"/>
        <w:rPr>
          <w:rFonts w:cs="Calibri"/>
          <w:b/>
        </w:rPr>
      </w:pPr>
      <w:r>
        <w:rPr>
          <w:rFonts w:cs="Calibri"/>
          <w:b/>
        </w:rPr>
        <w:t>PRÉ-REQUISITOS ESSENCIAIS DO OBJETO</w:t>
      </w:r>
    </w:p>
    <w:p w14:paraId="4066ACAE">
      <w:pPr>
        <w:pStyle w:val="40"/>
        <w:widowControl w:val="0"/>
        <w:suppressAutoHyphens/>
        <w:spacing w:line="276" w:lineRule="auto"/>
        <w:ind w:left="426" w:right="-852"/>
        <w:jc w:val="both"/>
        <w:rPr>
          <w:rFonts w:cs="Calibri"/>
          <w:b/>
        </w:rPr>
      </w:pPr>
    </w:p>
    <w:p w14:paraId="3DFB55A5">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Os medicamentos cotados deverão estar obrigatoriamente registrados no Ministério da Saúde/ANVISA, pois nenhum medicamento, inclusive os importados, poderá ser industrializado, exposto à venda ou entregue ao consumo antes de registrado no Ministério da Saúde, conforme art. 12 da Lei 6.360, de 23 de setembro de 1976.</w:t>
      </w:r>
    </w:p>
    <w:p w14:paraId="6E116AE3">
      <w:pPr>
        <w:pStyle w:val="40"/>
        <w:widowControl w:val="0"/>
        <w:suppressAutoHyphens/>
        <w:spacing w:line="276" w:lineRule="auto"/>
        <w:ind w:left="851" w:right="-568"/>
        <w:jc w:val="both"/>
        <w:rPr>
          <w:rFonts w:cs="Calibri"/>
          <w:b/>
        </w:rPr>
      </w:pPr>
    </w:p>
    <w:p w14:paraId="2D3E7F67">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Serão aceitos medicamentos com registro similar, desde de que atendam a todas as indicações clínicas do produto de referência.</w:t>
      </w:r>
    </w:p>
    <w:p w14:paraId="51AA4C7D">
      <w:pPr>
        <w:pStyle w:val="40"/>
        <w:rPr>
          <w:rFonts w:asciiTheme="minorHAnsi" w:hAnsiTheme="minorHAnsi" w:cstheme="minorHAnsi"/>
          <w:bCs/>
          <w:color w:val="000000"/>
        </w:rPr>
      </w:pPr>
    </w:p>
    <w:p w14:paraId="0D45287C">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Não serão aceitos medicamentos manipulados, devido ao curto prazo de validade.</w:t>
      </w:r>
    </w:p>
    <w:p w14:paraId="312EE50E">
      <w:pPr>
        <w:pStyle w:val="40"/>
        <w:rPr>
          <w:rFonts w:asciiTheme="minorHAnsi" w:hAnsiTheme="minorHAnsi" w:cstheme="minorHAnsi"/>
        </w:rPr>
      </w:pPr>
    </w:p>
    <w:p w14:paraId="6F1612EA">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rPr>
        <w:t>Quanto a marcas: qualquer menção a marca/modelo que porventura conste deste Edital e seus anexos configuram-se como simples referência para cotação dos produtos solicitados, sendo que serão aceitos similares ou de qualidade / tecnologia superior.</w:t>
      </w:r>
    </w:p>
    <w:p w14:paraId="3CE08A21">
      <w:pPr>
        <w:pStyle w:val="40"/>
        <w:rPr>
          <w:rFonts w:cs="Calibri"/>
          <w:bCs/>
        </w:rPr>
      </w:pPr>
    </w:p>
    <w:p w14:paraId="0D1FD5DB">
      <w:pPr>
        <w:pStyle w:val="40"/>
        <w:widowControl w:val="0"/>
        <w:numPr>
          <w:ilvl w:val="0"/>
          <w:numId w:val="7"/>
        </w:numPr>
        <w:suppressAutoHyphens/>
        <w:spacing w:after="0" w:line="276" w:lineRule="auto"/>
        <w:ind w:left="851" w:right="-568" w:hanging="644"/>
        <w:jc w:val="both"/>
        <w:rPr>
          <w:rFonts w:cs="Calibri"/>
          <w:b/>
        </w:rPr>
      </w:pPr>
      <w:r>
        <w:rPr>
          <w:rFonts w:cs="Calibri"/>
          <w:bCs/>
        </w:rPr>
        <w:t xml:space="preserve">As propostas deverão observar os preços máximos para aquisições de medicamentos destinados ao Sistema Único de Saúde – SUS estipulados na tabela CMED vigente (disponível em </w:t>
      </w:r>
      <w:r>
        <w:fldChar w:fldCharType="begin"/>
      </w:r>
      <w:r>
        <w:instrText xml:space="preserve"> HYPERLINK "http://www.gov.br/anvisa" </w:instrText>
      </w:r>
      <w:r>
        <w:fldChar w:fldCharType="separate"/>
      </w:r>
      <w:r>
        <w:rPr>
          <w:rStyle w:val="8"/>
          <w:rFonts w:cs="Calibri"/>
          <w:bCs/>
        </w:rPr>
        <w:t>www.gov.br/anvisa</w:t>
      </w:r>
      <w:r>
        <w:rPr>
          <w:rStyle w:val="8"/>
          <w:rFonts w:cs="Calibri"/>
          <w:bCs/>
        </w:rPr>
        <w:fldChar w:fldCharType="end"/>
      </w:r>
      <w:r>
        <w:rPr>
          <w:rFonts w:cs="Calibri"/>
          <w:bCs/>
        </w:rPr>
        <w:t xml:space="preserve">), utilizando-se como referência o </w:t>
      </w:r>
      <w:r>
        <w:rPr>
          <w:rFonts w:cs="Calibri"/>
          <w:b/>
          <w:bCs/>
        </w:rPr>
        <w:t>Preço Máximo de Venda ao Governo “PMVG”</w:t>
      </w:r>
      <w:r>
        <w:rPr>
          <w:rFonts w:cs="Calibri"/>
          <w:bCs/>
        </w:rPr>
        <w:t xml:space="preserve"> para os medicamentos relacionados no Anexo I da Resolução CTE-CMED nº 6 de 27 de maio de 2021, ou o </w:t>
      </w:r>
      <w:r>
        <w:rPr>
          <w:rFonts w:cs="Calibri"/>
          <w:b/>
          <w:bCs/>
        </w:rPr>
        <w:t xml:space="preserve">Preço Fábrica “PF” </w:t>
      </w:r>
      <w:r>
        <w:rPr>
          <w:rFonts w:cs="Calibri"/>
          <w:bCs/>
        </w:rPr>
        <w:t xml:space="preserve">nos demais casos. </w:t>
      </w:r>
    </w:p>
    <w:p w14:paraId="195BD913">
      <w:pPr>
        <w:pStyle w:val="40"/>
        <w:rPr>
          <w:rFonts w:cs="Calibri"/>
          <w:bCs/>
        </w:rPr>
      </w:pPr>
    </w:p>
    <w:p w14:paraId="73A36F50">
      <w:pPr>
        <w:pStyle w:val="40"/>
        <w:widowControl w:val="0"/>
        <w:numPr>
          <w:ilvl w:val="0"/>
          <w:numId w:val="7"/>
        </w:numPr>
        <w:suppressAutoHyphens/>
        <w:spacing w:after="0" w:line="276" w:lineRule="auto"/>
        <w:ind w:left="851" w:right="-568" w:hanging="644"/>
        <w:jc w:val="both"/>
        <w:rPr>
          <w:rFonts w:cs="Calibri"/>
          <w:b/>
        </w:rPr>
      </w:pPr>
      <w:r>
        <w:rPr>
          <w:rFonts w:cs="Calibri"/>
          <w:bCs/>
        </w:rPr>
        <w:t xml:space="preserve">Os preços máximos “PMVG ou “PF” a serem utilizados como referência serão aqueles cuja alíquota do ICMS corresponda ao Estado de destino (São Paulo), devendo ser observadas ainda as isenções de impostos, convênios no âmbito do CONFAZ e as regulamentações dos laboratórios oficiais, hipóteses em que será utilizada como parâmetro a alíquota de ICMS 0%, devendo o valor correspondente à isenção ser deduzido no preço do produto ofertado, conforme o caso. </w:t>
      </w:r>
    </w:p>
    <w:p w14:paraId="5FF23FDB">
      <w:pPr>
        <w:spacing w:after="0"/>
        <w:rPr>
          <w:rFonts w:cs="Calibri"/>
          <w:b/>
          <w:sz w:val="24"/>
          <w:szCs w:val="24"/>
        </w:rPr>
      </w:pPr>
    </w:p>
    <w:p w14:paraId="6B888EB2">
      <w:pPr>
        <w:pStyle w:val="40"/>
        <w:widowControl w:val="0"/>
        <w:numPr>
          <w:ilvl w:val="0"/>
          <w:numId w:val="5"/>
        </w:numPr>
        <w:suppressAutoHyphens/>
        <w:spacing w:after="0" w:line="276" w:lineRule="auto"/>
        <w:ind w:left="426" w:right="-852" w:hanging="502"/>
        <w:jc w:val="both"/>
        <w:rPr>
          <w:rFonts w:cs="Calibri"/>
          <w:b/>
        </w:rPr>
      </w:pPr>
      <w:r>
        <w:rPr>
          <w:rFonts w:cs="Calibri"/>
          <w:b/>
        </w:rPr>
        <w:t>PARCELAMENTO DO OBJETO</w:t>
      </w:r>
    </w:p>
    <w:p w14:paraId="70D73035">
      <w:pPr>
        <w:spacing w:after="0"/>
        <w:ind w:left="-567"/>
        <w:rPr>
          <w:rFonts w:eastAsia="Times New Roman" w:cstheme="minorHAnsi"/>
          <w:color w:val="000000"/>
          <w:sz w:val="24"/>
          <w:szCs w:val="24"/>
          <w:lang w:eastAsia="pt-BR"/>
        </w:rPr>
      </w:pPr>
    </w:p>
    <w:p w14:paraId="0A6150AD">
      <w:pPr>
        <w:spacing w:after="0"/>
        <w:ind w:right="-568" w:firstLine="567"/>
        <w:jc w:val="both"/>
        <w:rPr>
          <w:rFonts w:cs="Calibri"/>
          <w:b/>
          <w:sz w:val="24"/>
          <w:szCs w:val="24"/>
        </w:rPr>
      </w:pPr>
      <w:r>
        <w:rPr>
          <w:rFonts w:eastAsia="Times New Roman" w:cstheme="minorHAnsi"/>
          <w:color w:val="000000"/>
          <w:sz w:val="24"/>
          <w:szCs w:val="24"/>
          <w:lang w:eastAsia="pt-BR"/>
        </w:rPr>
        <w:t xml:space="preserve">Os itens solicitados </w:t>
      </w:r>
      <w:r>
        <w:rPr>
          <w:rFonts w:eastAsia="Times New Roman" w:cstheme="minorHAnsi"/>
          <w:sz w:val="24"/>
          <w:szCs w:val="24"/>
          <w:lang w:eastAsia="pt-BR"/>
        </w:rPr>
        <w:t>são objetos divisíveis e comercializados por unidades</w:t>
      </w:r>
      <w:r>
        <w:rPr>
          <w:rFonts w:eastAsia="Times New Roman" w:cstheme="minorHAnsi"/>
          <w:color w:val="000000"/>
          <w:sz w:val="24"/>
          <w:szCs w:val="24"/>
          <w:lang w:eastAsia="pt-BR"/>
        </w:rPr>
        <w:t xml:space="preserve"> individuais. Nesse contexto, a adjudicação ocorrerá </w:t>
      </w:r>
      <w:r>
        <w:rPr>
          <w:rFonts w:eastAsia="Times New Roman" w:cstheme="minorHAnsi"/>
          <w:b/>
          <w:color w:val="000000"/>
          <w:sz w:val="24"/>
          <w:szCs w:val="24"/>
          <w:lang w:eastAsia="pt-BR"/>
        </w:rPr>
        <w:t>por item</w:t>
      </w:r>
      <w:r>
        <w:rPr>
          <w:rFonts w:eastAsia="Times New Roman" w:cstheme="minorHAnsi"/>
          <w:color w:val="000000"/>
          <w:sz w:val="24"/>
          <w:szCs w:val="24"/>
          <w:lang w:eastAsia="pt-BR"/>
        </w:rPr>
        <w:t>, a fim de estimular a ampla participação dos licitantes, não se justificando o agrupamento.</w:t>
      </w:r>
    </w:p>
    <w:p w14:paraId="5260B438">
      <w:pPr>
        <w:spacing w:after="0"/>
        <w:ind w:left="-567"/>
        <w:rPr>
          <w:rFonts w:cs="Calibri"/>
          <w:b/>
          <w:sz w:val="24"/>
          <w:szCs w:val="24"/>
        </w:rPr>
      </w:pPr>
    </w:p>
    <w:p w14:paraId="62EEAB19">
      <w:pPr>
        <w:pStyle w:val="40"/>
        <w:widowControl w:val="0"/>
        <w:numPr>
          <w:ilvl w:val="0"/>
          <w:numId w:val="5"/>
        </w:numPr>
        <w:suppressAutoHyphens/>
        <w:spacing w:after="0" w:line="276" w:lineRule="auto"/>
        <w:ind w:left="426" w:right="-852" w:hanging="502"/>
        <w:jc w:val="both"/>
        <w:rPr>
          <w:rFonts w:cs="Calibri"/>
          <w:b/>
        </w:rPr>
      </w:pPr>
      <w:r>
        <w:rPr>
          <w:rFonts w:cs="Calibri"/>
          <w:b/>
        </w:rPr>
        <w:t>VALIDADE DOS PRODUTOS</w:t>
      </w:r>
    </w:p>
    <w:p w14:paraId="7926C75A">
      <w:pPr>
        <w:spacing w:after="0"/>
        <w:ind w:left="-567"/>
        <w:rPr>
          <w:rFonts w:cs="Calibri"/>
          <w:b/>
          <w:sz w:val="24"/>
          <w:szCs w:val="24"/>
        </w:rPr>
      </w:pPr>
    </w:p>
    <w:p w14:paraId="5FBACFC3">
      <w:pPr>
        <w:pStyle w:val="40"/>
        <w:numPr>
          <w:ilvl w:val="0"/>
          <w:numId w:val="8"/>
        </w:numPr>
        <w:spacing w:after="0" w:line="276" w:lineRule="auto"/>
        <w:ind w:left="709" w:right="-567" w:hanging="643"/>
        <w:jc w:val="both"/>
        <w:rPr>
          <w:rFonts w:cs="Calibri"/>
          <w:bCs/>
        </w:rPr>
      </w:pPr>
      <w:r>
        <w:rPr>
          <w:rFonts w:cs="Calibri"/>
          <w:bCs/>
        </w:rPr>
        <w:t xml:space="preserve">Os licitantes deverão oferecer os medicamentos e produtos em saúde com validade mínima de 70% (setenta por cento) do prazo de validade total, contado a partir da data de fabricação. </w:t>
      </w:r>
    </w:p>
    <w:p w14:paraId="1CC166A6">
      <w:pPr>
        <w:pStyle w:val="40"/>
        <w:spacing w:line="276" w:lineRule="auto"/>
        <w:ind w:left="709" w:right="-567"/>
        <w:jc w:val="both"/>
        <w:rPr>
          <w:rFonts w:cs="Calibri"/>
          <w:bCs/>
        </w:rPr>
      </w:pPr>
    </w:p>
    <w:p w14:paraId="428BBCFB">
      <w:pPr>
        <w:pStyle w:val="40"/>
        <w:numPr>
          <w:ilvl w:val="0"/>
          <w:numId w:val="8"/>
        </w:numPr>
        <w:spacing w:after="0" w:line="276" w:lineRule="auto"/>
        <w:ind w:left="709" w:right="-567" w:hanging="643"/>
        <w:jc w:val="both"/>
        <w:rPr>
          <w:rFonts w:cs="Calibri"/>
          <w:bCs/>
        </w:rPr>
      </w:pPr>
      <w:r>
        <w:rPr>
          <w:rFonts w:cs="Calibri"/>
          <w:bCs/>
        </w:rPr>
        <w:t xml:space="preserve">Em casos excepcionais, de absoluta impossibilidade de cumprir o prazo de validade previsto no subitem acima, o gestor da ata de registro de preços deverá ser oficialmente consultado com antecedência para realizar análise técnica acerca da viabilidade ou não do recebimento do produto sob tais condições. </w:t>
      </w:r>
    </w:p>
    <w:p w14:paraId="05DDB863">
      <w:pPr>
        <w:pStyle w:val="40"/>
        <w:rPr>
          <w:rFonts w:cs="Calibri"/>
          <w:bCs/>
        </w:rPr>
      </w:pPr>
    </w:p>
    <w:p w14:paraId="25F76138">
      <w:pPr>
        <w:pStyle w:val="40"/>
        <w:numPr>
          <w:ilvl w:val="0"/>
          <w:numId w:val="8"/>
        </w:numPr>
        <w:spacing w:after="0" w:line="276" w:lineRule="auto"/>
        <w:ind w:left="709" w:right="-567" w:hanging="643"/>
        <w:jc w:val="both"/>
        <w:rPr>
          <w:rFonts w:cs="Calibri"/>
          <w:bCs/>
        </w:rPr>
      </w:pPr>
      <w:r>
        <w:rPr>
          <w:rFonts w:cs="Calibri"/>
          <w:bCs/>
        </w:rPr>
        <w:t xml:space="preserve">Na hipótese de admissão da entrega, após análise técnica criteriosa, a empresa DETENTORA deverá emitir carta de compromisso de troca referente ao quantitativo entregue fora do prazo estabelecido em edital. </w:t>
      </w:r>
    </w:p>
    <w:p w14:paraId="1E595E1D">
      <w:pPr>
        <w:pStyle w:val="40"/>
        <w:rPr>
          <w:rFonts w:cs="Calibri"/>
          <w:bCs/>
        </w:rPr>
      </w:pPr>
    </w:p>
    <w:p w14:paraId="657C3DEC">
      <w:pPr>
        <w:pStyle w:val="40"/>
        <w:numPr>
          <w:ilvl w:val="0"/>
          <w:numId w:val="8"/>
        </w:numPr>
        <w:spacing w:after="0" w:line="276" w:lineRule="auto"/>
        <w:ind w:left="709" w:right="-567" w:hanging="643"/>
        <w:jc w:val="both"/>
        <w:rPr>
          <w:rFonts w:cs="Calibri"/>
          <w:bCs/>
        </w:rPr>
      </w:pPr>
      <w:r>
        <w:rPr>
          <w:rFonts w:cs="Calibri"/>
          <w:bCs/>
        </w:rPr>
        <w:t>A DETENTORA também deverá proceder à imediata substituição do quantitativo não consumido dentro do prazo de validade, quando notificada, sob pena de aplicação das sanções cabíveis.</w:t>
      </w:r>
    </w:p>
    <w:p w14:paraId="6A607A32">
      <w:pPr>
        <w:spacing w:after="0"/>
        <w:ind w:left="-567"/>
        <w:rPr>
          <w:rFonts w:cs="Calibri"/>
          <w:b/>
          <w:sz w:val="24"/>
          <w:szCs w:val="24"/>
        </w:rPr>
      </w:pPr>
    </w:p>
    <w:p w14:paraId="123CCCD9">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FUNDAMENTAÇÃO DA CONTRATAÇÃO</w:t>
      </w:r>
    </w:p>
    <w:p w14:paraId="418B5DE6">
      <w:pPr>
        <w:widowControl w:val="0"/>
        <w:suppressAutoHyphens/>
        <w:spacing w:after="0"/>
        <w:ind w:right="-568"/>
        <w:contextualSpacing/>
        <w:jc w:val="both"/>
        <w:rPr>
          <w:rFonts w:cs="Calibri"/>
          <w:b/>
          <w:bCs/>
          <w:sz w:val="24"/>
          <w:szCs w:val="24"/>
        </w:rPr>
      </w:pPr>
    </w:p>
    <w:p w14:paraId="1A9E1BD2">
      <w:pPr>
        <w:widowControl w:val="0"/>
        <w:suppressAutoHyphens/>
        <w:spacing w:after="0"/>
        <w:ind w:right="-568" w:firstLine="567"/>
        <w:contextualSpacing/>
        <w:jc w:val="both"/>
        <w:rPr>
          <w:rFonts w:cs="Calibri"/>
          <w:bCs/>
          <w:sz w:val="24"/>
          <w:szCs w:val="24"/>
        </w:rPr>
      </w:pPr>
      <w:r>
        <w:rPr>
          <w:rFonts w:cs="Calibri"/>
          <w:bCs/>
          <w:sz w:val="24"/>
          <w:szCs w:val="24"/>
        </w:rPr>
        <w:t>Está disposta no Estudo Técnico Preliminar, que será publicado como anexo do Edital.</w:t>
      </w:r>
    </w:p>
    <w:p w14:paraId="3E9E03E8">
      <w:pPr>
        <w:widowControl w:val="0"/>
        <w:suppressAutoHyphens/>
        <w:spacing w:after="0"/>
        <w:ind w:right="-568"/>
        <w:contextualSpacing/>
        <w:jc w:val="both"/>
        <w:rPr>
          <w:rFonts w:cs="Calibri"/>
          <w:b/>
          <w:bCs/>
          <w:sz w:val="24"/>
          <w:szCs w:val="24"/>
        </w:rPr>
      </w:pPr>
    </w:p>
    <w:p w14:paraId="4F08B319">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DESCRIÇÃO DA SOLUÇÃO COMO UM TODO</w:t>
      </w:r>
    </w:p>
    <w:p w14:paraId="1BCB9B6E">
      <w:pPr>
        <w:widowControl w:val="0"/>
        <w:suppressAutoHyphens/>
        <w:spacing w:after="0"/>
        <w:ind w:right="-568"/>
        <w:contextualSpacing/>
        <w:jc w:val="both"/>
        <w:rPr>
          <w:rFonts w:cs="Calibri"/>
          <w:b/>
          <w:bCs/>
          <w:sz w:val="24"/>
          <w:szCs w:val="24"/>
        </w:rPr>
      </w:pPr>
    </w:p>
    <w:p w14:paraId="6D167A2A">
      <w:pPr>
        <w:widowControl w:val="0"/>
        <w:suppressAutoHyphens/>
        <w:spacing w:after="0"/>
        <w:ind w:right="-568" w:firstLine="567"/>
        <w:contextualSpacing/>
        <w:jc w:val="both"/>
        <w:rPr>
          <w:rFonts w:cs="Calibri"/>
          <w:bCs/>
          <w:sz w:val="24"/>
          <w:szCs w:val="24"/>
        </w:rPr>
      </w:pPr>
      <w:r>
        <w:rPr>
          <w:rFonts w:cs="Calibri"/>
          <w:bCs/>
          <w:sz w:val="24"/>
          <w:szCs w:val="24"/>
        </w:rPr>
        <w:t>Está disposta no Estudo Técnico Preliminar, que será publicado como anexo do Edital.</w:t>
      </w:r>
    </w:p>
    <w:p w14:paraId="125987BC">
      <w:pPr>
        <w:widowControl w:val="0"/>
        <w:suppressAutoHyphens/>
        <w:spacing w:after="0"/>
        <w:ind w:right="-568"/>
        <w:contextualSpacing/>
        <w:jc w:val="both"/>
        <w:rPr>
          <w:rFonts w:cs="Calibri"/>
          <w:b/>
          <w:bCs/>
          <w:sz w:val="24"/>
          <w:szCs w:val="24"/>
        </w:rPr>
      </w:pPr>
    </w:p>
    <w:p w14:paraId="0FB8EF1F">
      <w:pPr>
        <w:widowControl w:val="0"/>
        <w:numPr>
          <w:ilvl w:val="0"/>
          <w:numId w:val="4"/>
        </w:numPr>
        <w:suppressAutoHyphens/>
        <w:spacing w:after="0"/>
        <w:ind w:left="0" w:right="-568"/>
        <w:contextualSpacing/>
        <w:jc w:val="both"/>
        <w:rPr>
          <w:rFonts w:cs="Calibri"/>
          <w:b/>
          <w:bCs/>
          <w:sz w:val="24"/>
          <w:szCs w:val="24"/>
        </w:rPr>
      </w:pPr>
      <w:r>
        <w:rPr>
          <w:rFonts w:cs="Calibri"/>
          <w:b/>
          <w:sz w:val="24"/>
          <w:szCs w:val="24"/>
        </w:rPr>
        <w:t>REQUISITOS DA CONTRATAÇÃO</w:t>
      </w:r>
    </w:p>
    <w:p w14:paraId="44BA381A">
      <w:pPr>
        <w:widowControl w:val="0"/>
        <w:suppressAutoHyphens/>
        <w:spacing w:after="0"/>
        <w:ind w:left="-567" w:right="-568"/>
        <w:contextualSpacing/>
        <w:jc w:val="both"/>
        <w:rPr>
          <w:rFonts w:cs="Calibri"/>
          <w:b/>
          <w:bCs/>
          <w:sz w:val="24"/>
          <w:szCs w:val="24"/>
        </w:rPr>
      </w:pPr>
    </w:p>
    <w:p w14:paraId="37070DFE">
      <w:pPr>
        <w:pStyle w:val="40"/>
        <w:widowControl w:val="0"/>
        <w:numPr>
          <w:ilvl w:val="0"/>
          <w:numId w:val="9"/>
        </w:numPr>
        <w:suppressAutoHyphens/>
        <w:spacing w:after="0" w:line="276" w:lineRule="auto"/>
        <w:ind w:left="426" w:right="-568" w:hanging="502"/>
        <w:jc w:val="both"/>
        <w:rPr>
          <w:rFonts w:cs="Calibri"/>
          <w:b/>
          <w:bCs/>
        </w:rPr>
      </w:pPr>
      <w:r>
        <w:rPr>
          <w:rFonts w:cs="Calibri"/>
          <w:b/>
          <w:bCs/>
        </w:rPr>
        <w:t>CRITÉRIOS DE ACEITAÇÃO DA PROPOSTA</w:t>
      </w:r>
    </w:p>
    <w:p w14:paraId="24B0AD3B">
      <w:pPr>
        <w:pStyle w:val="40"/>
        <w:widowControl w:val="0"/>
        <w:suppressAutoHyphens/>
        <w:spacing w:line="276" w:lineRule="auto"/>
        <w:ind w:left="426" w:right="-568"/>
        <w:jc w:val="both"/>
        <w:rPr>
          <w:rFonts w:cs="Calibri"/>
          <w:b/>
          <w:bCs/>
        </w:rPr>
      </w:pPr>
    </w:p>
    <w:p w14:paraId="28F26FC0">
      <w:pPr>
        <w:pStyle w:val="40"/>
        <w:numPr>
          <w:ilvl w:val="0"/>
          <w:numId w:val="10"/>
        </w:numPr>
        <w:tabs>
          <w:tab w:val="left" w:pos="426"/>
        </w:tabs>
        <w:spacing w:after="0" w:line="276" w:lineRule="auto"/>
        <w:ind w:left="851" w:right="-568" w:hanging="708"/>
        <w:jc w:val="both"/>
        <w:rPr>
          <w:rFonts w:eastAsia="Arial" w:cs="Calibri"/>
          <w:b/>
        </w:rPr>
      </w:pPr>
      <w:r>
        <w:rPr>
          <w:rFonts w:cs="Calibri"/>
          <w:color w:val="000000"/>
        </w:rPr>
        <w:t>A proposta final deverá estar assinada pelo Representante Legal da licitante, citado nos documentos de habilitação, em papel timbrado, em linguagem concisa, sem rasuras ou ressalvas, emendas, borrões ou entrelinhas que prejudiquem sua análise, conforme modelo do Anexo VIII do edital, contendo os valores unitários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77B5DEE1">
      <w:pPr>
        <w:pStyle w:val="40"/>
        <w:tabs>
          <w:tab w:val="left" w:pos="426"/>
        </w:tabs>
        <w:spacing w:line="276" w:lineRule="auto"/>
        <w:ind w:left="851" w:right="-568"/>
        <w:jc w:val="both"/>
        <w:rPr>
          <w:rFonts w:eastAsia="Arial" w:cs="Calibri"/>
          <w:b/>
        </w:rPr>
      </w:pPr>
    </w:p>
    <w:p w14:paraId="17345E8B">
      <w:pPr>
        <w:pStyle w:val="40"/>
        <w:numPr>
          <w:ilvl w:val="0"/>
          <w:numId w:val="10"/>
        </w:numPr>
        <w:tabs>
          <w:tab w:val="left" w:pos="426"/>
        </w:tabs>
        <w:spacing w:after="0" w:line="276" w:lineRule="auto"/>
        <w:ind w:left="851" w:right="-568" w:hanging="708"/>
        <w:jc w:val="both"/>
        <w:rPr>
          <w:rFonts w:eastAsia="Arial" w:cs="Calibri"/>
        </w:rPr>
      </w:pPr>
      <w:r>
        <w:rPr>
          <w:rFonts w:eastAsia="Arial" w:cs="Calibri"/>
        </w:rPr>
        <w:t>Sem prejuízo dos demais elementos exigidos no edital e seus anexos, a proposta final deverá conter:</w:t>
      </w:r>
    </w:p>
    <w:p w14:paraId="4F1BB743">
      <w:pPr>
        <w:pStyle w:val="40"/>
        <w:widowControl w:val="0"/>
        <w:suppressAutoHyphens/>
        <w:spacing w:line="276" w:lineRule="auto"/>
        <w:ind w:left="-567" w:right="-568"/>
        <w:jc w:val="both"/>
        <w:rPr>
          <w:rFonts w:cs="Calibri"/>
          <w:iCs/>
        </w:rPr>
      </w:pPr>
    </w:p>
    <w:p w14:paraId="75526B17">
      <w:pPr>
        <w:pStyle w:val="40"/>
        <w:widowControl w:val="0"/>
        <w:numPr>
          <w:ilvl w:val="0"/>
          <w:numId w:val="11"/>
        </w:numPr>
        <w:suppressAutoHyphens/>
        <w:spacing w:after="0" w:line="276" w:lineRule="auto"/>
        <w:ind w:left="851" w:right="-568"/>
        <w:jc w:val="both"/>
        <w:rPr>
          <w:rFonts w:cs="Calibri"/>
          <w:b/>
          <w:bCs/>
        </w:rPr>
      </w:pPr>
      <w:r>
        <w:rPr>
          <w:rFonts w:cs="Calibri"/>
          <w:iCs/>
        </w:rPr>
        <w:t>Nome comercial dos produtos;</w:t>
      </w:r>
    </w:p>
    <w:p w14:paraId="75E344D1">
      <w:pPr>
        <w:pStyle w:val="40"/>
        <w:widowControl w:val="0"/>
        <w:suppressAutoHyphens/>
        <w:spacing w:line="276" w:lineRule="auto"/>
        <w:ind w:left="851" w:right="-568"/>
        <w:jc w:val="both"/>
        <w:rPr>
          <w:rFonts w:cs="Calibri"/>
          <w:b/>
          <w:bCs/>
        </w:rPr>
      </w:pPr>
    </w:p>
    <w:p w14:paraId="2AD402AF">
      <w:pPr>
        <w:pStyle w:val="40"/>
        <w:widowControl w:val="0"/>
        <w:numPr>
          <w:ilvl w:val="0"/>
          <w:numId w:val="11"/>
        </w:numPr>
        <w:suppressAutoHyphens/>
        <w:spacing w:after="0" w:line="276" w:lineRule="auto"/>
        <w:ind w:left="851" w:right="-568"/>
        <w:jc w:val="both"/>
        <w:rPr>
          <w:rFonts w:cs="Calibri"/>
          <w:b/>
          <w:bCs/>
        </w:rPr>
      </w:pPr>
      <w:r>
        <w:rPr>
          <w:rFonts w:cs="Calibri"/>
          <w:iCs/>
        </w:rPr>
        <w:t>Nome do produto farmacêutico de acordo com a Denominação Comum Brasileira (DCB) ou Denominação Comum Internacional (DCI);</w:t>
      </w:r>
    </w:p>
    <w:p w14:paraId="2277B7B0">
      <w:pPr>
        <w:pStyle w:val="40"/>
        <w:spacing w:line="276" w:lineRule="auto"/>
        <w:ind w:right="-568"/>
        <w:rPr>
          <w:rFonts w:cs="Calibri"/>
          <w:iCs/>
        </w:rPr>
      </w:pPr>
    </w:p>
    <w:p w14:paraId="65CE92AF">
      <w:pPr>
        <w:pStyle w:val="40"/>
        <w:widowControl w:val="0"/>
        <w:numPr>
          <w:ilvl w:val="0"/>
          <w:numId w:val="11"/>
        </w:numPr>
        <w:suppressAutoHyphens/>
        <w:spacing w:after="0" w:line="276" w:lineRule="auto"/>
        <w:ind w:left="851" w:right="-568"/>
        <w:jc w:val="both"/>
        <w:rPr>
          <w:rFonts w:cs="Calibri"/>
          <w:b/>
          <w:bCs/>
        </w:rPr>
      </w:pPr>
      <w:r>
        <w:rPr>
          <w:rFonts w:cs="Calibri"/>
          <w:iCs/>
        </w:rPr>
        <w:t>Nome do laboratório fabricante;</w:t>
      </w:r>
    </w:p>
    <w:p w14:paraId="40DE22CF">
      <w:pPr>
        <w:pStyle w:val="40"/>
        <w:spacing w:line="276" w:lineRule="auto"/>
        <w:ind w:right="-568"/>
        <w:rPr>
          <w:rFonts w:cs="Calibri"/>
          <w:iCs/>
        </w:rPr>
      </w:pPr>
    </w:p>
    <w:p w14:paraId="24EA33DF">
      <w:pPr>
        <w:pStyle w:val="40"/>
        <w:widowControl w:val="0"/>
        <w:numPr>
          <w:ilvl w:val="0"/>
          <w:numId w:val="11"/>
        </w:numPr>
        <w:suppressAutoHyphens/>
        <w:spacing w:after="0" w:line="276" w:lineRule="auto"/>
        <w:ind w:left="851" w:right="-568"/>
        <w:jc w:val="both"/>
        <w:rPr>
          <w:rFonts w:cs="Calibri"/>
          <w:b/>
          <w:bCs/>
        </w:rPr>
      </w:pPr>
      <w:r>
        <w:rPr>
          <w:rFonts w:cs="Calibri"/>
          <w:iCs/>
        </w:rPr>
        <w:t>Número de registo na ANVISA / Ministério da Saúde;</w:t>
      </w:r>
    </w:p>
    <w:p w14:paraId="47D4AF3A">
      <w:pPr>
        <w:pStyle w:val="40"/>
        <w:spacing w:line="276" w:lineRule="auto"/>
        <w:ind w:right="-568"/>
        <w:rPr>
          <w:rFonts w:cs="Calibri"/>
          <w:iCs/>
        </w:rPr>
      </w:pPr>
    </w:p>
    <w:p w14:paraId="45532D45">
      <w:pPr>
        <w:pStyle w:val="40"/>
        <w:widowControl w:val="0"/>
        <w:numPr>
          <w:ilvl w:val="0"/>
          <w:numId w:val="11"/>
        </w:numPr>
        <w:suppressAutoHyphens/>
        <w:spacing w:after="0" w:line="276" w:lineRule="auto"/>
        <w:ind w:left="851" w:right="-568"/>
        <w:jc w:val="both"/>
        <w:rPr>
          <w:rFonts w:cs="Calibri"/>
          <w:b/>
          <w:bCs/>
        </w:rPr>
      </w:pPr>
      <w:r>
        <w:rPr>
          <w:rFonts w:cs="Calibri"/>
          <w:iCs/>
        </w:rPr>
        <w:t>Composição;</w:t>
      </w:r>
    </w:p>
    <w:p w14:paraId="22FC8ACF">
      <w:pPr>
        <w:pStyle w:val="40"/>
        <w:spacing w:line="276" w:lineRule="auto"/>
        <w:ind w:right="-568"/>
        <w:rPr>
          <w:rFonts w:cs="Calibri"/>
          <w:iCs/>
        </w:rPr>
      </w:pPr>
    </w:p>
    <w:p w14:paraId="4D65D967">
      <w:pPr>
        <w:pStyle w:val="40"/>
        <w:widowControl w:val="0"/>
        <w:numPr>
          <w:ilvl w:val="0"/>
          <w:numId w:val="11"/>
        </w:numPr>
        <w:suppressAutoHyphens/>
        <w:spacing w:after="0" w:line="276" w:lineRule="auto"/>
        <w:ind w:left="851" w:right="-568"/>
        <w:jc w:val="both"/>
        <w:rPr>
          <w:rFonts w:cs="Calibri"/>
          <w:b/>
          <w:bCs/>
        </w:rPr>
      </w:pPr>
      <w:r>
        <w:rPr>
          <w:rFonts w:cs="Calibri"/>
          <w:iCs/>
        </w:rPr>
        <w:t>Quantidade de unidades por embalagem.</w:t>
      </w:r>
    </w:p>
    <w:p w14:paraId="575212B8">
      <w:pPr>
        <w:spacing w:after="0"/>
        <w:ind w:right="-568"/>
        <w:rPr>
          <w:rFonts w:eastAsia="Arial" w:cs="Calibri"/>
        </w:rPr>
      </w:pPr>
    </w:p>
    <w:p w14:paraId="02A4EF92">
      <w:pPr>
        <w:pStyle w:val="40"/>
        <w:numPr>
          <w:ilvl w:val="0"/>
          <w:numId w:val="10"/>
        </w:numPr>
        <w:tabs>
          <w:tab w:val="left" w:pos="426"/>
        </w:tabs>
        <w:spacing w:after="0" w:line="276" w:lineRule="auto"/>
        <w:ind w:left="851" w:right="-568" w:hanging="708"/>
        <w:jc w:val="both"/>
        <w:rPr>
          <w:rFonts w:cs="Calibri"/>
          <w:color w:val="000000"/>
        </w:rPr>
      </w:pPr>
      <w:bookmarkStart w:id="9" w:name="_Hlk207194280"/>
      <w:r>
        <w:rPr>
          <w:rFonts w:cs="Calibri"/>
          <w:color w:val="000000"/>
        </w:rPr>
        <w:t>A proposta final apresentada pelo vencedor deverá estar acompanhada de bulas, folders ou catálogos eletrônicos contendo informações detalhadas sobre suas características técnicas e demais informações relevantes, a fim de que possa ser verificada a conformidade dos produtos ofertados em relação às especificações contidas no Termo de Referência.</w:t>
      </w:r>
      <w:bookmarkEnd w:id="9"/>
    </w:p>
    <w:p w14:paraId="0C875589">
      <w:pPr>
        <w:pStyle w:val="40"/>
        <w:tabs>
          <w:tab w:val="left" w:pos="426"/>
        </w:tabs>
        <w:spacing w:line="276" w:lineRule="auto"/>
        <w:ind w:left="851" w:right="-568"/>
        <w:jc w:val="both"/>
        <w:rPr>
          <w:rFonts w:cs="Calibri"/>
          <w:color w:val="000000"/>
        </w:rPr>
      </w:pPr>
    </w:p>
    <w:p w14:paraId="3EE923AA">
      <w:pPr>
        <w:pStyle w:val="40"/>
        <w:numPr>
          <w:ilvl w:val="0"/>
          <w:numId w:val="10"/>
        </w:numPr>
        <w:tabs>
          <w:tab w:val="left" w:pos="426"/>
        </w:tabs>
        <w:spacing w:after="0" w:line="276" w:lineRule="auto"/>
        <w:ind w:left="851" w:right="-568" w:hanging="708"/>
        <w:jc w:val="both"/>
        <w:rPr>
          <w:rFonts w:cs="Calibri"/>
          <w:color w:val="000000"/>
        </w:rPr>
      </w:pPr>
      <w:r>
        <w:rPr>
          <w:rFonts w:eastAsia="Arial" w:cs="Calibri"/>
        </w:rPr>
        <w:t xml:space="preserve">O </w:t>
      </w:r>
      <w:r>
        <w:rPr>
          <w:rFonts w:cs="Calibri"/>
          <w:color w:val="000000"/>
        </w:rPr>
        <w:t xml:space="preserve">prazo de validade da proposta final não poderá ser inferior a 60 (sessenta) dias, a contar da abertura da licitação. </w:t>
      </w:r>
    </w:p>
    <w:p w14:paraId="110A18C1">
      <w:pPr>
        <w:pStyle w:val="40"/>
        <w:rPr>
          <w:rFonts w:cs="Calibri"/>
          <w:color w:val="000000"/>
        </w:rPr>
      </w:pPr>
    </w:p>
    <w:p w14:paraId="4B644CCD">
      <w:pPr>
        <w:pStyle w:val="40"/>
        <w:numPr>
          <w:ilvl w:val="0"/>
          <w:numId w:val="10"/>
        </w:numPr>
        <w:tabs>
          <w:tab w:val="left" w:pos="426"/>
        </w:tabs>
        <w:spacing w:after="0" w:line="276" w:lineRule="auto"/>
        <w:ind w:left="851" w:right="-568" w:hanging="708"/>
        <w:jc w:val="both"/>
        <w:rPr>
          <w:rFonts w:cs="Calibri"/>
          <w:color w:val="000000"/>
        </w:rPr>
      </w:pPr>
      <w:r>
        <w:rPr>
          <w:rFonts w:cs="Calibri"/>
          <w:color w:val="000000"/>
        </w:rPr>
        <w:t>Não sendo indicado na proposta o prazo de validade, fica subentendido como de 60 (sessenta) dias.</w:t>
      </w:r>
    </w:p>
    <w:p w14:paraId="61E32026">
      <w:pPr>
        <w:pStyle w:val="40"/>
        <w:rPr>
          <w:rFonts w:cs="Calibri"/>
          <w:color w:val="000000"/>
        </w:rPr>
      </w:pPr>
    </w:p>
    <w:p w14:paraId="61553D2D">
      <w:pPr>
        <w:pStyle w:val="40"/>
        <w:numPr>
          <w:ilvl w:val="0"/>
          <w:numId w:val="10"/>
        </w:numPr>
        <w:tabs>
          <w:tab w:val="left" w:pos="426"/>
        </w:tabs>
        <w:spacing w:after="0" w:line="276" w:lineRule="auto"/>
        <w:ind w:left="851" w:right="-568" w:hanging="708"/>
        <w:jc w:val="both"/>
        <w:rPr>
          <w:rFonts w:cs="Calibri"/>
          <w:color w:val="000000"/>
        </w:rPr>
      </w:pPr>
      <w:r>
        <w:rPr>
          <w:rFonts w:cs="Calibri"/>
          <w:color w:val="000000"/>
        </w:rPr>
        <w:t>A proposta final deverá atender a todas as outras disposições constantes do Edital.</w:t>
      </w:r>
    </w:p>
    <w:p w14:paraId="1E18CC5A">
      <w:pPr>
        <w:widowControl w:val="0"/>
        <w:suppressAutoHyphens/>
        <w:spacing w:after="0" w:line="240" w:lineRule="auto"/>
        <w:ind w:right="-568"/>
        <w:contextualSpacing/>
        <w:jc w:val="both"/>
        <w:rPr>
          <w:rFonts w:cs="Calibri"/>
          <w:b/>
          <w:bCs/>
          <w:sz w:val="24"/>
          <w:szCs w:val="24"/>
        </w:rPr>
      </w:pPr>
    </w:p>
    <w:p w14:paraId="38646CD7">
      <w:pPr>
        <w:pStyle w:val="40"/>
        <w:widowControl w:val="0"/>
        <w:numPr>
          <w:ilvl w:val="0"/>
          <w:numId w:val="9"/>
        </w:numPr>
        <w:suppressAutoHyphens/>
        <w:spacing w:after="0" w:line="276" w:lineRule="auto"/>
        <w:ind w:left="426" w:right="-568" w:hanging="502"/>
        <w:jc w:val="both"/>
        <w:rPr>
          <w:rFonts w:cs="Calibri"/>
          <w:b/>
          <w:bCs/>
        </w:rPr>
      </w:pPr>
      <w:r>
        <w:rPr>
          <w:rFonts w:asciiTheme="minorHAnsi" w:hAnsiTheme="minorHAnsi" w:cstheme="minorHAnsi"/>
          <w:b/>
          <w:bCs/>
          <w:color w:val="000000"/>
        </w:rPr>
        <w:t>HABILITAÇÃO</w:t>
      </w:r>
    </w:p>
    <w:p w14:paraId="7FB04D44">
      <w:pPr>
        <w:pStyle w:val="40"/>
        <w:spacing w:line="276" w:lineRule="auto"/>
        <w:ind w:left="567" w:right="-1"/>
        <w:jc w:val="both"/>
        <w:rPr>
          <w:rFonts w:asciiTheme="minorHAnsi" w:hAnsiTheme="minorHAnsi" w:cstheme="minorHAnsi"/>
          <w:b/>
          <w:bCs/>
          <w:color w:val="000000"/>
        </w:rPr>
      </w:pPr>
    </w:p>
    <w:p w14:paraId="29912FC0">
      <w:pPr>
        <w:pStyle w:val="40"/>
        <w:spacing w:line="276" w:lineRule="auto"/>
        <w:ind w:left="0" w:right="-710" w:firstLine="567"/>
        <w:jc w:val="both"/>
        <w:rPr>
          <w:rFonts w:asciiTheme="minorHAnsi" w:hAnsiTheme="minorHAnsi" w:cstheme="minorHAnsi"/>
          <w:bCs/>
          <w:color w:val="000000"/>
        </w:rPr>
      </w:pPr>
      <w:r>
        <w:rPr>
          <w:rFonts w:asciiTheme="minorHAnsi" w:hAnsiTheme="minorHAnsi" w:cstheme="minorHAnsi"/>
          <w:bCs/>
          <w:color w:val="000000"/>
        </w:rPr>
        <w:t>Os licitantes deverão atender a todos os critérios para a habilitação jurídica, provas de regularidade fiscal, social trabalhista, habilitação econômico financeira e outras comprovações dispostas em edital.</w:t>
      </w:r>
    </w:p>
    <w:p w14:paraId="41E1B0F1">
      <w:pPr>
        <w:pStyle w:val="40"/>
        <w:widowControl w:val="0"/>
        <w:suppressAutoHyphens/>
        <w:spacing w:line="276" w:lineRule="auto"/>
        <w:ind w:left="426" w:right="-568"/>
        <w:jc w:val="both"/>
        <w:rPr>
          <w:rFonts w:cs="Calibri"/>
          <w:b/>
          <w:bCs/>
        </w:rPr>
      </w:pPr>
    </w:p>
    <w:p w14:paraId="0A4DDF60">
      <w:pPr>
        <w:pStyle w:val="40"/>
        <w:widowControl w:val="0"/>
        <w:numPr>
          <w:ilvl w:val="0"/>
          <w:numId w:val="9"/>
        </w:numPr>
        <w:suppressAutoHyphens/>
        <w:spacing w:after="0" w:line="276" w:lineRule="auto"/>
        <w:ind w:left="426" w:right="-568" w:hanging="502"/>
        <w:jc w:val="both"/>
        <w:rPr>
          <w:rFonts w:asciiTheme="minorHAnsi" w:hAnsiTheme="minorHAnsi" w:cstheme="minorHAnsi"/>
          <w:b/>
          <w:bCs/>
          <w:color w:val="000000"/>
        </w:rPr>
      </w:pPr>
      <w:r>
        <w:rPr>
          <w:rFonts w:asciiTheme="minorHAnsi" w:hAnsiTheme="minorHAnsi" w:cstheme="minorHAnsi"/>
          <w:b/>
          <w:bCs/>
          <w:color w:val="000000"/>
        </w:rPr>
        <w:t xml:space="preserve">GARANTIA CONTRATUAL </w:t>
      </w:r>
    </w:p>
    <w:p w14:paraId="687F26D6">
      <w:pPr>
        <w:spacing w:after="0"/>
        <w:ind w:right="-568"/>
        <w:jc w:val="both"/>
        <w:rPr>
          <w:rFonts w:eastAsia="Times New Roman" w:cstheme="minorHAnsi"/>
          <w:b/>
          <w:bCs/>
          <w:color w:val="000000"/>
          <w:sz w:val="24"/>
          <w:szCs w:val="24"/>
          <w:lang w:eastAsia="pt-BR"/>
        </w:rPr>
      </w:pPr>
    </w:p>
    <w:p w14:paraId="7101CC16">
      <w:pPr>
        <w:spacing w:after="0"/>
        <w:ind w:right="-568" w:firstLine="567"/>
        <w:jc w:val="both"/>
        <w:rPr>
          <w:rFonts w:cs="Calibri"/>
          <w:color w:val="000000"/>
          <w:sz w:val="24"/>
          <w:szCs w:val="24"/>
        </w:rPr>
      </w:pPr>
      <w:r>
        <w:rPr>
          <w:rFonts w:cs="Calibri"/>
          <w:color w:val="000000"/>
          <w:sz w:val="24"/>
          <w:szCs w:val="24"/>
        </w:rPr>
        <w:t>Não será exigida a prestação de garantia para a contratação resultante desta licitação.</w:t>
      </w:r>
    </w:p>
    <w:p w14:paraId="6CFF5ADB">
      <w:pPr>
        <w:widowControl w:val="0"/>
        <w:suppressAutoHyphens/>
        <w:spacing w:after="0"/>
        <w:ind w:right="-568"/>
        <w:contextualSpacing/>
        <w:jc w:val="both"/>
        <w:rPr>
          <w:rFonts w:cs="Calibri"/>
          <w:b/>
          <w:bCs/>
          <w:sz w:val="24"/>
          <w:szCs w:val="24"/>
        </w:rPr>
      </w:pPr>
    </w:p>
    <w:p w14:paraId="1B4D6EEF">
      <w:pPr>
        <w:widowControl w:val="0"/>
        <w:numPr>
          <w:ilvl w:val="0"/>
          <w:numId w:val="4"/>
        </w:numPr>
        <w:suppressAutoHyphens/>
        <w:spacing w:after="0"/>
        <w:ind w:left="0" w:right="-567"/>
        <w:contextualSpacing/>
        <w:jc w:val="both"/>
        <w:rPr>
          <w:rFonts w:cs="Calibri"/>
          <w:b/>
          <w:sz w:val="24"/>
          <w:szCs w:val="24"/>
        </w:rPr>
      </w:pPr>
      <w:r>
        <w:rPr>
          <w:rFonts w:cs="Calibri"/>
          <w:b/>
          <w:sz w:val="24"/>
          <w:szCs w:val="24"/>
        </w:rPr>
        <w:t>MODELO DE EXECUÇÃO DO OBJETO</w:t>
      </w:r>
    </w:p>
    <w:p w14:paraId="04A5858B">
      <w:pPr>
        <w:pStyle w:val="40"/>
        <w:spacing w:line="276" w:lineRule="auto"/>
        <w:ind w:left="709" w:right="-567"/>
        <w:jc w:val="both"/>
        <w:rPr>
          <w:rFonts w:cstheme="minorHAnsi"/>
          <w:b/>
          <w:bCs/>
          <w:color w:val="000000"/>
        </w:rPr>
      </w:pPr>
    </w:p>
    <w:p w14:paraId="5D00DA3F">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color w:val="000000"/>
          <w:sz w:val="24"/>
          <w:szCs w:val="24"/>
        </w:rPr>
        <w:t>Homologado o resultado da licitação, o(s) fornecedor(es) mais bem classificado(s) será(ão) convocado(s) para assinar a Ata De Registro de Preços, no prazo e nas condições estabelecidos no edital, podendo o prazo ser prorrogado uma vez, por igual período, quando solicitado pelo fornecedor antes do término do prazo inicial, e desde que ocorra motivo justificado aceito pela Administração.</w:t>
      </w:r>
    </w:p>
    <w:p w14:paraId="04C177EF">
      <w:pPr>
        <w:pStyle w:val="29"/>
        <w:spacing w:before="0" w:beforeAutospacing="0" w:after="0" w:afterAutospacing="0" w:line="276" w:lineRule="auto"/>
        <w:ind w:left="426" w:right="-567"/>
        <w:rPr>
          <w:rFonts w:ascii="Calibri" w:hAnsi="Calibri" w:eastAsia="Times New Roman" w:cs="Calibri"/>
          <w:color w:val="000000"/>
          <w:sz w:val="24"/>
          <w:szCs w:val="24"/>
        </w:rPr>
      </w:pPr>
    </w:p>
    <w:p w14:paraId="0D22C586">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É facultado à administração, quando o convocado não assinar a </w:t>
      </w:r>
      <w:r>
        <w:rPr>
          <w:rFonts w:ascii="Calibri" w:hAnsi="Calibri" w:eastAsia="Times New Roman" w:cs="Calibri"/>
          <w:color w:val="000000"/>
          <w:sz w:val="24"/>
          <w:szCs w:val="24"/>
        </w:rPr>
        <w:t>Ata De Registro de Preços</w:t>
      </w:r>
      <w:r>
        <w:rPr>
          <w:rFonts w:ascii="Calibri" w:hAnsi="Calibri" w:eastAsia="Times New Roman" w:cs="Calibri"/>
          <w:sz w:val="24"/>
          <w:szCs w:val="24"/>
        </w:rPr>
        <w:t xml:space="preserve"> no prazo e condições estabelecidos, convocar os licitantes remanescentes, na ordem de classificação, para fazê-lo em igual prazo e nas mesmas condições propostas pelo primeiro classificado.</w:t>
      </w:r>
    </w:p>
    <w:p w14:paraId="0A0053EA">
      <w:pPr>
        <w:pStyle w:val="40"/>
        <w:spacing w:line="276" w:lineRule="auto"/>
        <w:ind w:right="-567"/>
        <w:rPr>
          <w:rFonts w:cs="Calibri"/>
        </w:rPr>
      </w:pPr>
    </w:p>
    <w:p w14:paraId="499FEE41">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A </w:t>
      </w:r>
      <w:r>
        <w:rPr>
          <w:rFonts w:ascii="Calibri" w:hAnsi="Calibri" w:eastAsia="Times New Roman" w:cs="Calibri"/>
          <w:color w:val="000000"/>
          <w:sz w:val="24"/>
          <w:szCs w:val="24"/>
        </w:rPr>
        <w:t>Ata De Registro de Preços</w:t>
      </w:r>
      <w:r>
        <w:rPr>
          <w:rFonts w:ascii="Calibri" w:hAnsi="Calibri" w:eastAsia="Times New Roman" w:cs="Calibri"/>
          <w:sz w:val="24"/>
          <w:szCs w:val="24"/>
        </w:rPr>
        <w:t xml:space="preserve"> implicará compromisso de fornecimento nas condições estabelecidas, após cumpridos os requisitos de publicidade.</w:t>
      </w:r>
    </w:p>
    <w:p w14:paraId="178420F0">
      <w:pPr>
        <w:pStyle w:val="40"/>
        <w:spacing w:line="276" w:lineRule="auto"/>
        <w:ind w:right="-567"/>
        <w:rPr>
          <w:rFonts w:cs="Calibri"/>
        </w:rPr>
      </w:pPr>
    </w:p>
    <w:p w14:paraId="42F04B30">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A recusa injustificada de fornecedor classificado em assinar a Ata, dentro do prazo estabelecido, ensejará a aplicação das penalidades legalmente estabelecidas no edital ou documento equivalente.</w:t>
      </w:r>
    </w:p>
    <w:p w14:paraId="17814C87">
      <w:pPr>
        <w:pStyle w:val="40"/>
        <w:spacing w:line="276" w:lineRule="auto"/>
        <w:ind w:right="-567"/>
        <w:rPr>
          <w:rFonts w:cs="Calibri"/>
        </w:rPr>
      </w:pPr>
    </w:p>
    <w:p w14:paraId="56619396">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sz w:val="24"/>
          <w:szCs w:val="24"/>
        </w:rPr>
        <w:t xml:space="preserve">A </w:t>
      </w:r>
      <w:r>
        <w:rPr>
          <w:rFonts w:ascii="Calibri" w:hAnsi="Calibri" w:eastAsia="Times New Roman" w:cs="Calibri"/>
          <w:sz w:val="24"/>
          <w:szCs w:val="24"/>
        </w:rPr>
        <w:t xml:space="preserve">contratação com os fornecedores registrados será formalizada por intermédio de termo contratual, na forma da minuta que acompanha o edital, salvo nas hipóteses em que possa substituí-lo por outro instrumento hábil, conforme o art. 95 da Lei 14.133, de 2021. </w:t>
      </w:r>
    </w:p>
    <w:p w14:paraId="7867B256">
      <w:pPr>
        <w:pStyle w:val="40"/>
        <w:spacing w:line="276" w:lineRule="auto"/>
        <w:ind w:right="-567"/>
        <w:rPr>
          <w:rFonts w:cs="Calibri"/>
        </w:rPr>
      </w:pPr>
    </w:p>
    <w:p w14:paraId="3D318D12">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30FDC0E2">
      <w:pPr>
        <w:pStyle w:val="40"/>
        <w:spacing w:line="276" w:lineRule="auto"/>
        <w:ind w:right="-567"/>
        <w:rPr>
          <w:rFonts w:cs="Calibri"/>
        </w:rPr>
      </w:pPr>
    </w:p>
    <w:p w14:paraId="11DD73AC">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O Município não estará obrigado a adquirir da DETENTORA uma quantidade mínima dos itens objeto da futura Ata de Registro de Preços, ficando ao seu exclusivo critério a definição da quantidade, do momento e da forma de execução, obedecendo ao estipulado no presente processo licitatório.</w:t>
      </w:r>
    </w:p>
    <w:p w14:paraId="77AB5197">
      <w:pPr>
        <w:pStyle w:val="40"/>
        <w:rPr>
          <w:rFonts w:cs="Calibri"/>
          <w:bCs/>
        </w:rPr>
      </w:pPr>
    </w:p>
    <w:p w14:paraId="02661255">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bCs/>
          <w:sz w:val="24"/>
          <w:szCs w:val="24"/>
        </w:rPr>
        <w:t>O objeto deverá ser entregue em conformidade com o descrito nas especificações do objeto, constantes do Termo de Referência, de responsabilidade da Secretaria Municipal de Saúde, do respectivo Pregão Eletrônico e da proposta apresentada pela DETENTORA.</w:t>
      </w:r>
    </w:p>
    <w:p w14:paraId="20D9FFC0">
      <w:pPr>
        <w:pStyle w:val="40"/>
        <w:rPr>
          <w:rFonts w:cs="Calibri"/>
          <w:bCs/>
        </w:rPr>
      </w:pPr>
    </w:p>
    <w:p w14:paraId="66353D6B">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bCs/>
          <w:sz w:val="24"/>
          <w:szCs w:val="24"/>
        </w:rPr>
        <w:t>Não se admitirá a entrega ou prestação contratual ocorrida além do prazo entabulado, salvo justificação prévia, escrita e fundamentada do gestor do contrato, avalizada pela Secretaria da respectiva pasta.</w:t>
      </w:r>
    </w:p>
    <w:p w14:paraId="23822C75">
      <w:pPr>
        <w:pStyle w:val="40"/>
        <w:rPr>
          <w:rFonts w:cs="Calibri"/>
          <w:bCs/>
        </w:rPr>
      </w:pPr>
    </w:p>
    <w:p w14:paraId="53F03E46">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Não será permitida a subcontratação, cessão ou transferência, total ou parcial, do objeto contratual.</w:t>
      </w:r>
    </w:p>
    <w:p w14:paraId="4291DEFE">
      <w:pPr>
        <w:pStyle w:val="40"/>
        <w:rPr>
          <w:rFonts w:cs="Calibri"/>
          <w:bCs/>
        </w:rPr>
      </w:pPr>
    </w:p>
    <w:p w14:paraId="71248EC3">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O prazo de vigência da ata de registro de preços será de </w:t>
      </w:r>
      <w:r>
        <w:rPr>
          <w:rFonts w:ascii="Calibri" w:hAnsi="Calibri" w:cs="Calibri"/>
          <w:b/>
          <w:bCs/>
          <w:sz w:val="24"/>
          <w:szCs w:val="24"/>
        </w:rPr>
        <w:t>12 (doze) meses</w:t>
      </w:r>
      <w:r>
        <w:rPr>
          <w:rFonts w:ascii="Calibri" w:hAnsi="Calibri" w:cs="Calibri"/>
          <w:bCs/>
          <w:sz w:val="24"/>
          <w:szCs w:val="24"/>
        </w:rPr>
        <w:t>, e poderá ser prorrogado, por igual período, desde que comprovado o preço vantajoso.</w:t>
      </w:r>
    </w:p>
    <w:p w14:paraId="2285BC89">
      <w:pPr>
        <w:pStyle w:val="40"/>
        <w:spacing w:after="0"/>
        <w:rPr>
          <w:rFonts w:cs="Calibri"/>
          <w:bCs/>
        </w:rPr>
      </w:pPr>
    </w:p>
    <w:p w14:paraId="7F9EAA9C">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Forma de entrega: </w:t>
      </w:r>
      <w:r>
        <w:rPr>
          <w:rFonts w:ascii="Calibri" w:hAnsi="Calibri" w:cs="Calibri"/>
          <w:b/>
          <w:bCs/>
          <w:sz w:val="24"/>
          <w:szCs w:val="24"/>
        </w:rPr>
        <w:t>parcelada</w:t>
      </w:r>
      <w:r>
        <w:rPr>
          <w:rFonts w:ascii="Calibri" w:hAnsi="Calibri" w:cs="Calibri"/>
          <w:bCs/>
          <w:sz w:val="24"/>
          <w:szCs w:val="24"/>
        </w:rPr>
        <w:t>, de acordo com a necessidade do Centro de Distribuição da Secretaria Municipal de Saúde.</w:t>
      </w:r>
    </w:p>
    <w:p w14:paraId="05041085">
      <w:pPr>
        <w:pStyle w:val="40"/>
        <w:spacing w:after="0"/>
        <w:rPr>
          <w:rFonts w:cs="Calibri"/>
          <w:bCs/>
        </w:rPr>
      </w:pPr>
    </w:p>
    <w:p w14:paraId="07FA7CE3">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Prazo de entrega: no máximo </w:t>
      </w:r>
      <w:r>
        <w:rPr>
          <w:rFonts w:ascii="Calibri" w:hAnsi="Calibri" w:cs="Calibri"/>
          <w:b/>
          <w:bCs/>
          <w:sz w:val="24"/>
          <w:szCs w:val="24"/>
        </w:rPr>
        <w:t>15 (quinze) dias corridos</w:t>
      </w:r>
      <w:r>
        <w:rPr>
          <w:rFonts w:ascii="Calibri" w:hAnsi="Calibri" w:cs="Calibri"/>
          <w:bCs/>
          <w:sz w:val="24"/>
          <w:szCs w:val="24"/>
        </w:rPr>
        <w:t>, contados do envio da Autorização de Fornecimento por e-mail.</w:t>
      </w:r>
    </w:p>
    <w:p w14:paraId="2F95B747">
      <w:pPr>
        <w:pStyle w:val="40"/>
        <w:spacing w:after="0"/>
        <w:rPr>
          <w:rFonts w:cs="Calibri"/>
        </w:rPr>
      </w:pPr>
    </w:p>
    <w:p w14:paraId="1DA4FC15">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sz w:val="24"/>
          <w:szCs w:val="24"/>
        </w:rPr>
        <w:t xml:space="preserve">Horário para as entregas: </w:t>
      </w:r>
      <w:r>
        <w:rPr>
          <w:rFonts w:ascii="Calibri" w:hAnsi="Calibri" w:cs="Calibri"/>
          <w:bCs/>
          <w:sz w:val="24"/>
          <w:szCs w:val="24"/>
        </w:rPr>
        <w:t>de segunda a sexta-feira, exceto feriados, das 8:00 às 11:00 e das 13:00 às 16:00 horas.</w:t>
      </w:r>
    </w:p>
    <w:p w14:paraId="5D676A93">
      <w:pPr>
        <w:pStyle w:val="40"/>
        <w:spacing w:after="0"/>
        <w:rPr>
          <w:rFonts w:cs="Calibri"/>
          <w:bCs/>
        </w:rPr>
      </w:pPr>
    </w:p>
    <w:p w14:paraId="6370650A">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Endereço de entrega:</w:t>
      </w:r>
    </w:p>
    <w:p w14:paraId="69E11017">
      <w:pPr>
        <w:spacing w:after="0"/>
        <w:ind w:right="-567"/>
        <w:contextualSpacing/>
        <w:rPr>
          <w:rFonts w:cs="Calibri"/>
          <w:b/>
          <w:bCs/>
          <w:sz w:val="24"/>
          <w:szCs w:val="24"/>
        </w:rPr>
      </w:pPr>
    </w:p>
    <w:p w14:paraId="7A332BED">
      <w:pPr>
        <w:widowControl w:val="0"/>
        <w:numPr>
          <w:ilvl w:val="0"/>
          <w:numId w:val="13"/>
        </w:numPr>
        <w:suppressAutoHyphens/>
        <w:spacing w:after="0"/>
        <w:ind w:left="1134" w:right="-567"/>
        <w:contextualSpacing/>
        <w:jc w:val="both"/>
        <w:rPr>
          <w:rFonts w:cs="Calibri"/>
          <w:b/>
          <w:bCs/>
          <w:sz w:val="24"/>
          <w:szCs w:val="24"/>
        </w:rPr>
      </w:pPr>
      <w:r>
        <w:rPr>
          <w:rFonts w:cs="Calibri"/>
          <w:b/>
          <w:bCs/>
          <w:sz w:val="24"/>
          <w:szCs w:val="24"/>
        </w:rPr>
        <w:t>CENTRO DE DISTRIBUIÇÃO DA SECRETARIA MUNICIPAL DE SAÚDE</w:t>
      </w:r>
    </w:p>
    <w:p w14:paraId="182920AE">
      <w:pPr>
        <w:widowControl w:val="0"/>
        <w:suppressAutoHyphens/>
        <w:spacing w:after="0"/>
        <w:ind w:left="1134" w:right="-567"/>
        <w:contextualSpacing/>
        <w:jc w:val="both"/>
        <w:rPr>
          <w:rFonts w:cs="Calibri"/>
          <w:b/>
          <w:bCs/>
          <w:sz w:val="24"/>
          <w:szCs w:val="24"/>
        </w:rPr>
      </w:pPr>
      <w:r>
        <w:rPr>
          <w:rFonts w:cs="Calibri"/>
          <w:bCs/>
          <w:sz w:val="24"/>
          <w:szCs w:val="24"/>
        </w:rPr>
        <w:t>Rua Deodato Soares, nº 262, Santa Terezinha – Paulínia (SP)</w:t>
      </w:r>
    </w:p>
    <w:p w14:paraId="7CD7772B">
      <w:pPr>
        <w:widowControl w:val="0"/>
        <w:suppressAutoHyphens/>
        <w:spacing w:after="0"/>
        <w:ind w:left="1134" w:right="-567"/>
        <w:contextualSpacing/>
        <w:jc w:val="both"/>
        <w:rPr>
          <w:rFonts w:cs="Calibri"/>
          <w:b/>
          <w:bCs/>
          <w:sz w:val="24"/>
          <w:szCs w:val="24"/>
        </w:rPr>
      </w:pPr>
      <w:r>
        <w:rPr>
          <w:rFonts w:cs="Calibri"/>
          <w:bCs/>
          <w:sz w:val="24"/>
          <w:szCs w:val="24"/>
        </w:rPr>
        <w:t xml:space="preserve">CEP: </w:t>
      </w:r>
      <w:r>
        <w:rPr>
          <w:rFonts w:cs="Calibri"/>
          <w:sz w:val="24"/>
          <w:szCs w:val="24"/>
        </w:rPr>
        <w:t>13148-136</w:t>
      </w:r>
    </w:p>
    <w:p w14:paraId="7103A328">
      <w:pPr>
        <w:pStyle w:val="40"/>
        <w:spacing w:after="0"/>
        <w:rPr>
          <w:rFonts w:cs="Calibri"/>
          <w:bCs/>
        </w:rPr>
      </w:pPr>
    </w:p>
    <w:p w14:paraId="33971D28">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sz w:val="24"/>
          <w:szCs w:val="24"/>
        </w:rPr>
        <w:t>Constatadas</w:t>
      </w:r>
      <w:r>
        <w:rPr>
          <w:rFonts w:ascii="Calibri" w:hAnsi="Calibri" w:cs="Calibri"/>
          <w:bCs/>
          <w:sz w:val="24"/>
          <w:szCs w:val="24"/>
        </w:rPr>
        <w:t xml:space="preserve"> irregularidades no objeto, o MUNICÍPIO, sem prejuízo das penalidades cabíveis, poderá:</w:t>
      </w:r>
    </w:p>
    <w:p w14:paraId="47466976">
      <w:pPr>
        <w:pStyle w:val="40"/>
        <w:widowControl w:val="0"/>
        <w:suppressAutoHyphens/>
        <w:spacing w:line="276" w:lineRule="auto"/>
        <w:ind w:left="851"/>
        <w:jc w:val="both"/>
        <w:rPr>
          <w:rFonts w:cs="Calibri"/>
          <w:bCs/>
        </w:rPr>
      </w:pPr>
    </w:p>
    <w:p w14:paraId="7348BD37">
      <w:pPr>
        <w:pStyle w:val="40"/>
        <w:widowControl w:val="0"/>
        <w:numPr>
          <w:ilvl w:val="0"/>
          <w:numId w:val="14"/>
        </w:numPr>
        <w:suppressAutoHyphens/>
        <w:spacing w:after="0" w:line="276" w:lineRule="auto"/>
        <w:ind w:left="1276"/>
        <w:jc w:val="both"/>
        <w:rPr>
          <w:rFonts w:cs="Calibri"/>
          <w:bCs/>
        </w:rPr>
      </w:pPr>
      <w:r>
        <w:rPr>
          <w:rFonts w:cs="Calibri"/>
          <w:bCs/>
        </w:rPr>
        <w:t>Rejeitá-lo no todo ou em parte, se não corresponder às especificações do Edital, determinando sua substituição;</w:t>
      </w:r>
    </w:p>
    <w:p w14:paraId="488FCFA8">
      <w:pPr>
        <w:pStyle w:val="40"/>
        <w:widowControl w:val="0"/>
        <w:suppressAutoHyphens/>
        <w:spacing w:line="276" w:lineRule="auto"/>
        <w:ind w:left="1276"/>
        <w:jc w:val="both"/>
        <w:rPr>
          <w:rFonts w:cs="Calibri"/>
          <w:bCs/>
        </w:rPr>
      </w:pPr>
    </w:p>
    <w:p w14:paraId="501E306E">
      <w:pPr>
        <w:pStyle w:val="40"/>
        <w:widowControl w:val="0"/>
        <w:numPr>
          <w:ilvl w:val="0"/>
          <w:numId w:val="14"/>
        </w:numPr>
        <w:suppressAutoHyphens/>
        <w:spacing w:after="0" w:line="276" w:lineRule="auto"/>
        <w:ind w:left="1276"/>
        <w:jc w:val="both"/>
        <w:rPr>
          <w:rFonts w:cs="Calibri"/>
          <w:bCs/>
        </w:rPr>
      </w:pPr>
      <w:r>
        <w:rPr>
          <w:rFonts w:cs="Calibri"/>
          <w:bCs/>
        </w:rPr>
        <w:t>Determinar sua complementação se houver diferença de quantidades.</w:t>
      </w:r>
    </w:p>
    <w:p w14:paraId="3134C1FB">
      <w:pPr>
        <w:widowControl w:val="0"/>
        <w:suppressAutoHyphens/>
        <w:spacing w:after="0"/>
        <w:ind w:left="-567"/>
        <w:contextualSpacing/>
        <w:jc w:val="both"/>
        <w:rPr>
          <w:rFonts w:cs="Calibri"/>
          <w:bCs/>
          <w:sz w:val="24"/>
          <w:szCs w:val="24"/>
        </w:rPr>
      </w:pPr>
    </w:p>
    <w:p w14:paraId="500281BD">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As irregularidades deverão ser sanadas no prazo máximo de 03 (três) dias úteis, contados do recebimento pelo adjudicatário da notificação por escrito, mantido o preço inicialmente contratado.</w:t>
      </w:r>
    </w:p>
    <w:p w14:paraId="0B381B69">
      <w:pPr>
        <w:pStyle w:val="29"/>
        <w:spacing w:before="0" w:beforeAutospacing="0" w:after="0" w:afterAutospacing="0" w:line="276" w:lineRule="auto"/>
        <w:ind w:right="-567"/>
        <w:rPr>
          <w:rFonts w:ascii="Calibri" w:hAnsi="Calibri" w:eastAsia="Arial" w:cs="Calibri"/>
          <w:b/>
          <w:sz w:val="24"/>
          <w:szCs w:val="24"/>
        </w:rPr>
      </w:pPr>
    </w:p>
    <w:p w14:paraId="02804644">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A empresa DETENTORA deverá cumprir todas as obrigações previstas na lei nº 8.078 de 11/09/1990 – Código de Defesa do Consumidor, e alterações subsequentes.</w:t>
      </w:r>
    </w:p>
    <w:p w14:paraId="0E145E3F">
      <w:pPr>
        <w:pStyle w:val="40"/>
        <w:spacing w:after="0" w:line="276" w:lineRule="auto"/>
        <w:rPr>
          <w:rFonts w:cs="Calibri"/>
          <w:bCs/>
        </w:rPr>
      </w:pPr>
    </w:p>
    <w:p w14:paraId="3E704B90">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Sanções: conforme constante do Edital, respeitando as disposições da Lei nº 14.133/21.</w:t>
      </w:r>
    </w:p>
    <w:p w14:paraId="750FB863">
      <w:pPr>
        <w:pStyle w:val="40"/>
        <w:spacing w:after="0"/>
        <w:rPr>
          <w:rFonts w:cs="Calibri"/>
          <w:bCs/>
        </w:rPr>
      </w:pPr>
    </w:p>
    <w:p w14:paraId="7721AF70">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 xml:space="preserve">Pretende-se </w:t>
      </w:r>
      <w:r>
        <w:rPr>
          <w:bCs/>
          <w:sz w:val="22"/>
          <w:szCs w:val="22"/>
        </w:rPr>
        <w:t>com a presente aquisição proporcionar a garantia de uma assistência adequada em cuidados de saúde da população assistida pelo Sistema Único de Saúde (SUS), fomentando uma gestão eficiente dos recursos disponíveis para a saúde pública.</w:t>
      </w:r>
    </w:p>
    <w:p w14:paraId="62545718">
      <w:pPr>
        <w:pStyle w:val="40"/>
        <w:rPr>
          <w:rFonts w:cs="Calibri"/>
          <w:bCs/>
        </w:rPr>
      </w:pPr>
    </w:p>
    <w:p w14:paraId="589E13DA">
      <w:pPr>
        <w:pStyle w:val="29"/>
        <w:numPr>
          <w:ilvl w:val="0"/>
          <w:numId w:val="15"/>
        </w:numPr>
        <w:spacing w:before="0" w:beforeAutospacing="0" w:after="0" w:afterAutospacing="0" w:line="276" w:lineRule="auto"/>
        <w:ind w:right="-567"/>
        <w:rPr>
          <w:rFonts w:ascii="Calibri" w:hAnsi="Calibri" w:cs="Calibri"/>
          <w:bCs/>
          <w:sz w:val="24"/>
          <w:szCs w:val="24"/>
        </w:rPr>
      </w:pPr>
      <w:r>
        <w:rPr>
          <w:rFonts w:ascii="Calibri" w:hAnsi="Calibri" w:cs="Calibri"/>
          <w:bCs/>
          <w:sz w:val="24"/>
          <w:szCs w:val="24"/>
        </w:rPr>
        <w:t>Aquisição de medicamentos diversos.</w:t>
      </w:r>
    </w:p>
    <w:p w14:paraId="436C6DC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sz w:val="24"/>
          <w:szCs w:val="24"/>
        </w:rPr>
      </w:pPr>
    </w:p>
    <w:p w14:paraId="31BB83F8">
      <w:pPr>
        <w:widowControl w:val="0"/>
        <w:numPr>
          <w:ilvl w:val="0"/>
          <w:numId w:val="4"/>
        </w:numPr>
        <w:suppressAutoHyphens/>
        <w:spacing w:after="0"/>
        <w:ind w:left="0" w:right="-567"/>
        <w:contextualSpacing/>
        <w:jc w:val="both"/>
        <w:rPr>
          <w:rFonts w:cstheme="minorHAnsi"/>
          <w:b/>
          <w:bCs/>
          <w:color w:val="000000"/>
          <w:sz w:val="24"/>
          <w:szCs w:val="24"/>
        </w:rPr>
      </w:pPr>
      <w:r>
        <w:rPr>
          <w:rFonts w:cstheme="minorHAnsi"/>
          <w:b/>
          <w:bCs/>
          <w:color w:val="000000"/>
          <w:sz w:val="24"/>
          <w:szCs w:val="24"/>
        </w:rPr>
        <w:t>MODELO DE GESTÃO CONTRATUAL</w:t>
      </w:r>
    </w:p>
    <w:p w14:paraId="01C2886E">
      <w:pPr>
        <w:spacing w:after="0"/>
        <w:ind w:right="-1"/>
        <w:jc w:val="both"/>
        <w:rPr>
          <w:rFonts w:eastAsia="Times New Roman" w:cstheme="minorHAnsi"/>
          <w:b/>
          <w:bCs/>
          <w:color w:val="000000"/>
          <w:sz w:val="24"/>
          <w:szCs w:val="24"/>
          <w:lang w:eastAsia="pt-BR"/>
        </w:rPr>
      </w:pPr>
    </w:p>
    <w:p w14:paraId="1EF89471">
      <w:pPr>
        <w:pStyle w:val="40"/>
        <w:widowControl w:val="0"/>
        <w:numPr>
          <w:ilvl w:val="0"/>
          <w:numId w:val="16"/>
        </w:numPr>
        <w:suppressAutoHyphens/>
        <w:spacing w:after="0" w:line="276" w:lineRule="auto"/>
        <w:ind w:left="426" w:right="-567" w:hanging="502"/>
        <w:jc w:val="both"/>
        <w:rPr>
          <w:rFonts w:cs="Calibri"/>
          <w:color w:val="000000"/>
        </w:rPr>
      </w:pPr>
      <w:r>
        <w:rPr>
          <w:rFonts w:cs="Calibri"/>
          <w:color w:val="000000"/>
        </w:rPr>
        <w:t>A execução contratual e sua fiscalização deverão ser de responsabilidade da Secretaria Municipal de Saúde, através do(a) respectivo(a) gestor(a), cujas atribuições virão descritas em edital.</w:t>
      </w:r>
    </w:p>
    <w:p w14:paraId="41637A89">
      <w:pPr>
        <w:pStyle w:val="40"/>
        <w:widowControl w:val="0"/>
        <w:suppressAutoHyphens/>
        <w:spacing w:line="276" w:lineRule="auto"/>
        <w:ind w:left="426" w:right="-567"/>
        <w:jc w:val="both"/>
        <w:rPr>
          <w:rFonts w:cs="Calibri"/>
          <w:color w:val="000000"/>
        </w:rPr>
      </w:pPr>
    </w:p>
    <w:p w14:paraId="2060AF31">
      <w:pPr>
        <w:pStyle w:val="40"/>
        <w:widowControl w:val="0"/>
        <w:numPr>
          <w:ilvl w:val="0"/>
          <w:numId w:val="16"/>
        </w:numPr>
        <w:suppressAutoHyphens/>
        <w:spacing w:after="0" w:line="276" w:lineRule="auto"/>
        <w:ind w:left="426" w:right="-567" w:hanging="502"/>
        <w:jc w:val="both"/>
        <w:rPr>
          <w:rFonts w:cs="Calibri"/>
          <w:color w:val="000000"/>
        </w:rPr>
      </w:pPr>
      <w:r>
        <w:rPr>
          <w:rFonts w:cs="Calibri"/>
          <w:color w:val="000000"/>
        </w:rPr>
        <w:t xml:space="preserve">A ação da fiscalização contratual não exonera a </w:t>
      </w:r>
      <w:r>
        <w:rPr>
          <w:rFonts w:cs="Calibri"/>
          <w:bCs/>
        </w:rPr>
        <w:t xml:space="preserve">DETENTORA </w:t>
      </w:r>
      <w:r>
        <w:rPr>
          <w:rFonts w:cs="Calibri"/>
          <w:color w:val="000000"/>
        </w:rPr>
        <w:t>de suas responsabilidades contratuais.</w:t>
      </w:r>
    </w:p>
    <w:p w14:paraId="382DA0FA">
      <w:pPr>
        <w:pBdr>
          <w:top w:val="none" w:color="auto" w:sz="0" w:space="0"/>
          <w:left w:val="none" w:color="auto" w:sz="0" w:space="0"/>
          <w:bottom w:val="none" w:color="auto" w:sz="0" w:space="0"/>
          <w:right w:val="none" w:color="auto" w:sz="0" w:space="0"/>
          <w:between w:val="none" w:color="auto" w:sz="0" w:space="0"/>
        </w:pBdr>
        <w:spacing w:after="0"/>
        <w:ind w:left="-567"/>
        <w:jc w:val="both"/>
        <w:rPr>
          <w:rFonts w:ascii="Arial" w:hAnsi="Arial" w:eastAsia="Arial" w:cs="Arial"/>
          <w:sz w:val="18"/>
          <w:szCs w:val="18"/>
        </w:rPr>
      </w:pPr>
    </w:p>
    <w:p w14:paraId="498556CF">
      <w:pPr>
        <w:widowControl w:val="0"/>
        <w:numPr>
          <w:ilvl w:val="0"/>
          <w:numId w:val="4"/>
        </w:numPr>
        <w:suppressAutoHyphens/>
        <w:spacing w:after="0"/>
        <w:ind w:left="0" w:right="-567"/>
        <w:contextualSpacing/>
        <w:jc w:val="both"/>
        <w:rPr>
          <w:rFonts w:cs="Calibri"/>
          <w:b/>
          <w:bCs/>
          <w:sz w:val="24"/>
          <w:szCs w:val="24"/>
        </w:rPr>
      </w:pPr>
      <w:r>
        <w:rPr>
          <w:rFonts w:cstheme="minorHAnsi"/>
          <w:b/>
          <w:bCs/>
          <w:color w:val="000000"/>
          <w:sz w:val="24"/>
          <w:szCs w:val="24"/>
        </w:rPr>
        <w:t>CRITÉRIOS</w:t>
      </w:r>
      <w:r>
        <w:rPr>
          <w:rFonts w:eastAsia="Arial" w:cs="Calibri"/>
          <w:b/>
          <w:sz w:val="24"/>
          <w:szCs w:val="24"/>
        </w:rPr>
        <w:t xml:space="preserve"> DE MEDIÇÃO E PAGAMENTO</w:t>
      </w:r>
    </w:p>
    <w:p w14:paraId="1B6021B0">
      <w:pPr>
        <w:widowControl w:val="0"/>
        <w:suppressAutoHyphens/>
        <w:spacing w:after="0"/>
        <w:ind w:left="-284" w:right="-567"/>
        <w:contextualSpacing/>
        <w:jc w:val="both"/>
        <w:rPr>
          <w:rFonts w:cs="Calibri"/>
          <w:b/>
          <w:bCs/>
          <w:sz w:val="24"/>
          <w:szCs w:val="24"/>
        </w:rPr>
      </w:pPr>
    </w:p>
    <w:p w14:paraId="51F91249">
      <w:pPr>
        <w:pStyle w:val="40"/>
        <w:widowControl w:val="0"/>
        <w:numPr>
          <w:ilvl w:val="0"/>
          <w:numId w:val="17"/>
        </w:numPr>
        <w:suppressAutoHyphens/>
        <w:spacing w:after="0" w:line="276" w:lineRule="auto"/>
        <w:ind w:left="426" w:right="-852" w:hanging="503"/>
        <w:jc w:val="both"/>
        <w:rPr>
          <w:rFonts w:asciiTheme="minorHAnsi" w:hAnsiTheme="minorHAnsi" w:cstheme="minorHAnsi"/>
          <w:bCs/>
        </w:rPr>
      </w:pPr>
      <w:bookmarkStart w:id="10" w:name="_Hlk207375300"/>
      <w:r>
        <w:rPr>
          <w:rFonts w:asciiTheme="minorHAnsi" w:hAnsiTheme="minorHAnsi" w:cstheme="minorHAnsi"/>
          <w:bCs/>
        </w:rPr>
        <w:t>O pagamento será efetuado de forma parcelada, em 30 (trinta) dias, de acordo com as quantidades efetivamente entregues/executadas, devidamente atestadas pela Secretaria Municipal de Saúde e com os preços unitários constantes da planilha de preços da CONTRATADA.</w:t>
      </w:r>
      <w:bookmarkEnd w:id="10"/>
      <w:bookmarkStart w:id="11" w:name="_Hlk207375320"/>
    </w:p>
    <w:p w14:paraId="5B3F60F2">
      <w:pPr>
        <w:pStyle w:val="40"/>
        <w:widowControl w:val="0"/>
        <w:suppressAutoHyphens/>
        <w:spacing w:line="276" w:lineRule="auto"/>
        <w:ind w:left="426" w:right="-852"/>
        <w:jc w:val="both"/>
        <w:rPr>
          <w:rFonts w:asciiTheme="minorHAnsi" w:hAnsiTheme="minorHAnsi" w:cstheme="minorHAnsi"/>
          <w:bCs/>
        </w:rPr>
      </w:pPr>
    </w:p>
    <w:p w14:paraId="2977095E">
      <w:pPr>
        <w:pStyle w:val="40"/>
        <w:widowControl w:val="0"/>
        <w:numPr>
          <w:ilvl w:val="0"/>
          <w:numId w:val="17"/>
        </w:numPr>
        <w:suppressAutoHyphens/>
        <w:spacing w:after="0" w:line="276" w:lineRule="auto"/>
        <w:ind w:left="426" w:right="-852" w:hanging="503"/>
        <w:jc w:val="both"/>
        <w:rPr>
          <w:rFonts w:asciiTheme="minorHAnsi" w:hAnsiTheme="minorHAnsi" w:cstheme="minorHAnsi"/>
          <w:bCs/>
        </w:rPr>
      </w:pPr>
      <w:r>
        <w:rPr>
          <w:rFonts w:asciiTheme="minorHAnsi" w:hAnsiTheme="minorHAnsi" w:cstheme="minorHAnsi"/>
          <w:bCs/>
        </w:rPr>
        <w:t xml:space="preserve">A contagem do prazo de 30 (trinta) dias se iniciará a partir do ateste da nota fiscal, conforme Decreto nº 8595/2024 de 16 de fevereiro de 2024. </w:t>
      </w:r>
      <w:bookmarkEnd w:id="11"/>
    </w:p>
    <w:p w14:paraId="56AF32BD">
      <w:pPr>
        <w:pStyle w:val="40"/>
        <w:ind w:right="-852"/>
        <w:rPr>
          <w:rFonts w:asciiTheme="minorHAnsi" w:hAnsiTheme="minorHAnsi" w:cstheme="minorHAnsi"/>
          <w:color w:val="000000"/>
        </w:rPr>
      </w:pPr>
    </w:p>
    <w:p w14:paraId="1A3A6377">
      <w:pPr>
        <w:pStyle w:val="40"/>
        <w:widowControl w:val="0"/>
        <w:numPr>
          <w:ilvl w:val="0"/>
          <w:numId w:val="17"/>
        </w:numPr>
        <w:suppressAutoHyphens/>
        <w:spacing w:after="0" w:line="276" w:lineRule="auto"/>
        <w:ind w:left="426" w:right="-852" w:hanging="503"/>
        <w:jc w:val="both"/>
        <w:rPr>
          <w:rFonts w:asciiTheme="minorHAnsi" w:hAnsiTheme="minorHAnsi" w:cstheme="minorHAnsi"/>
          <w:bCs/>
        </w:rPr>
      </w:pPr>
      <w:r>
        <w:rPr>
          <w:rFonts w:asciiTheme="minorHAnsi" w:hAnsiTheme="minorHAnsi" w:cstheme="minorHAnsi"/>
          <w:color w:val="000000"/>
        </w:rPr>
        <w:t>O pagamento será efetuado pela PREFEITURA MUNICIPAL DE PAULÍNIA, seguindo todas as demais regras dispostas em Edital e obedecendo às normas da Lei nº 14.133/2021 e Portaria nº 001/2024/SMF, de 20/02/2024, publicada no Diário Oficial do Município na data de 22/02/2024.</w:t>
      </w:r>
    </w:p>
    <w:p w14:paraId="4D0687CC">
      <w:pPr>
        <w:pStyle w:val="40"/>
        <w:ind w:right="-852"/>
        <w:rPr>
          <w:rFonts w:asciiTheme="minorHAnsi" w:hAnsiTheme="minorHAnsi" w:cstheme="minorHAnsi"/>
          <w:color w:val="000000"/>
        </w:rPr>
      </w:pPr>
    </w:p>
    <w:p w14:paraId="0E948676">
      <w:pPr>
        <w:pStyle w:val="40"/>
        <w:widowControl w:val="0"/>
        <w:numPr>
          <w:ilvl w:val="0"/>
          <w:numId w:val="17"/>
        </w:numPr>
        <w:suppressAutoHyphens/>
        <w:spacing w:after="0" w:line="276" w:lineRule="auto"/>
        <w:ind w:left="426" w:right="-852" w:hanging="503"/>
        <w:jc w:val="both"/>
        <w:rPr>
          <w:rFonts w:asciiTheme="minorHAnsi" w:hAnsiTheme="minorHAnsi" w:cstheme="minorHAnsi"/>
          <w:bCs/>
        </w:rPr>
      </w:pPr>
      <w:r>
        <w:rPr>
          <w:rFonts w:asciiTheme="minorHAnsi" w:hAnsiTheme="minorHAnsi" w:cstheme="minorHAnsi"/>
          <w:color w:val="000000"/>
        </w:rPr>
        <w:t>O pagamento será feito mediante crédito aberto em conta corrente em nome da</w:t>
      </w:r>
      <w:r>
        <w:rPr>
          <w:rFonts w:asciiTheme="minorHAnsi" w:hAnsiTheme="minorHAnsi" w:cstheme="minorHAnsi"/>
          <w:bCs/>
        </w:rPr>
        <w:t xml:space="preserve"> </w:t>
      </w:r>
      <w:r>
        <w:rPr>
          <w:rFonts w:asciiTheme="minorHAnsi" w:hAnsiTheme="minorHAnsi" w:cstheme="minorHAnsi"/>
        </w:rPr>
        <w:t>CONTRATADA</w:t>
      </w:r>
      <w:r>
        <w:rPr>
          <w:rFonts w:asciiTheme="minorHAnsi" w:hAnsiTheme="minorHAnsi" w:cstheme="minorHAnsi"/>
          <w:color w:val="000000"/>
        </w:rPr>
        <w:t>.</w:t>
      </w:r>
    </w:p>
    <w:p w14:paraId="72F71F2D">
      <w:pPr>
        <w:pBdr>
          <w:top w:val="none" w:color="auto" w:sz="0" w:space="0"/>
          <w:left w:val="none" w:color="auto" w:sz="0" w:space="0"/>
          <w:bottom w:val="none" w:color="auto" w:sz="0" w:space="0"/>
          <w:right w:val="none" w:color="auto" w:sz="0" w:space="0"/>
          <w:between w:val="none" w:color="auto" w:sz="0" w:space="0"/>
        </w:pBdr>
        <w:spacing w:after="0"/>
        <w:jc w:val="both"/>
        <w:rPr>
          <w:rFonts w:eastAsia="Arial" w:cstheme="minorHAnsi"/>
          <w:sz w:val="14"/>
          <w:szCs w:val="14"/>
        </w:rPr>
      </w:pPr>
    </w:p>
    <w:p w14:paraId="0D73F80A">
      <w:pPr>
        <w:widowControl w:val="0"/>
        <w:numPr>
          <w:ilvl w:val="0"/>
          <w:numId w:val="4"/>
        </w:numPr>
        <w:suppressAutoHyphens/>
        <w:spacing w:after="0"/>
        <w:ind w:left="0" w:right="-567"/>
        <w:contextualSpacing/>
        <w:jc w:val="both"/>
        <w:rPr>
          <w:rFonts w:cstheme="minorHAnsi"/>
          <w:b/>
          <w:bCs/>
          <w:sz w:val="24"/>
          <w:szCs w:val="24"/>
        </w:rPr>
      </w:pPr>
      <w:r>
        <w:rPr>
          <w:rFonts w:cstheme="minorHAnsi"/>
          <w:b/>
          <w:bCs/>
          <w:sz w:val="24"/>
          <w:szCs w:val="24"/>
        </w:rPr>
        <w:t>FORMA E CRITÉRIOS DE SELEÇÃO DO FORNECEDOR</w:t>
      </w:r>
    </w:p>
    <w:p w14:paraId="34FF4052">
      <w:pPr>
        <w:widowControl w:val="0"/>
        <w:suppressAutoHyphens/>
        <w:spacing w:after="0"/>
        <w:ind w:right="-567"/>
        <w:contextualSpacing/>
        <w:jc w:val="both"/>
        <w:rPr>
          <w:rFonts w:cstheme="minorHAnsi"/>
          <w:sz w:val="24"/>
          <w:szCs w:val="24"/>
        </w:rPr>
      </w:pPr>
    </w:p>
    <w:p w14:paraId="3F535578">
      <w:pPr>
        <w:widowControl w:val="0"/>
        <w:suppressAutoHyphens/>
        <w:spacing w:after="0"/>
        <w:ind w:right="-567" w:firstLine="567"/>
        <w:contextualSpacing/>
        <w:jc w:val="both"/>
        <w:rPr>
          <w:rFonts w:cstheme="minorHAnsi"/>
          <w:b/>
          <w:bCs/>
          <w:sz w:val="24"/>
          <w:szCs w:val="24"/>
        </w:rPr>
      </w:pPr>
      <w:r>
        <w:rPr>
          <w:rFonts w:cstheme="minorHAnsi"/>
          <w:sz w:val="24"/>
          <w:szCs w:val="24"/>
        </w:rPr>
        <w:t>O fornecedor será selecionado por meio da realização de procedimento de LICITAÇÃO, na modalidade PREGÃO, sob a forma ELETRÔNICA, com adoção do critério de julgamento pelo MENOR PREÇO.</w:t>
      </w:r>
    </w:p>
    <w:p w14:paraId="7B02A199">
      <w:pPr>
        <w:pBdr>
          <w:top w:val="none" w:color="auto" w:sz="0" w:space="0"/>
          <w:left w:val="none" w:color="auto" w:sz="0" w:space="0"/>
          <w:bottom w:val="none" w:color="auto" w:sz="0" w:space="0"/>
          <w:right w:val="none" w:color="auto" w:sz="0" w:space="0"/>
          <w:between w:val="none" w:color="auto" w:sz="0" w:space="0"/>
        </w:pBdr>
        <w:spacing w:after="0"/>
        <w:ind w:left="-567"/>
        <w:jc w:val="both"/>
        <w:rPr>
          <w:rFonts w:eastAsia="Arial" w:cstheme="minorHAnsi"/>
          <w:sz w:val="24"/>
          <w:szCs w:val="24"/>
        </w:rPr>
      </w:pPr>
    </w:p>
    <w:p w14:paraId="2EFE75F3">
      <w:pPr>
        <w:widowControl w:val="0"/>
        <w:numPr>
          <w:ilvl w:val="0"/>
          <w:numId w:val="4"/>
        </w:numPr>
        <w:suppressAutoHyphens/>
        <w:spacing w:after="0"/>
        <w:ind w:left="0" w:right="-567"/>
        <w:contextualSpacing/>
        <w:jc w:val="both"/>
        <w:rPr>
          <w:rFonts w:eastAsia="Arial" w:cstheme="minorHAnsi"/>
          <w:b/>
          <w:sz w:val="24"/>
          <w:szCs w:val="24"/>
        </w:rPr>
      </w:pPr>
      <w:r>
        <w:rPr>
          <w:rFonts w:eastAsia="Arial" w:cstheme="minorHAnsi"/>
          <w:b/>
          <w:sz w:val="24"/>
          <w:szCs w:val="24"/>
        </w:rPr>
        <w:t>ESTIMATIVA DO VALOR DA CONTRATAÇÃO</w:t>
      </w:r>
    </w:p>
    <w:p w14:paraId="72FFBF6B">
      <w:pPr>
        <w:spacing w:after="0" w:line="240" w:lineRule="auto"/>
        <w:rPr>
          <w:rFonts w:cstheme="minorHAnsi"/>
          <w:sz w:val="20"/>
          <w:szCs w:val="20"/>
        </w:rPr>
      </w:pPr>
    </w:p>
    <w:p w14:paraId="585F6B66">
      <w:pPr>
        <w:spacing w:after="0"/>
        <w:ind w:right="-567" w:firstLine="567"/>
        <w:jc w:val="both"/>
        <w:rPr>
          <w:rFonts w:cstheme="minorHAnsi"/>
          <w:sz w:val="24"/>
          <w:szCs w:val="24"/>
        </w:rPr>
      </w:pPr>
      <w:r>
        <w:rPr>
          <w:rFonts w:cstheme="minorHAnsi"/>
          <w:sz w:val="24"/>
          <w:szCs w:val="24"/>
        </w:rPr>
        <w:t>O valor da contratação foi estimado conforme tabela constante do item nº 1.1 deste Termo de Referência, tendo os preços sido obtidos mediante pesquisa anexa ao processo administrativo, a qual foi elaborada segundo os critérios do art. 23 da Lei nº 14.133/2021 e arts. 47 e 48 do Decreto Municipal nº 8.388/2023.</w:t>
      </w:r>
    </w:p>
    <w:p w14:paraId="5FA807E3">
      <w:pPr>
        <w:spacing w:after="0" w:line="240" w:lineRule="auto"/>
        <w:rPr>
          <w:rFonts w:cstheme="minorHAnsi"/>
          <w:sz w:val="20"/>
          <w:szCs w:val="20"/>
        </w:rPr>
      </w:pPr>
    </w:p>
    <w:p w14:paraId="4C437584">
      <w:pPr>
        <w:widowControl w:val="0"/>
        <w:numPr>
          <w:ilvl w:val="0"/>
          <w:numId w:val="4"/>
        </w:numPr>
        <w:suppressAutoHyphens/>
        <w:spacing w:after="0"/>
        <w:ind w:left="0" w:right="-567"/>
        <w:contextualSpacing/>
        <w:jc w:val="both"/>
        <w:rPr>
          <w:rFonts w:cstheme="minorHAnsi"/>
          <w:b/>
          <w:sz w:val="24"/>
          <w:szCs w:val="24"/>
        </w:rPr>
      </w:pPr>
      <w:r>
        <w:rPr>
          <w:rFonts w:cstheme="minorHAnsi"/>
          <w:b/>
          <w:sz w:val="24"/>
          <w:szCs w:val="24"/>
        </w:rPr>
        <w:t>ADEQUAÇÃO ORÇAMENTÁRIA</w:t>
      </w:r>
    </w:p>
    <w:p w14:paraId="530031ED">
      <w:pPr>
        <w:widowControl w:val="0"/>
        <w:suppressAutoHyphens/>
        <w:spacing w:after="0"/>
        <w:ind w:right="-567"/>
        <w:contextualSpacing/>
        <w:jc w:val="both"/>
        <w:rPr>
          <w:rFonts w:cstheme="minorHAnsi"/>
          <w:b/>
          <w:sz w:val="20"/>
          <w:szCs w:val="20"/>
        </w:rPr>
      </w:pPr>
    </w:p>
    <w:p w14:paraId="49883D4B">
      <w:pPr>
        <w:widowControl w:val="0"/>
        <w:suppressAutoHyphens/>
        <w:spacing w:after="0"/>
        <w:ind w:right="-567" w:firstLine="567"/>
        <w:contextualSpacing/>
        <w:jc w:val="both"/>
        <w:rPr>
          <w:rFonts w:cstheme="minorHAnsi"/>
          <w:b/>
          <w:sz w:val="24"/>
          <w:szCs w:val="24"/>
        </w:rPr>
      </w:pPr>
      <w:r>
        <w:rPr>
          <w:rFonts w:cstheme="minorHAnsi"/>
          <w:sz w:val="24"/>
          <w:szCs w:val="24"/>
        </w:rPr>
        <w:t>Dotação orçamentária para o presente exercício conforme valores alocados nas despesas específicas do orçamento vigente e conforme planilha orçamentária que cria a devida adequação com os objetivos dos instrumentos legais:</w:t>
      </w:r>
    </w:p>
    <w:p w14:paraId="0AA44B2E">
      <w:pPr>
        <w:widowControl w:val="0"/>
        <w:suppressAutoHyphens/>
        <w:spacing w:after="0"/>
        <w:ind w:right="-567" w:firstLine="567"/>
        <w:contextualSpacing/>
        <w:jc w:val="both"/>
        <w:rPr>
          <w:rFonts w:cstheme="minorHAnsi"/>
          <w:b/>
          <w:sz w:val="24"/>
          <w:szCs w:val="24"/>
        </w:rPr>
      </w:pPr>
    </w:p>
    <w:p w14:paraId="5BE4CA86">
      <w:pPr>
        <w:widowControl w:val="0"/>
        <w:suppressAutoHyphens/>
        <w:spacing w:after="0"/>
        <w:ind w:right="-567" w:firstLine="567"/>
        <w:contextualSpacing/>
        <w:jc w:val="both"/>
        <w:rPr>
          <w:rFonts w:cstheme="minorHAnsi"/>
          <w:b/>
          <w:sz w:val="24"/>
          <w:szCs w:val="24"/>
        </w:rPr>
      </w:pPr>
      <w:r>
        <w:rPr>
          <w:rFonts w:cstheme="minorHAnsi"/>
          <w:sz w:val="24"/>
          <w:szCs w:val="24"/>
        </w:rPr>
        <w:t>- P.P.A. – Plano Plurianual 2022/2025 – Lei Municipal nº 4.009/2021;</w:t>
      </w:r>
    </w:p>
    <w:p w14:paraId="733A53F6">
      <w:pPr>
        <w:widowControl w:val="0"/>
        <w:suppressAutoHyphens/>
        <w:spacing w:after="0"/>
        <w:ind w:right="-567" w:firstLine="567"/>
        <w:contextualSpacing/>
        <w:jc w:val="both"/>
        <w:rPr>
          <w:rFonts w:cstheme="minorHAnsi"/>
          <w:b/>
          <w:sz w:val="24"/>
          <w:szCs w:val="24"/>
        </w:rPr>
      </w:pPr>
      <w:r>
        <w:rPr>
          <w:rFonts w:cstheme="minorHAnsi"/>
          <w:sz w:val="24"/>
          <w:szCs w:val="24"/>
        </w:rPr>
        <w:t xml:space="preserve">- L.D.O. – Lei de Diretrizes Orçamentárias – Lei Municipal nº 4.482/2024; </w:t>
      </w:r>
    </w:p>
    <w:p w14:paraId="1FB40A0B">
      <w:pPr>
        <w:widowControl w:val="0"/>
        <w:suppressAutoHyphens/>
        <w:spacing w:after="0"/>
        <w:ind w:right="-567" w:firstLine="567"/>
        <w:contextualSpacing/>
        <w:jc w:val="both"/>
        <w:rPr>
          <w:rFonts w:cstheme="minorHAnsi"/>
          <w:b/>
          <w:sz w:val="24"/>
          <w:szCs w:val="24"/>
        </w:rPr>
      </w:pPr>
      <w:r>
        <w:rPr>
          <w:rFonts w:cstheme="minorHAnsi"/>
          <w:sz w:val="24"/>
          <w:szCs w:val="24"/>
        </w:rPr>
        <w:t>- L.O.A. – Lei Orçamentária Anual – Lei Municipal nº 4.521/2024.</w:t>
      </w:r>
    </w:p>
    <w:p w14:paraId="58F1FD45">
      <w:pPr>
        <w:spacing w:after="0" w:line="240" w:lineRule="auto"/>
        <w:ind w:left="-567"/>
        <w:jc w:val="center"/>
        <w:rPr>
          <w:rFonts w:cstheme="minorHAnsi"/>
          <w:sz w:val="24"/>
          <w:szCs w:val="24"/>
        </w:rPr>
      </w:pPr>
    </w:p>
    <w:p w14:paraId="568E1F86">
      <w:pPr>
        <w:spacing w:after="0" w:line="240" w:lineRule="auto"/>
        <w:ind w:left="57"/>
        <w:jc w:val="both"/>
        <w:rPr>
          <w:rFonts w:cstheme="minorHAnsi"/>
          <w:sz w:val="24"/>
          <w:szCs w:val="24"/>
        </w:rPr>
      </w:pPr>
      <w:r>
        <w:rPr>
          <w:rFonts w:cstheme="minorHAnsi"/>
          <w:sz w:val="24"/>
          <w:szCs w:val="24"/>
        </w:rPr>
        <w:t>(615) 02.10.02.10.303.0032.2.037.3390.3202.01.3100000</w:t>
      </w:r>
    </w:p>
    <w:p w14:paraId="255C4141">
      <w:pPr>
        <w:spacing w:after="0" w:line="240" w:lineRule="auto"/>
        <w:ind w:left="57"/>
        <w:jc w:val="both"/>
        <w:rPr>
          <w:rFonts w:cstheme="minorHAnsi"/>
          <w:sz w:val="24"/>
          <w:szCs w:val="24"/>
        </w:rPr>
      </w:pPr>
      <w:r>
        <w:rPr>
          <w:rFonts w:cstheme="minorHAnsi"/>
          <w:sz w:val="24"/>
          <w:szCs w:val="24"/>
        </w:rPr>
        <w:t>(662) 02.10.03.10.302.0037.2.037.3390.3009.01.3100000</w:t>
      </w:r>
    </w:p>
    <w:p w14:paraId="5F4031D4">
      <w:pPr>
        <w:spacing w:after="0" w:line="240" w:lineRule="auto"/>
        <w:ind w:left="57"/>
        <w:jc w:val="both"/>
        <w:rPr>
          <w:rFonts w:cstheme="minorHAnsi"/>
          <w:sz w:val="24"/>
          <w:szCs w:val="24"/>
        </w:rPr>
      </w:pPr>
      <w:r>
        <w:rPr>
          <w:rFonts w:cstheme="minorHAnsi"/>
          <w:sz w:val="24"/>
          <w:szCs w:val="24"/>
        </w:rPr>
        <w:t>(813) 02.10.04.10.302.0046.2.037.3390.3009.01.3100000</w:t>
      </w:r>
    </w:p>
    <w:p w14:paraId="3CC47C57">
      <w:pPr>
        <w:spacing w:after="0" w:line="240" w:lineRule="auto"/>
        <w:ind w:left="-567"/>
        <w:jc w:val="center"/>
        <w:rPr>
          <w:rFonts w:cstheme="minorHAnsi"/>
          <w:sz w:val="24"/>
          <w:szCs w:val="24"/>
        </w:rPr>
      </w:pPr>
    </w:p>
    <w:p w14:paraId="58E2E5C7">
      <w:pPr>
        <w:spacing w:after="0"/>
        <w:ind w:right="-852" w:firstLine="567"/>
        <w:jc w:val="both"/>
        <w:rPr>
          <w:rFonts w:cstheme="minorHAnsi"/>
          <w:sz w:val="24"/>
          <w:szCs w:val="24"/>
        </w:rPr>
      </w:pPr>
      <w:r>
        <w:rPr>
          <w:rFonts w:cstheme="minorHAnsi"/>
          <w:sz w:val="24"/>
          <w:szCs w:val="24"/>
        </w:rPr>
        <w:t>A</w:t>
      </w:r>
      <w:r>
        <w:rPr>
          <w:rFonts w:cstheme="minorHAnsi"/>
          <w:spacing w:val="-3"/>
          <w:sz w:val="24"/>
          <w:szCs w:val="24"/>
        </w:rPr>
        <w:t xml:space="preserve"> </w:t>
      </w:r>
      <w:r>
        <w:rPr>
          <w:rFonts w:cstheme="minorHAnsi"/>
          <w:sz w:val="24"/>
          <w:szCs w:val="24"/>
        </w:rPr>
        <w:t>especificação</w:t>
      </w:r>
      <w:r>
        <w:rPr>
          <w:rFonts w:cstheme="minorHAnsi"/>
          <w:spacing w:val="-1"/>
          <w:sz w:val="24"/>
          <w:szCs w:val="24"/>
        </w:rPr>
        <w:t xml:space="preserve"> </w:t>
      </w:r>
      <w:r>
        <w:rPr>
          <w:rFonts w:cstheme="minorHAnsi"/>
          <w:sz w:val="24"/>
          <w:szCs w:val="24"/>
        </w:rPr>
        <w:t>do objeto foi</w:t>
      </w:r>
      <w:r>
        <w:rPr>
          <w:rFonts w:cstheme="minorHAnsi"/>
          <w:spacing w:val="-3"/>
          <w:sz w:val="24"/>
          <w:szCs w:val="24"/>
        </w:rPr>
        <w:t xml:space="preserve"> </w:t>
      </w:r>
      <w:r>
        <w:rPr>
          <w:rFonts w:cstheme="minorHAnsi"/>
          <w:sz w:val="24"/>
          <w:szCs w:val="24"/>
        </w:rPr>
        <w:t>efetuada</w:t>
      </w:r>
      <w:r>
        <w:rPr>
          <w:rFonts w:cstheme="minorHAnsi"/>
          <w:spacing w:val="-2"/>
          <w:sz w:val="24"/>
          <w:szCs w:val="24"/>
        </w:rPr>
        <w:t xml:space="preserve"> </w:t>
      </w:r>
      <w:r>
        <w:rPr>
          <w:rFonts w:cstheme="minorHAnsi"/>
          <w:sz w:val="24"/>
          <w:szCs w:val="24"/>
        </w:rPr>
        <w:t>pelo(a): Sr.(a)Orly Alves de Freitas Junior – Farmacêutico e João Carlos da Fonseca Filho – Farmacêutico – Centro de Distribuição – SMS.</w:t>
      </w:r>
    </w:p>
    <w:p w14:paraId="1395EAC6">
      <w:pPr>
        <w:spacing w:after="0" w:line="240" w:lineRule="auto"/>
        <w:ind w:left="-567"/>
        <w:jc w:val="center"/>
        <w:rPr>
          <w:rFonts w:ascii="Arial" w:hAnsi="Arial" w:cs="Arial"/>
        </w:rPr>
      </w:pPr>
    </w:p>
    <w:p w14:paraId="795C5B7C">
      <w:pPr>
        <w:spacing w:after="0" w:line="240" w:lineRule="auto"/>
        <w:ind w:left="-567"/>
        <w:jc w:val="center"/>
        <w:rPr>
          <w:rFonts w:ascii="Arial" w:hAnsi="Arial" w:cs="Arial"/>
        </w:rPr>
      </w:pPr>
    </w:p>
    <w:p w14:paraId="672E8EAB">
      <w:pPr>
        <w:spacing w:after="0" w:line="240" w:lineRule="auto"/>
        <w:ind w:left="-567"/>
        <w:jc w:val="center"/>
        <w:rPr>
          <w:rFonts w:ascii="Arial" w:hAnsi="Arial" w:cs="Arial"/>
        </w:rPr>
      </w:pPr>
    </w:p>
    <w:p w14:paraId="0024223F">
      <w:pPr>
        <w:spacing w:after="0" w:line="240" w:lineRule="auto"/>
        <w:ind w:left="-567"/>
        <w:jc w:val="center"/>
        <w:rPr>
          <w:rFonts w:ascii="Arial" w:hAnsi="Arial" w:cs="Arial"/>
        </w:rPr>
      </w:pPr>
    </w:p>
    <w:p w14:paraId="0542827D">
      <w:pPr>
        <w:spacing w:after="0" w:line="240" w:lineRule="auto"/>
        <w:ind w:left="-567"/>
        <w:jc w:val="center"/>
        <w:rPr>
          <w:rFonts w:ascii="Arial" w:hAnsi="Arial" w:cs="Arial"/>
        </w:rPr>
      </w:pPr>
    </w:p>
    <w:p w14:paraId="6394A058">
      <w:pPr>
        <w:spacing w:after="0" w:line="240" w:lineRule="auto"/>
        <w:ind w:left="-567"/>
        <w:jc w:val="center"/>
        <w:rPr>
          <w:rFonts w:ascii="Arial" w:hAnsi="Arial" w:cs="Arial"/>
        </w:rPr>
      </w:pPr>
    </w:p>
    <w:p w14:paraId="57D83B40">
      <w:pPr>
        <w:spacing w:after="0"/>
        <w:ind w:right="-710"/>
        <w:rPr>
          <w:rFonts w:cstheme="minorHAnsi"/>
          <w:sz w:val="24"/>
          <w:szCs w:val="24"/>
        </w:rPr>
      </w:pPr>
      <w:r>
        <w:rPr>
          <w:rFonts w:cstheme="minorHAnsi"/>
          <w:sz w:val="24"/>
          <w:szCs w:val="24"/>
        </w:rPr>
        <w:t>_____________________________________       __________________________________</w:t>
      </w:r>
    </w:p>
    <w:p w14:paraId="1D65F3CC">
      <w:pPr>
        <w:spacing w:after="0"/>
        <w:ind w:right="-568"/>
        <w:rPr>
          <w:rFonts w:eastAsia="Arial" w:cstheme="minorHAnsi"/>
          <w:sz w:val="24"/>
          <w:szCs w:val="24"/>
        </w:rPr>
      </w:pPr>
      <w:r>
        <w:rPr>
          <w:rFonts w:cstheme="minorHAnsi"/>
          <w:sz w:val="24"/>
          <w:szCs w:val="24"/>
        </w:rPr>
        <w:t>Dr.</w:t>
      </w:r>
      <w:r>
        <w:rPr>
          <w:rFonts w:cstheme="minorHAnsi"/>
          <w:spacing w:val="-1"/>
          <w:sz w:val="24"/>
          <w:szCs w:val="24"/>
        </w:rPr>
        <w:t xml:space="preserve"> </w:t>
      </w:r>
      <w:r>
        <w:rPr>
          <w:rFonts w:cstheme="minorHAnsi"/>
          <w:sz w:val="24"/>
          <w:szCs w:val="24"/>
        </w:rPr>
        <w:t xml:space="preserve">Antonio Carlos Guimarães de Sousa Pinto </w:t>
      </w:r>
      <w:r>
        <w:rPr>
          <w:rFonts w:cstheme="minorHAnsi"/>
          <w:sz w:val="24"/>
          <w:szCs w:val="24"/>
        </w:rPr>
        <w:tab/>
      </w:r>
      <w:r>
        <w:rPr>
          <w:rFonts w:cstheme="minorHAnsi"/>
          <w:sz w:val="24"/>
          <w:szCs w:val="24"/>
        </w:rPr>
        <w:t xml:space="preserve">     Sr. Orly Alves de Freitas Júnior</w:t>
      </w:r>
    </w:p>
    <w:p w14:paraId="6B46A203">
      <w:pPr>
        <w:spacing w:after="0" w:line="240" w:lineRule="auto"/>
        <w:ind w:left="-567"/>
        <w:jc w:val="both"/>
        <w:rPr>
          <w:rFonts w:cstheme="minorHAnsi"/>
          <w:sz w:val="24"/>
          <w:szCs w:val="24"/>
        </w:rPr>
      </w:pPr>
      <w:r>
        <w:rPr>
          <w:rFonts w:eastAsia="Arial" w:cstheme="minorHAnsi"/>
          <w:sz w:val="24"/>
          <w:szCs w:val="24"/>
        </w:rPr>
        <w:t xml:space="preserve">                        S</w:t>
      </w:r>
      <w:r>
        <w:rPr>
          <w:rFonts w:cstheme="minorHAnsi"/>
          <w:sz w:val="24"/>
          <w:szCs w:val="24"/>
        </w:rPr>
        <w:t>ecretário</w:t>
      </w:r>
      <w:r>
        <w:rPr>
          <w:rFonts w:cstheme="minorHAnsi"/>
          <w:spacing w:val="-3"/>
          <w:sz w:val="24"/>
          <w:szCs w:val="24"/>
        </w:rPr>
        <w:t xml:space="preserve"> </w:t>
      </w:r>
      <w:r>
        <w:rPr>
          <w:rFonts w:cstheme="minorHAnsi"/>
          <w:sz w:val="24"/>
          <w:szCs w:val="24"/>
        </w:rPr>
        <w:t>Municipal</w:t>
      </w:r>
      <w:r>
        <w:rPr>
          <w:rFonts w:cstheme="minorHAnsi"/>
          <w:spacing w:val="-2"/>
          <w:sz w:val="24"/>
          <w:szCs w:val="24"/>
        </w:rPr>
        <w:t xml:space="preserve"> </w:t>
      </w:r>
      <w:r>
        <w:rPr>
          <w:rFonts w:cstheme="minorHAnsi"/>
          <w:sz w:val="24"/>
          <w:szCs w:val="24"/>
        </w:rPr>
        <w:t>de</w:t>
      </w:r>
      <w:r>
        <w:rPr>
          <w:rFonts w:cstheme="minorHAnsi"/>
          <w:spacing w:val="-4"/>
          <w:sz w:val="24"/>
          <w:szCs w:val="24"/>
        </w:rPr>
        <w:t xml:space="preserve"> </w:t>
      </w:r>
      <w:r>
        <w:rPr>
          <w:rFonts w:cstheme="minorHAnsi"/>
          <w:sz w:val="24"/>
          <w:szCs w:val="24"/>
        </w:rPr>
        <w:t>Saúde</w:t>
      </w:r>
      <w:r>
        <w:rPr>
          <w:rFonts w:cstheme="minorHAnsi"/>
          <w:sz w:val="24"/>
          <w:szCs w:val="24"/>
        </w:rPr>
        <w:tab/>
      </w:r>
      <w:r>
        <w:rPr>
          <w:rFonts w:cstheme="minorHAnsi"/>
          <w:sz w:val="24"/>
          <w:szCs w:val="24"/>
        </w:rPr>
        <w:t xml:space="preserve">                                Farmacêutico</w:t>
      </w:r>
    </w:p>
    <w:p w14:paraId="0FC2432E">
      <w:pPr>
        <w:spacing w:after="0" w:line="240" w:lineRule="auto"/>
        <w:ind w:left="-567"/>
        <w:jc w:val="center"/>
        <w:rPr>
          <w:rFonts w:ascii="Arial" w:hAnsi="Arial" w:cs="Arial"/>
        </w:rPr>
      </w:pPr>
    </w:p>
    <w:p w14:paraId="1DCBCB28">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2E3D8B15">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A0D7E66">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2B6B365">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760D073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6CDA23BD">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799FF60">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39E6C72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65726B92">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7195A26B">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1484CFAC">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61FA312">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21911D35">
      <w:pPr>
        <w:autoSpaceDE w:val="0"/>
        <w:autoSpaceDN w:val="0"/>
        <w:adjustRightInd w:val="0"/>
        <w:spacing w:line="240" w:lineRule="auto"/>
        <w:jc w:val="both"/>
        <w:rPr>
          <w:rFonts w:cs="Calibri"/>
        </w:rPr>
      </w:pPr>
    </w:p>
    <w:p w14:paraId="26B1818E">
      <w:pPr>
        <w:autoSpaceDE w:val="0"/>
        <w:autoSpaceDN w:val="0"/>
        <w:adjustRightInd w:val="0"/>
        <w:spacing w:line="240" w:lineRule="auto"/>
        <w:jc w:val="both"/>
        <w:rPr>
          <w:rFonts w:cs="Calibri"/>
        </w:rPr>
      </w:pPr>
    </w:p>
    <w:p w14:paraId="321043C6">
      <w:pPr>
        <w:autoSpaceDE w:val="0"/>
        <w:autoSpaceDN w:val="0"/>
        <w:adjustRightInd w:val="0"/>
        <w:spacing w:line="240" w:lineRule="auto"/>
        <w:jc w:val="both"/>
        <w:rPr>
          <w:rFonts w:cs="Calibri"/>
        </w:rPr>
      </w:pPr>
    </w:p>
    <w:p w14:paraId="571A41CF">
      <w:pPr>
        <w:tabs>
          <w:tab w:val="left" w:pos="5691"/>
        </w:tabs>
        <w:spacing w:line="240" w:lineRule="auto"/>
        <w:rPr>
          <w:rFonts w:cs="Calibri"/>
        </w:rPr>
      </w:pPr>
    </w:p>
    <w:p w14:paraId="44615E65">
      <w:pPr>
        <w:pStyle w:val="29"/>
        <w:spacing w:before="0" w:beforeAutospacing="0" w:after="200" w:afterAutospacing="0" w:line="240" w:lineRule="auto"/>
        <w:jc w:val="center"/>
        <w:rPr>
          <w:b/>
          <w:sz w:val="24"/>
          <w:szCs w:val="24"/>
        </w:rPr>
      </w:pPr>
      <w:r>
        <w:rPr>
          <w:b/>
          <w:sz w:val="24"/>
          <w:szCs w:val="24"/>
        </w:rPr>
        <w:t>ANEXO II – MINUTA DECLARAÇÃO REQUISITOS DA HABILITAÇÃO</w:t>
      </w:r>
    </w:p>
    <w:p w14:paraId="666F2E98">
      <w:pPr>
        <w:spacing w:line="240" w:lineRule="auto"/>
        <w:jc w:val="center"/>
        <w:rPr>
          <w:rFonts w:ascii="Arial" w:hAnsi="Arial" w:cs="Arial"/>
          <w:sz w:val="24"/>
          <w:szCs w:val="24"/>
        </w:rPr>
      </w:pPr>
    </w:p>
    <w:p w14:paraId="525B5841">
      <w:pPr>
        <w:spacing w:line="240" w:lineRule="auto"/>
        <w:jc w:val="center"/>
        <w:rPr>
          <w:rFonts w:ascii="Arial" w:hAnsi="Arial" w:cs="Arial"/>
          <w:sz w:val="24"/>
          <w:szCs w:val="24"/>
        </w:rPr>
      </w:pPr>
    </w:p>
    <w:p w14:paraId="1555AA0E">
      <w:pPr>
        <w:spacing w:line="240" w:lineRule="auto"/>
        <w:jc w:val="both"/>
        <w:rPr>
          <w:rFonts w:ascii="Arial" w:hAnsi="Arial" w:cs="Arial"/>
          <w:sz w:val="24"/>
          <w:szCs w:val="24"/>
        </w:rPr>
      </w:pPr>
      <w:r>
        <w:rPr>
          <w:rFonts w:ascii="Arial" w:hAnsi="Arial" w:cs="Arial"/>
          <w:sz w:val="24"/>
          <w:szCs w:val="24"/>
        </w:rPr>
        <w:t xml:space="preserve">Pregão Eletrônico nº: </w:t>
      </w:r>
    </w:p>
    <w:p w14:paraId="126998E8">
      <w:pPr>
        <w:spacing w:line="240" w:lineRule="auto"/>
        <w:jc w:val="both"/>
        <w:rPr>
          <w:rFonts w:ascii="Arial" w:hAnsi="Arial" w:cs="Arial"/>
          <w:sz w:val="24"/>
          <w:szCs w:val="24"/>
        </w:rPr>
      </w:pPr>
      <w:r>
        <w:rPr>
          <w:rFonts w:ascii="Arial" w:hAnsi="Arial" w:cs="Arial"/>
          <w:sz w:val="24"/>
          <w:szCs w:val="24"/>
        </w:rPr>
        <w:t>Protocolado Administrativo nº:</w:t>
      </w:r>
    </w:p>
    <w:p w14:paraId="781BAA22">
      <w:pPr>
        <w:spacing w:line="240" w:lineRule="auto"/>
        <w:jc w:val="both"/>
        <w:rPr>
          <w:rFonts w:ascii="Arial" w:hAnsi="Arial" w:cs="Arial"/>
          <w:sz w:val="24"/>
          <w:szCs w:val="24"/>
        </w:rPr>
      </w:pPr>
    </w:p>
    <w:p w14:paraId="585AE0D9">
      <w:pPr>
        <w:spacing w:line="240" w:lineRule="auto"/>
        <w:jc w:val="both"/>
        <w:rPr>
          <w:rFonts w:ascii="Arial" w:hAnsi="Arial" w:cs="Arial"/>
          <w:sz w:val="24"/>
          <w:szCs w:val="24"/>
        </w:rPr>
      </w:pPr>
      <w:r>
        <w:rPr>
          <w:rFonts w:ascii="Arial" w:hAnsi="Arial" w:cs="Arial"/>
          <w:sz w:val="24"/>
          <w:szCs w:val="24"/>
        </w:rPr>
        <w:t xml:space="preserve">Objeto: </w:t>
      </w:r>
    </w:p>
    <w:p w14:paraId="3170C078">
      <w:pPr>
        <w:spacing w:line="240" w:lineRule="auto"/>
        <w:jc w:val="both"/>
        <w:rPr>
          <w:rFonts w:ascii="Arial" w:hAnsi="Arial" w:cs="Arial"/>
          <w:sz w:val="24"/>
          <w:szCs w:val="24"/>
        </w:rPr>
      </w:pPr>
    </w:p>
    <w:p w14:paraId="4D949B0D">
      <w:pPr>
        <w:spacing w:line="240" w:lineRule="auto"/>
        <w:jc w:val="both"/>
        <w:rPr>
          <w:rFonts w:ascii="Arial" w:hAnsi="Arial" w:cs="Arial"/>
          <w:sz w:val="24"/>
          <w:szCs w:val="24"/>
        </w:rPr>
      </w:pPr>
      <w:r>
        <w:rPr>
          <w:rFonts w:ascii="Arial" w:hAnsi="Arial" w:cs="Arial"/>
          <w:sz w:val="24"/>
          <w:szCs w:val="24"/>
        </w:rPr>
        <w:t>A __________</w:t>
      </w:r>
      <w:r>
        <w:rPr>
          <w:rFonts w:ascii="Arial" w:hAnsi="Arial" w:cs="Arial"/>
          <w:sz w:val="24"/>
          <w:szCs w:val="24"/>
          <w:u w:val="single"/>
        </w:rPr>
        <w:t>(nome da licitante)</w:t>
      </w:r>
      <w:r>
        <w:rPr>
          <w:rFonts w:ascii="Arial" w:hAnsi="Arial" w:cs="Arial"/>
          <w:sz w:val="24"/>
          <w:szCs w:val="24"/>
        </w:rPr>
        <w:t>____________________________________, por seu representante legal (doc. Anexo), inscrita no CNJP sob nº _____________________, com sede à __________________________________, nos termos do artigo 63, Inc. I, da Lei nº 14.133/2021, declara para os devidos fins de direito que cumpre plenamente os requisitos da habilitação estabelecidos nas cláusulas do edital em epígrafe.</w:t>
      </w:r>
    </w:p>
    <w:p w14:paraId="590D2B4C">
      <w:pPr>
        <w:spacing w:line="240" w:lineRule="auto"/>
        <w:jc w:val="both"/>
        <w:rPr>
          <w:rFonts w:ascii="Arial" w:hAnsi="Arial" w:cs="Arial"/>
          <w:sz w:val="24"/>
          <w:szCs w:val="24"/>
        </w:rPr>
      </w:pPr>
    </w:p>
    <w:p w14:paraId="6942D9D3">
      <w:pPr>
        <w:spacing w:line="240" w:lineRule="auto"/>
        <w:jc w:val="both"/>
        <w:rPr>
          <w:rFonts w:ascii="Arial" w:hAnsi="Arial" w:cs="Arial"/>
          <w:sz w:val="24"/>
          <w:szCs w:val="24"/>
        </w:rPr>
      </w:pPr>
    </w:p>
    <w:p w14:paraId="44AB5DFA">
      <w:pPr>
        <w:spacing w:line="240" w:lineRule="auto"/>
        <w:jc w:val="both"/>
        <w:rPr>
          <w:rFonts w:ascii="Arial" w:hAnsi="Arial" w:cs="Arial"/>
          <w:sz w:val="24"/>
          <w:szCs w:val="24"/>
        </w:rPr>
      </w:pPr>
      <w:r>
        <w:rPr>
          <w:rFonts w:ascii="Arial" w:hAnsi="Arial" w:cs="Arial"/>
          <w:sz w:val="24"/>
          <w:szCs w:val="24"/>
        </w:rPr>
        <w:t>Sendo expressão da verdade subscrevo-me.</w:t>
      </w:r>
    </w:p>
    <w:p w14:paraId="7D410FFD">
      <w:pPr>
        <w:spacing w:line="240" w:lineRule="auto"/>
        <w:jc w:val="both"/>
        <w:rPr>
          <w:rFonts w:ascii="Arial" w:hAnsi="Arial" w:cs="Arial"/>
          <w:sz w:val="24"/>
          <w:szCs w:val="24"/>
        </w:rPr>
      </w:pPr>
    </w:p>
    <w:p w14:paraId="440F6AC0">
      <w:pPr>
        <w:spacing w:line="240" w:lineRule="auto"/>
        <w:jc w:val="both"/>
        <w:rPr>
          <w:rFonts w:ascii="Arial" w:hAnsi="Arial" w:cs="Arial"/>
          <w:sz w:val="24"/>
          <w:szCs w:val="24"/>
        </w:rPr>
      </w:pPr>
    </w:p>
    <w:p w14:paraId="1E7F1BBF">
      <w:pPr>
        <w:spacing w:line="240" w:lineRule="auto"/>
        <w:jc w:val="both"/>
        <w:rPr>
          <w:rFonts w:ascii="Arial" w:hAnsi="Arial" w:cs="Arial"/>
          <w:sz w:val="24"/>
          <w:szCs w:val="24"/>
        </w:rPr>
      </w:pPr>
    </w:p>
    <w:p w14:paraId="0D58399E">
      <w:pPr>
        <w:spacing w:line="240" w:lineRule="auto"/>
        <w:jc w:val="center"/>
        <w:rPr>
          <w:rFonts w:ascii="Arial" w:hAnsi="Arial" w:cs="Arial"/>
          <w:sz w:val="24"/>
          <w:szCs w:val="24"/>
        </w:rPr>
      </w:pPr>
      <w:r>
        <w:rPr>
          <w:rFonts w:ascii="Arial" w:hAnsi="Arial" w:cs="Arial"/>
          <w:sz w:val="24"/>
          <w:szCs w:val="24"/>
        </w:rPr>
        <w:t>__</w:t>
      </w:r>
      <w:r>
        <w:rPr>
          <w:rFonts w:ascii="Arial" w:hAnsi="Arial" w:cs="Arial"/>
          <w:sz w:val="24"/>
          <w:szCs w:val="24"/>
          <w:u w:val="single"/>
        </w:rPr>
        <w:t xml:space="preserve">(Local)______________, </w:t>
      </w:r>
      <w:r>
        <w:rPr>
          <w:rFonts w:ascii="Arial" w:hAnsi="Arial" w:cs="Arial"/>
          <w:sz w:val="24"/>
          <w:szCs w:val="24"/>
        </w:rPr>
        <w:t xml:space="preserve"> __</w:t>
      </w:r>
      <w:r>
        <w:rPr>
          <w:rFonts w:ascii="Arial" w:hAnsi="Arial" w:cs="Arial"/>
          <w:sz w:val="24"/>
          <w:szCs w:val="24"/>
          <w:u w:val="single"/>
        </w:rPr>
        <w:t>(Data)</w:t>
      </w:r>
      <w:r>
        <w:rPr>
          <w:rFonts w:ascii="Arial" w:hAnsi="Arial" w:cs="Arial"/>
          <w:sz w:val="24"/>
          <w:szCs w:val="24"/>
        </w:rPr>
        <w:t>______________</w:t>
      </w:r>
    </w:p>
    <w:p w14:paraId="0CA723F7">
      <w:pPr>
        <w:spacing w:line="240" w:lineRule="auto"/>
        <w:jc w:val="center"/>
        <w:rPr>
          <w:rFonts w:ascii="Arial" w:hAnsi="Arial" w:cs="Arial"/>
          <w:sz w:val="24"/>
          <w:szCs w:val="24"/>
        </w:rPr>
      </w:pPr>
    </w:p>
    <w:p w14:paraId="031B6BBD">
      <w:pPr>
        <w:spacing w:line="240" w:lineRule="auto"/>
        <w:jc w:val="center"/>
        <w:rPr>
          <w:rFonts w:ascii="Arial" w:hAnsi="Arial" w:cs="Arial"/>
          <w:sz w:val="24"/>
          <w:szCs w:val="24"/>
        </w:rPr>
      </w:pPr>
      <w:r>
        <w:rPr>
          <w:rFonts w:ascii="Arial" w:hAnsi="Arial" w:cs="Arial"/>
          <w:sz w:val="24"/>
          <w:szCs w:val="24"/>
        </w:rPr>
        <w:t>__________________________________________</w:t>
      </w:r>
    </w:p>
    <w:p w14:paraId="4E00DD31">
      <w:pPr>
        <w:spacing w:line="240" w:lineRule="auto"/>
        <w:jc w:val="center"/>
        <w:rPr>
          <w:rFonts w:ascii="Arial" w:hAnsi="Arial" w:cs="Arial"/>
          <w:sz w:val="24"/>
          <w:szCs w:val="24"/>
        </w:rPr>
      </w:pPr>
      <w:r>
        <w:rPr>
          <w:rFonts w:ascii="Arial" w:hAnsi="Arial" w:cs="Arial"/>
          <w:sz w:val="24"/>
          <w:szCs w:val="24"/>
        </w:rPr>
        <w:t>(Assinatura do Representante Legal)</w:t>
      </w:r>
    </w:p>
    <w:p w14:paraId="12328F1A">
      <w:pPr>
        <w:pStyle w:val="29"/>
        <w:spacing w:before="0" w:beforeAutospacing="0" w:after="200" w:afterAutospacing="0" w:line="240" w:lineRule="auto"/>
        <w:jc w:val="center"/>
        <w:rPr>
          <w:b/>
          <w:sz w:val="24"/>
          <w:szCs w:val="24"/>
        </w:rPr>
      </w:pPr>
    </w:p>
    <w:p w14:paraId="38A88AF3">
      <w:pPr>
        <w:pStyle w:val="29"/>
        <w:spacing w:before="0" w:beforeAutospacing="0" w:after="200" w:afterAutospacing="0" w:line="240" w:lineRule="auto"/>
        <w:jc w:val="center"/>
        <w:rPr>
          <w:b/>
          <w:sz w:val="24"/>
          <w:szCs w:val="24"/>
        </w:rPr>
      </w:pPr>
    </w:p>
    <w:p w14:paraId="34E75017">
      <w:pPr>
        <w:spacing w:after="160" w:line="259" w:lineRule="auto"/>
        <w:rPr>
          <w:rFonts w:ascii="Arial" w:hAnsi="Arial" w:eastAsia="Arial Unicode MS" w:cs="Arial"/>
          <w:b/>
          <w:sz w:val="24"/>
          <w:szCs w:val="24"/>
          <w:lang w:eastAsia="pt-BR"/>
        </w:rPr>
      </w:pPr>
      <w:r>
        <w:rPr>
          <w:b/>
          <w:sz w:val="24"/>
          <w:szCs w:val="24"/>
        </w:rPr>
        <w:br w:type="page"/>
      </w:r>
    </w:p>
    <w:p w14:paraId="6B50CB10">
      <w:pPr>
        <w:spacing w:line="240" w:lineRule="auto"/>
        <w:ind w:left="1134"/>
        <w:jc w:val="both"/>
        <w:rPr>
          <w:rFonts w:ascii="Arial" w:hAnsi="Arial" w:cs="Arial"/>
          <w:b/>
          <w:sz w:val="24"/>
          <w:szCs w:val="24"/>
        </w:rPr>
      </w:pPr>
      <w:r>
        <w:rPr>
          <w:rFonts w:ascii="Times New Roman"/>
          <w:sz w:val="20"/>
        </w:rPr>
        <mc:AlternateContent>
          <mc:Choice Requires="wps">
            <w:drawing>
              <wp:anchor distT="0" distB="0" distL="0" distR="0" simplePos="0" relativeHeight="251660288" behindDoc="0" locked="0" layoutInCell="1" allowOverlap="1">
                <wp:simplePos x="0" y="0"/>
                <wp:positionH relativeFrom="page">
                  <wp:posOffset>317500</wp:posOffset>
                </wp:positionH>
                <wp:positionV relativeFrom="page">
                  <wp:posOffset>1391285</wp:posOffset>
                </wp:positionV>
                <wp:extent cx="6918325" cy="8756650"/>
                <wp:effectExtent l="0" t="0" r="0" b="0"/>
                <wp:wrapNone/>
                <wp:docPr id="1959318955" name="Textbox 1"/>
                <wp:cNvGraphicFramePr/>
                <a:graphic xmlns:a="http://schemas.openxmlformats.org/drawingml/2006/main">
                  <a:graphicData uri="http://schemas.microsoft.com/office/word/2010/wordprocessingShape">
                    <wps:wsp>
                      <wps:cNvSpPr txBox="1"/>
                      <wps:spPr>
                        <a:xfrm>
                          <a:off x="0" y="0"/>
                          <a:ext cx="6918325" cy="8756678"/>
                        </a:xfrm>
                        <a:prstGeom prst="rect">
                          <a:avLst/>
                        </a:prstGeom>
                      </wps:spPr>
                      <wps:txbx>
                        <w:txbxContent>
                          <w:tbl>
                            <w:tblPr>
                              <w:tblStyle w:val="60"/>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040"/>
                              <w:gridCol w:w="1380"/>
                              <w:gridCol w:w="700"/>
                              <w:gridCol w:w="840"/>
                              <w:gridCol w:w="620"/>
                              <w:gridCol w:w="1100"/>
                              <w:gridCol w:w="400"/>
                              <w:gridCol w:w="1180"/>
                              <w:gridCol w:w="520"/>
                              <w:gridCol w:w="2440"/>
                            </w:tblGrid>
                            <w:tr w14:paraId="54F9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760" w:type="dxa"/>
                                  <w:gridSpan w:val="11"/>
                                  <w:tcBorders>
                                    <w:bottom w:val="single" w:color="000000" w:sz="8" w:space="0"/>
                                  </w:tcBorders>
                                </w:tcPr>
                                <w:p w14:paraId="4D9E824A">
                                  <w:pPr>
                                    <w:pStyle w:val="61"/>
                                    <w:tabs>
                                      <w:tab w:val="left" w:pos="8959"/>
                                    </w:tabs>
                                    <w:spacing w:before="22"/>
                                    <w:ind w:left="140"/>
                                    <w:rPr>
                                      <w:position w:val="2"/>
                                      <w:sz w:val="16"/>
                                    </w:rPr>
                                  </w:pPr>
                                  <w:r>
                                    <w:rPr>
                                      <w:rFonts w:ascii="Arial" w:hAnsi="Arial"/>
                                      <w:b/>
                                      <w:sz w:val="18"/>
                                    </w:rPr>
                                    <w:t>Data</w:t>
                                  </w:r>
                                  <w:r>
                                    <w:rPr>
                                      <w:rFonts w:ascii="Arial" w:hAnsi="Arial"/>
                                      <w:b/>
                                      <w:spacing w:val="9"/>
                                      <w:sz w:val="18"/>
                                    </w:rPr>
                                    <w:t xml:space="preserve"> </w:t>
                                  </w:r>
                                  <w:r>
                                    <w:rPr>
                                      <w:rFonts w:ascii="Arial" w:hAnsi="Arial"/>
                                      <w:b/>
                                      <w:sz w:val="18"/>
                                    </w:rPr>
                                    <w:t>da</w:t>
                                  </w:r>
                                  <w:r>
                                    <w:rPr>
                                      <w:rFonts w:ascii="Arial" w:hAnsi="Arial"/>
                                      <w:b/>
                                      <w:spacing w:val="10"/>
                                      <w:sz w:val="18"/>
                                    </w:rPr>
                                    <w:t xml:space="preserve"> </w:t>
                                  </w:r>
                                  <w:r>
                                    <w:rPr>
                                      <w:rFonts w:ascii="Arial" w:hAnsi="Arial"/>
                                      <w:b/>
                                      <w:sz w:val="18"/>
                                    </w:rPr>
                                    <w:t>Emissão</w:t>
                                  </w:r>
                                  <w:r>
                                    <w:rPr>
                                      <w:rFonts w:ascii="Arial" w:hAnsi="Arial"/>
                                      <w:b/>
                                      <w:spacing w:val="10"/>
                                      <w:sz w:val="18"/>
                                    </w:rPr>
                                    <w:t xml:space="preserve"> </w:t>
                                  </w:r>
                                  <w:r>
                                    <w:rPr>
                                      <w:rFonts w:ascii="Arial" w:hAnsi="Arial"/>
                                      <w:b/>
                                      <w:spacing w:val="-2"/>
                                      <w:sz w:val="18"/>
                                    </w:rPr>
                                    <w:t xml:space="preserve">: </w:t>
                                  </w:r>
                                  <w:r>
                                    <w:rPr>
                                      <w:rFonts w:ascii="Arial" w:hAnsi="Arial"/>
                                      <w:bCs/>
                                      <w:spacing w:val="-2"/>
                                      <w:sz w:val="18"/>
                                    </w:rPr>
                                    <w:t>XX</w:t>
                                  </w:r>
                                  <w:r>
                                    <w:rPr>
                                      <w:spacing w:val="-2"/>
                                      <w:sz w:val="18"/>
                                    </w:rPr>
                                    <w:t>/XX/2025</w:t>
                                  </w:r>
                                  <w:r>
                                    <w:rPr>
                                      <w:sz w:val="18"/>
                                    </w:rPr>
                                    <w:tab/>
                                  </w:r>
                                  <w:r>
                                    <w:rPr>
                                      <w:position w:val="2"/>
                                      <w:sz w:val="16"/>
                                    </w:rPr>
                                    <w:t>Página</w:t>
                                  </w:r>
                                  <w:r>
                                    <w:rPr>
                                      <w:spacing w:val="6"/>
                                      <w:position w:val="2"/>
                                      <w:sz w:val="16"/>
                                    </w:rPr>
                                    <w:t xml:space="preserve"> </w:t>
                                  </w:r>
                                  <w:r>
                                    <w:rPr>
                                      <w:position w:val="2"/>
                                      <w:sz w:val="16"/>
                                    </w:rPr>
                                    <w:t>:</w:t>
                                  </w:r>
                                  <w:r>
                                    <w:rPr>
                                      <w:spacing w:val="54"/>
                                      <w:position w:val="2"/>
                                      <w:sz w:val="16"/>
                                    </w:rPr>
                                    <w:t xml:space="preserve"> </w:t>
                                  </w:r>
                                  <w:r>
                                    <w:rPr>
                                      <w:spacing w:val="-5"/>
                                      <w:position w:val="2"/>
                                      <w:sz w:val="16"/>
                                    </w:rPr>
                                    <w:t>1/2</w:t>
                                  </w:r>
                                </w:p>
                              </w:tc>
                            </w:tr>
                            <w:tr w14:paraId="4014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20" w:type="dxa"/>
                                  <w:gridSpan w:val="7"/>
                                  <w:tcBorders>
                                    <w:top w:val="single" w:color="000000" w:sz="8" w:space="0"/>
                                    <w:bottom w:val="nil"/>
                                    <w:right w:val="single" w:color="000000" w:sz="8" w:space="0"/>
                                  </w:tcBorders>
                                </w:tcPr>
                                <w:p w14:paraId="787DEF21">
                                  <w:pPr>
                                    <w:pStyle w:val="61"/>
                                    <w:spacing w:before="42"/>
                                    <w:ind w:left="1645"/>
                                    <w:jc w:val="center"/>
                                    <w:rPr>
                                      <w:rFonts w:ascii="Arial"/>
                                      <w:b/>
                                      <w:sz w:val="20"/>
                                    </w:rPr>
                                  </w:pPr>
                                  <w:r>
                                    <w:rPr>
                                      <w:rFonts w:ascii="Arial"/>
                                      <w:b/>
                                      <w:sz w:val="20"/>
                                    </w:rPr>
                                    <w:t>MUNICIPIO</w:t>
                                  </w:r>
                                  <w:r>
                                    <w:rPr>
                                      <w:rFonts w:ascii="Arial"/>
                                      <w:b/>
                                      <w:spacing w:val="14"/>
                                      <w:sz w:val="20"/>
                                    </w:rPr>
                                    <w:t xml:space="preserve"> </w:t>
                                  </w:r>
                                  <w:r>
                                    <w:rPr>
                                      <w:rFonts w:ascii="Arial"/>
                                      <w:b/>
                                      <w:sz w:val="20"/>
                                    </w:rPr>
                                    <w:t>DE</w:t>
                                  </w:r>
                                  <w:r>
                                    <w:rPr>
                                      <w:rFonts w:ascii="Arial"/>
                                      <w:b/>
                                      <w:spacing w:val="14"/>
                                      <w:sz w:val="20"/>
                                    </w:rPr>
                                    <w:t xml:space="preserve"> </w:t>
                                  </w:r>
                                  <w:r>
                                    <w:rPr>
                                      <w:rFonts w:ascii="Arial"/>
                                      <w:b/>
                                      <w:spacing w:val="-2"/>
                                      <w:sz w:val="20"/>
                                    </w:rPr>
                                    <w:t>PAULINIA</w:t>
                                  </w:r>
                                </w:p>
                                <w:p w14:paraId="124BCFFC">
                                  <w:pPr>
                                    <w:pStyle w:val="61"/>
                                    <w:spacing w:before="168" w:line="177" w:lineRule="exact"/>
                                    <w:ind w:left="1645" w:right="20"/>
                                    <w:jc w:val="center"/>
                                    <w:rPr>
                                      <w:sz w:val="16"/>
                                    </w:rPr>
                                  </w:pPr>
                                  <w:r>
                                    <w:rPr>
                                      <w:sz w:val="16"/>
                                    </w:rPr>
                                    <w:t>AV.</w:t>
                                  </w:r>
                                  <w:r>
                                    <w:rPr>
                                      <w:spacing w:val="10"/>
                                      <w:sz w:val="16"/>
                                    </w:rPr>
                                    <w:t xml:space="preserve"> </w:t>
                                  </w:r>
                                  <w:r>
                                    <w:rPr>
                                      <w:sz w:val="16"/>
                                    </w:rPr>
                                    <w:t>PREF.</w:t>
                                  </w:r>
                                  <w:r>
                                    <w:rPr>
                                      <w:spacing w:val="11"/>
                                      <w:sz w:val="16"/>
                                    </w:rPr>
                                    <w:t xml:space="preserve"> </w:t>
                                  </w:r>
                                  <w:r>
                                    <w:rPr>
                                      <w:sz w:val="16"/>
                                    </w:rPr>
                                    <w:t>JOSÉ</w:t>
                                  </w:r>
                                  <w:r>
                                    <w:rPr>
                                      <w:spacing w:val="12"/>
                                      <w:sz w:val="16"/>
                                    </w:rPr>
                                    <w:t xml:space="preserve"> </w:t>
                                  </w:r>
                                  <w:r>
                                    <w:rPr>
                                      <w:sz w:val="16"/>
                                    </w:rPr>
                                    <w:t>LOZANO</w:t>
                                  </w:r>
                                  <w:r>
                                    <w:rPr>
                                      <w:spacing w:val="14"/>
                                      <w:sz w:val="16"/>
                                    </w:rPr>
                                    <w:t xml:space="preserve"> </w:t>
                                  </w:r>
                                  <w:r>
                                    <w:rPr>
                                      <w:sz w:val="16"/>
                                    </w:rPr>
                                    <w:t>ARAÚJO,</w:t>
                                  </w:r>
                                  <w:r>
                                    <w:rPr>
                                      <w:spacing w:val="11"/>
                                      <w:sz w:val="16"/>
                                    </w:rPr>
                                    <w:t xml:space="preserve"> </w:t>
                                  </w:r>
                                  <w:r>
                                    <w:rPr>
                                      <w:spacing w:val="-4"/>
                                      <w:sz w:val="16"/>
                                    </w:rPr>
                                    <w:t>1551</w:t>
                                  </w:r>
                                </w:p>
                              </w:tc>
                              <w:tc>
                                <w:tcPr>
                                  <w:tcW w:w="4540" w:type="dxa"/>
                                  <w:gridSpan w:val="4"/>
                                  <w:tcBorders>
                                    <w:top w:val="single" w:color="000000" w:sz="8" w:space="0"/>
                                    <w:left w:val="single" w:color="000000" w:sz="8" w:space="0"/>
                                    <w:bottom w:val="nil"/>
                                  </w:tcBorders>
                                </w:tcPr>
                                <w:p w14:paraId="0176A7EE">
                                  <w:pPr>
                                    <w:pStyle w:val="61"/>
                                    <w:spacing w:before="132" w:line="240" w:lineRule="atLeast"/>
                                    <w:ind w:left="1497" w:hanging="80"/>
                                    <w:rPr>
                                      <w:rFonts w:ascii="Arial" w:hAnsi="Arial"/>
                                      <w:b/>
                                      <w:sz w:val="20"/>
                                    </w:rPr>
                                  </w:pPr>
                                  <w:r>
                                    <w:rPr>
                                      <w:rFonts w:ascii="Arial" w:hAnsi="Arial"/>
                                      <w:b/>
                                      <w:sz w:val="20"/>
                                    </w:rPr>
                                    <w:t xml:space="preserve">AUTORIZAÇÃO DE </w:t>
                                  </w:r>
                                  <w:r>
                                    <w:rPr>
                                      <w:rFonts w:ascii="Arial" w:hAnsi="Arial"/>
                                      <w:b/>
                                      <w:spacing w:val="-2"/>
                                      <w:sz w:val="20"/>
                                    </w:rPr>
                                    <w:t>FORNECIMENTO</w:t>
                                  </w:r>
                                </w:p>
                              </w:tc>
                            </w:tr>
                            <w:tr w14:paraId="5C2B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220" w:type="dxa"/>
                                  <w:gridSpan w:val="7"/>
                                  <w:vMerge w:val="restart"/>
                                  <w:tcBorders>
                                    <w:top w:val="nil"/>
                                    <w:bottom w:val="nil"/>
                                    <w:right w:val="single" w:color="000000" w:sz="8" w:space="0"/>
                                  </w:tcBorders>
                                </w:tcPr>
                                <w:p w14:paraId="004CE4A7">
                                  <w:pPr>
                                    <w:pStyle w:val="61"/>
                                    <w:spacing w:before="23" w:line="261" w:lineRule="auto"/>
                                    <w:ind w:left="2900" w:right="412" w:hanging="820"/>
                                    <w:rPr>
                                      <w:sz w:val="16"/>
                                    </w:rPr>
                                  </w:pPr>
                                  <w:r>
                                    <w:rPr>
                                      <w:sz w:val="16"/>
                                    </w:rPr>
                                    <w:t>CEP: 13141-901 - PQ. BRASIL 500 - PAULÍNIA/SP CNPJ: 45.751.435/0001-06</w:t>
                                  </w:r>
                                </w:p>
                                <w:p w14:paraId="20EC8382">
                                  <w:pPr>
                                    <w:pStyle w:val="61"/>
                                    <w:spacing w:before="19" w:line="261" w:lineRule="auto"/>
                                    <w:ind w:left="2780" w:right="1292" w:firstLine="300"/>
                                    <w:rPr>
                                      <w:sz w:val="16"/>
                                    </w:rPr>
                                  </w:pPr>
                                  <w:r>
                                    <w:rPr>
                                      <w:sz w:val="16"/>
                                    </w:rPr>
                                    <w:t xml:space="preserve">Fone/Fax: 3874-5600 Site: </w:t>
                                  </w:r>
                                  <w:r>
                                    <w:fldChar w:fldCharType="begin"/>
                                  </w:r>
                                  <w:r>
                                    <w:instrText xml:space="preserve"> HYPERLINK "http://www.paulinia.sp.gov.br/" \h </w:instrText>
                                  </w:r>
                                  <w:r>
                                    <w:fldChar w:fldCharType="separate"/>
                                  </w:r>
                                  <w:r>
                                    <w:rPr>
                                      <w:sz w:val="16"/>
                                    </w:rPr>
                                    <w:t>www.paulinia.sp.gov.br</w:t>
                                  </w:r>
                                  <w:r>
                                    <w:rPr>
                                      <w:sz w:val="16"/>
                                    </w:rPr>
                                    <w:fldChar w:fldCharType="end"/>
                                  </w:r>
                                </w:p>
                              </w:tc>
                              <w:tc>
                                <w:tcPr>
                                  <w:tcW w:w="4540" w:type="dxa"/>
                                  <w:gridSpan w:val="4"/>
                                  <w:tcBorders>
                                    <w:top w:val="nil"/>
                                    <w:left w:val="single" w:color="000000" w:sz="8" w:space="0"/>
                                    <w:bottom w:val="single" w:color="000000" w:sz="8" w:space="0"/>
                                  </w:tcBorders>
                                </w:tcPr>
                                <w:p w14:paraId="2C7DC57B">
                                  <w:pPr>
                                    <w:pStyle w:val="61"/>
                                    <w:spacing w:before="6"/>
                                    <w:ind w:left="1237"/>
                                    <w:rPr>
                                      <w:rFonts w:ascii="Arial" w:hAnsi="Arial"/>
                                      <w:b/>
                                      <w:sz w:val="20"/>
                                    </w:rPr>
                                  </w:pPr>
                                  <w:r>
                                    <w:rPr>
                                      <w:rFonts w:ascii="Arial" w:hAnsi="Arial"/>
                                      <w:b/>
                                      <w:sz w:val="20"/>
                                    </w:rPr>
                                    <w:t>REGISTRO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4"/>
                                      <w:sz w:val="20"/>
                                    </w:rPr>
                                    <w:t>PREÇO</w:t>
                                  </w:r>
                                </w:p>
                                <w:p w14:paraId="700DCAD6">
                                  <w:pPr>
                                    <w:pStyle w:val="61"/>
                                    <w:spacing w:before="30"/>
                                    <w:ind w:left="361"/>
                                    <w:jc w:val="center"/>
                                    <w:rPr>
                                      <w:rFonts w:ascii="Arial"/>
                                      <w:b/>
                                      <w:sz w:val="20"/>
                                    </w:rPr>
                                  </w:pPr>
                                  <w:r>
                                    <w:rPr>
                                      <w:rFonts w:ascii="Arial"/>
                                      <w:b/>
                                      <w:spacing w:val="-2"/>
                                      <w:sz w:val="20"/>
                                    </w:rPr>
                                    <w:t>XXXX/2025</w:t>
                                  </w:r>
                                </w:p>
                              </w:tc>
                            </w:tr>
                            <w:tr w14:paraId="7B4F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220" w:type="dxa"/>
                                  <w:gridSpan w:val="7"/>
                                  <w:vMerge w:val="continue"/>
                                  <w:tcBorders>
                                    <w:top w:val="nil"/>
                                    <w:bottom w:val="nil"/>
                                    <w:right w:val="single" w:color="000000" w:sz="8" w:space="0"/>
                                  </w:tcBorders>
                                </w:tcPr>
                                <w:p w14:paraId="055D32AB">
                                  <w:pPr>
                                    <w:widowControl w:val="0"/>
                                    <w:autoSpaceDE w:val="0"/>
                                    <w:autoSpaceDN w:val="0"/>
                                    <w:rPr>
                                      <w:sz w:val="2"/>
                                      <w:szCs w:val="2"/>
                                      <w:lang w:val="en-US"/>
                                    </w:rPr>
                                  </w:pPr>
                                </w:p>
                              </w:tc>
                              <w:tc>
                                <w:tcPr>
                                  <w:tcW w:w="4540" w:type="dxa"/>
                                  <w:gridSpan w:val="4"/>
                                  <w:tcBorders>
                                    <w:top w:val="single" w:color="000000" w:sz="8" w:space="0"/>
                                    <w:left w:val="single" w:color="000000" w:sz="8" w:space="0"/>
                                    <w:bottom w:val="nil"/>
                                  </w:tcBorders>
                                </w:tcPr>
                                <w:p w14:paraId="636D8337">
                                  <w:pPr>
                                    <w:pStyle w:val="61"/>
                                    <w:tabs>
                                      <w:tab w:val="left" w:pos="2417"/>
                                    </w:tabs>
                                    <w:spacing w:before="62"/>
                                    <w:ind w:left="77"/>
                                    <w:rPr>
                                      <w:sz w:val="20"/>
                                    </w:rPr>
                                  </w:pPr>
                                  <w:r>
                                    <w:rPr>
                                      <w:sz w:val="20"/>
                                    </w:rPr>
                                    <w:t>1a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Fornecedor</w:t>
                                  </w:r>
                                  <w:r>
                                    <w:rPr>
                                      <w:sz w:val="20"/>
                                    </w:rPr>
                                    <w:tab/>
                                  </w:r>
                                  <w:r>
                                    <w:rPr>
                                      <w:sz w:val="20"/>
                                    </w:rPr>
                                    <w:t>3a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Almoxarifado</w:t>
                                  </w:r>
                                </w:p>
                              </w:tc>
                            </w:tr>
                            <w:tr w14:paraId="22FF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220" w:type="dxa"/>
                                  <w:gridSpan w:val="7"/>
                                  <w:tcBorders>
                                    <w:top w:val="nil"/>
                                    <w:bottom w:val="single" w:color="000000" w:sz="8" w:space="0"/>
                                    <w:right w:val="single" w:color="000000" w:sz="8" w:space="0"/>
                                  </w:tcBorders>
                                </w:tcPr>
                                <w:p w14:paraId="3D4E24CE">
                                  <w:pPr>
                                    <w:pStyle w:val="61"/>
                                    <w:ind w:left="0"/>
                                    <w:rPr>
                                      <w:rFonts w:ascii="Times New Roman"/>
                                      <w:sz w:val="16"/>
                                    </w:rPr>
                                  </w:pPr>
                                </w:p>
                              </w:tc>
                              <w:tc>
                                <w:tcPr>
                                  <w:tcW w:w="4540" w:type="dxa"/>
                                  <w:gridSpan w:val="4"/>
                                  <w:tcBorders>
                                    <w:top w:val="nil"/>
                                    <w:left w:val="single" w:color="000000" w:sz="8" w:space="0"/>
                                    <w:bottom w:val="single" w:color="000000" w:sz="8" w:space="0"/>
                                  </w:tcBorders>
                                </w:tcPr>
                                <w:p w14:paraId="79E6B6CB">
                                  <w:pPr>
                                    <w:pStyle w:val="61"/>
                                    <w:tabs>
                                      <w:tab w:val="left" w:pos="2417"/>
                                    </w:tabs>
                                    <w:spacing w:before="51"/>
                                    <w:ind w:left="77"/>
                                    <w:rPr>
                                      <w:sz w:val="20"/>
                                    </w:rPr>
                                  </w:pPr>
                                  <w:r>
                                    <w:rPr>
                                      <w:sz w:val="20"/>
                                    </w:rPr>
                                    <w:t>2a</w:t>
                                  </w:r>
                                  <w:r>
                                    <w:rPr>
                                      <w:spacing w:val="6"/>
                                      <w:sz w:val="20"/>
                                    </w:rPr>
                                    <w:t xml:space="preserve"> </w:t>
                                  </w:r>
                                  <w:r>
                                    <w:rPr>
                                      <w:sz w:val="20"/>
                                    </w:rPr>
                                    <w:t>Via</w:t>
                                  </w:r>
                                  <w:r>
                                    <w:rPr>
                                      <w:spacing w:val="6"/>
                                      <w:sz w:val="20"/>
                                    </w:rPr>
                                    <w:t xml:space="preserve"> </w:t>
                                  </w:r>
                                  <w:r>
                                    <w:rPr>
                                      <w:sz w:val="20"/>
                                    </w:rPr>
                                    <w:t>-</w:t>
                                  </w:r>
                                  <w:r>
                                    <w:rPr>
                                      <w:spacing w:val="5"/>
                                      <w:sz w:val="20"/>
                                    </w:rPr>
                                    <w:t xml:space="preserve"> </w:t>
                                  </w:r>
                                  <w:r>
                                    <w:rPr>
                                      <w:sz w:val="20"/>
                                    </w:rPr>
                                    <w:t>Proc.</w:t>
                                  </w:r>
                                  <w:r>
                                    <w:rPr>
                                      <w:spacing w:val="4"/>
                                      <w:sz w:val="20"/>
                                    </w:rPr>
                                    <w:t xml:space="preserve"> </w:t>
                                  </w:r>
                                  <w:r>
                                    <w:rPr>
                                      <w:sz w:val="20"/>
                                    </w:rPr>
                                    <w:t>de</w:t>
                                  </w:r>
                                  <w:r>
                                    <w:rPr>
                                      <w:spacing w:val="6"/>
                                      <w:sz w:val="20"/>
                                    </w:rPr>
                                    <w:t xml:space="preserve"> </w:t>
                                  </w:r>
                                  <w:r>
                                    <w:rPr>
                                      <w:spacing w:val="-2"/>
                                      <w:sz w:val="20"/>
                                    </w:rPr>
                                    <w:t>Pgto.</w:t>
                                  </w:r>
                                  <w:r>
                                    <w:rPr>
                                      <w:sz w:val="20"/>
                                    </w:rPr>
                                    <w:tab/>
                                  </w:r>
                                  <w:r>
                                    <w:rPr>
                                      <w:sz w:val="20"/>
                                    </w:rPr>
                                    <w:t>4a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Compras</w:t>
                                  </w:r>
                                </w:p>
                              </w:tc>
                            </w:tr>
                            <w:tr w14:paraId="1327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760" w:type="dxa"/>
                                  <w:gridSpan w:val="11"/>
                                  <w:tcBorders>
                                    <w:top w:val="single" w:color="000000" w:sz="8" w:space="0"/>
                                    <w:bottom w:val="single" w:color="000000" w:sz="8" w:space="0"/>
                                  </w:tcBorders>
                                </w:tcPr>
                                <w:p w14:paraId="3EE931C8">
                                  <w:pPr>
                                    <w:pStyle w:val="61"/>
                                    <w:tabs>
                                      <w:tab w:val="left" w:pos="5579"/>
                                      <w:tab w:val="left" w:pos="7339"/>
                                    </w:tabs>
                                    <w:spacing w:before="41"/>
                                    <w:rPr>
                                      <w:position w:val="2"/>
                                      <w:sz w:val="16"/>
                                    </w:rPr>
                                  </w:pPr>
                                  <w:r>
                                    <w:rPr>
                                      <w:rFonts w:ascii="Arial" w:hAnsi="Arial"/>
                                      <w:b/>
                                      <w:sz w:val="18"/>
                                    </w:rPr>
                                    <w:t>Modalidade</w:t>
                                  </w:r>
                                  <w:r>
                                    <w:rPr>
                                      <w:rFonts w:ascii="Arial" w:hAnsi="Arial"/>
                                      <w:b/>
                                      <w:spacing w:val="11"/>
                                      <w:sz w:val="18"/>
                                    </w:rPr>
                                    <w:t xml:space="preserve"> </w:t>
                                  </w:r>
                                  <w:r>
                                    <w:rPr>
                                      <w:sz w:val="16"/>
                                    </w:rPr>
                                    <w:t>PREGÃO</w:t>
                                  </w:r>
                                  <w:r>
                                    <w:rPr>
                                      <w:spacing w:val="22"/>
                                      <w:sz w:val="16"/>
                                    </w:rPr>
                                    <w:t xml:space="preserve"> </w:t>
                                  </w:r>
                                  <w:r>
                                    <w:rPr>
                                      <w:spacing w:val="-2"/>
                                      <w:sz w:val="16"/>
                                    </w:rPr>
                                    <w:t>ELETRÔNICO</w:t>
                                  </w:r>
                                  <w:r>
                                    <w:rPr>
                                      <w:sz w:val="16"/>
                                    </w:rPr>
                                    <w:tab/>
                                  </w:r>
                                  <w:r>
                                    <w:rPr>
                                      <w:rFonts w:ascii="Arial" w:hAnsi="Arial"/>
                                      <w:b/>
                                      <w:position w:val="2"/>
                                      <w:sz w:val="18"/>
                                    </w:rPr>
                                    <w:t>Nro</w:t>
                                  </w:r>
                                  <w:r>
                                    <w:rPr>
                                      <w:rFonts w:ascii="Arial" w:hAnsi="Arial"/>
                                      <w:b/>
                                      <w:spacing w:val="18"/>
                                      <w:position w:val="2"/>
                                      <w:sz w:val="18"/>
                                    </w:rPr>
                                    <w:t xml:space="preserve"> </w:t>
                                  </w:r>
                                  <w:r>
                                    <w:rPr>
                                      <w:spacing w:val="-2"/>
                                      <w:position w:val="2"/>
                                      <w:sz w:val="16"/>
                                    </w:rPr>
                                    <w:t>XX/2025</w:t>
                                  </w:r>
                                  <w:r>
                                    <w:rPr>
                                      <w:position w:val="2"/>
                                      <w:sz w:val="16"/>
                                    </w:rPr>
                                    <w:tab/>
                                  </w:r>
                                  <w:r>
                                    <w:rPr>
                                      <w:rFonts w:ascii="Arial" w:hAnsi="Arial"/>
                                      <w:b/>
                                      <w:position w:val="2"/>
                                      <w:sz w:val="18"/>
                                    </w:rPr>
                                    <w:t>Un.</w:t>
                                  </w:r>
                                  <w:r>
                                    <w:rPr>
                                      <w:rFonts w:ascii="Arial" w:hAnsi="Arial"/>
                                      <w:b/>
                                      <w:spacing w:val="12"/>
                                      <w:position w:val="2"/>
                                      <w:sz w:val="18"/>
                                    </w:rPr>
                                    <w:t xml:space="preserve"> </w:t>
                                  </w:r>
                                  <w:r>
                                    <w:rPr>
                                      <w:rFonts w:ascii="Arial" w:hAnsi="Arial"/>
                                      <w:b/>
                                      <w:position w:val="2"/>
                                      <w:sz w:val="18"/>
                                    </w:rPr>
                                    <w:t>Gestora</w:t>
                                  </w:r>
                                  <w:r>
                                    <w:rPr>
                                      <w:rFonts w:ascii="Arial" w:hAnsi="Arial"/>
                                      <w:b/>
                                      <w:spacing w:val="-8"/>
                                      <w:position w:val="2"/>
                                      <w:sz w:val="18"/>
                                    </w:rPr>
                                    <w:t xml:space="preserve"> </w:t>
                                  </w:r>
                                  <w:r>
                                    <w:rPr>
                                      <w:spacing w:val="-5"/>
                                      <w:position w:val="2"/>
                                      <w:sz w:val="16"/>
                                    </w:rPr>
                                    <w:t>PMP</w:t>
                                  </w:r>
                                </w:p>
                              </w:tc>
                            </w:tr>
                            <w:tr w14:paraId="7521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580" w:type="dxa"/>
                                  <w:gridSpan w:val="2"/>
                                  <w:tcBorders>
                                    <w:top w:val="single" w:color="000000" w:sz="8" w:space="0"/>
                                    <w:bottom w:val="single" w:color="000000" w:sz="8" w:space="0"/>
                                    <w:right w:val="single" w:color="000000" w:sz="8" w:space="0"/>
                                  </w:tcBorders>
                                </w:tcPr>
                                <w:p w14:paraId="73522EF8">
                                  <w:pPr>
                                    <w:pStyle w:val="61"/>
                                    <w:spacing w:before="121"/>
                                    <w:ind w:left="200"/>
                                    <w:rPr>
                                      <w:rFonts w:ascii="Arial" w:hAnsi="Arial"/>
                                      <w:b/>
                                      <w:sz w:val="18"/>
                                    </w:rPr>
                                  </w:pPr>
                                  <w:r>
                                    <w:rPr>
                                      <w:rFonts w:ascii="Arial" w:hAnsi="Arial"/>
                                      <w:b/>
                                      <w:sz w:val="18"/>
                                    </w:rPr>
                                    <w:t>Números</w:t>
                                  </w:r>
                                  <w:r>
                                    <w:rPr>
                                      <w:rFonts w:ascii="Arial" w:hAnsi="Arial"/>
                                      <w:b/>
                                      <w:spacing w:val="16"/>
                                      <w:sz w:val="18"/>
                                    </w:rPr>
                                    <w:t xml:space="preserve"> </w:t>
                                  </w:r>
                                  <w:r>
                                    <w:rPr>
                                      <w:rFonts w:ascii="Arial" w:hAnsi="Arial"/>
                                      <w:b/>
                                      <w:spacing w:val="-4"/>
                                      <w:sz w:val="18"/>
                                    </w:rPr>
                                    <w:t>SC's</w:t>
                                  </w:r>
                                </w:p>
                              </w:tc>
                              <w:tc>
                                <w:tcPr>
                                  <w:tcW w:w="9180" w:type="dxa"/>
                                  <w:gridSpan w:val="9"/>
                                  <w:tcBorders>
                                    <w:top w:val="single" w:color="000000" w:sz="8" w:space="0"/>
                                    <w:left w:val="single" w:color="000000" w:sz="8" w:space="0"/>
                                    <w:bottom w:val="single" w:color="000000" w:sz="8" w:space="0"/>
                                  </w:tcBorders>
                                </w:tcPr>
                                <w:p w14:paraId="32E0CCE4">
                                  <w:pPr>
                                    <w:pStyle w:val="61"/>
                                    <w:tabs>
                                      <w:tab w:val="left" w:pos="2097"/>
                                      <w:tab w:val="left" w:pos="6657"/>
                                    </w:tabs>
                                    <w:spacing w:before="121"/>
                                    <w:ind w:left="157"/>
                                    <w:rPr>
                                      <w:sz w:val="18"/>
                                    </w:rPr>
                                  </w:pPr>
                                  <w:r>
                                    <w:rPr>
                                      <w:spacing w:val="-2"/>
                                      <w:sz w:val="18"/>
                                    </w:rPr>
                                    <w:t>XXX/2025</w:t>
                                  </w:r>
                                  <w:r>
                                    <w:rPr>
                                      <w:sz w:val="18"/>
                                    </w:rPr>
                                    <w:tab/>
                                  </w:r>
                                  <w:r>
                                    <w:rPr>
                                      <w:rFonts w:ascii="Arial" w:hAnsi="Arial"/>
                                      <w:b/>
                                      <w:sz w:val="18"/>
                                    </w:rPr>
                                    <w:t>ATA/Ano:</w:t>
                                  </w:r>
                                  <w:r>
                                    <w:rPr>
                                      <w:rFonts w:ascii="Arial" w:hAnsi="Arial"/>
                                      <w:b/>
                                      <w:spacing w:val="70"/>
                                      <w:sz w:val="18"/>
                                    </w:rPr>
                                    <w:t xml:space="preserve"> </w:t>
                                  </w:r>
                                  <w:r>
                                    <w:rPr>
                                      <w:sz w:val="18"/>
                                    </w:rPr>
                                    <w:t>XXX/2025</w:t>
                                  </w:r>
                                  <w:r>
                                    <w:rPr>
                                      <w:spacing w:val="56"/>
                                      <w:sz w:val="18"/>
                                    </w:rPr>
                                    <w:t xml:space="preserve">  </w:t>
                                  </w:r>
                                  <w:r>
                                    <w:rPr>
                                      <w:rFonts w:ascii="Arial" w:hAnsi="Arial"/>
                                      <w:b/>
                                      <w:sz w:val="18"/>
                                    </w:rPr>
                                    <w:t>Iní.</w:t>
                                  </w:r>
                                  <w:r>
                                    <w:rPr>
                                      <w:rFonts w:ascii="Arial" w:hAnsi="Arial"/>
                                      <w:b/>
                                      <w:spacing w:val="6"/>
                                      <w:sz w:val="18"/>
                                    </w:rPr>
                                    <w:t xml:space="preserve"> </w:t>
                                  </w:r>
                                  <w:r>
                                    <w:rPr>
                                      <w:rFonts w:ascii="Arial" w:hAnsi="Arial"/>
                                      <w:b/>
                                      <w:sz w:val="18"/>
                                    </w:rPr>
                                    <w:t>Vigência:</w:t>
                                  </w:r>
                                  <w:r>
                                    <w:rPr>
                                      <w:rFonts w:ascii="Arial" w:hAnsi="Arial"/>
                                      <w:b/>
                                      <w:spacing w:val="19"/>
                                      <w:sz w:val="18"/>
                                    </w:rPr>
                                    <w:t xml:space="preserve"> </w:t>
                                  </w:r>
                                  <w:r>
                                    <w:rPr>
                                      <w:rFonts w:ascii="Arial" w:hAnsi="Arial"/>
                                      <w:bCs/>
                                      <w:spacing w:val="19"/>
                                      <w:sz w:val="18"/>
                                    </w:rPr>
                                    <w:t>XX</w:t>
                                  </w:r>
                                  <w:r>
                                    <w:rPr>
                                      <w:spacing w:val="-2"/>
                                      <w:sz w:val="18"/>
                                    </w:rPr>
                                    <w:t>/XX/2025</w:t>
                                  </w:r>
                                  <w:r>
                                    <w:rPr>
                                      <w:sz w:val="18"/>
                                    </w:rPr>
                                    <w:tab/>
                                  </w:r>
                                  <w:r>
                                    <w:rPr>
                                      <w:rFonts w:ascii="Arial" w:hAnsi="Arial"/>
                                      <w:b/>
                                      <w:sz w:val="18"/>
                                    </w:rPr>
                                    <w:t>Fim</w:t>
                                  </w:r>
                                  <w:r>
                                    <w:rPr>
                                      <w:rFonts w:ascii="Arial" w:hAnsi="Arial"/>
                                      <w:b/>
                                      <w:spacing w:val="11"/>
                                      <w:sz w:val="18"/>
                                    </w:rPr>
                                    <w:t xml:space="preserve"> </w:t>
                                  </w:r>
                                  <w:r>
                                    <w:rPr>
                                      <w:rFonts w:ascii="Arial" w:hAnsi="Arial"/>
                                      <w:b/>
                                      <w:sz w:val="18"/>
                                    </w:rPr>
                                    <w:t>Vigência:</w:t>
                                  </w:r>
                                  <w:r>
                                    <w:rPr>
                                      <w:rFonts w:ascii="Arial" w:hAnsi="Arial"/>
                                      <w:b/>
                                      <w:spacing w:val="22"/>
                                      <w:sz w:val="18"/>
                                    </w:rPr>
                                    <w:t xml:space="preserve"> </w:t>
                                  </w:r>
                                  <w:r>
                                    <w:rPr>
                                      <w:rFonts w:ascii="Arial" w:hAnsi="Arial"/>
                                      <w:bCs/>
                                      <w:spacing w:val="22"/>
                                      <w:sz w:val="18"/>
                                    </w:rPr>
                                    <w:t>XX</w:t>
                                  </w:r>
                                  <w:r>
                                    <w:rPr>
                                      <w:spacing w:val="-2"/>
                                      <w:sz w:val="18"/>
                                    </w:rPr>
                                    <w:t>/XX/2026</w:t>
                                  </w:r>
                                </w:p>
                              </w:tc>
                            </w:tr>
                            <w:tr w14:paraId="3EF5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580" w:type="dxa"/>
                                  <w:gridSpan w:val="2"/>
                                  <w:tcBorders>
                                    <w:top w:val="single" w:color="000000" w:sz="8" w:space="0"/>
                                    <w:bottom w:val="single" w:color="000000" w:sz="8" w:space="0"/>
                                    <w:right w:val="single" w:color="000000" w:sz="8" w:space="0"/>
                                  </w:tcBorders>
                                </w:tcPr>
                                <w:p w14:paraId="1173A2DE">
                                  <w:pPr>
                                    <w:pStyle w:val="61"/>
                                    <w:spacing w:before="101"/>
                                    <w:ind w:left="140"/>
                                    <w:rPr>
                                      <w:rFonts w:ascii="Arial"/>
                                      <w:b/>
                                      <w:sz w:val="18"/>
                                    </w:rPr>
                                  </w:pPr>
                                  <w:r>
                                    <w:rPr>
                                      <w:rFonts w:ascii="Arial"/>
                                      <w:b/>
                                      <w:sz w:val="18"/>
                                    </w:rPr>
                                    <w:t>Valor</w:t>
                                  </w:r>
                                  <w:r>
                                    <w:rPr>
                                      <w:rFonts w:ascii="Arial"/>
                                      <w:b/>
                                      <w:spacing w:val="9"/>
                                      <w:sz w:val="18"/>
                                    </w:rPr>
                                    <w:t xml:space="preserve"> </w:t>
                                  </w:r>
                                  <w:r>
                                    <w:rPr>
                                      <w:rFonts w:ascii="Arial"/>
                                      <w:b/>
                                      <w:sz w:val="18"/>
                                    </w:rPr>
                                    <w:t>Total</w:t>
                                  </w:r>
                                  <w:r>
                                    <w:rPr>
                                      <w:rFonts w:ascii="Arial"/>
                                      <w:b/>
                                      <w:spacing w:val="10"/>
                                      <w:sz w:val="18"/>
                                    </w:rPr>
                                    <w:t xml:space="preserve"> </w:t>
                                  </w:r>
                                  <w:r>
                                    <w:rPr>
                                      <w:rFonts w:ascii="Arial"/>
                                      <w:b/>
                                      <w:spacing w:val="-4"/>
                                      <w:sz w:val="18"/>
                                    </w:rPr>
                                    <w:t>(R$)</w:t>
                                  </w:r>
                                </w:p>
                              </w:tc>
                              <w:tc>
                                <w:tcPr>
                                  <w:tcW w:w="9180" w:type="dxa"/>
                                  <w:gridSpan w:val="9"/>
                                  <w:tcBorders>
                                    <w:top w:val="single" w:color="000000" w:sz="8" w:space="0"/>
                                    <w:left w:val="single" w:color="000000" w:sz="8" w:space="0"/>
                                    <w:bottom w:val="single" w:color="000000" w:sz="8" w:space="0"/>
                                  </w:tcBorders>
                                </w:tcPr>
                                <w:p w14:paraId="1C3BD8B8">
                                  <w:pPr>
                                    <w:pStyle w:val="61"/>
                                    <w:spacing w:before="101"/>
                                    <w:ind w:left="137"/>
                                    <w:rPr>
                                      <w:rFonts w:ascii="Arial"/>
                                      <w:b/>
                                      <w:sz w:val="18"/>
                                    </w:rPr>
                                  </w:pPr>
                                  <w:r>
                                    <w:rPr>
                                      <w:rFonts w:ascii="Arial"/>
                                      <w:b/>
                                      <w:sz w:val="18"/>
                                    </w:rPr>
                                    <w:t>Valor</w:t>
                                  </w:r>
                                  <w:r>
                                    <w:rPr>
                                      <w:rFonts w:ascii="Arial"/>
                                      <w:b/>
                                      <w:spacing w:val="8"/>
                                      <w:sz w:val="18"/>
                                    </w:rPr>
                                    <w:t xml:space="preserve"> </w:t>
                                  </w:r>
                                  <w:r>
                                    <w:rPr>
                                      <w:rFonts w:ascii="Arial"/>
                                      <w:b/>
                                      <w:sz w:val="18"/>
                                    </w:rPr>
                                    <w:t>total</w:t>
                                  </w:r>
                                  <w:r>
                                    <w:rPr>
                                      <w:rFonts w:ascii="Arial"/>
                                      <w:b/>
                                      <w:spacing w:val="8"/>
                                      <w:sz w:val="18"/>
                                    </w:rPr>
                                    <w:t xml:space="preserve"> </w:t>
                                  </w:r>
                                  <w:r>
                                    <w:rPr>
                                      <w:rFonts w:ascii="Arial"/>
                                      <w:b/>
                                      <w:sz w:val="18"/>
                                    </w:rPr>
                                    <w:t>por</w:t>
                                  </w:r>
                                  <w:r>
                                    <w:rPr>
                                      <w:rFonts w:ascii="Arial"/>
                                      <w:b/>
                                      <w:spacing w:val="9"/>
                                      <w:sz w:val="18"/>
                                    </w:rPr>
                                    <w:t xml:space="preserve"> </w:t>
                                  </w:r>
                                  <w:r>
                                    <w:rPr>
                                      <w:rFonts w:ascii="Arial"/>
                                      <w:b/>
                                      <w:spacing w:val="-2"/>
                                      <w:sz w:val="18"/>
                                    </w:rPr>
                                    <w:t>extenso</w:t>
                                  </w:r>
                                </w:p>
                              </w:tc>
                            </w:tr>
                            <w:tr w14:paraId="59F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80" w:type="dxa"/>
                                  <w:gridSpan w:val="2"/>
                                  <w:tcBorders>
                                    <w:top w:val="single" w:color="000000" w:sz="8" w:space="0"/>
                                    <w:bottom w:val="single" w:color="000000" w:sz="8" w:space="0"/>
                                    <w:right w:val="single" w:color="000000" w:sz="8" w:space="0"/>
                                  </w:tcBorders>
                                </w:tcPr>
                                <w:p w14:paraId="79028E60">
                                  <w:pPr>
                                    <w:pStyle w:val="61"/>
                                    <w:spacing w:before="81"/>
                                    <w:ind w:left="720"/>
                                    <w:rPr>
                                      <w:sz w:val="18"/>
                                    </w:rPr>
                                  </w:pPr>
                                </w:p>
                              </w:tc>
                              <w:tc>
                                <w:tcPr>
                                  <w:tcW w:w="9180" w:type="dxa"/>
                                  <w:gridSpan w:val="9"/>
                                  <w:tcBorders>
                                    <w:top w:val="single" w:color="000000" w:sz="8" w:space="0"/>
                                    <w:left w:val="single" w:color="000000" w:sz="8" w:space="0"/>
                                    <w:bottom w:val="single" w:color="000000" w:sz="8" w:space="0"/>
                                  </w:tcBorders>
                                </w:tcPr>
                                <w:p w14:paraId="721CE811">
                                  <w:pPr>
                                    <w:pStyle w:val="61"/>
                                    <w:spacing w:before="80"/>
                                    <w:ind w:left="183"/>
                                    <w:rPr>
                                      <w:sz w:val="16"/>
                                    </w:rPr>
                                  </w:pPr>
                                </w:p>
                              </w:tc>
                            </w:tr>
                            <w:tr w14:paraId="1863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2" w:hRule="atLeast"/>
                              </w:trPr>
                              <w:tc>
                                <w:tcPr>
                                  <w:tcW w:w="10760" w:type="dxa"/>
                                  <w:gridSpan w:val="11"/>
                                  <w:tcBorders>
                                    <w:top w:val="single" w:color="000000" w:sz="8" w:space="0"/>
                                    <w:bottom w:val="single" w:color="000000" w:sz="8" w:space="0"/>
                                  </w:tcBorders>
                                </w:tcPr>
                                <w:p w14:paraId="43F3FC79">
                                  <w:pPr>
                                    <w:pStyle w:val="61"/>
                                    <w:tabs>
                                      <w:tab w:val="left" w:pos="1599"/>
                                    </w:tabs>
                                    <w:spacing w:before="61"/>
                                    <w:rPr>
                                      <w:sz w:val="18"/>
                                    </w:rPr>
                                  </w:pPr>
                                  <w:r>
                                    <w:rPr>
                                      <w:rFonts w:ascii="Arial"/>
                                      <w:b/>
                                      <w:spacing w:val="-2"/>
                                      <w:sz w:val="18"/>
                                    </w:rPr>
                                    <w:t>Fornecedor</w:t>
                                  </w:r>
                                  <w:r>
                                    <w:rPr>
                                      <w:rFonts w:ascii="Arial"/>
                                      <w:b/>
                                      <w:sz w:val="18"/>
                                    </w:rPr>
                                    <w:tab/>
                                  </w:r>
                                </w:p>
                                <w:p w14:paraId="02297AD6">
                                  <w:pPr>
                                    <w:pStyle w:val="61"/>
                                    <w:spacing w:before="166"/>
                                    <w:ind w:left="0"/>
                                    <w:rPr>
                                      <w:sz w:val="18"/>
                                    </w:rPr>
                                  </w:pPr>
                                </w:p>
                                <w:p w14:paraId="0C5A2528">
                                  <w:pPr>
                                    <w:pStyle w:val="61"/>
                                    <w:tabs>
                                      <w:tab w:val="left" w:pos="1599"/>
                                    </w:tabs>
                                    <w:rPr>
                                      <w:sz w:val="18"/>
                                    </w:rPr>
                                  </w:pPr>
                                  <w:r>
                                    <w:rPr>
                                      <w:rFonts w:ascii="Arial" w:hAnsi="Arial"/>
                                      <w:b/>
                                      <w:spacing w:val="-2"/>
                                      <w:sz w:val="18"/>
                                    </w:rPr>
                                    <w:t>Endereço</w:t>
                                  </w:r>
                                  <w:r>
                                    <w:rPr>
                                      <w:rFonts w:ascii="Arial" w:hAnsi="Arial"/>
                                      <w:b/>
                                      <w:sz w:val="18"/>
                                    </w:rPr>
                                    <w:tab/>
                                  </w:r>
                                </w:p>
                                <w:p w14:paraId="795038F6">
                                  <w:pPr>
                                    <w:pStyle w:val="61"/>
                                    <w:tabs>
                                      <w:tab w:val="left" w:pos="1599"/>
                                    </w:tabs>
                                    <w:spacing w:before="93"/>
                                    <w:rPr>
                                      <w:sz w:val="18"/>
                                    </w:rPr>
                                  </w:pPr>
                                  <w:r>
                                    <w:rPr>
                                      <w:rFonts w:ascii="Arial"/>
                                      <w:b/>
                                      <w:spacing w:val="-2"/>
                                      <w:sz w:val="18"/>
                                    </w:rPr>
                                    <w:t>Bairro</w:t>
                                  </w:r>
                                  <w:r>
                                    <w:rPr>
                                      <w:rFonts w:ascii="Arial"/>
                                      <w:b/>
                                      <w:sz w:val="18"/>
                                    </w:rPr>
                                    <w:tab/>
                                  </w:r>
                                </w:p>
                                <w:p w14:paraId="15A62681">
                                  <w:pPr>
                                    <w:pStyle w:val="61"/>
                                    <w:tabs>
                                      <w:tab w:val="left" w:pos="1599"/>
                                      <w:tab w:val="left" w:pos="4719"/>
                                      <w:tab w:val="left" w:pos="5559"/>
                                      <w:tab w:val="left" w:pos="7719"/>
                                      <w:tab w:val="left" w:pos="8399"/>
                                    </w:tabs>
                                    <w:spacing w:before="93"/>
                                    <w:rPr>
                                      <w:sz w:val="18"/>
                                    </w:rPr>
                                  </w:pPr>
                                  <w:r>
                                    <w:rPr>
                                      <w:rFonts w:ascii="Arial"/>
                                      <w:b/>
                                      <w:spacing w:val="-2"/>
                                      <w:sz w:val="18"/>
                                    </w:rPr>
                                    <w:t>Cidade</w:t>
                                  </w:r>
                                  <w:r>
                                    <w:rPr>
                                      <w:rFonts w:ascii="Arial"/>
                                      <w:b/>
                                      <w:sz w:val="18"/>
                                    </w:rPr>
                                    <w:tab/>
                                  </w:r>
                                  <w:r>
                                    <w:rPr>
                                      <w:sz w:val="18"/>
                                    </w:rPr>
                                    <w:tab/>
                                  </w:r>
                                  <w:r>
                                    <w:rPr>
                                      <w:rFonts w:ascii="Arial"/>
                                      <w:b/>
                                      <w:spacing w:val="-2"/>
                                      <w:sz w:val="18"/>
                                    </w:rPr>
                                    <w:t>Estado</w:t>
                                  </w:r>
                                  <w:r>
                                    <w:rPr>
                                      <w:rFonts w:ascii="Arial"/>
                                      <w:b/>
                                      <w:sz w:val="18"/>
                                    </w:rPr>
                                    <w:tab/>
                                  </w:r>
                                  <w:r>
                                    <w:rPr>
                                      <w:sz w:val="18"/>
                                    </w:rPr>
                                    <w:tab/>
                                  </w:r>
                                  <w:r>
                                    <w:rPr>
                                      <w:rFonts w:ascii="Arial"/>
                                      <w:b/>
                                      <w:spacing w:val="-5"/>
                                      <w:sz w:val="18"/>
                                    </w:rPr>
                                    <w:t>Cep</w:t>
                                  </w:r>
                                  <w:r>
                                    <w:rPr>
                                      <w:rFonts w:ascii="Arial"/>
                                      <w:b/>
                                      <w:sz w:val="18"/>
                                    </w:rPr>
                                    <w:tab/>
                                  </w:r>
                                </w:p>
                                <w:p w14:paraId="221FD1D8">
                                  <w:pPr>
                                    <w:pStyle w:val="61"/>
                                    <w:tabs>
                                      <w:tab w:val="left" w:pos="1599"/>
                                      <w:tab w:val="left" w:pos="4719"/>
                                      <w:tab w:val="left" w:pos="7719"/>
                                      <w:tab w:val="left" w:pos="8399"/>
                                    </w:tabs>
                                    <w:spacing w:before="93"/>
                                    <w:rPr>
                                      <w:sz w:val="18"/>
                                    </w:rPr>
                                  </w:pPr>
                                  <w:r>
                                    <w:rPr>
                                      <w:rFonts w:ascii="Arial"/>
                                      <w:b/>
                                      <w:spacing w:val="-2"/>
                                      <w:sz w:val="18"/>
                                    </w:rPr>
                                    <w:t>CNPJ.(RG)</w:t>
                                  </w:r>
                                  <w:r>
                                    <w:rPr>
                                      <w:rFonts w:ascii="Arial"/>
                                      <w:b/>
                                      <w:sz w:val="18"/>
                                    </w:rPr>
                                    <w:tab/>
                                  </w:r>
                                  <w:r>
                                    <w:rPr>
                                      <w:sz w:val="18"/>
                                    </w:rPr>
                                    <w:tab/>
                                  </w:r>
                                  <w:r>
                                    <w:rPr>
                                      <w:rFonts w:ascii="Arial"/>
                                      <w:b/>
                                      <w:sz w:val="18"/>
                                    </w:rPr>
                                    <w:t>Telefone</w:t>
                                  </w:r>
                                  <w:r>
                                    <w:rPr>
                                      <w:rFonts w:ascii="Arial"/>
                                      <w:b/>
                                      <w:spacing w:val="41"/>
                                      <w:sz w:val="18"/>
                                    </w:rPr>
                                    <w:t xml:space="preserve"> </w:t>
                                  </w:r>
                                  <w:r>
                                    <w:rPr>
                                      <w:sz w:val="18"/>
                                    </w:rPr>
                                    <w:tab/>
                                  </w:r>
                                  <w:r>
                                    <w:rPr>
                                      <w:rFonts w:ascii="Arial"/>
                                      <w:b/>
                                      <w:spacing w:val="-5"/>
                                      <w:sz w:val="18"/>
                                    </w:rPr>
                                    <w:t>Fax</w:t>
                                  </w:r>
                                  <w:r>
                                    <w:rPr>
                                      <w:rFonts w:ascii="Arial"/>
                                      <w:b/>
                                      <w:sz w:val="18"/>
                                    </w:rPr>
                                    <w:tab/>
                                  </w:r>
                                </w:p>
                                <w:p w14:paraId="39C2210A">
                                  <w:pPr>
                                    <w:pStyle w:val="61"/>
                                    <w:tabs>
                                      <w:tab w:val="left" w:pos="1599"/>
                                    </w:tabs>
                                    <w:spacing w:before="93"/>
                                    <w:rPr>
                                      <w:sz w:val="18"/>
                                    </w:rPr>
                                  </w:pPr>
                                  <w:r>
                                    <w:rPr>
                                      <w:rFonts w:ascii="Arial"/>
                                      <w:b/>
                                      <w:spacing w:val="-4"/>
                                      <w:sz w:val="18"/>
                                    </w:rPr>
                                    <w:t>Email</w:t>
                                  </w:r>
                                  <w:r>
                                    <w:rPr>
                                      <w:rFonts w:ascii="Arial"/>
                                      <w:b/>
                                      <w:sz w:val="18"/>
                                    </w:rPr>
                                    <w:tab/>
                                  </w:r>
                                </w:p>
                                <w:p w14:paraId="677A40BE">
                                  <w:pPr>
                                    <w:pStyle w:val="61"/>
                                    <w:tabs>
                                      <w:tab w:val="left" w:pos="1599"/>
                                      <w:tab w:val="left" w:pos="4719"/>
                                      <w:tab w:val="left" w:pos="7719"/>
                                    </w:tabs>
                                    <w:spacing w:before="93"/>
                                    <w:rPr>
                                      <w:sz w:val="18"/>
                                    </w:rPr>
                                  </w:pPr>
                                  <w:r>
                                    <w:rPr>
                                      <w:rFonts w:ascii="Arial" w:hAnsi="Arial"/>
                                      <w:b/>
                                      <w:spacing w:val="-2"/>
                                      <w:sz w:val="18"/>
                                    </w:rPr>
                                    <w:t>Banco</w:t>
                                  </w:r>
                                  <w:r>
                                    <w:rPr>
                                      <w:rFonts w:ascii="Arial" w:hAnsi="Arial"/>
                                      <w:b/>
                                      <w:sz w:val="18"/>
                                    </w:rPr>
                                    <w:tab/>
                                  </w:r>
                                  <w:r>
                                    <w:rPr>
                                      <w:sz w:val="18"/>
                                    </w:rPr>
                                    <w:tab/>
                                  </w:r>
                                  <w:r>
                                    <w:rPr>
                                      <w:rFonts w:ascii="Arial" w:hAnsi="Arial"/>
                                      <w:b/>
                                      <w:sz w:val="18"/>
                                    </w:rPr>
                                    <w:t>Agência</w:t>
                                  </w:r>
                                  <w:r>
                                    <w:rPr>
                                      <w:sz w:val="18"/>
                                    </w:rPr>
                                    <w:tab/>
                                  </w:r>
                                  <w:r>
                                    <w:rPr>
                                      <w:rFonts w:ascii="Arial" w:hAnsi="Arial"/>
                                      <w:b/>
                                      <w:sz w:val="18"/>
                                    </w:rPr>
                                    <w:t>Conta</w:t>
                                  </w:r>
                                  <w:r>
                                    <w:rPr>
                                      <w:rFonts w:ascii="Arial" w:hAnsi="Arial"/>
                                      <w:b/>
                                      <w:spacing w:val="33"/>
                                      <w:sz w:val="18"/>
                                    </w:rPr>
                                    <w:t xml:space="preserve">  </w:t>
                                  </w:r>
                                </w:p>
                                <w:p w14:paraId="58129722">
                                  <w:pPr>
                                    <w:pStyle w:val="61"/>
                                    <w:spacing w:before="93"/>
                                    <w:rPr>
                                      <w:sz w:val="18"/>
                                    </w:rPr>
                                  </w:pPr>
                                  <w:r>
                                    <w:rPr>
                                      <w:rFonts w:ascii="Arial" w:hAnsi="Arial"/>
                                      <w:b/>
                                      <w:sz w:val="18"/>
                                    </w:rPr>
                                    <w:t>Condição</w:t>
                                  </w:r>
                                  <w:r>
                                    <w:rPr>
                                      <w:rFonts w:ascii="Arial" w:hAnsi="Arial"/>
                                      <w:b/>
                                      <w:spacing w:val="7"/>
                                      <w:sz w:val="18"/>
                                    </w:rPr>
                                    <w:t xml:space="preserve"> </w:t>
                                  </w:r>
                                  <w:r>
                                    <w:rPr>
                                      <w:rFonts w:ascii="Arial" w:hAnsi="Arial"/>
                                      <w:b/>
                                      <w:sz w:val="18"/>
                                    </w:rPr>
                                    <w:t>Pagto</w:t>
                                  </w:r>
                                  <w:r>
                                    <w:rPr>
                                      <w:rFonts w:ascii="Arial" w:hAnsi="Arial"/>
                                      <w:b/>
                                      <w:spacing w:val="55"/>
                                      <w:w w:val="150"/>
                                      <w:sz w:val="18"/>
                                    </w:rPr>
                                    <w:t xml:space="preserve"> </w:t>
                                  </w:r>
                                </w:p>
                                <w:p w14:paraId="5C3CD296">
                                  <w:pPr>
                                    <w:pStyle w:val="61"/>
                                    <w:tabs>
                                      <w:tab w:val="left" w:pos="1599"/>
                                    </w:tabs>
                                    <w:spacing w:before="93"/>
                                    <w:rPr>
                                      <w:sz w:val="18"/>
                                    </w:rPr>
                                  </w:pPr>
                                  <w:r>
                                    <w:rPr>
                                      <w:rFonts w:ascii="Arial"/>
                                      <w:b/>
                                      <w:sz w:val="18"/>
                                    </w:rPr>
                                    <w:t>Prazo</w:t>
                                  </w:r>
                                  <w:r>
                                    <w:rPr>
                                      <w:rFonts w:ascii="Arial"/>
                                      <w:b/>
                                      <w:spacing w:val="10"/>
                                      <w:sz w:val="18"/>
                                    </w:rPr>
                                    <w:t xml:space="preserve"> </w:t>
                                  </w:r>
                                  <w:r>
                                    <w:rPr>
                                      <w:rFonts w:ascii="Arial"/>
                                      <w:b/>
                                      <w:spacing w:val="-2"/>
                                      <w:sz w:val="18"/>
                                    </w:rPr>
                                    <w:t>Entrega</w:t>
                                  </w:r>
                                  <w:r>
                                    <w:rPr>
                                      <w:rFonts w:ascii="Arial"/>
                                      <w:b/>
                                      <w:sz w:val="18"/>
                                    </w:rPr>
                                    <w:tab/>
                                  </w:r>
                                </w:p>
                                <w:p w14:paraId="2467992A">
                                  <w:pPr>
                                    <w:pStyle w:val="61"/>
                                    <w:tabs>
                                      <w:tab w:val="left" w:pos="1599"/>
                                    </w:tabs>
                                    <w:spacing w:before="93"/>
                                    <w:rPr>
                                      <w:sz w:val="20"/>
                                    </w:rPr>
                                  </w:pPr>
                                  <w:r>
                                    <w:rPr>
                                      <w:rFonts w:ascii="Arial" w:hAnsi="Arial"/>
                                      <w:b/>
                                      <w:position w:val="2"/>
                                      <w:sz w:val="18"/>
                                    </w:rPr>
                                    <w:t>Local</w:t>
                                  </w:r>
                                  <w:r>
                                    <w:rPr>
                                      <w:rFonts w:ascii="Arial" w:hAnsi="Arial"/>
                                      <w:b/>
                                      <w:spacing w:val="10"/>
                                      <w:position w:val="2"/>
                                      <w:sz w:val="18"/>
                                    </w:rPr>
                                    <w:t xml:space="preserve"> </w:t>
                                  </w:r>
                                  <w:r>
                                    <w:rPr>
                                      <w:rFonts w:ascii="Arial" w:hAnsi="Arial"/>
                                      <w:b/>
                                      <w:spacing w:val="-2"/>
                                      <w:position w:val="2"/>
                                      <w:sz w:val="18"/>
                                    </w:rPr>
                                    <w:t>Entrega</w:t>
                                  </w:r>
                                  <w:r>
                                    <w:rPr>
                                      <w:rFonts w:ascii="Arial" w:hAnsi="Arial"/>
                                      <w:b/>
                                      <w:position w:val="2"/>
                                      <w:sz w:val="18"/>
                                    </w:rPr>
                                    <w:tab/>
                                  </w:r>
                                </w:p>
                                <w:p w14:paraId="356B9D7A">
                                  <w:pPr>
                                    <w:pStyle w:val="61"/>
                                    <w:tabs>
                                      <w:tab w:val="left" w:pos="1599"/>
                                      <w:tab w:val="left" w:pos="7219"/>
                                    </w:tabs>
                                    <w:spacing w:before="69"/>
                                    <w:rPr>
                                      <w:position w:val="-1"/>
                                      <w:sz w:val="20"/>
                                    </w:rPr>
                                  </w:pPr>
                                  <w:r>
                                    <w:rPr>
                                      <w:rFonts w:ascii="Arial"/>
                                      <w:b/>
                                      <w:sz w:val="18"/>
                                    </w:rPr>
                                    <w:t>Bairro</w:t>
                                  </w:r>
                                  <w:r>
                                    <w:rPr>
                                      <w:rFonts w:ascii="Arial"/>
                                      <w:b/>
                                      <w:spacing w:val="11"/>
                                      <w:sz w:val="18"/>
                                    </w:rPr>
                                    <w:t xml:space="preserve"> </w:t>
                                  </w:r>
                                  <w:r>
                                    <w:rPr>
                                      <w:rFonts w:ascii="Arial"/>
                                      <w:b/>
                                      <w:spacing w:val="-2"/>
                                      <w:sz w:val="18"/>
                                    </w:rPr>
                                    <w:t>Entrega</w:t>
                                  </w:r>
                                  <w:r>
                                    <w:rPr>
                                      <w:rFonts w:ascii="Arial"/>
                                      <w:b/>
                                      <w:sz w:val="18"/>
                                    </w:rPr>
                                    <w:tab/>
                                  </w:r>
                                  <w:r>
                                    <w:rPr>
                                      <w:position w:val="-1"/>
                                      <w:sz w:val="20"/>
                                    </w:rPr>
                                    <w:tab/>
                                  </w:r>
                                  <w:r>
                                    <w:rPr>
                                      <w:rFonts w:ascii="Arial"/>
                                      <w:b/>
                                      <w:sz w:val="18"/>
                                    </w:rPr>
                                    <w:t>Cep</w:t>
                                  </w:r>
                                  <w:r>
                                    <w:rPr>
                                      <w:rFonts w:ascii="Arial"/>
                                      <w:b/>
                                      <w:spacing w:val="11"/>
                                      <w:sz w:val="18"/>
                                    </w:rPr>
                                    <w:t xml:space="preserve"> </w:t>
                                  </w:r>
                                  <w:r>
                                    <w:rPr>
                                      <w:rFonts w:ascii="Arial"/>
                                      <w:b/>
                                      <w:sz w:val="18"/>
                                    </w:rPr>
                                    <w:t>Entrega</w:t>
                                  </w:r>
                                  <w:r>
                                    <w:rPr>
                                      <w:rFonts w:ascii="Arial"/>
                                      <w:b/>
                                      <w:spacing w:val="38"/>
                                      <w:sz w:val="18"/>
                                    </w:rPr>
                                    <w:t xml:space="preserve"> </w:t>
                                  </w:r>
                                </w:p>
                                <w:p w14:paraId="7C851427">
                                  <w:pPr>
                                    <w:pStyle w:val="61"/>
                                    <w:spacing w:before="69" w:line="348" w:lineRule="auto"/>
                                    <w:ind w:right="195"/>
                                    <w:rPr>
                                      <w:rFonts w:ascii="Arial" w:hAnsi="Arial"/>
                                      <w:b/>
                                      <w:sz w:val="18"/>
                                    </w:rPr>
                                  </w:pPr>
                                  <w:r>
                                    <w:rPr>
                                      <w:rFonts w:ascii="Arial" w:hAnsi="Arial"/>
                                      <w:b/>
                                      <w:sz w:val="18"/>
                                    </w:rPr>
                                    <w:t xml:space="preserve">Fonte de Recursos/Convênio </w:t>
                                  </w:r>
                                  <w:r>
                                    <w:rPr>
                                      <w:rFonts w:ascii="Arial" w:hAnsi="Arial"/>
                                      <w:b/>
                                      <w:spacing w:val="-2"/>
                                      <w:sz w:val="18"/>
                                    </w:rPr>
                                    <w:t xml:space="preserve">Observação: </w:t>
                                  </w:r>
                                  <w:r>
                                    <w:rPr>
                                      <w:rFonts w:ascii="Arial" w:hAnsi="Arial"/>
                                      <w:b/>
                                      <w:spacing w:val="-2"/>
                                      <w:sz w:val="18"/>
                                      <w:highlight w:val="yellow"/>
                                    </w:rPr>
                                    <w:t>Esta Autorização de Fornecimento tem vigência de 12 (doze) meses a contar da data de emissão</w:t>
                                  </w:r>
                                </w:p>
                              </w:tc>
                            </w:tr>
                            <w:tr w14:paraId="58C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0760" w:type="dxa"/>
                                  <w:gridSpan w:val="11"/>
                                  <w:tcBorders>
                                    <w:top w:val="single" w:color="000000" w:sz="8" w:space="0"/>
                                    <w:bottom w:val="single" w:color="000000" w:sz="8" w:space="0"/>
                                  </w:tcBorders>
                                </w:tcPr>
                                <w:p w14:paraId="2D66B8B5">
                                  <w:pPr>
                                    <w:pStyle w:val="61"/>
                                    <w:spacing w:before="41"/>
                                    <w:ind w:left="100"/>
                                    <w:rPr>
                                      <w:sz w:val="18"/>
                                    </w:rPr>
                                  </w:pPr>
                                  <w:r>
                                    <w:rPr>
                                      <w:rFonts w:ascii="Arial"/>
                                      <w:b/>
                                      <w:sz w:val="18"/>
                                    </w:rPr>
                                    <w:t>Processo</w:t>
                                  </w:r>
                                  <w:r>
                                    <w:rPr>
                                      <w:rFonts w:ascii="Arial"/>
                                      <w:b/>
                                      <w:spacing w:val="28"/>
                                      <w:sz w:val="18"/>
                                    </w:rPr>
                                    <w:t xml:space="preserve"> </w:t>
                                  </w:r>
                                  <w:r>
                                    <w:rPr>
                                      <w:rFonts w:ascii="Arial"/>
                                      <w:b/>
                                      <w:sz w:val="18"/>
                                    </w:rPr>
                                    <w:t>Administrativo</w:t>
                                  </w:r>
                                  <w:r>
                                    <w:rPr>
                                      <w:rFonts w:ascii="Arial"/>
                                      <w:b/>
                                      <w:spacing w:val="-10"/>
                                      <w:sz w:val="18"/>
                                    </w:rPr>
                                    <w:t xml:space="preserve"> </w:t>
                                  </w:r>
                                  <w:r>
                                    <w:rPr>
                                      <w:spacing w:val="-2"/>
                                      <w:sz w:val="18"/>
                                    </w:rPr>
                                    <w:t>0000000XXXX/2025</w:t>
                                  </w:r>
                                </w:p>
                              </w:tc>
                            </w:tr>
                            <w:tr w14:paraId="134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00" w:type="dxa"/>
                                  <w:gridSpan w:val="5"/>
                                  <w:tcBorders>
                                    <w:top w:val="single" w:color="000000" w:sz="8" w:space="0"/>
                                    <w:bottom w:val="single" w:color="000000" w:sz="8" w:space="0"/>
                                    <w:right w:val="single" w:color="000000" w:sz="8" w:space="0"/>
                                  </w:tcBorders>
                                </w:tcPr>
                                <w:p w14:paraId="2A6E2DC8">
                                  <w:pPr>
                                    <w:pStyle w:val="61"/>
                                    <w:spacing w:before="21"/>
                                    <w:ind w:left="100"/>
                                    <w:rPr>
                                      <w:rFonts w:ascii="Arial"/>
                                      <w:b/>
                                      <w:sz w:val="18"/>
                                    </w:rPr>
                                  </w:pPr>
                                  <w:r>
                                    <w:rPr>
                                      <w:rFonts w:ascii="Arial"/>
                                      <w:b/>
                                      <w:sz w:val="18"/>
                                    </w:rPr>
                                    <w:t>Unidade</w:t>
                                  </w:r>
                                  <w:r>
                                    <w:rPr>
                                      <w:rFonts w:ascii="Arial"/>
                                      <w:b/>
                                      <w:spacing w:val="15"/>
                                      <w:sz w:val="18"/>
                                    </w:rPr>
                                    <w:t xml:space="preserve"> </w:t>
                                  </w:r>
                                  <w:r>
                                    <w:rPr>
                                      <w:rFonts w:ascii="Arial"/>
                                      <w:b/>
                                      <w:spacing w:val="-2"/>
                                      <w:sz w:val="18"/>
                                    </w:rPr>
                                    <w:t>Requisitante</w:t>
                                  </w:r>
                                </w:p>
                              </w:tc>
                              <w:tc>
                                <w:tcPr>
                                  <w:tcW w:w="3300" w:type="dxa"/>
                                  <w:gridSpan w:val="4"/>
                                  <w:tcBorders>
                                    <w:top w:val="single" w:color="000000" w:sz="8" w:space="0"/>
                                    <w:left w:val="single" w:color="000000" w:sz="8" w:space="0"/>
                                    <w:bottom w:val="single" w:color="000000" w:sz="8" w:space="0"/>
                                    <w:right w:val="single" w:color="000000" w:sz="8" w:space="0"/>
                                  </w:tcBorders>
                                </w:tcPr>
                                <w:p w14:paraId="5FDF19E3">
                                  <w:pPr>
                                    <w:pStyle w:val="61"/>
                                    <w:spacing w:before="20"/>
                                    <w:ind w:left="297"/>
                                    <w:rPr>
                                      <w:rFonts w:ascii="Arial"/>
                                      <w:b/>
                                      <w:sz w:val="16"/>
                                    </w:rPr>
                                  </w:pPr>
                                  <w:r>
                                    <w:rPr>
                                      <w:rFonts w:ascii="Arial"/>
                                      <w:b/>
                                      <w:sz w:val="16"/>
                                    </w:rPr>
                                    <w:t>Nota</w:t>
                                  </w:r>
                                  <w:r>
                                    <w:rPr>
                                      <w:rFonts w:ascii="Arial"/>
                                      <w:b/>
                                      <w:spacing w:val="6"/>
                                      <w:sz w:val="16"/>
                                    </w:rPr>
                                    <w:t xml:space="preserve"> </w:t>
                                  </w:r>
                                  <w:r>
                                    <w:rPr>
                                      <w:rFonts w:ascii="Arial"/>
                                      <w:b/>
                                      <w:sz w:val="16"/>
                                    </w:rPr>
                                    <w:t>de</w:t>
                                  </w:r>
                                  <w:r>
                                    <w:rPr>
                                      <w:rFonts w:ascii="Arial"/>
                                      <w:b/>
                                      <w:spacing w:val="6"/>
                                      <w:sz w:val="16"/>
                                    </w:rPr>
                                    <w:t xml:space="preserve"> </w:t>
                                  </w:r>
                                  <w:r>
                                    <w:rPr>
                                      <w:rFonts w:ascii="Arial"/>
                                      <w:b/>
                                      <w:spacing w:val="-2"/>
                                      <w:sz w:val="16"/>
                                    </w:rPr>
                                    <w:t>Empenho</w:t>
                                  </w:r>
                                </w:p>
                              </w:tc>
                              <w:tc>
                                <w:tcPr>
                                  <w:tcW w:w="2960" w:type="dxa"/>
                                  <w:gridSpan w:val="2"/>
                                  <w:tcBorders>
                                    <w:top w:val="single" w:color="000000" w:sz="8" w:space="0"/>
                                    <w:left w:val="single" w:color="000000" w:sz="8" w:space="0"/>
                                    <w:bottom w:val="single" w:color="000000" w:sz="8" w:space="0"/>
                                  </w:tcBorders>
                                </w:tcPr>
                                <w:p w14:paraId="0CF0F734">
                                  <w:pPr>
                                    <w:pStyle w:val="61"/>
                                    <w:spacing w:before="21"/>
                                    <w:ind w:left="97"/>
                                    <w:rPr>
                                      <w:rFonts w:ascii="Arial" w:hAnsi="Arial"/>
                                      <w:b/>
                                      <w:sz w:val="18"/>
                                    </w:rPr>
                                  </w:pPr>
                                  <w:r>
                                    <w:rPr>
                                      <w:rFonts w:ascii="Arial" w:hAnsi="Arial"/>
                                      <w:b/>
                                      <w:sz w:val="18"/>
                                    </w:rPr>
                                    <w:t>Dotação/Elemento</w:t>
                                  </w:r>
                                  <w:r>
                                    <w:rPr>
                                      <w:rFonts w:ascii="Arial" w:hAnsi="Arial"/>
                                      <w:b/>
                                      <w:spacing w:val="18"/>
                                      <w:sz w:val="18"/>
                                    </w:rPr>
                                    <w:t xml:space="preserve"> </w:t>
                                  </w:r>
                                  <w:r>
                                    <w:rPr>
                                      <w:rFonts w:ascii="Arial" w:hAnsi="Arial"/>
                                      <w:b/>
                                      <w:sz w:val="18"/>
                                    </w:rPr>
                                    <w:t>de</w:t>
                                  </w:r>
                                  <w:r>
                                    <w:rPr>
                                      <w:rFonts w:ascii="Arial" w:hAnsi="Arial"/>
                                      <w:b/>
                                      <w:spacing w:val="19"/>
                                      <w:sz w:val="18"/>
                                    </w:rPr>
                                    <w:t xml:space="preserve"> </w:t>
                                  </w:r>
                                  <w:r>
                                    <w:rPr>
                                      <w:rFonts w:ascii="Arial" w:hAnsi="Arial"/>
                                      <w:b/>
                                      <w:spacing w:val="-2"/>
                                      <w:sz w:val="18"/>
                                    </w:rPr>
                                    <w:t>Despesa</w:t>
                                  </w:r>
                                </w:p>
                              </w:tc>
                            </w:tr>
                            <w:tr w14:paraId="31C1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0760" w:type="dxa"/>
                                  <w:gridSpan w:val="11"/>
                                  <w:tcBorders>
                                    <w:top w:val="single" w:color="000000" w:sz="8" w:space="0"/>
                                    <w:bottom w:val="single" w:color="000000" w:sz="8" w:space="0"/>
                                  </w:tcBorders>
                                </w:tcPr>
                                <w:p w14:paraId="5623AD6E">
                                  <w:pPr>
                                    <w:pStyle w:val="61"/>
                                    <w:tabs>
                                      <w:tab w:val="left" w:pos="4799"/>
                                      <w:tab w:val="left" w:pos="7899"/>
                                    </w:tabs>
                                    <w:spacing w:before="40" w:line="261" w:lineRule="auto"/>
                                    <w:ind w:left="100" w:right="443"/>
                                    <w:rPr>
                                      <w:sz w:val="16"/>
                                    </w:rPr>
                                  </w:pPr>
                                </w:p>
                              </w:tc>
                            </w:tr>
                            <w:tr w14:paraId="4E6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540" w:type="dxa"/>
                                  <w:tcBorders>
                                    <w:top w:val="single" w:color="000000" w:sz="8" w:space="0"/>
                                    <w:bottom w:val="single" w:color="000000" w:sz="8" w:space="0"/>
                                    <w:right w:val="single" w:color="000000" w:sz="8" w:space="0"/>
                                  </w:tcBorders>
                                </w:tcPr>
                                <w:p w14:paraId="5C5B1290">
                                  <w:pPr>
                                    <w:pStyle w:val="61"/>
                                    <w:spacing w:before="21"/>
                                    <w:rPr>
                                      <w:sz w:val="18"/>
                                    </w:rPr>
                                  </w:pPr>
                                  <w:r>
                                    <w:rPr>
                                      <w:spacing w:val="-4"/>
                                      <w:sz w:val="18"/>
                                    </w:rPr>
                                    <w:t>Item</w:t>
                                  </w:r>
                                </w:p>
                              </w:tc>
                              <w:tc>
                                <w:tcPr>
                                  <w:tcW w:w="2420" w:type="dxa"/>
                                  <w:gridSpan w:val="2"/>
                                  <w:tcBorders>
                                    <w:top w:val="single" w:color="000000" w:sz="8" w:space="0"/>
                                    <w:left w:val="single" w:color="000000" w:sz="8" w:space="0"/>
                                    <w:bottom w:val="single" w:color="000000" w:sz="8" w:space="0"/>
                                    <w:right w:val="single" w:color="000000" w:sz="8" w:space="0"/>
                                  </w:tcBorders>
                                </w:tcPr>
                                <w:p w14:paraId="2CE4135A">
                                  <w:pPr>
                                    <w:pStyle w:val="61"/>
                                    <w:spacing w:before="21"/>
                                    <w:ind w:left="617"/>
                                    <w:rPr>
                                      <w:sz w:val="18"/>
                                    </w:rPr>
                                  </w:pPr>
                                  <w:r>
                                    <w:rPr>
                                      <w:sz w:val="18"/>
                                    </w:rPr>
                                    <w:t>Código</w:t>
                                  </w:r>
                                  <w:r>
                                    <w:rPr>
                                      <w:spacing w:val="6"/>
                                      <w:sz w:val="18"/>
                                    </w:rPr>
                                    <w:t xml:space="preserve"> </w:t>
                                  </w:r>
                                  <w:r>
                                    <w:rPr>
                                      <w:spacing w:val="-2"/>
                                      <w:sz w:val="18"/>
                                    </w:rPr>
                                    <w:t>Material</w:t>
                                  </w:r>
                                </w:p>
                              </w:tc>
                              <w:tc>
                                <w:tcPr>
                                  <w:tcW w:w="700" w:type="dxa"/>
                                  <w:tcBorders>
                                    <w:top w:val="single" w:color="000000" w:sz="8" w:space="0"/>
                                    <w:left w:val="single" w:color="000000" w:sz="8" w:space="0"/>
                                    <w:bottom w:val="single" w:color="000000" w:sz="8" w:space="0"/>
                                    <w:right w:val="single" w:color="000000" w:sz="8" w:space="0"/>
                                  </w:tcBorders>
                                </w:tcPr>
                                <w:p w14:paraId="44C732E5">
                                  <w:pPr>
                                    <w:pStyle w:val="61"/>
                                    <w:spacing w:before="21"/>
                                    <w:ind w:left="97"/>
                                    <w:rPr>
                                      <w:sz w:val="18"/>
                                    </w:rPr>
                                  </w:pPr>
                                  <w:r>
                                    <w:rPr>
                                      <w:spacing w:val="-2"/>
                                      <w:sz w:val="18"/>
                                    </w:rPr>
                                    <w:t>Unid.</w:t>
                                  </w:r>
                                </w:p>
                              </w:tc>
                              <w:tc>
                                <w:tcPr>
                                  <w:tcW w:w="1460" w:type="dxa"/>
                                  <w:gridSpan w:val="2"/>
                                  <w:tcBorders>
                                    <w:top w:val="single" w:color="000000" w:sz="8" w:space="0"/>
                                    <w:left w:val="single" w:color="000000" w:sz="8" w:space="0"/>
                                    <w:bottom w:val="single" w:color="000000" w:sz="8" w:space="0"/>
                                    <w:right w:val="single" w:color="000000" w:sz="8" w:space="0"/>
                                  </w:tcBorders>
                                </w:tcPr>
                                <w:p w14:paraId="28F854CF">
                                  <w:pPr>
                                    <w:pStyle w:val="61"/>
                                    <w:spacing w:before="21"/>
                                    <w:ind w:left="257"/>
                                    <w:rPr>
                                      <w:sz w:val="18"/>
                                    </w:rPr>
                                  </w:pPr>
                                  <w:r>
                                    <w:rPr>
                                      <w:spacing w:val="-2"/>
                                      <w:sz w:val="18"/>
                                    </w:rPr>
                                    <w:t>Quantidade</w:t>
                                  </w:r>
                                </w:p>
                              </w:tc>
                              <w:tc>
                                <w:tcPr>
                                  <w:tcW w:w="1500" w:type="dxa"/>
                                  <w:gridSpan w:val="2"/>
                                  <w:tcBorders>
                                    <w:top w:val="single" w:color="000000" w:sz="8" w:space="0"/>
                                    <w:left w:val="single" w:color="000000" w:sz="8" w:space="0"/>
                                    <w:bottom w:val="single" w:color="000000" w:sz="8" w:space="0"/>
                                    <w:right w:val="single" w:color="000000" w:sz="8" w:space="0"/>
                                  </w:tcBorders>
                                </w:tcPr>
                                <w:p w14:paraId="59DA45F7">
                                  <w:pPr>
                                    <w:pStyle w:val="61"/>
                                    <w:spacing w:before="21"/>
                                    <w:ind w:left="597"/>
                                    <w:rPr>
                                      <w:sz w:val="18"/>
                                    </w:rPr>
                                  </w:pPr>
                                  <w:r>
                                    <w:rPr>
                                      <w:spacing w:val="-2"/>
                                      <w:sz w:val="18"/>
                                    </w:rPr>
                                    <w:t>Marca</w:t>
                                  </w:r>
                                </w:p>
                              </w:tc>
                              <w:tc>
                                <w:tcPr>
                                  <w:tcW w:w="1700" w:type="dxa"/>
                                  <w:gridSpan w:val="2"/>
                                  <w:tcBorders>
                                    <w:top w:val="single" w:color="000000" w:sz="8" w:space="0"/>
                                    <w:left w:val="single" w:color="000000" w:sz="8" w:space="0"/>
                                    <w:bottom w:val="single" w:color="000000" w:sz="8" w:space="0"/>
                                    <w:right w:val="single" w:color="000000" w:sz="8" w:space="0"/>
                                  </w:tcBorders>
                                </w:tcPr>
                                <w:p w14:paraId="25BAFA7C">
                                  <w:pPr>
                                    <w:pStyle w:val="61"/>
                                    <w:spacing w:before="21"/>
                                    <w:ind w:left="297"/>
                                    <w:rPr>
                                      <w:sz w:val="18"/>
                                    </w:rPr>
                                  </w:pPr>
                                  <w:r>
                                    <w:rPr>
                                      <w:sz w:val="18"/>
                                    </w:rPr>
                                    <w:t>Valor</w:t>
                                  </w:r>
                                  <w:r>
                                    <w:rPr>
                                      <w:spacing w:val="6"/>
                                      <w:sz w:val="18"/>
                                    </w:rPr>
                                    <w:t xml:space="preserve"> </w:t>
                                  </w:r>
                                  <w:r>
                                    <w:rPr>
                                      <w:spacing w:val="-2"/>
                                      <w:sz w:val="18"/>
                                    </w:rPr>
                                    <w:t>Unitário</w:t>
                                  </w:r>
                                </w:p>
                              </w:tc>
                              <w:tc>
                                <w:tcPr>
                                  <w:tcW w:w="2440" w:type="dxa"/>
                                  <w:tcBorders>
                                    <w:top w:val="single" w:color="000000" w:sz="8" w:space="0"/>
                                    <w:left w:val="single" w:color="000000" w:sz="8" w:space="0"/>
                                    <w:bottom w:val="single" w:color="000000" w:sz="8" w:space="0"/>
                                  </w:tcBorders>
                                </w:tcPr>
                                <w:p w14:paraId="11283427">
                                  <w:pPr>
                                    <w:pStyle w:val="61"/>
                                    <w:spacing w:before="21"/>
                                    <w:ind w:left="337"/>
                                    <w:rPr>
                                      <w:sz w:val="18"/>
                                    </w:rPr>
                                  </w:pPr>
                                  <w:r>
                                    <w:rPr>
                                      <w:sz w:val="18"/>
                                    </w:rPr>
                                    <w:t>Valor</w:t>
                                  </w:r>
                                  <w:r>
                                    <w:rPr>
                                      <w:spacing w:val="6"/>
                                      <w:sz w:val="18"/>
                                    </w:rPr>
                                    <w:t xml:space="preserve"> </w:t>
                                  </w:r>
                                  <w:r>
                                    <w:rPr>
                                      <w:spacing w:val="-2"/>
                                      <w:sz w:val="18"/>
                                    </w:rPr>
                                    <w:t>Total</w:t>
                                  </w:r>
                                </w:p>
                              </w:tc>
                            </w:tr>
                            <w:tr w14:paraId="78A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760" w:type="dxa"/>
                                  <w:gridSpan w:val="11"/>
                                  <w:tcBorders>
                                    <w:top w:val="single" w:color="000000" w:sz="8" w:space="0"/>
                                    <w:bottom w:val="single" w:color="000000" w:sz="8" w:space="0"/>
                                  </w:tcBorders>
                                </w:tcPr>
                                <w:p w14:paraId="23F1C4B2">
                                  <w:pPr>
                                    <w:pStyle w:val="61"/>
                                    <w:tabs>
                                      <w:tab w:val="left" w:pos="1159"/>
                                      <w:tab w:val="left" w:pos="3099"/>
                                      <w:tab w:val="left" w:pos="4059"/>
                                      <w:tab w:val="left" w:pos="5239"/>
                                      <w:tab w:val="left" w:pos="7359"/>
                                      <w:tab w:val="left" w:pos="8839"/>
                                    </w:tabs>
                                    <w:spacing w:before="38"/>
                                    <w:ind w:left="200"/>
                                    <w:rPr>
                                      <w:position w:val="4"/>
                                      <w:sz w:val="14"/>
                                    </w:rPr>
                                  </w:pPr>
                                  <w:r>
                                    <w:rPr>
                                      <w:spacing w:val="-5"/>
                                      <w:sz w:val="18"/>
                                    </w:rPr>
                                    <w:t>XX</w:t>
                                  </w:r>
                                  <w:r>
                                    <w:rPr>
                                      <w:sz w:val="18"/>
                                    </w:rPr>
                                    <w:tab/>
                                  </w:r>
                                  <w:r>
                                    <w:rPr>
                                      <w:sz w:val="18"/>
                                    </w:rPr>
                                    <w:t>XXXXXXXXX</w:t>
                                  </w:r>
                                  <w:r>
                                    <w:rPr>
                                      <w:sz w:val="18"/>
                                    </w:rPr>
                                    <w:tab/>
                                  </w:r>
                                  <w:r>
                                    <w:rPr>
                                      <w:sz w:val="18"/>
                                    </w:rPr>
                                    <w:t>XXX</w:t>
                                  </w:r>
                                  <w:r>
                                    <w:rPr>
                                      <w:sz w:val="18"/>
                                    </w:rPr>
                                    <w:tab/>
                                  </w:r>
                                  <w:r>
                                    <w:rPr>
                                      <w:sz w:val="18"/>
                                    </w:rPr>
                                    <w:t>XXXXXX</w:t>
                                  </w:r>
                                  <w:r>
                                    <w:rPr>
                                      <w:position w:val="4"/>
                                      <w:sz w:val="14"/>
                                    </w:rPr>
                                    <w:tab/>
                                  </w:r>
                                  <w:r>
                                    <w:rPr>
                                      <w:position w:val="4"/>
                                      <w:sz w:val="14"/>
                                    </w:rPr>
                                    <w:t>XXXXX</w:t>
                                  </w:r>
                                  <w:r>
                                    <w:rPr>
                                      <w:sz w:val="18"/>
                                    </w:rPr>
                                    <w:tab/>
                                  </w:r>
                                  <w:r>
                                    <w:rPr>
                                      <w:spacing w:val="-2"/>
                                      <w:position w:val="4"/>
                                      <w:sz w:val="14"/>
                                    </w:rPr>
                                    <w:t>XXXXXX</w:t>
                                  </w:r>
                                  <w:r>
                                    <w:rPr>
                                      <w:position w:val="4"/>
                                      <w:sz w:val="14"/>
                                    </w:rPr>
                                    <w:tab/>
                                  </w:r>
                                  <w:r>
                                    <w:rPr>
                                      <w:position w:val="4"/>
                                      <w:sz w:val="14"/>
                                    </w:rPr>
                                    <w:t>XXXXXXXX</w:t>
                                  </w:r>
                                </w:p>
                                <w:p w14:paraId="0D139591">
                                  <w:pPr>
                                    <w:pStyle w:val="61"/>
                                    <w:tabs>
                                      <w:tab w:val="left" w:pos="1159"/>
                                      <w:tab w:val="left" w:pos="3099"/>
                                      <w:tab w:val="left" w:pos="4059"/>
                                      <w:tab w:val="left" w:pos="5239"/>
                                      <w:tab w:val="left" w:pos="7359"/>
                                      <w:tab w:val="left" w:pos="8839"/>
                                    </w:tabs>
                                    <w:spacing w:before="38"/>
                                    <w:ind w:left="200"/>
                                    <w:rPr>
                                      <w:rFonts w:ascii="Arial" w:hAnsi="Arial"/>
                                      <w:b/>
                                      <w:sz w:val="18"/>
                                    </w:rPr>
                                  </w:pPr>
                                </w:p>
                                <w:p w14:paraId="435D984B">
                                  <w:pPr>
                                    <w:pStyle w:val="61"/>
                                    <w:tabs>
                                      <w:tab w:val="left" w:pos="1159"/>
                                      <w:tab w:val="left" w:pos="3099"/>
                                      <w:tab w:val="left" w:pos="4059"/>
                                      <w:tab w:val="left" w:pos="5239"/>
                                      <w:tab w:val="left" w:pos="7359"/>
                                      <w:tab w:val="left" w:pos="8839"/>
                                    </w:tabs>
                                    <w:spacing w:before="38"/>
                                    <w:ind w:left="200"/>
                                    <w:rPr>
                                      <w:rFonts w:ascii="Arial" w:hAnsi="Arial"/>
                                      <w:b/>
                                      <w:sz w:val="18"/>
                                    </w:rPr>
                                  </w:pPr>
                                  <w:r>
                                    <w:rPr>
                                      <w:rFonts w:ascii="Arial" w:hAnsi="Arial"/>
                                      <w:b/>
                                      <w:sz w:val="18"/>
                                    </w:rPr>
                                    <w:t>DESCRIÇÃO DO ITEM</w:t>
                                  </w:r>
                                </w:p>
                              </w:tc>
                            </w:tr>
                            <w:tr w14:paraId="21A9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0760" w:type="dxa"/>
                                  <w:gridSpan w:val="11"/>
                                  <w:tcBorders>
                                    <w:top w:val="single" w:color="000000" w:sz="8" w:space="0"/>
                                    <w:bottom w:val="single" w:color="000000" w:sz="8" w:space="0"/>
                                  </w:tcBorders>
                                </w:tcPr>
                                <w:p w14:paraId="6BA13427">
                                  <w:pPr>
                                    <w:pStyle w:val="61"/>
                                    <w:spacing w:before="81"/>
                                    <w:ind w:left="120"/>
                                    <w:rPr>
                                      <w:rFonts w:ascii="Arial"/>
                                      <w:b/>
                                      <w:sz w:val="18"/>
                                    </w:rPr>
                                  </w:pPr>
                                  <w:r>
                                    <w:rPr>
                                      <w:rFonts w:ascii="Arial"/>
                                      <w:b/>
                                      <w:spacing w:val="-2"/>
                                      <w:sz w:val="18"/>
                                    </w:rPr>
                                    <w:t>Nota:</w:t>
                                  </w:r>
                                </w:p>
                                <w:p w14:paraId="225AB82D">
                                  <w:pPr>
                                    <w:pStyle w:val="61"/>
                                    <w:spacing w:before="72"/>
                                    <w:ind w:left="120"/>
                                    <w:rPr>
                                      <w:sz w:val="16"/>
                                    </w:rPr>
                                  </w:pPr>
                                  <w:r>
                                    <w:rPr>
                                      <w:sz w:val="16"/>
                                    </w:rPr>
                                    <w:t>REGISTRO</w:t>
                                  </w:r>
                                  <w:r>
                                    <w:rPr>
                                      <w:spacing w:val="13"/>
                                      <w:sz w:val="16"/>
                                    </w:rPr>
                                    <w:t xml:space="preserve"> </w:t>
                                  </w:r>
                                  <w:r>
                                    <w:rPr>
                                      <w:sz w:val="16"/>
                                    </w:rPr>
                                    <w:t>DE</w:t>
                                  </w:r>
                                  <w:r>
                                    <w:rPr>
                                      <w:spacing w:val="13"/>
                                      <w:sz w:val="16"/>
                                    </w:rPr>
                                    <w:t xml:space="preserve"> </w:t>
                                  </w:r>
                                  <w:r>
                                    <w:rPr>
                                      <w:sz w:val="16"/>
                                    </w:rPr>
                                    <w:t>PREÇOS</w:t>
                                  </w:r>
                                  <w:r>
                                    <w:rPr>
                                      <w:spacing w:val="12"/>
                                      <w:sz w:val="16"/>
                                    </w:rPr>
                                    <w:t xml:space="preserve"> </w:t>
                                  </w:r>
                                  <w:r>
                                    <w:rPr>
                                      <w:sz w:val="16"/>
                                    </w:rPr>
                                    <w:t>PARA</w:t>
                                  </w:r>
                                  <w:r>
                                    <w:rPr>
                                      <w:spacing w:val="13"/>
                                      <w:sz w:val="16"/>
                                    </w:rPr>
                                    <w:t xml:space="preserve"> </w:t>
                                  </w:r>
                                  <w:r>
                                    <w:rPr>
                                      <w:sz w:val="16"/>
                                    </w:rPr>
                                    <w:t>AQUISIÇÃO</w:t>
                                  </w:r>
                                  <w:r>
                                    <w:rPr>
                                      <w:spacing w:val="14"/>
                                      <w:sz w:val="16"/>
                                    </w:rPr>
                                    <w:t xml:space="preserve"> </w:t>
                                  </w:r>
                                  <w:r>
                                    <w:rPr>
                                      <w:sz w:val="16"/>
                                    </w:rPr>
                                    <w:t>DE</w:t>
                                  </w:r>
                                  <w:r>
                                    <w:rPr>
                                      <w:spacing w:val="12"/>
                                      <w:sz w:val="16"/>
                                    </w:rPr>
                                    <w:t xml:space="preserve"> XXXXXXXXXXX</w:t>
                                  </w:r>
                                </w:p>
                                <w:p w14:paraId="0D586181">
                                  <w:pPr>
                                    <w:pStyle w:val="61"/>
                                    <w:spacing w:line="179" w:lineRule="exact"/>
                                    <w:ind w:left="120"/>
                                    <w:rPr>
                                      <w:position w:val="-3"/>
                                      <w:sz w:val="17"/>
                                    </w:rPr>
                                  </w:pPr>
                                  <w:r>
                                    <w:rPr>
                                      <w:position w:val="-3"/>
                                      <w:sz w:val="17"/>
                                    </w:rPr>
                                    <w:drawing>
                                      <wp:inline distT="0" distB="0" distL="0" distR="0">
                                        <wp:extent cx="6682740" cy="113665"/>
                                        <wp:effectExtent l="0" t="0" r="0" b="0"/>
                                        <wp:docPr id="1329361030" name="Image 2"/>
                                        <wp:cNvGraphicFramePr/>
                                        <a:graphic xmlns:a="http://schemas.openxmlformats.org/drawingml/2006/main">
                                          <a:graphicData uri="http://schemas.openxmlformats.org/drawingml/2006/picture">
                                            <pic:pic xmlns:pic="http://schemas.openxmlformats.org/drawingml/2006/picture">
                                              <pic:nvPicPr>
                                                <pic:cNvPr id="1329361030" name="Image 2"/>
                                                <pic:cNvPicPr/>
                                              </pic:nvPicPr>
                                              <pic:blipFill>
                                                <a:blip r:embed="rId10" cstate="print"/>
                                                <a:stretch>
                                                  <a:fillRect/>
                                                </a:stretch>
                                              </pic:blipFill>
                                              <pic:spPr>
                                                <a:xfrm>
                                                  <a:off x="0" y="0"/>
                                                  <a:ext cx="6683248" cy="113918"/>
                                                </a:xfrm>
                                                <a:prstGeom prst="rect">
                                                  <a:avLst/>
                                                </a:prstGeom>
                                              </pic:spPr>
                                            </pic:pic>
                                          </a:graphicData>
                                        </a:graphic>
                                      </wp:inline>
                                    </w:drawing>
                                  </w:r>
                                </w:p>
                                <w:p w14:paraId="12A14C76">
                                  <w:pPr>
                                    <w:pStyle w:val="61"/>
                                    <w:spacing w:before="9"/>
                                    <w:ind w:left="0"/>
                                    <w:rPr>
                                      <w:sz w:val="16"/>
                                    </w:rPr>
                                  </w:pPr>
                                </w:p>
                                <w:p w14:paraId="50FEFFFE">
                                  <w:pPr>
                                    <w:pStyle w:val="61"/>
                                    <w:ind w:left="100"/>
                                    <w:rPr>
                                      <w:sz w:val="20"/>
                                    </w:rPr>
                                  </w:pPr>
                                  <w:r>
                                    <w:rPr>
                                      <w:sz w:val="20"/>
                                    </w:rPr>
                                    <w:t>Autorizo</w:t>
                                  </w:r>
                                  <w:r>
                                    <w:rPr>
                                      <w:spacing w:val="11"/>
                                      <w:sz w:val="20"/>
                                    </w:rPr>
                                    <w:t xml:space="preserve"> </w:t>
                                  </w:r>
                                  <w:r>
                                    <w:rPr>
                                      <w:sz w:val="20"/>
                                    </w:rPr>
                                    <w:t>o</w:t>
                                  </w:r>
                                  <w:r>
                                    <w:rPr>
                                      <w:spacing w:val="11"/>
                                      <w:sz w:val="20"/>
                                    </w:rPr>
                                    <w:t xml:space="preserve"> </w:t>
                                  </w:r>
                                  <w:r>
                                    <w:rPr>
                                      <w:spacing w:val="-2"/>
                                      <w:sz w:val="20"/>
                                    </w:rPr>
                                    <w:t>fornecimento.</w:t>
                                  </w:r>
                                </w:p>
                                <w:p w14:paraId="61AF84CB">
                                  <w:pPr>
                                    <w:pStyle w:val="61"/>
                                    <w:ind w:left="0"/>
                                    <w:rPr>
                                      <w:sz w:val="20"/>
                                    </w:rPr>
                                  </w:pPr>
                                </w:p>
                                <w:p w14:paraId="25865190">
                                  <w:pPr>
                                    <w:pStyle w:val="61"/>
                                    <w:spacing w:before="30"/>
                                    <w:ind w:left="0"/>
                                    <w:rPr>
                                      <w:sz w:val="20"/>
                                    </w:rPr>
                                  </w:pPr>
                                </w:p>
                                <w:p w14:paraId="2CF3D7C8">
                                  <w:pPr>
                                    <w:pStyle w:val="61"/>
                                    <w:ind w:left="120"/>
                                    <w:rPr>
                                      <w:sz w:val="20"/>
                                    </w:rPr>
                                  </w:pPr>
                                  <w:r>
                                    <w:rPr>
                                      <w:sz w:val="20"/>
                                    </w:rPr>
                                    <w:t>PAULÍNIA/SP,</w:t>
                                  </w:r>
                                  <w:r>
                                    <w:rPr>
                                      <w:spacing w:val="5"/>
                                      <w:sz w:val="20"/>
                                    </w:rPr>
                                    <w:t xml:space="preserve"> xx</w:t>
                                  </w:r>
                                  <w:r>
                                    <w:rPr>
                                      <w:spacing w:val="7"/>
                                      <w:sz w:val="20"/>
                                    </w:rPr>
                                    <w:t xml:space="preserve"> </w:t>
                                  </w:r>
                                  <w:r>
                                    <w:rPr>
                                      <w:sz w:val="20"/>
                                    </w:rPr>
                                    <w:t>de</w:t>
                                  </w:r>
                                  <w:r>
                                    <w:rPr>
                                      <w:spacing w:val="7"/>
                                      <w:sz w:val="20"/>
                                    </w:rPr>
                                    <w:t xml:space="preserve"> xxxxx </w:t>
                                  </w:r>
                                  <w:r>
                                    <w:rPr>
                                      <w:sz w:val="20"/>
                                    </w:rPr>
                                    <w:t>de</w:t>
                                  </w:r>
                                  <w:r>
                                    <w:rPr>
                                      <w:spacing w:val="7"/>
                                      <w:sz w:val="20"/>
                                    </w:rPr>
                                    <w:t xml:space="preserve"> </w:t>
                                  </w:r>
                                  <w:r>
                                    <w:rPr>
                                      <w:spacing w:val="-4"/>
                                      <w:sz w:val="20"/>
                                    </w:rPr>
                                    <w:t>2025</w:t>
                                  </w:r>
                                </w:p>
                              </w:tc>
                            </w:tr>
                            <w:tr w14:paraId="1AE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0760" w:type="dxa"/>
                                  <w:gridSpan w:val="11"/>
                                  <w:tcBorders>
                                    <w:top w:val="single" w:color="000000" w:sz="8" w:space="0"/>
                                  </w:tcBorders>
                                </w:tcPr>
                                <w:p w14:paraId="0CCFCC6B">
                                  <w:pPr>
                                    <w:pStyle w:val="61"/>
                                    <w:tabs>
                                      <w:tab w:val="left" w:pos="9859"/>
                                    </w:tabs>
                                    <w:spacing w:before="40"/>
                                    <w:rPr>
                                      <w:sz w:val="16"/>
                                    </w:rPr>
                                  </w:pPr>
                                  <w:r>
                                    <w:rPr>
                                      <w:sz w:val="16"/>
                                    </w:rPr>
                                    <w:t>Usuário</w:t>
                                  </w:r>
                                  <w:r>
                                    <w:rPr>
                                      <w:spacing w:val="5"/>
                                      <w:sz w:val="16"/>
                                    </w:rPr>
                                    <w:t xml:space="preserve"> </w:t>
                                  </w:r>
                                  <w:r>
                                    <w:rPr>
                                      <w:sz w:val="16"/>
                                    </w:rPr>
                                    <w:t>:</w:t>
                                  </w:r>
                                  <w:r>
                                    <w:rPr>
                                      <w:spacing w:val="6"/>
                                      <w:sz w:val="16"/>
                                    </w:rPr>
                                    <w:t xml:space="preserve"> </w:t>
                                  </w:r>
                                  <w:r>
                                    <w:rPr>
                                      <w:spacing w:val="-2"/>
                                      <w:sz w:val="16"/>
                                    </w:rPr>
                                    <w:t>XXXXX</w:t>
                                  </w:r>
                                  <w:r>
                                    <w:rPr>
                                      <w:sz w:val="16"/>
                                    </w:rPr>
                                    <w:tab/>
                                  </w:r>
                                  <w:r>
                                    <w:rPr>
                                      <w:spacing w:val="-2"/>
                                      <w:sz w:val="16"/>
                                    </w:rPr>
                                    <w:t>MCR26200</w:t>
                                  </w:r>
                                </w:p>
                              </w:tc>
                            </w:tr>
                          </w:tbl>
                          <w:p w14:paraId="66B10EEE">
                            <w:pPr>
                              <w:pStyle w:val="10"/>
                            </w:pPr>
                          </w:p>
                        </w:txbxContent>
                      </wps:txbx>
                      <wps:bodyPr wrap="square" lIns="0" tIns="0" rIns="0" bIns="0" rtlCol="0">
                        <a:noAutofit/>
                      </wps:bodyPr>
                    </wps:wsp>
                  </a:graphicData>
                </a:graphic>
              </wp:anchor>
            </w:drawing>
          </mc:Choice>
          <mc:Fallback>
            <w:pict>
              <v:shape id="Textbox 1" o:spid="_x0000_s1026" o:spt="202" type="#_x0000_t202" style="position:absolute;left:0pt;margin-left:25pt;margin-top:109.55pt;height:689.5pt;width:544.75pt;mso-position-horizontal-relative:page;mso-position-vertical-relative:page;z-index:251660288;mso-width-relative:page;mso-height-relative:page;" filled="f" stroked="f" coordsize="21600,21600" o:gfxdata="UEsDBAoAAAAAAIdO4kAAAAAAAAAAAAAAAAAEAAAAZHJzL1BLAwQUAAAACACHTuJAVtvU+toAAAAM&#10;AQAADwAAAGRycy9kb3ducmV2LnhtbE2PzU7DMBCE70i8g7VI3KjtolRNiFMhBCckRBoOHJ14m1iN&#10;1yF2f3h73BO9zWpGs9+Um7Mb2RHnYD0pkAsBDKnzxlKv4Kt5e1gDC1GT0aMnVPCLATbV7U2pC+NP&#10;VONxG3uWSigUWsEQ41RwHroBnQ4LPyElb+dnp2M6556bWZ9SuRv5UogVd9pS+jDoCV8G7Pbbg1Pw&#10;/E31q/35aD/rXW2bJhf0vtordX8nxROwiOf4H4YLfkKHKjG1/kAmsFFBJtKUqGApcwnsEpCPeQas&#10;TSrL1xJ4VfLrEdUfUEsDBBQAAAAIAIdO4kBnQ+etuwEAAH4DAAAOAAAAZHJzL2Uyb0RvYy54bWyt&#10;U01v2zAMvQ/YfxB0XxynSJoYcYptwYYBw1ag3Q+QZSkWYImaqMTOvx/lj3ToLj3sIlMk9cj3SO8f&#10;etuyiwpowJU8Xyw5U05Cbdyp5L+ev3zYcoZRuFq04FTJrwr5w+H9u33nC7WCBtpaBUYgDovOl7yJ&#10;0RdZhrJRVuACvHIU1BCsiHQNp6wOoiN022ar5XKTdRBqH0AqRPIexyCfEMNbAEFrI9UR5NkqF0fU&#10;oFoRiRI2xiM/DN1qrWT8qTWqyNqSE9M4nFSE7Cqd2WEvilMQvjFyakG8pYVXnKwwjoreoI4iCnYO&#10;5h8oa2QABB0XEmw2EhkUIRb58pU2T43wauBCUqO/iY7/D1b+uDwGZmrahN16d5dvd+s1Z05Ymvyz&#10;6mMFPcuTSp3HgpKfPKXH/hP09GL2IzkT+V4Hm75Ei1GcNL7eNCYsJsm52eXbuxXVkBTb3q83m/tt&#10;wslenvuA8asCy5JR8kBDHLQVl+8Yx9Q5hd6lxsYGkhX7qp+6raC+UrMdDbfk+PssguKs/eZIvbQJ&#10;sxFmo5qNENvPMOxLIuPg4zmCNkPlVGLEnSrTWIbepxVKc//7PmS9/DaH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bb1PraAAAADAEAAA8AAAAAAAAAAQAgAAAAIgAAAGRycy9kb3ducmV2LnhtbFBL&#10;AQIUABQAAAAIAIdO4kBnQ+etuwEAAH4DAAAOAAAAAAAAAAEAIAAAACkBAABkcnMvZTJvRG9jLnht&#10;bFBLBQYAAAAABgAGAFkBAABWBQAAAAA=&#10;">
                <v:fill on="f" focussize="0,0"/>
                <v:stroke on="f"/>
                <v:imagedata o:title=""/>
                <o:lock v:ext="edit" aspectratio="f"/>
                <v:textbox inset="0mm,0mm,0mm,0mm">
                  <w:txbxContent>
                    <w:tbl>
                      <w:tblPr>
                        <w:tblStyle w:val="60"/>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040"/>
                        <w:gridCol w:w="1380"/>
                        <w:gridCol w:w="700"/>
                        <w:gridCol w:w="840"/>
                        <w:gridCol w:w="620"/>
                        <w:gridCol w:w="1100"/>
                        <w:gridCol w:w="400"/>
                        <w:gridCol w:w="1180"/>
                        <w:gridCol w:w="520"/>
                        <w:gridCol w:w="2440"/>
                      </w:tblGrid>
                      <w:tr w14:paraId="54F9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760" w:type="dxa"/>
                            <w:gridSpan w:val="11"/>
                            <w:tcBorders>
                              <w:bottom w:val="single" w:color="000000" w:sz="8" w:space="0"/>
                            </w:tcBorders>
                          </w:tcPr>
                          <w:p w14:paraId="4D9E824A">
                            <w:pPr>
                              <w:pStyle w:val="61"/>
                              <w:tabs>
                                <w:tab w:val="left" w:pos="8959"/>
                              </w:tabs>
                              <w:spacing w:before="22"/>
                              <w:ind w:left="140"/>
                              <w:rPr>
                                <w:position w:val="2"/>
                                <w:sz w:val="16"/>
                              </w:rPr>
                            </w:pPr>
                            <w:r>
                              <w:rPr>
                                <w:rFonts w:ascii="Arial" w:hAnsi="Arial"/>
                                <w:b/>
                                <w:sz w:val="18"/>
                              </w:rPr>
                              <w:t>Data</w:t>
                            </w:r>
                            <w:r>
                              <w:rPr>
                                <w:rFonts w:ascii="Arial" w:hAnsi="Arial"/>
                                <w:b/>
                                <w:spacing w:val="9"/>
                                <w:sz w:val="18"/>
                              </w:rPr>
                              <w:t xml:space="preserve"> </w:t>
                            </w:r>
                            <w:r>
                              <w:rPr>
                                <w:rFonts w:ascii="Arial" w:hAnsi="Arial"/>
                                <w:b/>
                                <w:sz w:val="18"/>
                              </w:rPr>
                              <w:t>da</w:t>
                            </w:r>
                            <w:r>
                              <w:rPr>
                                <w:rFonts w:ascii="Arial" w:hAnsi="Arial"/>
                                <w:b/>
                                <w:spacing w:val="10"/>
                                <w:sz w:val="18"/>
                              </w:rPr>
                              <w:t xml:space="preserve"> </w:t>
                            </w:r>
                            <w:r>
                              <w:rPr>
                                <w:rFonts w:ascii="Arial" w:hAnsi="Arial"/>
                                <w:b/>
                                <w:sz w:val="18"/>
                              </w:rPr>
                              <w:t>Emissão</w:t>
                            </w:r>
                            <w:r>
                              <w:rPr>
                                <w:rFonts w:ascii="Arial" w:hAnsi="Arial"/>
                                <w:b/>
                                <w:spacing w:val="10"/>
                                <w:sz w:val="18"/>
                              </w:rPr>
                              <w:t xml:space="preserve"> </w:t>
                            </w:r>
                            <w:r>
                              <w:rPr>
                                <w:rFonts w:ascii="Arial" w:hAnsi="Arial"/>
                                <w:b/>
                                <w:spacing w:val="-2"/>
                                <w:sz w:val="18"/>
                              </w:rPr>
                              <w:t xml:space="preserve">: </w:t>
                            </w:r>
                            <w:r>
                              <w:rPr>
                                <w:rFonts w:ascii="Arial" w:hAnsi="Arial"/>
                                <w:bCs/>
                                <w:spacing w:val="-2"/>
                                <w:sz w:val="18"/>
                              </w:rPr>
                              <w:t>XX</w:t>
                            </w:r>
                            <w:r>
                              <w:rPr>
                                <w:spacing w:val="-2"/>
                                <w:sz w:val="18"/>
                              </w:rPr>
                              <w:t>/XX/2025</w:t>
                            </w:r>
                            <w:r>
                              <w:rPr>
                                <w:sz w:val="18"/>
                              </w:rPr>
                              <w:tab/>
                            </w:r>
                            <w:r>
                              <w:rPr>
                                <w:position w:val="2"/>
                                <w:sz w:val="16"/>
                              </w:rPr>
                              <w:t>Página</w:t>
                            </w:r>
                            <w:r>
                              <w:rPr>
                                <w:spacing w:val="6"/>
                                <w:position w:val="2"/>
                                <w:sz w:val="16"/>
                              </w:rPr>
                              <w:t xml:space="preserve"> </w:t>
                            </w:r>
                            <w:r>
                              <w:rPr>
                                <w:position w:val="2"/>
                                <w:sz w:val="16"/>
                              </w:rPr>
                              <w:t>:</w:t>
                            </w:r>
                            <w:r>
                              <w:rPr>
                                <w:spacing w:val="54"/>
                                <w:position w:val="2"/>
                                <w:sz w:val="16"/>
                              </w:rPr>
                              <w:t xml:space="preserve"> </w:t>
                            </w:r>
                            <w:r>
                              <w:rPr>
                                <w:spacing w:val="-5"/>
                                <w:position w:val="2"/>
                                <w:sz w:val="16"/>
                              </w:rPr>
                              <w:t>1/2</w:t>
                            </w:r>
                          </w:p>
                        </w:tc>
                      </w:tr>
                      <w:tr w14:paraId="4014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20" w:type="dxa"/>
                            <w:gridSpan w:val="7"/>
                            <w:tcBorders>
                              <w:top w:val="single" w:color="000000" w:sz="8" w:space="0"/>
                              <w:bottom w:val="nil"/>
                              <w:right w:val="single" w:color="000000" w:sz="8" w:space="0"/>
                            </w:tcBorders>
                          </w:tcPr>
                          <w:p w14:paraId="787DEF21">
                            <w:pPr>
                              <w:pStyle w:val="61"/>
                              <w:spacing w:before="42"/>
                              <w:ind w:left="1645"/>
                              <w:jc w:val="center"/>
                              <w:rPr>
                                <w:rFonts w:ascii="Arial"/>
                                <w:b/>
                                <w:sz w:val="20"/>
                              </w:rPr>
                            </w:pPr>
                            <w:r>
                              <w:rPr>
                                <w:rFonts w:ascii="Arial"/>
                                <w:b/>
                                <w:sz w:val="20"/>
                              </w:rPr>
                              <w:t>MUNICIPIO</w:t>
                            </w:r>
                            <w:r>
                              <w:rPr>
                                <w:rFonts w:ascii="Arial"/>
                                <w:b/>
                                <w:spacing w:val="14"/>
                                <w:sz w:val="20"/>
                              </w:rPr>
                              <w:t xml:space="preserve"> </w:t>
                            </w:r>
                            <w:r>
                              <w:rPr>
                                <w:rFonts w:ascii="Arial"/>
                                <w:b/>
                                <w:sz w:val="20"/>
                              </w:rPr>
                              <w:t>DE</w:t>
                            </w:r>
                            <w:r>
                              <w:rPr>
                                <w:rFonts w:ascii="Arial"/>
                                <w:b/>
                                <w:spacing w:val="14"/>
                                <w:sz w:val="20"/>
                              </w:rPr>
                              <w:t xml:space="preserve"> </w:t>
                            </w:r>
                            <w:r>
                              <w:rPr>
                                <w:rFonts w:ascii="Arial"/>
                                <w:b/>
                                <w:spacing w:val="-2"/>
                                <w:sz w:val="20"/>
                              </w:rPr>
                              <w:t>PAULINIA</w:t>
                            </w:r>
                          </w:p>
                          <w:p w14:paraId="124BCFFC">
                            <w:pPr>
                              <w:pStyle w:val="61"/>
                              <w:spacing w:before="168" w:line="177" w:lineRule="exact"/>
                              <w:ind w:left="1645" w:right="20"/>
                              <w:jc w:val="center"/>
                              <w:rPr>
                                <w:sz w:val="16"/>
                              </w:rPr>
                            </w:pPr>
                            <w:r>
                              <w:rPr>
                                <w:sz w:val="16"/>
                              </w:rPr>
                              <w:t>AV.</w:t>
                            </w:r>
                            <w:r>
                              <w:rPr>
                                <w:spacing w:val="10"/>
                                <w:sz w:val="16"/>
                              </w:rPr>
                              <w:t xml:space="preserve"> </w:t>
                            </w:r>
                            <w:r>
                              <w:rPr>
                                <w:sz w:val="16"/>
                              </w:rPr>
                              <w:t>PREF.</w:t>
                            </w:r>
                            <w:r>
                              <w:rPr>
                                <w:spacing w:val="11"/>
                                <w:sz w:val="16"/>
                              </w:rPr>
                              <w:t xml:space="preserve"> </w:t>
                            </w:r>
                            <w:r>
                              <w:rPr>
                                <w:sz w:val="16"/>
                              </w:rPr>
                              <w:t>JOSÉ</w:t>
                            </w:r>
                            <w:r>
                              <w:rPr>
                                <w:spacing w:val="12"/>
                                <w:sz w:val="16"/>
                              </w:rPr>
                              <w:t xml:space="preserve"> </w:t>
                            </w:r>
                            <w:r>
                              <w:rPr>
                                <w:sz w:val="16"/>
                              </w:rPr>
                              <w:t>LOZANO</w:t>
                            </w:r>
                            <w:r>
                              <w:rPr>
                                <w:spacing w:val="14"/>
                                <w:sz w:val="16"/>
                              </w:rPr>
                              <w:t xml:space="preserve"> </w:t>
                            </w:r>
                            <w:r>
                              <w:rPr>
                                <w:sz w:val="16"/>
                              </w:rPr>
                              <w:t>ARAÚJO,</w:t>
                            </w:r>
                            <w:r>
                              <w:rPr>
                                <w:spacing w:val="11"/>
                                <w:sz w:val="16"/>
                              </w:rPr>
                              <w:t xml:space="preserve"> </w:t>
                            </w:r>
                            <w:r>
                              <w:rPr>
                                <w:spacing w:val="-4"/>
                                <w:sz w:val="16"/>
                              </w:rPr>
                              <w:t>1551</w:t>
                            </w:r>
                          </w:p>
                        </w:tc>
                        <w:tc>
                          <w:tcPr>
                            <w:tcW w:w="4540" w:type="dxa"/>
                            <w:gridSpan w:val="4"/>
                            <w:tcBorders>
                              <w:top w:val="single" w:color="000000" w:sz="8" w:space="0"/>
                              <w:left w:val="single" w:color="000000" w:sz="8" w:space="0"/>
                              <w:bottom w:val="nil"/>
                            </w:tcBorders>
                          </w:tcPr>
                          <w:p w14:paraId="0176A7EE">
                            <w:pPr>
                              <w:pStyle w:val="61"/>
                              <w:spacing w:before="132" w:line="240" w:lineRule="atLeast"/>
                              <w:ind w:left="1497" w:hanging="80"/>
                              <w:rPr>
                                <w:rFonts w:ascii="Arial" w:hAnsi="Arial"/>
                                <w:b/>
                                <w:sz w:val="20"/>
                              </w:rPr>
                            </w:pPr>
                            <w:r>
                              <w:rPr>
                                <w:rFonts w:ascii="Arial" w:hAnsi="Arial"/>
                                <w:b/>
                                <w:sz w:val="20"/>
                              </w:rPr>
                              <w:t xml:space="preserve">AUTORIZAÇÃO DE </w:t>
                            </w:r>
                            <w:r>
                              <w:rPr>
                                <w:rFonts w:ascii="Arial" w:hAnsi="Arial"/>
                                <w:b/>
                                <w:spacing w:val="-2"/>
                                <w:sz w:val="20"/>
                              </w:rPr>
                              <w:t>FORNECIMENTO</w:t>
                            </w:r>
                          </w:p>
                        </w:tc>
                      </w:tr>
                      <w:tr w14:paraId="5C2B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220" w:type="dxa"/>
                            <w:gridSpan w:val="7"/>
                            <w:vMerge w:val="restart"/>
                            <w:tcBorders>
                              <w:top w:val="nil"/>
                              <w:bottom w:val="nil"/>
                              <w:right w:val="single" w:color="000000" w:sz="8" w:space="0"/>
                            </w:tcBorders>
                          </w:tcPr>
                          <w:p w14:paraId="004CE4A7">
                            <w:pPr>
                              <w:pStyle w:val="61"/>
                              <w:spacing w:before="23" w:line="261" w:lineRule="auto"/>
                              <w:ind w:left="2900" w:right="412" w:hanging="820"/>
                              <w:rPr>
                                <w:sz w:val="16"/>
                              </w:rPr>
                            </w:pPr>
                            <w:r>
                              <w:rPr>
                                <w:sz w:val="16"/>
                              </w:rPr>
                              <w:t>CEP: 13141-901 - PQ. BRASIL 500 - PAULÍNIA/SP CNPJ: 45.751.435/0001-06</w:t>
                            </w:r>
                          </w:p>
                          <w:p w14:paraId="20EC8382">
                            <w:pPr>
                              <w:pStyle w:val="61"/>
                              <w:spacing w:before="19" w:line="261" w:lineRule="auto"/>
                              <w:ind w:left="2780" w:right="1292" w:firstLine="300"/>
                              <w:rPr>
                                <w:sz w:val="16"/>
                              </w:rPr>
                            </w:pPr>
                            <w:r>
                              <w:rPr>
                                <w:sz w:val="16"/>
                              </w:rPr>
                              <w:t xml:space="preserve">Fone/Fax: 3874-5600 Site: </w:t>
                            </w:r>
                            <w:r>
                              <w:fldChar w:fldCharType="begin"/>
                            </w:r>
                            <w:r>
                              <w:instrText xml:space="preserve"> HYPERLINK "http://www.paulinia.sp.gov.br/" \h </w:instrText>
                            </w:r>
                            <w:r>
                              <w:fldChar w:fldCharType="separate"/>
                            </w:r>
                            <w:r>
                              <w:rPr>
                                <w:sz w:val="16"/>
                              </w:rPr>
                              <w:t>www.paulinia.sp.gov.br</w:t>
                            </w:r>
                            <w:r>
                              <w:rPr>
                                <w:sz w:val="16"/>
                              </w:rPr>
                              <w:fldChar w:fldCharType="end"/>
                            </w:r>
                          </w:p>
                        </w:tc>
                        <w:tc>
                          <w:tcPr>
                            <w:tcW w:w="4540" w:type="dxa"/>
                            <w:gridSpan w:val="4"/>
                            <w:tcBorders>
                              <w:top w:val="nil"/>
                              <w:left w:val="single" w:color="000000" w:sz="8" w:space="0"/>
                              <w:bottom w:val="single" w:color="000000" w:sz="8" w:space="0"/>
                            </w:tcBorders>
                          </w:tcPr>
                          <w:p w14:paraId="2C7DC57B">
                            <w:pPr>
                              <w:pStyle w:val="61"/>
                              <w:spacing w:before="6"/>
                              <w:ind w:left="1237"/>
                              <w:rPr>
                                <w:rFonts w:ascii="Arial" w:hAnsi="Arial"/>
                                <w:b/>
                                <w:sz w:val="20"/>
                              </w:rPr>
                            </w:pPr>
                            <w:r>
                              <w:rPr>
                                <w:rFonts w:ascii="Arial" w:hAnsi="Arial"/>
                                <w:b/>
                                <w:sz w:val="20"/>
                              </w:rPr>
                              <w:t>REGISTRO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4"/>
                                <w:sz w:val="20"/>
                              </w:rPr>
                              <w:t>PREÇO</w:t>
                            </w:r>
                          </w:p>
                          <w:p w14:paraId="700DCAD6">
                            <w:pPr>
                              <w:pStyle w:val="61"/>
                              <w:spacing w:before="30"/>
                              <w:ind w:left="361"/>
                              <w:jc w:val="center"/>
                              <w:rPr>
                                <w:rFonts w:ascii="Arial"/>
                                <w:b/>
                                <w:sz w:val="20"/>
                              </w:rPr>
                            </w:pPr>
                            <w:r>
                              <w:rPr>
                                <w:rFonts w:ascii="Arial"/>
                                <w:b/>
                                <w:spacing w:val="-2"/>
                                <w:sz w:val="20"/>
                              </w:rPr>
                              <w:t>XXXX/2025</w:t>
                            </w:r>
                          </w:p>
                        </w:tc>
                      </w:tr>
                      <w:tr w14:paraId="7B4F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220" w:type="dxa"/>
                            <w:gridSpan w:val="7"/>
                            <w:vMerge w:val="continue"/>
                            <w:tcBorders>
                              <w:top w:val="nil"/>
                              <w:bottom w:val="nil"/>
                              <w:right w:val="single" w:color="000000" w:sz="8" w:space="0"/>
                            </w:tcBorders>
                          </w:tcPr>
                          <w:p w14:paraId="055D32AB">
                            <w:pPr>
                              <w:widowControl w:val="0"/>
                              <w:autoSpaceDE w:val="0"/>
                              <w:autoSpaceDN w:val="0"/>
                              <w:rPr>
                                <w:sz w:val="2"/>
                                <w:szCs w:val="2"/>
                                <w:lang w:val="en-US"/>
                              </w:rPr>
                            </w:pPr>
                          </w:p>
                        </w:tc>
                        <w:tc>
                          <w:tcPr>
                            <w:tcW w:w="4540" w:type="dxa"/>
                            <w:gridSpan w:val="4"/>
                            <w:tcBorders>
                              <w:top w:val="single" w:color="000000" w:sz="8" w:space="0"/>
                              <w:left w:val="single" w:color="000000" w:sz="8" w:space="0"/>
                              <w:bottom w:val="nil"/>
                            </w:tcBorders>
                          </w:tcPr>
                          <w:p w14:paraId="636D8337">
                            <w:pPr>
                              <w:pStyle w:val="61"/>
                              <w:tabs>
                                <w:tab w:val="left" w:pos="2417"/>
                              </w:tabs>
                              <w:spacing w:before="62"/>
                              <w:ind w:left="77"/>
                              <w:rPr>
                                <w:sz w:val="20"/>
                              </w:rPr>
                            </w:pPr>
                            <w:r>
                              <w:rPr>
                                <w:sz w:val="20"/>
                              </w:rPr>
                              <w:t>1a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Fornecedor</w:t>
                            </w:r>
                            <w:r>
                              <w:rPr>
                                <w:sz w:val="20"/>
                              </w:rPr>
                              <w:tab/>
                            </w:r>
                            <w:r>
                              <w:rPr>
                                <w:sz w:val="20"/>
                              </w:rPr>
                              <w:t>3a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Almoxarifado</w:t>
                            </w:r>
                          </w:p>
                        </w:tc>
                      </w:tr>
                      <w:tr w14:paraId="22FF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220" w:type="dxa"/>
                            <w:gridSpan w:val="7"/>
                            <w:tcBorders>
                              <w:top w:val="nil"/>
                              <w:bottom w:val="single" w:color="000000" w:sz="8" w:space="0"/>
                              <w:right w:val="single" w:color="000000" w:sz="8" w:space="0"/>
                            </w:tcBorders>
                          </w:tcPr>
                          <w:p w14:paraId="3D4E24CE">
                            <w:pPr>
                              <w:pStyle w:val="61"/>
                              <w:ind w:left="0"/>
                              <w:rPr>
                                <w:rFonts w:ascii="Times New Roman"/>
                                <w:sz w:val="16"/>
                              </w:rPr>
                            </w:pPr>
                          </w:p>
                        </w:tc>
                        <w:tc>
                          <w:tcPr>
                            <w:tcW w:w="4540" w:type="dxa"/>
                            <w:gridSpan w:val="4"/>
                            <w:tcBorders>
                              <w:top w:val="nil"/>
                              <w:left w:val="single" w:color="000000" w:sz="8" w:space="0"/>
                              <w:bottom w:val="single" w:color="000000" w:sz="8" w:space="0"/>
                            </w:tcBorders>
                          </w:tcPr>
                          <w:p w14:paraId="79E6B6CB">
                            <w:pPr>
                              <w:pStyle w:val="61"/>
                              <w:tabs>
                                <w:tab w:val="left" w:pos="2417"/>
                              </w:tabs>
                              <w:spacing w:before="51"/>
                              <w:ind w:left="77"/>
                              <w:rPr>
                                <w:sz w:val="20"/>
                              </w:rPr>
                            </w:pPr>
                            <w:r>
                              <w:rPr>
                                <w:sz w:val="20"/>
                              </w:rPr>
                              <w:t>2a</w:t>
                            </w:r>
                            <w:r>
                              <w:rPr>
                                <w:spacing w:val="6"/>
                                <w:sz w:val="20"/>
                              </w:rPr>
                              <w:t xml:space="preserve"> </w:t>
                            </w:r>
                            <w:r>
                              <w:rPr>
                                <w:sz w:val="20"/>
                              </w:rPr>
                              <w:t>Via</w:t>
                            </w:r>
                            <w:r>
                              <w:rPr>
                                <w:spacing w:val="6"/>
                                <w:sz w:val="20"/>
                              </w:rPr>
                              <w:t xml:space="preserve"> </w:t>
                            </w:r>
                            <w:r>
                              <w:rPr>
                                <w:sz w:val="20"/>
                              </w:rPr>
                              <w:t>-</w:t>
                            </w:r>
                            <w:r>
                              <w:rPr>
                                <w:spacing w:val="5"/>
                                <w:sz w:val="20"/>
                              </w:rPr>
                              <w:t xml:space="preserve"> </w:t>
                            </w:r>
                            <w:r>
                              <w:rPr>
                                <w:sz w:val="20"/>
                              </w:rPr>
                              <w:t>Proc.</w:t>
                            </w:r>
                            <w:r>
                              <w:rPr>
                                <w:spacing w:val="4"/>
                                <w:sz w:val="20"/>
                              </w:rPr>
                              <w:t xml:space="preserve"> </w:t>
                            </w:r>
                            <w:r>
                              <w:rPr>
                                <w:sz w:val="20"/>
                              </w:rPr>
                              <w:t>de</w:t>
                            </w:r>
                            <w:r>
                              <w:rPr>
                                <w:spacing w:val="6"/>
                                <w:sz w:val="20"/>
                              </w:rPr>
                              <w:t xml:space="preserve"> </w:t>
                            </w:r>
                            <w:r>
                              <w:rPr>
                                <w:spacing w:val="-2"/>
                                <w:sz w:val="20"/>
                              </w:rPr>
                              <w:t>Pgto.</w:t>
                            </w:r>
                            <w:r>
                              <w:rPr>
                                <w:sz w:val="20"/>
                              </w:rPr>
                              <w:tab/>
                            </w:r>
                            <w:r>
                              <w:rPr>
                                <w:sz w:val="20"/>
                              </w:rPr>
                              <w:t>4a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Compras</w:t>
                            </w:r>
                          </w:p>
                        </w:tc>
                      </w:tr>
                      <w:tr w14:paraId="1327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760" w:type="dxa"/>
                            <w:gridSpan w:val="11"/>
                            <w:tcBorders>
                              <w:top w:val="single" w:color="000000" w:sz="8" w:space="0"/>
                              <w:bottom w:val="single" w:color="000000" w:sz="8" w:space="0"/>
                            </w:tcBorders>
                          </w:tcPr>
                          <w:p w14:paraId="3EE931C8">
                            <w:pPr>
                              <w:pStyle w:val="61"/>
                              <w:tabs>
                                <w:tab w:val="left" w:pos="5579"/>
                                <w:tab w:val="left" w:pos="7339"/>
                              </w:tabs>
                              <w:spacing w:before="41"/>
                              <w:rPr>
                                <w:position w:val="2"/>
                                <w:sz w:val="16"/>
                              </w:rPr>
                            </w:pPr>
                            <w:r>
                              <w:rPr>
                                <w:rFonts w:ascii="Arial" w:hAnsi="Arial"/>
                                <w:b/>
                                <w:sz w:val="18"/>
                              </w:rPr>
                              <w:t>Modalidade</w:t>
                            </w:r>
                            <w:r>
                              <w:rPr>
                                <w:rFonts w:ascii="Arial" w:hAnsi="Arial"/>
                                <w:b/>
                                <w:spacing w:val="11"/>
                                <w:sz w:val="18"/>
                              </w:rPr>
                              <w:t xml:space="preserve"> </w:t>
                            </w:r>
                            <w:r>
                              <w:rPr>
                                <w:sz w:val="16"/>
                              </w:rPr>
                              <w:t>PREGÃO</w:t>
                            </w:r>
                            <w:r>
                              <w:rPr>
                                <w:spacing w:val="22"/>
                                <w:sz w:val="16"/>
                              </w:rPr>
                              <w:t xml:space="preserve"> </w:t>
                            </w:r>
                            <w:r>
                              <w:rPr>
                                <w:spacing w:val="-2"/>
                                <w:sz w:val="16"/>
                              </w:rPr>
                              <w:t>ELETRÔNICO</w:t>
                            </w:r>
                            <w:r>
                              <w:rPr>
                                <w:sz w:val="16"/>
                              </w:rPr>
                              <w:tab/>
                            </w:r>
                            <w:r>
                              <w:rPr>
                                <w:rFonts w:ascii="Arial" w:hAnsi="Arial"/>
                                <w:b/>
                                <w:position w:val="2"/>
                                <w:sz w:val="18"/>
                              </w:rPr>
                              <w:t>Nro</w:t>
                            </w:r>
                            <w:r>
                              <w:rPr>
                                <w:rFonts w:ascii="Arial" w:hAnsi="Arial"/>
                                <w:b/>
                                <w:spacing w:val="18"/>
                                <w:position w:val="2"/>
                                <w:sz w:val="18"/>
                              </w:rPr>
                              <w:t xml:space="preserve"> </w:t>
                            </w:r>
                            <w:r>
                              <w:rPr>
                                <w:spacing w:val="-2"/>
                                <w:position w:val="2"/>
                                <w:sz w:val="16"/>
                              </w:rPr>
                              <w:t>XX/2025</w:t>
                            </w:r>
                            <w:r>
                              <w:rPr>
                                <w:position w:val="2"/>
                                <w:sz w:val="16"/>
                              </w:rPr>
                              <w:tab/>
                            </w:r>
                            <w:r>
                              <w:rPr>
                                <w:rFonts w:ascii="Arial" w:hAnsi="Arial"/>
                                <w:b/>
                                <w:position w:val="2"/>
                                <w:sz w:val="18"/>
                              </w:rPr>
                              <w:t>Un.</w:t>
                            </w:r>
                            <w:r>
                              <w:rPr>
                                <w:rFonts w:ascii="Arial" w:hAnsi="Arial"/>
                                <w:b/>
                                <w:spacing w:val="12"/>
                                <w:position w:val="2"/>
                                <w:sz w:val="18"/>
                              </w:rPr>
                              <w:t xml:space="preserve"> </w:t>
                            </w:r>
                            <w:r>
                              <w:rPr>
                                <w:rFonts w:ascii="Arial" w:hAnsi="Arial"/>
                                <w:b/>
                                <w:position w:val="2"/>
                                <w:sz w:val="18"/>
                              </w:rPr>
                              <w:t>Gestora</w:t>
                            </w:r>
                            <w:r>
                              <w:rPr>
                                <w:rFonts w:ascii="Arial" w:hAnsi="Arial"/>
                                <w:b/>
                                <w:spacing w:val="-8"/>
                                <w:position w:val="2"/>
                                <w:sz w:val="18"/>
                              </w:rPr>
                              <w:t xml:space="preserve"> </w:t>
                            </w:r>
                            <w:r>
                              <w:rPr>
                                <w:spacing w:val="-5"/>
                                <w:position w:val="2"/>
                                <w:sz w:val="16"/>
                              </w:rPr>
                              <w:t>PMP</w:t>
                            </w:r>
                          </w:p>
                        </w:tc>
                      </w:tr>
                      <w:tr w14:paraId="7521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580" w:type="dxa"/>
                            <w:gridSpan w:val="2"/>
                            <w:tcBorders>
                              <w:top w:val="single" w:color="000000" w:sz="8" w:space="0"/>
                              <w:bottom w:val="single" w:color="000000" w:sz="8" w:space="0"/>
                              <w:right w:val="single" w:color="000000" w:sz="8" w:space="0"/>
                            </w:tcBorders>
                          </w:tcPr>
                          <w:p w14:paraId="73522EF8">
                            <w:pPr>
                              <w:pStyle w:val="61"/>
                              <w:spacing w:before="121"/>
                              <w:ind w:left="200"/>
                              <w:rPr>
                                <w:rFonts w:ascii="Arial" w:hAnsi="Arial"/>
                                <w:b/>
                                <w:sz w:val="18"/>
                              </w:rPr>
                            </w:pPr>
                            <w:r>
                              <w:rPr>
                                <w:rFonts w:ascii="Arial" w:hAnsi="Arial"/>
                                <w:b/>
                                <w:sz w:val="18"/>
                              </w:rPr>
                              <w:t>Números</w:t>
                            </w:r>
                            <w:r>
                              <w:rPr>
                                <w:rFonts w:ascii="Arial" w:hAnsi="Arial"/>
                                <w:b/>
                                <w:spacing w:val="16"/>
                                <w:sz w:val="18"/>
                              </w:rPr>
                              <w:t xml:space="preserve"> </w:t>
                            </w:r>
                            <w:r>
                              <w:rPr>
                                <w:rFonts w:ascii="Arial" w:hAnsi="Arial"/>
                                <w:b/>
                                <w:spacing w:val="-4"/>
                                <w:sz w:val="18"/>
                              </w:rPr>
                              <w:t>SC's</w:t>
                            </w:r>
                          </w:p>
                        </w:tc>
                        <w:tc>
                          <w:tcPr>
                            <w:tcW w:w="9180" w:type="dxa"/>
                            <w:gridSpan w:val="9"/>
                            <w:tcBorders>
                              <w:top w:val="single" w:color="000000" w:sz="8" w:space="0"/>
                              <w:left w:val="single" w:color="000000" w:sz="8" w:space="0"/>
                              <w:bottom w:val="single" w:color="000000" w:sz="8" w:space="0"/>
                            </w:tcBorders>
                          </w:tcPr>
                          <w:p w14:paraId="32E0CCE4">
                            <w:pPr>
                              <w:pStyle w:val="61"/>
                              <w:tabs>
                                <w:tab w:val="left" w:pos="2097"/>
                                <w:tab w:val="left" w:pos="6657"/>
                              </w:tabs>
                              <w:spacing w:before="121"/>
                              <w:ind w:left="157"/>
                              <w:rPr>
                                <w:sz w:val="18"/>
                              </w:rPr>
                            </w:pPr>
                            <w:r>
                              <w:rPr>
                                <w:spacing w:val="-2"/>
                                <w:sz w:val="18"/>
                              </w:rPr>
                              <w:t>XXX/2025</w:t>
                            </w:r>
                            <w:r>
                              <w:rPr>
                                <w:sz w:val="18"/>
                              </w:rPr>
                              <w:tab/>
                            </w:r>
                            <w:r>
                              <w:rPr>
                                <w:rFonts w:ascii="Arial" w:hAnsi="Arial"/>
                                <w:b/>
                                <w:sz w:val="18"/>
                              </w:rPr>
                              <w:t>ATA/Ano:</w:t>
                            </w:r>
                            <w:r>
                              <w:rPr>
                                <w:rFonts w:ascii="Arial" w:hAnsi="Arial"/>
                                <w:b/>
                                <w:spacing w:val="70"/>
                                <w:sz w:val="18"/>
                              </w:rPr>
                              <w:t xml:space="preserve"> </w:t>
                            </w:r>
                            <w:r>
                              <w:rPr>
                                <w:sz w:val="18"/>
                              </w:rPr>
                              <w:t>XXX/2025</w:t>
                            </w:r>
                            <w:r>
                              <w:rPr>
                                <w:spacing w:val="56"/>
                                <w:sz w:val="18"/>
                              </w:rPr>
                              <w:t xml:space="preserve">  </w:t>
                            </w:r>
                            <w:r>
                              <w:rPr>
                                <w:rFonts w:ascii="Arial" w:hAnsi="Arial"/>
                                <w:b/>
                                <w:sz w:val="18"/>
                              </w:rPr>
                              <w:t>Iní.</w:t>
                            </w:r>
                            <w:r>
                              <w:rPr>
                                <w:rFonts w:ascii="Arial" w:hAnsi="Arial"/>
                                <w:b/>
                                <w:spacing w:val="6"/>
                                <w:sz w:val="18"/>
                              </w:rPr>
                              <w:t xml:space="preserve"> </w:t>
                            </w:r>
                            <w:r>
                              <w:rPr>
                                <w:rFonts w:ascii="Arial" w:hAnsi="Arial"/>
                                <w:b/>
                                <w:sz w:val="18"/>
                              </w:rPr>
                              <w:t>Vigência:</w:t>
                            </w:r>
                            <w:r>
                              <w:rPr>
                                <w:rFonts w:ascii="Arial" w:hAnsi="Arial"/>
                                <w:b/>
                                <w:spacing w:val="19"/>
                                <w:sz w:val="18"/>
                              </w:rPr>
                              <w:t xml:space="preserve"> </w:t>
                            </w:r>
                            <w:r>
                              <w:rPr>
                                <w:rFonts w:ascii="Arial" w:hAnsi="Arial"/>
                                <w:bCs/>
                                <w:spacing w:val="19"/>
                                <w:sz w:val="18"/>
                              </w:rPr>
                              <w:t>XX</w:t>
                            </w:r>
                            <w:r>
                              <w:rPr>
                                <w:spacing w:val="-2"/>
                                <w:sz w:val="18"/>
                              </w:rPr>
                              <w:t>/XX/2025</w:t>
                            </w:r>
                            <w:r>
                              <w:rPr>
                                <w:sz w:val="18"/>
                              </w:rPr>
                              <w:tab/>
                            </w:r>
                            <w:r>
                              <w:rPr>
                                <w:rFonts w:ascii="Arial" w:hAnsi="Arial"/>
                                <w:b/>
                                <w:sz w:val="18"/>
                              </w:rPr>
                              <w:t>Fim</w:t>
                            </w:r>
                            <w:r>
                              <w:rPr>
                                <w:rFonts w:ascii="Arial" w:hAnsi="Arial"/>
                                <w:b/>
                                <w:spacing w:val="11"/>
                                <w:sz w:val="18"/>
                              </w:rPr>
                              <w:t xml:space="preserve"> </w:t>
                            </w:r>
                            <w:r>
                              <w:rPr>
                                <w:rFonts w:ascii="Arial" w:hAnsi="Arial"/>
                                <w:b/>
                                <w:sz w:val="18"/>
                              </w:rPr>
                              <w:t>Vigência:</w:t>
                            </w:r>
                            <w:r>
                              <w:rPr>
                                <w:rFonts w:ascii="Arial" w:hAnsi="Arial"/>
                                <w:b/>
                                <w:spacing w:val="22"/>
                                <w:sz w:val="18"/>
                              </w:rPr>
                              <w:t xml:space="preserve"> </w:t>
                            </w:r>
                            <w:r>
                              <w:rPr>
                                <w:rFonts w:ascii="Arial" w:hAnsi="Arial"/>
                                <w:bCs/>
                                <w:spacing w:val="22"/>
                                <w:sz w:val="18"/>
                              </w:rPr>
                              <w:t>XX</w:t>
                            </w:r>
                            <w:r>
                              <w:rPr>
                                <w:spacing w:val="-2"/>
                                <w:sz w:val="18"/>
                              </w:rPr>
                              <w:t>/XX/2026</w:t>
                            </w:r>
                          </w:p>
                        </w:tc>
                      </w:tr>
                      <w:tr w14:paraId="3EF5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580" w:type="dxa"/>
                            <w:gridSpan w:val="2"/>
                            <w:tcBorders>
                              <w:top w:val="single" w:color="000000" w:sz="8" w:space="0"/>
                              <w:bottom w:val="single" w:color="000000" w:sz="8" w:space="0"/>
                              <w:right w:val="single" w:color="000000" w:sz="8" w:space="0"/>
                            </w:tcBorders>
                          </w:tcPr>
                          <w:p w14:paraId="1173A2DE">
                            <w:pPr>
                              <w:pStyle w:val="61"/>
                              <w:spacing w:before="101"/>
                              <w:ind w:left="140"/>
                              <w:rPr>
                                <w:rFonts w:ascii="Arial"/>
                                <w:b/>
                                <w:sz w:val="18"/>
                              </w:rPr>
                            </w:pPr>
                            <w:r>
                              <w:rPr>
                                <w:rFonts w:ascii="Arial"/>
                                <w:b/>
                                <w:sz w:val="18"/>
                              </w:rPr>
                              <w:t>Valor</w:t>
                            </w:r>
                            <w:r>
                              <w:rPr>
                                <w:rFonts w:ascii="Arial"/>
                                <w:b/>
                                <w:spacing w:val="9"/>
                                <w:sz w:val="18"/>
                              </w:rPr>
                              <w:t xml:space="preserve"> </w:t>
                            </w:r>
                            <w:r>
                              <w:rPr>
                                <w:rFonts w:ascii="Arial"/>
                                <w:b/>
                                <w:sz w:val="18"/>
                              </w:rPr>
                              <w:t>Total</w:t>
                            </w:r>
                            <w:r>
                              <w:rPr>
                                <w:rFonts w:ascii="Arial"/>
                                <w:b/>
                                <w:spacing w:val="10"/>
                                <w:sz w:val="18"/>
                              </w:rPr>
                              <w:t xml:space="preserve"> </w:t>
                            </w:r>
                            <w:r>
                              <w:rPr>
                                <w:rFonts w:ascii="Arial"/>
                                <w:b/>
                                <w:spacing w:val="-4"/>
                                <w:sz w:val="18"/>
                              </w:rPr>
                              <w:t>(R$)</w:t>
                            </w:r>
                          </w:p>
                        </w:tc>
                        <w:tc>
                          <w:tcPr>
                            <w:tcW w:w="9180" w:type="dxa"/>
                            <w:gridSpan w:val="9"/>
                            <w:tcBorders>
                              <w:top w:val="single" w:color="000000" w:sz="8" w:space="0"/>
                              <w:left w:val="single" w:color="000000" w:sz="8" w:space="0"/>
                              <w:bottom w:val="single" w:color="000000" w:sz="8" w:space="0"/>
                            </w:tcBorders>
                          </w:tcPr>
                          <w:p w14:paraId="1C3BD8B8">
                            <w:pPr>
                              <w:pStyle w:val="61"/>
                              <w:spacing w:before="101"/>
                              <w:ind w:left="137"/>
                              <w:rPr>
                                <w:rFonts w:ascii="Arial"/>
                                <w:b/>
                                <w:sz w:val="18"/>
                              </w:rPr>
                            </w:pPr>
                            <w:r>
                              <w:rPr>
                                <w:rFonts w:ascii="Arial"/>
                                <w:b/>
                                <w:sz w:val="18"/>
                              </w:rPr>
                              <w:t>Valor</w:t>
                            </w:r>
                            <w:r>
                              <w:rPr>
                                <w:rFonts w:ascii="Arial"/>
                                <w:b/>
                                <w:spacing w:val="8"/>
                                <w:sz w:val="18"/>
                              </w:rPr>
                              <w:t xml:space="preserve"> </w:t>
                            </w:r>
                            <w:r>
                              <w:rPr>
                                <w:rFonts w:ascii="Arial"/>
                                <w:b/>
                                <w:sz w:val="18"/>
                              </w:rPr>
                              <w:t>total</w:t>
                            </w:r>
                            <w:r>
                              <w:rPr>
                                <w:rFonts w:ascii="Arial"/>
                                <w:b/>
                                <w:spacing w:val="8"/>
                                <w:sz w:val="18"/>
                              </w:rPr>
                              <w:t xml:space="preserve"> </w:t>
                            </w:r>
                            <w:r>
                              <w:rPr>
                                <w:rFonts w:ascii="Arial"/>
                                <w:b/>
                                <w:sz w:val="18"/>
                              </w:rPr>
                              <w:t>por</w:t>
                            </w:r>
                            <w:r>
                              <w:rPr>
                                <w:rFonts w:ascii="Arial"/>
                                <w:b/>
                                <w:spacing w:val="9"/>
                                <w:sz w:val="18"/>
                              </w:rPr>
                              <w:t xml:space="preserve"> </w:t>
                            </w:r>
                            <w:r>
                              <w:rPr>
                                <w:rFonts w:ascii="Arial"/>
                                <w:b/>
                                <w:spacing w:val="-2"/>
                                <w:sz w:val="18"/>
                              </w:rPr>
                              <w:t>extenso</w:t>
                            </w:r>
                          </w:p>
                        </w:tc>
                      </w:tr>
                      <w:tr w14:paraId="59F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80" w:type="dxa"/>
                            <w:gridSpan w:val="2"/>
                            <w:tcBorders>
                              <w:top w:val="single" w:color="000000" w:sz="8" w:space="0"/>
                              <w:bottom w:val="single" w:color="000000" w:sz="8" w:space="0"/>
                              <w:right w:val="single" w:color="000000" w:sz="8" w:space="0"/>
                            </w:tcBorders>
                          </w:tcPr>
                          <w:p w14:paraId="79028E60">
                            <w:pPr>
                              <w:pStyle w:val="61"/>
                              <w:spacing w:before="81"/>
                              <w:ind w:left="720"/>
                              <w:rPr>
                                <w:sz w:val="18"/>
                              </w:rPr>
                            </w:pPr>
                          </w:p>
                        </w:tc>
                        <w:tc>
                          <w:tcPr>
                            <w:tcW w:w="9180" w:type="dxa"/>
                            <w:gridSpan w:val="9"/>
                            <w:tcBorders>
                              <w:top w:val="single" w:color="000000" w:sz="8" w:space="0"/>
                              <w:left w:val="single" w:color="000000" w:sz="8" w:space="0"/>
                              <w:bottom w:val="single" w:color="000000" w:sz="8" w:space="0"/>
                            </w:tcBorders>
                          </w:tcPr>
                          <w:p w14:paraId="721CE811">
                            <w:pPr>
                              <w:pStyle w:val="61"/>
                              <w:spacing w:before="80"/>
                              <w:ind w:left="183"/>
                              <w:rPr>
                                <w:sz w:val="16"/>
                              </w:rPr>
                            </w:pPr>
                          </w:p>
                        </w:tc>
                      </w:tr>
                      <w:tr w14:paraId="1863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2" w:hRule="atLeast"/>
                        </w:trPr>
                        <w:tc>
                          <w:tcPr>
                            <w:tcW w:w="10760" w:type="dxa"/>
                            <w:gridSpan w:val="11"/>
                            <w:tcBorders>
                              <w:top w:val="single" w:color="000000" w:sz="8" w:space="0"/>
                              <w:bottom w:val="single" w:color="000000" w:sz="8" w:space="0"/>
                            </w:tcBorders>
                          </w:tcPr>
                          <w:p w14:paraId="43F3FC79">
                            <w:pPr>
                              <w:pStyle w:val="61"/>
                              <w:tabs>
                                <w:tab w:val="left" w:pos="1599"/>
                              </w:tabs>
                              <w:spacing w:before="61"/>
                              <w:rPr>
                                <w:sz w:val="18"/>
                              </w:rPr>
                            </w:pPr>
                            <w:r>
                              <w:rPr>
                                <w:rFonts w:ascii="Arial"/>
                                <w:b/>
                                <w:spacing w:val="-2"/>
                                <w:sz w:val="18"/>
                              </w:rPr>
                              <w:t>Fornecedor</w:t>
                            </w:r>
                            <w:r>
                              <w:rPr>
                                <w:rFonts w:ascii="Arial"/>
                                <w:b/>
                                <w:sz w:val="18"/>
                              </w:rPr>
                              <w:tab/>
                            </w:r>
                          </w:p>
                          <w:p w14:paraId="02297AD6">
                            <w:pPr>
                              <w:pStyle w:val="61"/>
                              <w:spacing w:before="166"/>
                              <w:ind w:left="0"/>
                              <w:rPr>
                                <w:sz w:val="18"/>
                              </w:rPr>
                            </w:pPr>
                          </w:p>
                          <w:p w14:paraId="0C5A2528">
                            <w:pPr>
                              <w:pStyle w:val="61"/>
                              <w:tabs>
                                <w:tab w:val="left" w:pos="1599"/>
                              </w:tabs>
                              <w:rPr>
                                <w:sz w:val="18"/>
                              </w:rPr>
                            </w:pPr>
                            <w:r>
                              <w:rPr>
                                <w:rFonts w:ascii="Arial" w:hAnsi="Arial"/>
                                <w:b/>
                                <w:spacing w:val="-2"/>
                                <w:sz w:val="18"/>
                              </w:rPr>
                              <w:t>Endereço</w:t>
                            </w:r>
                            <w:r>
                              <w:rPr>
                                <w:rFonts w:ascii="Arial" w:hAnsi="Arial"/>
                                <w:b/>
                                <w:sz w:val="18"/>
                              </w:rPr>
                              <w:tab/>
                            </w:r>
                          </w:p>
                          <w:p w14:paraId="795038F6">
                            <w:pPr>
                              <w:pStyle w:val="61"/>
                              <w:tabs>
                                <w:tab w:val="left" w:pos="1599"/>
                              </w:tabs>
                              <w:spacing w:before="93"/>
                              <w:rPr>
                                <w:sz w:val="18"/>
                              </w:rPr>
                            </w:pPr>
                            <w:r>
                              <w:rPr>
                                <w:rFonts w:ascii="Arial"/>
                                <w:b/>
                                <w:spacing w:val="-2"/>
                                <w:sz w:val="18"/>
                              </w:rPr>
                              <w:t>Bairro</w:t>
                            </w:r>
                            <w:r>
                              <w:rPr>
                                <w:rFonts w:ascii="Arial"/>
                                <w:b/>
                                <w:sz w:val="18"/>
                              </w:rPr>
                              <w:tab/>
                            </w:r>
                          </w:p>
                          <w:p w14:paraId="15A62681">
                            <w:pPr>
                              <w:pStyle w:val="61"/>
                              <w:tabs>
                                <w:tab w:val="left" w:pos="1599"/>
                                <w:tab w:val="left" w:pos="4719"/>
                                <w:tab w:val="left" w:pos="5559"/>
                                <w:tab w:val="left" w:pos="7719"/>
                                <w:tab w:val="left" w:pos="8399"/>
                              </w:tabs>
                              <w:spacing w:before="93"/>
                              <w:rPr>
                                <w:sz w:val="18"/>
                              </w:rPr>
                            </w:pPr>
                            <w:r>
                              <w:rPr>
                                <w:rFonts w:ascii="Arial"/>
                                <w:b/>
                                <w:spacing w:val="-2"/>
                                <w:sz w:val="18"/>
                              </w:rPr>
                              <w:t>Cidade</w:t>
                            </w:r>
                            <w:r>
                              <w:rPr>
                                <w:rFonts w:ascii="Arial"/>
                                <w:b/>
                                <w:sz w:val="18"/>
                              </w:rPr>
                              <w:tab/>
                            </w:r>
                            <w:r>
                              <w:rPr>
                                <w:sz w:val="18"/>
                              </w:rPr>
                              <w:tab/>
                            </w:r>
                            <w:r>
                              <w:rPr>
                                <w:rFonts w:ascii="Arial"/>
                                <w:b/>
                                <w:spacing w:val="-2"/>
                                <w:sz w:val="18"/>
                              </w:rPr>
                              <w:t>Estado</w:t>
                            </w:r>
                            <w:r>
                              <w:rPr>
                                <w:rFonts w:ascii="Arial"/>
                                <w:b/>
                                <w:sz w:val="18"/>
                              </w:rPr>
                              <w:tab/>
                            </w:r>
                            <w:r>
                              <w:rPr>
                                <w:sz w:val="18"/>
                              </w:rPr>
                              <w:tab/>
                            </w:r>
                            <w:r>
                              <w:rPr>
                                <w:rFonts w:ascii="Arial"/>
                                <w:b/>
                                <w:spacing w:val="-5"/>
                                <w:sz w:val="18"/>
                              </w:rPr>
                              <w:t>Cep</w:t>
                            </w:r>
                            <w:r>
                              <w:rPr>
                                <w:rFonts w:ascii="Arial"/>
                                <w:b/>
                                <w:sz w:val="18"/>
                              </w:rPr>
                              <w:tab/>
                            </w:r>
                          </w:p>
                          <w:p w14:paraId="221FD1D8">
                            <w:pPr>
                              <w:pStyle w:val="61"/>
                              <w:tabs>
                                <w:tab w:val="left" w:pos="1599"/>
                                <w:tab w:val="left" w:pos="4719"/>
                                <w:tab w:val="left" w:pos="7719"/>
                                <w:tab w:val="left" w:pos="8399"/>
                              </w:tabs>
                              <w:spacing w:before="93"/>
                              <w:rPr>
                                <w:sz w:val="18"/>
                              </w:rPr>
                            </w:pPr>
                            <w:r>
                              <w:rPr>
                                <w:rFonts w:ascii="Arial"/>
                                <w:b/>
                                <w:spacing w:val="-2"/>
                                <w:sz w:val="18"/>
                              </w:rPr>
                              <w:t>CNPJ.(RG)</w:t>
                            </w:r>
                            <w:r>
                              <w:rPr>
                                <w:rFonts w:ascii="Arial"/>
                                <w:b/>
                                <w:sz w:val="18"/>
                              </w:rPr>
                              <w:tab/>
                            </w:r>
                            <w:r>
                              <w:rPr>
                                <w:sz w:val="18"/>
                              </w:rPr>
                              <w:tab/>
                            </w:r>
                            <w:r>
                              <w:rPr>
                                <w:rFonts w:ascii="Arial"/>
                                <w:b/>
                                <w:sz w:val="18"/>
                              </w:rPr>
                              <w:t>Telefone</w:t>
                            </w:r>
                            <w:r>
                              <w:rPr>
                                <w:rFonts w:ascii="Arial"/>
                                <w:b/>
                                <w:spacing w:val="41"/>
                                <w:sz w:val="18"/>
                              </w:rPr>
                              <w:t xml:space="preserve"> </w:t>
                            </w:r>
                            <w:r>
                              <w:rPr>
                                <w:sz w:val="18"/>
                              </w:rPr>
                              <w:tab/>
                            </w:r>
                            <w:r>
                              <w:rPr>
                                <w:rFonts w:ascii="Arial"/>
                                <w:b/>
                                <w:spacing w:val="-5"/>
                                <w:sz w:val="18"/>
                              </w:rPr>
                              <w:t>Fax</w:t>
                            </w:r>
                            <w:r>
                              <w:rPr>
                                <w:rFonts w:ascii="Arial"/>
                                <w:b/>
                                <w:sz w:val="18"/>
                              </w:rPr>
                              <w:tab/>
                            </w:r>
                          </w:p>
                          <w:p w14:paraId="39C2210A">
                            <w:pPr>
                              <w:pStyle w:val="61"/>
                              <w:tabs>
                                <w:tab w:val="left" w:pos="1599"/>
                              </w:tabs>
                              <w:spacing w:before="93"/>
                              <w:rPr>
                                <w:sz w:val="18"/>
                              </w:rPr>
                            </w:pPr>
                            <w:r>
                              <w:rPr>
                                <w:rFonts w:ascii="Arial"/>
                                <w:b/>
                                <w:spacing w:val="-4"/>
                                <w:sz w:val="18"/>
                              </w:rPr>
                              <w:t>Email</w:t>
                            </w:r>
                            <w:r>
                              <w:rPr>
                                <w:rFonts w:ascii="Arial"/>
                                <w:b/>
                                <w:sz w:val="18"/>
                              </w:rPr>
                              <w:tab/>
                            </w:r>
                          </w:p>
                          <w:p w14:paraId="677A40BE">
                            <w:pPr>
                              <w:pStyle w:val="61"/>
                              <w:tabs>
                                <w:tab w:val="left" w:pos="1599"/>
                                <w:tab w:val="left" w:pos="4719"/>
                                <w:tab w:val="left" w:pos="7719"/>
                              </w:tabs>
                              <w:spacing w:before="93"/>
                              <w:rPr>
                                <w:sz w:val="18"/>
                              </w:rPr>
                            </w:pPr>
                            <w:r>
                              <w:rPr>
                                <w:rFonts w:ascii="Arial" w:hAnsi="Arial"/>
                                <w:b/>
                                <w:spacing w:val="-2"/>
                                <w:sz w:val="18"/>
                              </w:rPr>
                              <w:t>Banco</w:t>
                            </w:r>
                            <w:r>
                              <w:rPr>
                                <w:rFonts w:ascii="Arial" w:hAnsi="Arial"/>
                                <w:b/>
                                <w:sz w:val="18"/>
                              </w:rPr>
                              <w:tab/>
                            </w:r>
                            <w:r>
                              <w:rPr>
                                <w:sz w:val="18"/>
                              </w:rPr>
                              <w:tab/>
                            </w:r>
                            <w:r>
                              <w:rPr>
                                <w:rFonts w:ascii="Arial" w:hAnsi="Arial"/>
                                <w:b/>
                                <w:sz w:val="18"/>
                              </w:rPr>
                              <w:t>Agência</w:t>
                            </w:r>
                            <w:r>
                              <w:rPr>
                                <w:sz w:val="18"/>
                              </w:rPr>
                              <w:tab/>
                            </w:r>
                            <w:r>
                              <w:rPr>
                                <w:rFonts w:ascii="Arial" w:hAnsi="Arial"/>
                                <w:b/>
                                <w:sz w:val="18"/>
                              </w:rPr>
                              <w:t>Conta</w:t>
                            </w:r>
                            <w:r>
                              <w:rPr>
                                <w:rFonts w:ascii="Arial" w:hAnsi="Arial"/>
                                <w:b/>
                                <w:spacing w:val="33"/>
                                <w:sz w:val="18"/>
                              </w:rPr>
                              <w:t xml:space="preserve">  </w:t>
                            </w:r>
                          </w:p>
                          <w:p w14:paraId="58129722">
                            <w:pPr>
                              <w:pStyle w:val="61"/>
                              <w:spacing w:before="93"/>
                              <w:rPr>
                                <w:sz w:val="18"/>
                              </w:rPr>
                            </w:pPr>
                            <w:r>
                              <w:rPr>
                                <w:rFonts w:ascii="Arial" w:hAnsi="Arial"/>
                                <w:b/>
                                <w:sz w:val="18"/>
                              </w:rPr>
                              <w:t>Condição</w:t>
                            </w:r>
                            <w:r>
                              <w:rPr>
                                <w:rFonts w:ascii="Arial" w:hAnsi="Arial"/>
                                <w:b/>
                                <w:spacing w:val="7"/>
                                <w:sz w:val="18"/>
                              </w:rPr>
                              <w:t xml:space="preserve"> </w:t>
                            </w:r>
                            <w:r>
                              <w:rPr>
                                <w:rFonts w:ascii="Arial" w:hAnsi="Arial"/>
                                <w:b/>
                                <w:sz w:val="18"/>
                              </w:rPr>
                              <w:t>Pagto</w:t>
                            </w:r>
                            <w:r>
                              <w:rPr>
                                <w:rFonts w:ascii="Arial" w:hAnsi="Arial"/>
                                <w:b/>
                                <w:spacing w:val="55"/>
                                <w:w w:val="150"/>
                                <w:sz w:val="18"/>
                              </w:rPr>
                              <w:t xml:space="preserve"> </w:t>
                            </w:r>
                          </w:p>
                          <w:p w14:paraId="5C3CD296">
                            <w:pPr>
                              <w:pStyle w:val="61"/>
                              <w:tabs>
                                <w:tab w:val="left" w:pos="1599"/>
                              </w:tabs>
                              <w:spacing w:before="93"/>
                              <w:rPr>
                                <w:sz w:val="18"/>
                              </w:rPr>
                            </w:pPr>
                            <w:r>
                              <w:rPr>
                                <w:rFonts w:ascii="Arial"/>
                                <w:b/>
                                <w:sz w:val="18"/>
                              </w:rPr>
                              <w:t>Prazo</w:t>
                            </w:r>
                            <w:r>
                              <w:rPr>
                                <w:rFonts w:ascii="Arial"/>
                                <w:b/>
                                <w:spacing w:val="10"/>
                                <w:sz w:val="18"/>
                              </w:rPr>
                              <w:t xml:space="preserve"> </w:t>
                            </w:r>
                            <w:r>
                              <w:rPr>
                                <w:rFonts w:ascii="Arial"/>
                                <w:b/>
                                <w:spacing w:val="-2"/>
                                <w:sz w:val="18"/>
                              </w:rPr>
                              <w:t>Entrega</w:t>
                            </w:r>
                            <w:r>
                              <w:rPr>
                                <w:rFonts w:ascii="Arial"/>
                                <w:b/>
                                <w:sz w:val="18"/>
                              </w:rPr>
                              <w:tab/>
                            </w:r>
                          </w:p>
                          <w:p w14:paraId="2467992A">
                            <w:pPr>
                              <w:pStyle w:val="61"/>
                              <w:tabs>
                                <w:tab w:val="left" w:pos="1599"/>
                              </w:tabs>
                              <w:spacing w:before="93"/>
                              <w:rPr>
                                <w:sz w:val="20"/>
                              </w:rPr>
                            </w:pPr>
                            <w:r>
                              <w:rPr>
                                <w:rFonts w:ascii="Arial" w:hAnsi="Arial"/>
                                <w:b/>
                                <w:position w:val="2"/>
                                <w:sz w:val="18"/>
                              </w:rPr>
                              <w:t>Local</w:t>
                            </w:r>
                            <w:r>
                              <w:rPr>
                                <w:rFonts w:ascii="Arial" w:hAnsi="Arial"/>
                                <w:b/>
                                <w:spacing w:val="10"/>
                                <w:position w:val="2"/>
                                <w:sz w:val="18"/>
                              </w:rPr>
                              <w:t xml:space="preserve"> </w:t>
                            </w:r>
                            <w:r>
                              <w:rPr>
                                <w:rFonts w:ascii="Arial" w:hAnsi="Arial"/>
                                <w:b/>
                                <w:spacing w:val="-2"/>
                                <w:position w:val="2"/>
                                <w:sz w:val="18"/>
                              </w:rPr>
                              <w:t>Entrega</w:t>
                            </w:r>
                            <w:r>
                              <w:rPr>
                                <w:rFonts w:ascii="Arial" w:hAnsi="Arial"/>
                                <w:b/>
                                <w:position w:val="2"/>
                                <w:sz w:val="18"/>
                              </w:rPr>
                              <w:tab/>
                            </w:r>
                          </w:p>
                          <w:p w14:paraId="356B9D7A">
                            <w:pPr>
                              <w:pStyle w:val="61"/>
                              <w:tabs>
                                <w:tab w:val="left" w:pos="1599"/>
                                <w:tab w:val="left" w:pos="7219"/>
                              </w:tabs>
                              <w:spacing w:before="69"/>
                              <w:rPr>
                                <w:position w:val="-1"/>
                                <w:sz w:val="20"/>
                              </w:rPr>
                            </w:pPr>
                            <w:r>
                              <w:rPr>
                                <w:rFonts w:ascii="Arial"/>
                                <w:b/>
                                <w:sz w:val="18"/>
                              </w:rPr>
                              <w:t>Bairro</w:t>
                            </w:r>
                            <w:r>
                              <w:rPr>
                                <w:rFonts w:ascii="Arial"/>
                                <w:b/>
                                <w:spacing w:val="11"/>
                                <w:sz w:val="18"/>
                              </w:rPr>
                              <w:t xml:space="preserve"> </w:t>
                            </w:r>
                            <w:r>
                              <w:rPr>
                                <w:rFonts w:ascii="Arial"/>
                                <w:b/>
                                <w:spacing w:val="-2"/>
                                <w:sz w:val="18"/>
                              </w:rPr>
                              <w:t>Entrega</w:t>
                            </w:r>
                            <w:r>
                              <w:rPr>
                                <w:rFonts w:ascii="Arial"/>
                                <w:b/>
                                <w:sz w:val="18"/>
                              </w:rPr>
                              <w:tab/>
                            </w:r>
                            <w:r>
                              <w:rPr>
                                <w:position w:val="-1"/>
                                <w:sz w:val="20"/>
                              </w:rPr>
                              <w:tab/>
                            </w:r>
                            <w:r>
                              <w:rPr>
                                <w:rFonts w:ascii="Arial"/>
                                <w:b/>
                                <w:sz w:val="18"/>
                              </w:rPr>
                              <w:t>Cep</w:t>
                            </w:r>
                            <w:r>
                              <w:rPr>
                                <w:rFonts w:ascii="Arial"/>
                                <w:b/>
                                <w:spacing w:val="11"/>
                                <w:sz w:val="18"/>
                              </w:rPr>
                              <w:t xml:space="preserve"> </w:t>
                            </w:r>
                            <w:r>
                              <w:rPr>
                                <w:rFonts w:ascii="Arial"/>
                                <w:b/>
                                <w:sz w:val="18"/>
                              </w:rPr>
                              <w:t>Entrega</w:t>
                            </w:r>
                            <w:r>
                              <w:rPr>
                                <w:rFonts w:ascii="Arial"/>
                                <w:b/>
                                <w:spacing w:val="38"/>
                                <w:sz w:val="18"/>
                              </w:rPr>
                              <w:t xml:space="preserve"> </w:t>
                            </w:r>
                          </w:p>
                          <w:p w14:paraId="7C851427">
                            <w:pPr>
                              <w:pStyle w:val="61"/>
                              <w:spacing w:before="69" w:line="348" w:lineRule="auto"/>
                              <w:ind w:right="195"/>
                              <w:rPr>
                                <w:rFonts w:ascii="Arial" w:hAnsi="Arial"/>
                                <w:b/>
                                <w:sz w:val="18"/>
                              </w:rPr>
                            </w:pPr>
                            <w:r>
                              <w:rPr>
                                <w:rFonts w:ascii="Arial" w:hAnsi="Arial"/>
                                <w:b/>
                                <w:sz w:val="18"/>
                              </w:rPr>
                              <w:t xml:space="preserve">Fonte de Recursos/Convênio </w:t>
                            </w:r>
                            <w:r>
                              <w:rPr>
                                <w:rFonts w:ascii="Arial" w:hAnsi="Arial"/>
                                <w:b/>
                                <w:spacing w:val="-2"/>
                                <w:sz w:val="18"/>
                              </w:rPr>
                              <w:t xml:space="preserve">Observação: </w:t>
                            </w:r>
                            <w:r>
                              <w:rPr>
                                <w:rFonts w:ascii="Arial" w:hAnsi="Arial"/>
                                <w:b/>
                                <w:spacing w:val="-2"/>
                                <w:sz w:val="18"/>
                                <w:highlight w:val="yellow"/>
                              </w:rPr>
                              <w:t>Esta Autorização de Fornecimento tem vigência de 12 (doze) meses a contar da data de emissão</w:t>
                            </w:r>
                          </w:p>
                        </w:tc>
                      </w:tr>
                      <w:tr w14:paraId="58C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0760" w:type="dxa"/>
                            <w:gridSpan w:val="11"/>
                            <w:tcBorders>
                              <w:top w:val="single" w:color="000000" w:sz="8" w:space="0"/>
                              <w:bottom w:val="single" w:color="000000" w:sz="8" w:space="0"/>
                            </w:tcBorders>
                          </w:tcPr>
                          <w:p w14:paraId="2D66B8B5">
                            <w:pPr>
                              <w:pStyle w:val="61"/>
                              <w:spacing w:before="41"/>
                              <w:ind w:left="100"/>
                              <w:rPr>
                                <w:sz w:val="18"/>
                              </w:rPr>
                            </w:pPr>
                            <w:r>
                              <w:rPr>
                                <w:rFonts w:ascii="Arial"/>
                                <w:b/>
                                <w:sz w:val="18"/>
                              </w:rPr>
                              <w:t>Processo</w:t>
                            </w:r>
                            <w:r>
                              <w:rPr>
                                <w:rFonts w:ascii="Arial"/>
                                <w:b/>
                                <w:spacing w:val="28"/>
                                <w:sz w:val="18"/>
                              </w:rPr>
                              <w:t xml:space="preserve"> </w:t>
                            </w:r>
                            <w:r>
                              <w:rPr>
                                <w:rFonts w:ascii="Arial"/>
                                <w:b/>
                                <w:sz w:val="18"/>
                              </w:rPr>
                              <w:t>Administrativo</w:t>
                            </w:r>
                            <w:r>
                              <w:rPr>
                                <w:rFonts w:ascii="Arial"/>
                                <w:b/>
                                <w:spacing w:val="-10"/>
                                <w:sz w:val="18"/>
                              </w:rPr>
                              <w:t xml:space="preserve"> </w:t>
                            </w:r>
                            <w:r>
                              <w:rPr>
                                <w:spacing w:val="-2"/>
                                <w:sz w:val="18"/>
                              </w:rPr>
                              <w:t>0000000XXXX/2025</w:t>
                            </w:r>
                          </w:p>
                        </w:tc>
                      </w:tr>
                      <w:tr w14:paraId="134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00" w:type="dxa"/>
                            <w:gridSpan w:val="5"/>
                            <w:tcBorders>
                              <w:top w:val="single" w:color="000000" w:sz="8" w:space="0"/>
                              <w:bottom w:val="single" w:color="000000" w:sz="8" w:space="0"/>
                              <w:right w:val="single" w:color="000000" w:sz="8" w:space="0"/>
                            </w:tcBorders>
                          </w:tcPr>
                          <w:p w14:paraId="2A6E2DC8">
                            <w:pPr>
                              <w:pStyle w:val="61"/>
                              <w:spacing w:before="21"/>
                              <w:ind w:left="100"/>
                              <w:rPr>
                                <w:rFonts w:ascii="Arial"/>
                                <w:b/>
                                <w:sz w:val="18"/>
                              </w:rPr>
                            </w:pPr>
                            <w:r>
                              <w:rPr>
                                <w:rFonts w:ascii="Arial"/>
                                <w:b/>
                                <w:sz w:val="18"/>
                              </w:rPr>
                              <w:t>Unidade</w:t>
                            </w:r>
                            <w:r>
                              <w:rPr>
                                <w:rFonts w:ascii="Arial"/>
                                <w:b/>
                                <w:spacing w:val="15"/>
                                <w:sz w:val="18"/>
                              </w:rPr>
                              <w:t xml:space="preserve"> </w:t>
                            </w:r>
                            <w:r>
                              <w:rPr>
                                <w:rFonts w:ascii="Arial"/>
                                <w:b/>
                                <w:spacing w:val="-2"/>
                                <w:sz w:val="18"/>
                              </w:rPr>
                              <w:t>Requisitante</w:t>
                            </w:r>
                          </w:p>
                        </w:tc>
                        <w:tc>
                          <w:tcPr>
                            <w:tcW w:w="3300" w:type="dxa"/>
                            <w:gridSpan w:val="4"/>
                            <w:tcBorders>
                              <w:top w:val="single" w:color="000000" w:sz="8" w:space="0"/>
                              <w:left w:val="single" w:color="000000" w:sz="8" w:space="0"/>
                              <w:bottom w:val="single" w:color="000000" w:sz="8" w:space="0"/>
                              <w:right w:val="single" w:color="000000" w:sz="8" w:space="0"/>
                            </w:tcBorders>
                          </w:tcPr>
                          <w:p w14:paraId="5FDF19E3">
                            <w:pPr>
                              <w:pStyle w:val="61"/>
                              <w:spacing w:before="20"/>
                              <w:ind w:left="297"/>
                              <w:rPr>
                                <w:rFonts w:ascii="Arial"/>
                                <w:b/>
                                <w:sz w:val="16"/>
                              </w:rPr>
                            </w:pPr>
                            <w:r>
                              <w:rPr>
                                <w:rFonts w:ascii="Arial"/>
                                <w:b/>
                                <w:sz w:val="16"/>
                              </w:rPr>
                              <w:t>Nota</w:t>
                            </w:r>
                            <w:r>
                              <w:rPr>
                                <w:rFonts w:ascii="Arial"/>
                                <w:b/>
                                <w:spacing w:val="6"/>
                                <w:sz w:val="16"/>
                              </w:rPr>
                              <w:t xml:space="preserve"> </w:t>
                            </w:r>
                            <w:r>
                              <w:rPr>
                                <w:rFonts w:ascii="Arial"/>
                                <w:b/>
                                <w:sz w:val="16"/>
                              </w:rPr>
                              <w:t>de</w:t>
                            </w:r>
                            <w:r>
                              <w:rPr>
                                <w:rFonts w:ascii="Arial"/>
                                <w:b/>
                                <w:spacing w:val="6"/>
                                <w:sz w:val="16"/>
                              </w:rPr>
                              <w:t xml:space="preserve"> </w:t>
                            </w:r>
                            <w:r>
                              <w:rPr>
                                <w:rFonts w:ascii="Arial"/>
                                <w:b/>
                                <w:spacing w:val="-2"/>
                                <w:sz w:val="16"/>
                              </w:rPr>
                              <w:t>Empenho</w:t>
                            </w:r>
                          </w:p>
                        </w:tc>
                        <w:tc>
                          <w:tcPr>
                            <w:tcW w:w="2960" w:type="dxa"/>
                            <w:gridSpan w:val="2"/>
                            <w:tcBorders>
                              <w:top w:val="single" w:color="000000" w:sz="8" w:space="0"/>
                              <w:left w:val="single" w:color="000000" w:sz="8" w:space="0"/>
                              <w:bottom w:val="single" w:color="000000" w:sz="8" w:space="0"/>
                            </w:tcBorders>
                          </w:tcPr>
                          <w:p w14:paraId="0CF0F734">
                            <w:pPr>
                              <w:pStyle w:val="61"/>
                              <w:spacing w:before="21"/>
                              <w:ind w:left="97"/>
                              <w:rPr>
                                <w:rFonts w:ascii="Arial" w:hAnsi="Arial"/>
                                <w:b/>
                                <w:sz w:val="18"/>
                              </w:rPr>
                            </w:pPr>
                            <w:r>
                              <w:rPr>
                                <w:rFonts w:ascii="Arial" w:hAnsi="Arial"/>
                                <w:b/>
                                <w:sz w:val="18"/>
                              </w:rPr>
                              <w:t>Dotação/Elemento</w:t>
                            </w:r>
                            <w:r>
                              <w:rPr>
                                <w:rFonts w:ascii="Arial" w:hAnsi="Arial"/>
                                <w:b/>
                                <w:spacing w:val="18"/>
                                <w:sz w:val="18"/>
                              </w:rPr>
                              <w:t xml:space="preserve"> </w:t>
                            </w:r>
                            <w:r>
                              <w:rPr>
                                <w:rFonts w:ascii="Arial" w:hAnsi="Arial"/>
                                <w:b/>
                                <w:sz w:val="18"/>
                              </w:rPr>
                              <w:t>de</w:t>
                            </w:r>
                            <w:r>
                              <w:rPr>
                                <w:rFonts w:ascii="Arial" w:hAnsi="Arial"/>
                                <w:b/>
                                <w:spacing w:val="19"/>
                                <w:sz w:val="18"/>
                              </w:rPr>
                              <w:t xml:space="preserve"> </w:t>
                            </w:r>
                            <w:r>
                              <w:rPr>
                                <w:rFonts w:ascii="Arial" w:hAnsi="Arial"/>
                                <w:b/>
                                <w:spacing w:val="-2"/>
                                <w:sz w:val="18"/>
                              </w:rPr>
                              <w:t>Despesa</w:t>
                            </w:r>
                          </w:p>
                        </w:tc>
                      </w:tr>
                      <w:tr w14:paraId="31C1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0760" w:type="dxa"/>
                            <w:gridSpan w:val="11"/>
                            <w:tcBorders>
                              <w:top w:val="single" w:color="000000" w:sz="8" w:space="0"/>
                              <w:bottom w:val="single" w:color="000000" w:sz="8" w:space="0"/>
                            </w:tcBorders>
                          </w:tcPr>
                          <w:p w14:paraId="5623AD6E">
                            <w:pPr>
                              <w:pStyle w:val="61"/>
                              <w:tabs>
                                <w:tab w:val="left" w:pos="4799"/>
                                <w:tab w:val="left" w:pos="7899"/>
                              </w:tabs>
                              <w:spacing w:before="40" w:line="261" w:lineRule="auto"/>
                              <w:ind w:left="100" w:right="443"/>
                              <w:rPr>
                                <w:sz w:val="16"/>
                              </w:rPr>
                            </w:pPr>
                          </w:p>
                        </w:tc>
                      </w:tr>
                      <w:tr w14:paraId="4E6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540" w:type="dxa"/>
                            <w:tcBorders>
                              <w:top w:val="single" w:color="000000" w:sz="8" w:space="0"/>
                              <w:bottom w:val="single" w:color="000000" w:sz="8" w:space="0"/>
                              <w:right w:val="single" w:color="000000" w:sz="8" w:space="0"/>
                            </w:tcBorders>
                          </w:tcPr>
                          <w:p w14:paraId="5C5B1290">
                            <w:pPr>
                              <w:pStyle w:val="61"/>
                              <w:spacing w:before="21"/>
                              <w:rPr>
                                <w:sz w:val="18"/>
                              </w:rPr>
                            </w:pPr>
                            <w:r>
                              <w:rPr>
                                <w:spacing w:val="-4"/>
                                <w:sz w:val="18"/>
                              </w:rPr>
                              <w:t>Item</w:t>
                            </w:r>
                          </w:p>
                        </w:tc>
                        <w:tc>
                          <w:tcPr>
                            <w:tcW w:w="2420" w:type="dxa"/>
                            <w:gridSpan w:val="2"/>
                            <w:tcBorders>
                              <w:top w:val="single" w:color="000000" w:sz="8" w:space="0"/>
                              <w:left w:val="single" w:color="000000" w:sz="8" w:space="0"/>
                              <w:bottom w:val="single" w:color="000000" w:sz="8" w:space="0"/>
                              <w:right w:val="single" w:color="000000" w:sz="8" w:space="0"/>
                            </w:tcBorders>
                          </w:tcPr>
                          <w:p w14:paraId="2CE4135A">
                            <w:pPr>
                              <w:pStyle w:val="61"/>
                              <w:spacing w:before="21"/>
                              <w:ind w:left="617"/>
                              <w:rPr>
                                <w:sz w:val="18"/>
                              </w:rPr>
                            </w:pPr>
                            <w:r>
                              <w:rPr>
                                <w:sz w:val="18"/>
                              </w:rPr>
                              <w:t>Código</w:t>
                            </w:r>
                            <w:r>
                              <w:rPr>
                                <w:spacing w:val="6"/>
                                <w:sz w:val="18"/>
                              </w:rPr>
                              <w:t xml:space="preserve"> </w:t>
                            </w:r>
                            <w:r>
                              <w:rPr>
                                <w:spacing w:val="-2"/>
                                <w:sz w:val="18"/>
                              </w:rPr>
                              <w:t>Material</w:t>
                            </w:r>
                          </w:p>
                        </w:tc>
                        <w:tc>
                          <w:tcPr>
                            <w:tcW w:w="700" w:type="dxa"/>
                            <w:tcBorders>
                              <w:top w:val="single" w:color="000000" w:sz="8" w:space="0"/>
                              <w:left w:val="single" w:color="000000" w:sz="8" w:space="0"/>
                              <w:bottom w:val="single" w:color="000000" w:sz="8" w:space="0"/>
                              <w:right w:val="single" w:color="000000" w:sz="8" w:space="0"/>
                            </w:tcBorders>
                          </w:tcPr>
                          <w:p w14:paraId="44C732E5">
                            <w:pPr>
                              <w:pStyle w:val="61"/>
                              <w:spacing w:before="21"/>
                              <w:ind w:left="97"/>
                              <w:rPr>
                                <w:sz w:val="18"/>
                              </w:rPr>
                            </w:pPr>
                            <w:r>
                              <w:rPr>
                                <w:spacing w:val="-2"/>
                                <w:sz w:val="18"/>
                              </w:rPr>
                              <w:t>Unid.</w:t>
                            </w:r>
                          </w:p>
                        </w:tc>
                        <w:tc>
                          <w:tcPr>
                            <w:tcW w:w="1460" w:type="dxa"/>
                            <w:gridSpan w:val="2"/>
                            <w:tcBorders>
                              <w:top w:val="single" w:color="000000" w:sz="8" w:space="0"/>
                              <w:left w:val="single" w:color="000000" w:sz="8" w:space="0"/>
                              <w:bottom w:val="single" w:color="000000" w:sz="8" w:space="0"/>
                              <w:right w:val="single" w:color="000000" w:sz="8" w:space="0"/>
                            </w:tcBorders>
                          </w:tcPr>
                          <w:p w14:paraId="28F854CF">
                            <w:pPr>
                              <w:pStyle w:val="61"/>
                              <w:spacing w:before="21"/>
                              <w:ind w:left="257"/>
                              <w:rPr>
                                <w:sz w:val="18"/>
                              </w:rPr>
                            </w:pPr>
                            <w:r>
                              <w:rPr>
                                <w:spacing w:val="-2"/>
                                <w:sz w:val="18"/>
                              </w:rPr>
                              <w:t>Quantidade</w:t>
                            </w:r>
                          </w:p>
                        </w:tc>
                        <w:tc>
                          <w:tcPr>
                            <w:tcW w:w="1500" w:type="dxa"/>
                            <w:gridSpan w:val="2"/>
                            <w:tcBorders>
                              <w:top w:val="single" w:color="000000" w:sz="8" w:space="0"/>
                              <w:left w:val="single" w:color="000000" w:sz="8" w:space="0"/>
                              <w:bottom w:val="single" w:color="000000" w:sz="8" w:space="0"/>
                              <w:right w:val="single" w:color="000000" w:sz="8" w:space="0"/>
                            </w:tcBorders>
                          </w:tcPr>
                          <w:p w14:paraId="59DA45F7">
                            <w:pPr>
                              <w:pStyle w:val="61"/>
                              <w:spacing w:before="21"/>
                              <w:ind w:left="597"/>
                              <w:rPr>
                                <w:sz w:val="18"/>
                              </w:rPr>
                            </w:pPr>
                            <w:r>
                              <w:rPr>
                                <w:spacing w:val="-2"/>
                                <w:sz w:val="18"/>
                              </w:rPr>
                              <w:t>Marca</w:t>
                            </w:r>
                          </w:p>
                        </w:tc>
                        <w:tc>
                          <w:tcPr>
                            <w:tcW w:w="1700" w:type="dxa"/>
                            <w:gridSpan w:val="2"/>
                            <w:tcBorders>
                              <w:top w:val="single" w:color="000000" w:sz="8" w:space="0"/>
                              <w:left w:val="single" w:color="000000" w:sz="8" w:space="0"/>
                              <w:bottom w:val="single" w:color="000000" w:sz="8" w:space="0"/>
                              <w:right w:val="single" w:color="000000" w:sz="8" w:space="0"/>
                            </w:tcBorders>
                          </w:tcPr>
                          <w:p w14:paraId="25BAFA7C">
                            <w:pPr>
                              <w:pStyle w:val="61"/>
                              <w:spacing w:before="21"/>
                              <w:ind w:left="297"/>
                              <w:rPr>
                                <w:sz w:val="18"/>
                              </w:rPr>
                            </w:pPr>
                            <w:r>
                              <w:rPr>
                                <w:sz w:val="18"/>
                              </w:rPr>
                              <w:t>Valor</w:t>
                            </w:r>
                            <w:r>
                              <w:rPr>
                                <w:spacing w:val="6"/>
                                <w:sz w:val="18"/>
                              </w:rPr>
                              <w:t xml:space="preserve"> </w:t>
                            </w:r>
                            <w:r>
                              <w:rPr>
                                <w:spacing w:val="-2"/>
                                <w:sz w:val="18"/>
                              </w:rPr>
                              <w:t>Unitário</w:t>
                            </w:r>
                          </w:p>
                        </w:tc>
                        <w:tc>
                          <w:tcPr>
                            <w:tcW w:w="2440" w:type="dxa"/>
                            <w:tcBorders>
                              <w:top w:val="single" w:color="000000" w:sz="8" w:space="0"/>
                              <w:left w:val="single" w:color="000000" w:sz="8" w:space="0"/>
                              <w:bottom w:val="single" w:color="000000" w:sz="8" w:space="0"/>
                            </w:tcBorders>
                          </w:tcPr>
                          <w:p w14:paraId="11283427">
                            <w:pPr>
                              <w:pStyle w:val="61"/>
                              <w:spacing w:before="21"/>
                              <w:ind w:left="337"/>
                              <w:rPr>
                                <w:sz w:val="18"/>
                              </w:rPr>
                            </w:pPr>
                            <w:r>
                              <w:rPr>
                                <w:sz w:val="18"/>
                              </w:rPr>
                              <w:t>Valor</w:t>
                            </w:r>
                            <w:r>
                              <w:rPr>
                                <w:spacing w:val="6"/>
                                <w:sz w:val="18"/>
                              </w:rPr>
                              <w:t xml:space="preserve"> </w:t>
                            </w:r>
                            <w:r>
                              <w:rPr>
                                <w:spacing w:val="-2"/>
                                <w:sz w:val="18"/>
                              </w:rPr>
                              <w:t>Total</w:t>
                            </w:r>
                          </w:p>
                        </w:tc>
                      </w:tr>
                      <w:tr w14:paraId="78A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760" w:type="dxa"/>
                            <w:gridSpan w:val="11"/>
                            <w:tcBorders>
                              <w:top w:val="single" w:color="000000" w:sz="8" w:space="0"/>
                              <w:bottom w:val="single" w:color="000000" w:sz="8" w:space="0"/>
                            </w:tcBorders>
                          </w:tcPr>
                          <w:p w14:paraId="23F1C4B2">
                            <w:pPr>
                              <w:pStyle w:val="61"/>
                              <w:tabs>
                                <w:tab w:val="left" w:pos="1159"/>
                                <w:tab w:val="left" w:pos="3099"/>
                                <w:tab w:val="left" w:pos="4059"/>
                                <w:tab w:val="left" w:pos="5239"/>
                                <w:tab w:val="left" w:pos="7359"/>
                                <w:tab w:val="left" w:pos="8839"/>
                              </w:tabs>
                              <w:spacing w:before="38"/>
                              <w:ind w:left="200"/>
                              <w:rPr>
                                <w:position w:val="4"/>
                                <w:sz w:val="14"/>
                              </w:rPr>
                            </w:pPr>
                            <w:r>
                              <w:rPr>
                                <w:spacing w:val="-5"/>
                                <w:sz w:val="18"/>
                              </w:rPr>
                              <w:t>XX</w:t>
                            </w:r>
                            <w:r>
                              <w:rPr>
                                <w:sz w:val="18"/>
                              </w:rPr>
                              <w:tab/>
                            </w:r>
                            <w:r>
                              <w:rPr>
                                <w:sz w:val="18"/>
                              </w:rPr>
                              <w:t>XXXXXXXXX</w:t>
                            </w:r>
                            <w:r>
                              <w:rPr>
                                <w:sz w:val="18"/>
                              </w:rPr>
                              <w:tab/>
                            </w:r>
                            <w:r>
                              <w:rPr>
                                <w:sz w:val="18"/>
                              </w:rPr>
                              <w:t>XXX</w:t>
                            </w:r>
                            <w:r>
                              <w:rPr>
                                <w:sz w:val="18"/>
                              </w:rPr>
                              <w:tab/>
                            </w:r>
                            <w:r>
                              <w:rPr>
                                <w:sz w:val="18"/>
                              </w:rPr>
                              <w:t>XXXXXX</w:t>
                            </w:r>
                            <w:r>
                              <w:rPr>
                                <w:position w:val="4"/>
                                <w:sz w:val="14"/>
                              </w:rPr>
                              <w:tab/>
                            </w:r>
                            <w:r>
                              <w:rPr>
                                <w:position w:val="4"/>
                                <w:sz w:val="14"/>
                              </w:rPr>
                              <w:t>XXXXX</w:t>
                            </w:r>
                            <w:r>
                              <w:rPr>
                                <w:sz w:val="18"/>
                              </w:rPr>
                              <w:tab/>
                            </w:r>
                            <w:r>
                              <w:rPr>
                                <w:spacing w:val="-2"/>
                                <w:position w:val="4"/>
                                <w:sz w:val="14"/>
                              </w:rPr>
                              <w:t>XXXXXX</w:t>
                            </w:r>
                            <w:r>
                              <w:rPr>
                                <w:position w:val="4"/>
                                <w:sz w:val="14"/>
                              </w:rPr>
                              <w:tab/>
                            </w:r>
                            <w:r>
                              <w:rPr>
                                <w:position w:val="4"/>
                                <w:sz w:val="14"/>
                              </w:rPr>
                              <w:t>XXXXXXXX</w:t>
                            </w:r>
                          </w:p>
                          <w:p w14:paraId="0D139591">
                            <w:pPr>
                              <w:pStyle w:val="61"/>
                              <w:tabs>
                                <w:tab w:val="left" w:pos="1159"/>
                                <w:tab w:val="left" w:pos="3099"/>
                                <w:tab w:val="left" w:pos="4059"/>
                                <w:tab w:val="left" w:pos="5239"/>
                                <w:tab w:val="left" w:pos="7359"/>
                                <w:tab w:val="left" w:pos="8839"/>
                              </w:tabs>
                              <w:spacing w:before="38"/>
                              <w:ind w:left="200"/>
                              <w:rPr>
                                <w:rFonts w:ascii="Arial" w:hAnsi="Arial"/>
                                <w:b/>
                                <w:sz w:val="18"/>
                              </w:rPr>
                            </w:pPr>
                          </w:p>
                          <w:p w14:paraId="435D984B">
                            <w:pPr>
                              <w:pStyle w:val="61"/>
                              <w:tabs>
                                <w:tab w:val="left" w:pos="1159"/>
                                <w:tab w:val="left" w:pos="3099"/>
                                <w:tab w:val="left" w:pos="4059"/>
                                <w:tab w:val="left" w:pos="5239"/>
                                <w:tab w:val="left" w:pos="7359"/>
                                <w:tab w:val="left" w:pos="8839"/>
                              </w:tabs>
                              <w:spacing w:before="38"/>
                              <w:ind w:left="200"/>
                              <w:rPr>
                                <w:rFonts w:ascii="Arial" w:hAnsi="Arial"/>
                                <w:b/>
                                <w:sz w:val="18"/>
                              </w:rPr>
                            </w:pPr>
                            <w:r>
                              <w:rPr>
                                <w:rFonts w:ascii="Arial" w:hAnsi="Arial"/>
                                <w:b/>
                                <w:sz w:val="18"/>
                              </w:rPr>
                              <w:t>DESCRIÇÃO DO ITEM</w:t>
                            </w:r>
                          </w:p>
                        </w:tc>
                      </w:tr>
                      <w:tr w14:paraId="21A9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0760" w:type="dxa"/>
                            <w:gridSpan w:val="11"/>
                            <w:tcBorders>
                              <w:top w:val="single" w:color="000000" w:sz="8" w:space="0"/>
                              <w:bottom w:val="single" w:color="000000" w:sz="8" w:space="0"/>
                            </w:tcBorders>
                          </w:tcPr>
                          <w:p w14:paraId="6BA13427">
                            <w:pPr>
                              <w:pStyle w:val="61"/>
                              <w:spacing w:before="81"/>
                              <w:ind w:left="120"/>
                              <w:rPr>
                                <w:rFonts w:ascii="Arial"/>
                                <w:b/>
                                <w:sz w:val="18"/>
                              </w:rPr>
                            </w:pPr>
                            <w:r>
                              <w:rPr>
                                <w:rFonts w:ascii="Arial"/>
                                <w:b/>
                                <w:spacing w:val="-2"/>
                                <w:sz w:val="18"/>
                              </w:rPr>
                              <w:t>Nota:</w:t>
                            </w:r>
                          </w:p>
                          <w:p w14:paraId="225AB82D">
                            <w:pPr>
                              <w:pStyle w:val="61"/>
                              <w:spacing w:before="72"/>
                              <w:ind w:left="120"/>
                              <w:rPr>
                                <w:sz w:val="16"/>
                              </w:rPr>
                            </w:pPr>
                            <w:r>
                              <w:rPr>
                                <w:sz w:val="16"/>
                              </w:rPr>
                              <w:t>REGISTRO</w:t>
                            </w:r>
                            <w:r>
                              <w:rPr>
                                <w:spacing w:val="13"/>
                                <w:sz w:val="16"/>
                              </w:rPr>
                              <w:t xml:space="preserve"> </w:t>
                            </w:r>
                            <w:r>
                              <w:rPr>
                                <w:sz w:val="16"/>
                              </w:rPr>
                              <w:t>DE</w:t>
                            </w:r>
                            <w:r>
                              <w:rPr>
                                <w:spacing w:val="13"/>
                                <w:sz w:val="16"/>
                              </w:rPr>
                              <w:t xml:space="preserve"> </w:t>
                            </w:r>
                            <w:r>
                              <w:rPr>
                                <w:sz w:val="16"/>
                              </w:rPr>
                              <w:t>PREÇOS</w:t>
                            </w:r>
                            <w:r>
                              <w:rPr>
                                <w:spacing w:val="12"/>
                                <w:sz w:val="16"/>
                              </w:rPr>
                              <w:t xml:space="preserve"> </w:t>
                            </w:r>
                            <w:r>
                              <w:rPr>
                                <w:sz w:val="16"/>
                              </w:rPr>
                              <w:t>PARA</w:t>
                            </w:r>
                            <w:r>
                              <w:rPr>
                                <w:spacing w:val="13"/>
                                <w:sz w:val="16"/>
                              </w:rPr>
                              <w:t xml:space="preserve"> </w:t>
                            </w:r>
                            <w:r>
                              <w:rPr>
                                <w:sz w:val="16"/>
                              </w:rPr>
                              <w:t>AQUISIÇÃO</w:t>
                            </w:r>
                            <w:r>
                              <w:rPr>
                                <w:spacing w:val="14"/>
                                <w:sz w:val="16"/>
                              </w:rPr>
                              <w:t xml:space="preserve"> </w:t>
                            </w:r>
                            <w:r>
                              <w:rPr>
                                <w:sz w:val="16"/>
                              </w:rPr>
                              <w:t>DE</w:t>
                            </w:r>
                            <w:r>
                              <w:rPr>
                                <w:spacing w:val="12"/>
                                <w:sz w:val="16"/>
                              </w:rPr>
                              <w:t xml:space="preserve"> XXXXXXXXXXX</w:t>
                            </w:r>
                          </w:p>
                          <w:p w14:paraId="0D586181">
                            <w:pPr>
                              <w:pStyle w:val="61"/>
                              <w:spacing w:line="179" w:lineRule="exact"/>
                              <w:ind w:left="120"/>
                              <w:rPr>
                                <w:position w:val="-3"/>
                                <w:sz w:val="17"/>
                              </w:rPr>
                            </w:pPr>
                            <w:r>
                              <w:rPr>
                                <w:position w:val="-3"/>
                                <w:sz w:val="17"/>
                              </w:rPr>
                              <w:drawing>
                                <wp:inline distT="0" distB="0" distL="0" distR="0">
                                  <wp:extent cx="6682740" cy="113665"/>
                                  <wp:effectExtent l="0" t="0" r="0" b="0"/>
                                  <wp:docPr id="1329361030" name="Image 2"/>
                                  <wp:cNvGraphicFramePr/>
                                  <a:graphic xmlns:a="http://schemas.openxmlformats.org/drawingml/2006/main">
                                    <a:graphicData uri="http://schemas.openxmlformats.org/drawingml/2006/picture">
                                      <pic:pic xmlns:pic="http://schemas.openxmlformats.org/drawingml/2006/picture">
                                        <pic:nvPicPr>
                                          <pic:cNvPr id="1329361030" name="Image 2"/>
                                          <pic:cNvPicPr/>
                                        </pic:nvPicPr>
                                        <pic:blipFill>
                                          <a:blip r:embed="rId10" cstate="print"/>
                                          <a:stretch>
                                            <a:fillRect/>
                                          </a:stretch>
                                        </pic:blipFill>
                                        <pic:spPr>
                                          <a:xfrm>
                                            <a:off x="0" y="0"/>
                                            <a:ext cx="6683248" cy="113918"/>
                                          </a:xfrm>
                                          <a:prstGeom prst="rect">
                                            <a:avLst/>
                                          </a:prstGeom>
                                        </pic:spPr>
                                      </pic:pic>
                                    </a:graphicData>
                                  </a:graphic>
                                </wp:inline>
                              </w:drawing>
                            </w:r>
                          </w:p>
                          <w:p w14:paraId="12A14C76">
                            <w:pPr>
                              <w:pStyle w:val="61"/>
                              <w:spacing w:before="9"/>
                              <w:ind w:left="0"/>
                              <w:rPr>
                                <w:sz w:val="16"/>
                              </w:rPr>
                            </w:pPr>
                          </w:p>
                          <w:p w14:paraId="50FEFFFE">
                            <w:pPr>
                              <w:pStyle w:val="61"/>
                              <w:ind w:left="100"/>
                              <w:rPr>
                                <w:sz w:val="20"/>
                              </w:rPr>
                            </w:pPr>
                            <w:r>
                              <w:rPr>
                                <w:sz w:val="20"/>
                              </w:rPr>
                              <w:t>Autorizo</w:t>
                            </w:r>
                            <w:r>
                              <w:rPr>
                                <w:spacing w:val="11"/>
                                <w:sz w:val="20"/>
                              </w:rPr>
                              <w:t xml:space="preserve"> </w:t>
                            </w:r>
                            <w:r>
                              <w:rPr>
                                <w:sz w:val="20"/>
                              </w:rPr>
                              <w:t>o</w:t>
                            </w:r>
                            <w:r>
                              <w:rPr>
                                <w:spacing w:val="11"/>
                                <w:sz w:val="20"/>
                              </w:rPr>
                              <w:t xml:space="preserve"> </w:t>
                            </w:r>
                            <w:r>
                              <w:rPr>
                                <w:spacing w:val="-2"/>
                                <w:sz w:val="20"/>
                              </w:rPr>
                              <w:t>fornecimento.</w:t>
                            </w:r>
                          </w:p>
                          <w:p w14:paraId="61AF84CB">
                            <w:pPr>
                              <w:pStyle w:val="61"/>
                              <w:ind w:left="0"/>
                              <w:rPr>
                                <w:sz w:val="20"/>
                              </w:rPr>
                            </w:pPr>
                          </w:p>
                          <w:p w14:paraId="25865190">
                            <w:pPr>
                              <w:pStyle w:val="61"/>
                              <w:spacing w:before="30"/>
                              <w:ind w:left="0"/>
                              <w:rPr>
                                <w:sz w:val="20"/>
                              </w:rPr>
                            </w:pPr>
                          </w:p>
                          <w:p w14:paraId="2CF3D7C8">
                            <w:pPr>
                              <w:pStyle w:val="61"/>
                              <w:ind w:left="120"/>
                              <w:rPr>
                                <w:sz w:val="20"/>
                              </w:rPr>
                            </w:pPr>
                            <w:r>
                              <w:rPr>
                                <w:sz w:val="20"/>
                              </w:rPr>
                              <w:t>PAULÍNIA/SP,</w:t>
                            </w:r>
                            <w:r>
                              <w:rPr>
                                <w:spacing w:val="5"/>
                                <w:sz w:val="20"/>
                              </w:rPr>
                              <w:t xml:space="preserve"> xx</w:t>
                            </w:r>
                            <w:r>
                              <w:rPr>
                                <w:spacing w:val="7"/>
                                <w:sz w:val="20"/>
                              </w:rPr>
                              <w:t xml:space="preserve"> </w:t>
                            </w:r>
                            <w:r>
                              <w:rPr>
                                <w:sz w:val="20"/>
                              </w:rPr>
                              <w:t>de</w:t>
                            </w:r>
                            <w:r>
                              <w:rPr>
                                <w:spacing w:val="7"/>
                                <w:sz w:val="20"/>
                              </w:rPr>
                              <w:t xml:space="preserve"> xxxxx </w:t>
                            </w:r>
                            <w:r>
                              <w:rPr>
                                <w:sz w:val="20"/>
                              </w:rPr>
                              <w:t>de</w:t>
                            </w:r>
                            <w:r>
                              <w:rPr>
                                <w:spacing w:val="7"/>
                                <w:sz w:val="20"/>
                              </w:rPr>
                              <w:t xml:space="preserve"> </w:t>
                            </w:r>
                            <w:r>
                              <w:rPr>
                                <w:spacing w:val="-4"/>
                                <w:sz w:val="20"/>
                              </w:rPr>
                              <w:t>2025</w:t>
                            </w:r>
                          </w:p>
                        </w:tc>
                      </w:tr>
                      <w:tr w14:paraId="1AE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0760" w:type="dxa"/>
                            <w:gridSpan w:val="11"/>
                            <w:tcBorders>
                              <w:top w:val="single" w:color="000000" w:sz="8" w:space="0"/>
                            </w:tcBorders>
                          </w:tcPr>
                          <w:p w14:paraId="0CCFCC6B">
                            <w:pPr>
                              <w:pStyle w:val="61"/>
                              <w:tabs>
                                <w:tab w:val="left" w:pos="9859"/>
                              </w:tabs>
                              <w:spacing w:before="40"/>
                              <w:rPr>
                                <w:sz w:val="16"/>
                              </w:rPr>
                            </w:pPr>
                            <w:r>
                              <w:rPr>
                                <w:sz w:val="16"/>
                              </w:rPr>
                              <w:t>Usuário</w:t>
                            </w:r>
                            <w:r>
                              <w:rPr>
                                <w:spacing w:val="5"/>
                                <w:sz w:val="16"/>
                              </w:rPr>
                              <w:t xml:space="preserve"> </w:t>
                            </w:r>
                            <w:r>
                              <w:rPr>
                                <w:sz w:val="16"/>
                              </w:rPr>
                              <w:t>:</w:t>
                            </w:r>
                            <w:r>
                              <w:rPr>
                                <w:spacing w:val="6"/>
                                <w:sz w:val="16"/>
                              </w:rPr>
                              <w:t xml:space="preserve"> </w:t>
                            </w:r>
                            <w:r>
                              <w:rPr>
                                <w:spacing w:val="-2"/>
                                <w:sz w:val="16"/>
                              </w:rPr>
                              <w:t>XXXXX</w:t>
                            </w:r>
                            <w:r>
                              <w:rPr>
                                <w:sz w:val="16"/>
                              </w:rPr>
                              <w:tab/>
                            </w:r>
                            <w:r>
                              <w:rPr>
                                <w:spacing w:val="-2"/>
                                <w:sz w:val="16"/>
                              </w:rPr>
                              <w:t>MCR26200</w:t>
                            </w:r>
                          </w:p>
                        </w:tc>
                      </w:tr>
                    </w:tbl>
                    <w:p w14:paraId="66B10EEE">
                      <w:pPr>
                        <w:pStyle w:val="10"/>
                      </w:pPr>
                    </w:p>
                  </w:txbxContent>
                </v:textbox>
              </v:shape>
            </w:pict>
          </mc:Fallback>
        </mc:AlternateContent>
      </w:r>
      <w:r>
        <w:rPr>
          <w:rFonts w:ascii="Arial" w:hAnsi="Arial" w:cs="Arial"/>
          <w:b/>
          <w:sz w:val="24"/>
          <w:szCs w:val="24"/>
        </w:rPr>
        <w:t>ANEXO III – MINUTA DE AUTORIZAÇÃO DE FORNECIMENTO</w:t>
      </w:r>
    </w:p>
    <w:p w14:paraId="158B1B21">
      <w:pPr>
        <w:pStyle w:val="10"/>
        <w:rPr>
          <w:rFonts w:ascii="Times New Roman"/>
          <w:sz w:val="20"/>
        </w:rPr>
      </w:pPr>
    </w:p>
    <w:p w14:paraId="149C6D46">
      <w:pPr>
        <w:pStyle w:val="10"/>
        <w:spacing w:before="154" w:after="1"/>
        <w:rPr>
          <w:rFonts w:ascii="Times New Roman"/>
          <w:sz w:val="20"/>
        </w:rPr>
      </w:pPr>
    </w:p>
    <w:p w14:paraId="5018D751">
      <w:pPr>
        <w:pStyle w:val="10"/>
        <w:ind w:left="289"/>
        <w:rPr>
          <w:rFonts w:ascii="Times New Roman"/>
          <w:sz w:val="20"/>
        </w:rPr>
      </w:pPr>
      <w:r>
        <w:rPr>
          <w:rFonts w:ascii="Times New Roman"/>
          <w:sz w:val="20"/>
        </w:rPr>
        <w:drawing>
          <wp:inline distT="0" distB="0" distL="0" distR="0">
            <wp:extent cx="787400" cy="80962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787987" cy="809625"/>
                    </a:xfrm>
                    <a:prstGeom prst="rect">
                      <a:avLst/>
                    </a:prstGeom>
                  </pic:spPr>
                </pic:pic>
              </a:graphicData>
            </a:graphic>
          </wp:inline>
        </w:drawing>
      </w:r>
    </w:p>
    <w:p w14:paraId="640923CD">
      <w:pPr>
        <w:pStyle w:val="10"/>
        <w:rPr>
          <w:rFonts w:ascii="Times New Roman"/>
        </w:rPr>
      </w:pPr>
    </w:p>
    <w:p w14:paraId="4DAF6675">
      <w:pPr>
        <w:pStyle w:val="10"/>
        <w:rPr>
          <w:rFonts w:ascii="Times New Roman"/>
        </w:rPr>
      </w:pPr>
    </w:p>
    <w:p w14:paraId="5CFA816D">
      <w:pPr>
        <w:pStyle w:val="10"/>
        <w:rPr>
          <w:rFonts w:ascii="Times New Roman"/>
        </w:rPr>
      </w:pPr>
    </w:p>
    <w:p w14:paraId="11441428">
      <w:pPr>
        <w:pStyle w:val="10"/>
        <w:rPr>
          <w:rFonts w:ascii="Times New Roman"/>
        </w:rPr>
      </w:pPr>
    </w:p>
    <w:p w14:paraId="7BC60909">
      <w:pPr>
        <w:pStyle w:val="10"/>
        <w:rPr>
          <w:rFonts w:ascii="Times New Roman"/>
        </w:rPr>
      </w:pPr>
    </w:p>
    <w:p w14:paraId="52466088">
      <w:pPr>
        <w:pStyle w:val="29"/>
        <w:spacing w:before="0" w:beforeAutospacing="0" w:after="200" w:afterAutospacing="0" w:line="240" w:lineRule="auto"/>
        <w:jc w:val="center"/>
        <w:rPr>
          <w:b/>
          <w:sz w:val="24"/>
          <w:szCs w:val="24"/>
        </w:rPr>
      </w:pPr>
    </w:p>
    <w:p w14:paraId="2664DF9F">
      <w:pPr>
        <w:pStyle w:val="29"/>
        <w:spacing w:before="0" w:beforeAutospacing="0" w:after="200" w:afterAutospacing="0" w:line="240" w:lineRule="auto"/>
        <w:jc w:val="center"/>
        <w:rPr>
          <w:b/>
          <w:sz w:val="24"/>
          <w:szCs w:val="24"/>
        </w:rPr>
      </w:pPr>
    </w:p>
    <w:p w14:paraId="657132D8">
      <w:pPr>
        <w:pStyle w:val="29"/>
        <w:spacing w:before="0" w:beforeAutospacing="0" w:after="200" w:afterAutospacing="0" w:line="240" w:lineRule="auto"/>
        <w:jc w:val="center"/>
        <w:rPr>
          <w:b/>
          <w:sz w:val="24"/>
          <w:szCs w:val="24"/>
        </w:rPr>
      </w:pPr>
    </w:p>
    <w:p w14:paraId="382730C9">
      <w:pPr>
        <w:pStyle w:val="29"/>
        <w:spacing w:before="0" w:beforeAutospacing="0" w:after="200" w:afterAutospacing="0" w:line="240" w:lineRule="auto"/>
        <w:jc w:val="center"/>
        <w:rPr>
          <w:b/>
          <w:sz w:val="24"/>
          <w:szCs w:val="24"/>
        </w:rPr>
      </w:pPr>
    </w:p>
    <w:p w14:paraId="2C3C7AB9">
      <w:pPr>
        <w:pStyle w:val="29"/>
        <w:spacing w:before="0" w:beforeAutospacing="0" w:after="200" w:afterAutospacing="0" w:line="240" w:lineRule="auto"/>
        <w:jc w:val="center"/>
        <w:rPr>
          <w:b/>
          <w:sz w:val="24"/>
          <w:szCs w:val="24"/>
        </w:rPr>
      </w:pPr>
    </w:p>
    <w:p w14:paraId="6146876A">
      <w:pPr>
        <w:pStyle w:val="29"/>
        <w:spacing w:before="0" w:beforeAutospacing="0" w:after="200" w:afterAutospacing="0" w:line="240" w:lineRule="auto"/>
        <w:jc w:val="center"/>
        <w:rPr>
          <w:b/>
          <w:sz w:val="24"/>
          <w:szCs w:val="24"/>
        </w:rPr>
      </w:pPr>
    </w:p>
    <w:p w14:paraId="683A7C6D">
      <w:pPr>
        <w:pStyle w:val="29"/>
        <w:spacing w:before="0" w:beforeAutospacing="0" w:after="200" w:afterAutospacing="0" w:line="240" w:lineRule="auto"/>
        <w:jc w:val="center"/>
        <w:rPr>
          <w:b/>
          <w:sz w:val="24"/>
          <w:szCs w:val="24"/>
        </w:rPr>
      </w:pPr>
    </w:p>
    <w:p w14:paraId="54EEDDE8">
      <w:pPr>
        <w:pStyle w:val="29"/>
        <w:spacing w:before="0" w:beforeAutospacing="0" w:after="200" w:afterAutospacing="0" w:line="240" w:lineRule="auto"/>
        <w:jc w:val="center"/>
        <w:rPr>
          <w:b/>
          <w:sz w:val="24"/>
          <w:szCs w:val="24"/>
        </w:rPr>
      </w:pPr>
    </w:p>
    <w:p w14:paraId="77EB28EA">
      <w:pPr>
        <w:pStyle w:val="29"/>
        <w:spacing w:before="0" w:beforeAutospacing="0" w:after="200" w:afterAutospacing="0" w:line="240" w:lineRule="auto"/>
        <w:jc w:val="center"/>
        <w:rPr>
          <w:b/>
          <w:sz w:val="24"/>
          <w:szCs w:val="24"/>
        </w:rPr>
      </w:pPr>
    </w:p>
    <w:p w14:paraId="39050C55">
      <w:pPr>
        <w:pStyle w:val="29"/>
        <w:spacing w:before="0" w:beforeAutospacing="0" w:after="200" w:afterAutospacing="0" w:line="240" w:lineRule="auto"/>
        <w:jc w:val="center"/>
        <w:rPr>
          <w:b/>
          <w:sz w:val="24"/>
          <w:szCs w:val="24"/>
        </w:rPr>
      </w:pPr>
    </w:p>
    <w:p w14:paraId="3139FDA6">
      <w:pPr>
        <w:pStyle w:val="29"/>
        <w:spacing w:before="0" w:beforeAutospacing="0" w:after="200" w:afterAutospacing="0" w:line="240" w:lineRule="auto"/>
        <w:jc w:val="center"/>
        <w:rPr>
          <w:b/>
          <w:sz w:val="24"/>
          <w:szCs w:val="24"/>
        </w:rPr>
      </w:pPr>
    </w:p>
    <w:p w14:paraId="48271178">
      <w:pPr>
        <w:pStyle w:val="29"/>
        <w:spacing w:before="0" w:beforeAutospacing="0" w:after="200" w:afterAutospacing="0" w:line="240" w:lineRule="auto"/>
        <w:jc w:val="center"/>
        <w:rPr>
          <w:b/>
          <w:sz w:val="24"/>
          <w:szCs w:val="24"/>
        </w:rPr>
      </w:pPr>
    </w:p>
    <w:p w14:paraId="384D354C">
      <w:pPr>
        <w:pStyle w:val="29"/>
        <w:spacing w:before="0" w:beforeAutospacing="0" w:after="200" w:afterAutospacing="0" w:line="240" w:lineRule="auto"/>
        <w:jc w:val="center"/>
        <w:rPr>
          <w:b/>
          <w:sz w:val="24"/>
          <w:szCs w:val="24"/>
        </w:rPr>
      </w:pPr>
    </w:p>
    <w:p w14:paraId="48AED67F">
      <w:pPr>
        <w:pStyle w:val="29"/>
        <w:spacing w:before="0" w:beforeAutospacing="0" w:after="200" w:afterAutospacing="0" w:line="240" w:lineRule="auto"/>
        <w:jc w:val="center"/>
        <w:rPr>
          <w:b/>
          <w:sz w:val="24"/>
          <w:szCs w:val="24"/>
        </w:rPr>
      </w:pPr>
    </w:p>
    <w:p w14:paraId="0103A4E7">
      <w:pPr>
        <w:pStyle w:val="29"/>
        <w:spacing w:before="0" w:beforeAutospacing="0" w:after="200" w:afterAutospacing="0" w:line="240" w:lineRule="auto"/>
        <w:jc w:val="center"/>
        <w:rPr>
          <w:b/>
          <w:sz w:val="24"/>
          <w:szCs w:val="24"/>
        </w:rPr>
      </w:pPr>
    </w:p>
    <w:p w14:paraId="567385B2">
      <w:pPr>
        <w:pStyle w:val="29"/>
        <w:spacing w:before="0" w:beforeAutospacing="0" w:after="200" w:afterAutospacing="0" w:line="240" w:lineRule="auto"/>
        <w:jc w:val="center"/>
        <w:rPr>
          <w:b/>
          <w:sz w:val="24"/>
          <w:szCs w:val="24"/>
        </w:rPr>
      </w:pPr>
    </w:p>
    <w:p w14:paraId="3C175A10">
      <w:pPr>
        <w:pStyle w:val="29"/>
        <w:spacing w:before="0" w:beforeAutospacing="0" w:after="200" w:afterAutospacing="0" w:line="240" w:lineRule="auto"/>
        <w:jc w:val="center"/>
        <w:rPr>
          <w:b/>
          <w:sz w:val="24"/>
          <w:szCs w:val="24"/>
        </w:rPr>
      </w:pPr>
    </w:p>
    <w:p w14:paraId="42D77C1A">
      <w:pPr>
        <w:pStyle w:val="29"/>
        <w:spacing w:before="0" w:beforeAutospacing="0" w:after="200" w:afterAutospacing="0" w:line="240" w:lineRule="auto"/>
        <w:jc w:val="center"/>
        <w:rPr>
          <w:b/>
          <w:sz w:val="24"/>
          <w:szCs w:val="24"/>
        </w:rPr>
      </w:pPr>
    </w:p>
    <w:p w14:paraId="2786B05C">
      <w:pPr>
        <w:spacing w:line="240" w:lineRule="auto"/>
        <w:ind w:firstLine="360"/>
        <w:jc w:val="center"/>
        <w:rPr>
          <w:rFonts w:ascii="Arial" w:hAnsi="Arial" w:cs="Arial"/>
          <w:b/>
          <w:sz w:val="24"/>
          <w:szCs w:val="24"/>
        </w:rPr>
      </w:pPr>
      <w:r>
        <w:rPr>
          <w:rFonts w:ascii="Arial" w:hAnsi="Arial" w:cs="Arial"/>
          <w:b/>
          <w:sz w:val="24"/>
          <w:szCs w:val="24"/>
        </w:rPr>
        <w:t>ANEXO IV – TERMO DE CIÊNCIA E DE NOTIFICAÇÃO (CONTRATOS)</w:t>
      </w:r>
    </w:p>
    <w:p w14:paraId="6972AB56">
      <w:pPr>
        <w:spacing w:after="0" w:line="240" w:lineRule="auto"/>
        <w:rPr>
          <w:rFonts w:ascii="Arial" w:hAnsi="Arial" w:cs="Arial"/>
          <w:sz w:val="24"/>
          <w:szCs w:val="24"/>
          <w:u w:val="single"/>
        </w:rPr>
      </w:pPr>
      <w:r>
        <w:rPr>
          <w:rFonts w:ascii="Arial" w:hAnsi="Arial" w:eastAsia="Arial" w:cs="Arial"/>
          <w:b/>
          <w:sz w:val="24"/>
          <w:szCs w:val="24"/>
        </w:rPr>
        <w:t>(</w:t>
      </w:r>
      <w:r>
        <w:rPr>
          <w:rFonts w:ascii="Arial" w:hAnsi="Arial" w:cs="Arial"/>
          <w:sz w:val="24"/>
          <w:szCs w:val="24"/>
        </w:rPr>
        <w:t>CONTRATANTE:</w:t>
      </w:r>
    </w:p>
    <w:p w14:paraId="6F23FDA6">
      <w:pPr>
        <w:spacing w:after="0" w:line="240" w:lineRule="auto"/>
        <w:rPr>
          <w:rFonts w:ascii="Arial" w:hAnsi="Arial" w:cs="Arial"/>
          <w:sz w:val="24"/>
          <w:szCs w:val="24"/>
          <w:u w:val="single"/>
        </w:rPr>
      </w:pPr>
      <w:r>
        <w:rPr>
          <w:rFonts w:ascii="Arial" w:hAnsi="Arial" w:cs="Arial"/>
          <w:sz w:val="24"/>
          <w:szCs w:val="24"/>
        </w:rPr>
        <w:t xml:space="preserve">CONTRATADO: </w:t>
      </w:r>
    </w:p>
    <w:p w14:paraId="52C6A95D">
      <w:pPr>
        <w:spacing w:after="0" w:line="240" w:lineRule="auto"/>
        <w:rPr>
          <w:rFonts w:ascii="Arial" w:hAnsi="Arial" w:cs="Arial"/>
          <w:sz w:val="24"/>
          <w:szCs w:val="24"/>
        </w:rPr>
      </w:pPr>
      <w:r>
        <w:rPr>
          <w:rFonts w:ascii="Arial" w:hAnsi="Arial" w:cs="Arial"/>
          <w:sz w:val="24"/>
          <w:szCs w:val="24"/>
        </w:rPr>
        <w:t>CONTRATO Nº (DE ORIGEM):</w:t>
      </w:r>
    </w:p>
    <w:p w14:paraId="2A5C2988">
      <w:pPr>
        <w:spacing w:after="0" w:line="240" w:lineRule="auto"/>
        <w:rPr>
          <w:rFonts w:ascii="Arial" w:hAnsi="Arial" w:cs="Arial"/>
          <w:sz w:val="24"/>
          <w:szCs w:val="24"/>
        </w:rPr>
      </w:pPr>
      <w:r>
        <w:rPr>
          <w:rFonts w:ascii="Arial" w:hAnsi="Arial" w:cs="Arial"/>
          <w:sz w:val="24"/>
          <w:szCs w:val="24"/>
        </w:rPr>
        <w:t xml:space="preserve">OBJETO: </w:t>
      </w:r>
    </w:p>
    <w:p w14:paraId="2CB20A98">
      <w:pPr>
        <w:spacing w:after="0" w:line="240" w:lineRule="auto"/>
        <w:rPr>
          <w:rFonts w:ascii="Arial" w:hAnsi="Arial" w:cs="Arial"/>
          <w:sz w:val="24"/>
          <w:szCs w:val="24"/>
        </w:rPr>
      </w:pPr>
    </w:p>
    <w:p w14:paraId="454D27EF">
      <w:pPr>
        <w:spacing w:line="240" w:lineRule="auto"/>
        <w:rPr>
          <w:rFonts w:ascii="Arial" w:hAnsi="Arial" w:cs="Arial"/>
          <w:sz w:val="24"/>
          <w:szCs w:val="24"/>
        </w:rPr>
      </w:pPr>
      <w:r>
        <w:rPr>
          <w:rFonts w:ascii="Arial" w:hAnsi="Arial" w:cs="Arial"/>
          <w:sz w:val="24"/>
          <w:szCs w:val="24"/>
        </w:rPr>
        <w:t>Pelo presente TERMO, nós, abaixo identificados:</w:t>
      </w:r>
    </w:p>
    <w:p w14:paraId="3C01D6F0">
      <w:pPr>
        <w:numPr>
          <w:ilvl w:val="0"/>
          <w:numId w:val="18"/>
        </w:numPr>
        <w:spacing w:after="160" w:line="240" w:lineRule="auto"/>
        <w:ind w:left="0" w:firstLine="0"/>
        <w:rPr>
          <w:rFonts w:ascii="Arial" w:hAnsi="Arial" w:cs="Arial"/>
          <w:b/>
          <w:bCs/>
          <w:sz w:val="24"/>
          <w:szCs w:val="24"/>
          <w:lang w:val="en-US"/>
        </w:rPr>
      </w:pPr>
      <w:r>
        <w:rPr>
          <w:rFonts w:ascii="Arial" w:hAnsi="Arial" w:cs="Arial"/>
          <w:b/>
          <w:bCs/>
          <w:sz w:val="24"/>
          <w:szCs w:val="24"/>
          <w:lang w:val="en-US"/>
        </w:rPr>
        <w:t>Estamos CIENTES de que:</w:t>
      </w:r>
    </w:p>
    <w:p w14:paraId="2D9F8A3C">
      <w:pPr>
        <w:numPr>
          <w:ilvl w:val="0"/>
          <w:numId w:val="19"/>
        </w:numPr>
        <w:spacing w:after="160" w:line="240" w:lineRule="auto"/>
        <w:ind w:left="284" w:firstLine="0"/>
        <w:jc w:val="both"/>
        <w:rPr>
          <w:rFonts w:ascii="Arial" w:hAnsi="Arial" w:cs="Arial"/>
          <w:sz w:val="24"/>
          <w:szCs w:val="24"/>
        </w:rPr>
      </w:pPr>
      <w:r>
        <w:rPr>
          <w:rFonts w:ascii="Arial" w:hAnsi="Arial" w:cs="Arial"/>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5C86D97E">
      <w:pPr>
        <w:numPr>
          <w:ilvl w:val="0"/>
          <w:numId w:val="19"/>
        </w:numPr>
        <w:spacing w:after="160" w:line="240" w:lineRule="auto"/>
        <w:ind w:left="284" w:firstLine="0"/>
        <w:jc w:val="both"/>
        <w:rPr>
          <w:rFonts w:ascii="Arial" w:hAnsi="Arial" w:cs="Arial"/>
          <w:sz w:val="24"/>
          <w:szCs w:val="24"/>
        </w:rPr>
      </w:pPr>
      <w:r>
        <w:rPr>
          <w:rFonts w:ascii="Arial" w:hAnsi="Arial" w:cs="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3C528B5E">
      <w:pPr>
        <w:numPr>
          <w:ilvl w:val="0"/>
          <w:numId w:val="19"/>
        </w:numPr>
        <w:spacing w:after="160" w:line="240" w:lineRule="auto"/>
        <w:ind w:left="284" w:firstLine="0"/>
        <w:jc w:val="both"/>
        <w:rPr>
          <w:rFonts w:ascii="Arial" w:hAnsi="Arial" w:cs="Arial"/>
          <w:sz w:val="24"/>
          <w:szCs w:val="24"/>
        </w:rPr>
      </w:pPr>
      <w:r>
        <w:rPr>
          <w:rFonts w:ascii="Arial" w:hAnsi="Arial" w:cs="Arial"/>
          <w:sz w:val="24"/>
          <w:szCs w:val="24"/>
        </w:rPr>
        <w:t>além de disponíveis no processo eletrônico, todos os Despachos e Decisões que vierem a ser tomados, relativamente ao aludido processo, serão publicados no Diário Oficial Eletrônico do Tribunal de Contas do Estado de São Paulo (</w:t>
      </w:r>
      <w:r>
        <w:fldChar w:fldCharType="begin"/>
      </w:r>
      <w:r>
        <w:instrText xml:space="preserve"> HYPERLINK "https://doe.tce.sp.gov.br/" \t "_blank" \o "https://doe.tce.sp.gov.br/" </w:instrText>
      </w:r>
      <w:r>
        <w:fldChar w:fldCharType="separate"/>
      </w:r>
      <w:r>
        <w:rPr>
          <w:rStyle w:val="8"/>
          <w:rFonts w:ascii="Arial" w:hAnsi="Arial" w:cs="Arial"/>
          <w:sz w:val="24"/>
          <w:szCs w:val="24"/>
        </w:rPr>
        <w:t>https://doe.tce.sp.gov.br/</w:t>
      </w:r>
      <w:r>
        <w:rPr>
          <w:rStyle w:val="8"/>
          <w:rFonts w:ascii="Arial" w:hAnsi="Arial" w:cs="Arial"/>
          <w:sz w:val="24"/>
          <w:szCs w:val="24"/>
        </w:rPr>
        <w:fldChar w:fldCharType="end"/>
      </w:r>
      <w:r>
        <w:rPr>
          <w:rFonts w:ascii="Arial" w:hAnsi="Arial" w:cs="Arial"/>
          <w:sz w:val="24"/>
          <w:szCs w:val="24"/>
        </w:rPr>
        <w:t>), em conformidade com o artigo 90 da Lei Complementar nº 709, de 14 de janeiro de 1993, iniciando-se, a partir de então, a contagem dos prazos processuais, conforme regras do Código de Processo Civil;</w:t>
      </w:r>
    </w:p>
    <w:p w14:paraId="45B971C3">
      <w:pPr>
        <w:numPr>
          <w:ilvl w:val="0"/>
          <w:numId w:val="19"/>
        </w:numPr>
        <w:spacing w:after="160" w:line="240" w:lineRule="auto"/>
        <w:ind w:left="284" w:firstLine="0"/>
        <w:jc w:val="both"/>
        <w:rPr>
          <w:rFonts w:ascii="Arial" w:hAnsi="Arial" w:cs="Arial"/>
          <w:sz w:val="24"/>
          <w:szCs w:val="24"/>
        </w:rPr>
      </w:pPr>
      <w:r>
        <w:rPr>
          <w:rFonts w:ascii="Arial" w:hAnsi="Arial" w:cs="Arial"/>
          <w:sz w:val="24"/>
          <w:szCs w:val="24"/>
        </w:rPr>
        <w:t xml:space="preserve">as informações pessoais dos responsáveis pela </w:t>
      </w:r>
      <w:r>
        <w:rPr>
          <w:rFonts w:ascii="Arial" w:hAnsi="Arial" w:cs="Arial"/>
          <w:sz w:val="24"/>
          <w:szCs w:val="24"/>
          <w:u w:val="single"/>
        </w:rPr>
        <w:t xml:space="preserve">contratante </w:t>
      </w:r>
      <w:r>
        <w:rPr>
          <w:rFonts w:ascii="Arial" w:hAnsi="Arial" w:cs="Arial"/>
          <w:sz w:val="24"/>
          <w:szCs w:val="24"/>
        </w:rPr>
        <w:t>e interessados estão cadastradas no módulo eletrônico do “Cadastro Corporativo TCESP – CadTCESP”, nos termos previstos no Artigo 2º das Instruções nº 01/2024, conforme “Declaração(ões) de Atualização Cadastral” anexa (s);</w:t>
      </w:r>
    </w:p>
    <w:p w14:paraId="764E0CCB">
      <w:pPr>
        <w:numPr>
          <w:ilvl w:val="0"/>
          <w:numId w:val="19"/>
        </w:numPr>
        <w:spacing w:after="160" w:line="240" w:lineRule="auto"/>
        <w:ind w:left="0" w:firstLine="0"/>
        <w:jc w:val="both"/>
        <w:rPr>
          <w:rFonts w:ascii="Arial" w:hAnsi="Arial" w:cs="Arial"/>
          <w:sz w:val="24"/>
          <w:szCs w:val="24"/>
        </w:rPr>
      </w:pPr>
      <w:r>
        <w:rPr>
          <w:rFonts w:ascii="Arial" w:hAnsi="Arial" w:cs="Arial"/>
          <w:sz w:val="24"/>
          <w:szCs w:val="24"/>
        </w:rPr>
        <w:t>é de exclusiva responsabilidade do contratado manter seus dados sempre atualizados.</w:t>
      </w:r>
    </w:p>
    <w:p w14:paraId="2B4DC879">
      <w:pPr>
        <w:numPr>
          <w:ilvl w:val="0"/>
          <w:numId w:val="18"/>
        </w:numPr>
        <w:spacing w:after="160" w:line="240" w:lineRule="auto"/>
        <w:ind w:left="0" w:firstLine="0"/>
        <w:jc w:val="both"/>
        <w:rPr>
          <w:rFonts w:ascii="Arial" w:hAnsi="Arial" w:cs="Arial"/>
          <w:b/>
          <w:bCs/>
          <w:sz w:val="24"/>
          <w:szCs w:val="24"/>
        </w:rPr>
      </w:pPr>
      <w:r>
        <w:rPr>
          <w:rFonts w:ascii="Arial" w:hAnsi="Arial" w:cs="Arial"/>
          <w:b/>
          <w:bCs/>
          <w:sz w:val="24"/>
          <w:szCs w:val="24"/>
        </w:rPr>
        <w:t>Damo-nos por NOTIFICADOS para:</w:t>
      </w:r>
    </w:p>
    <w:p w14:paraId="6210A631">
      <w:pPr>
        <w:numPr>
          <w:ilvl w:val="0"/>
          <w:numId w:val="20"/>
        </w:numPr>
        <w:spacing w:after="160" w:line="240" w:lineRule="auto"/>
        <w:ind w:left="284" w:firstLine="0"/>
        <w:jc w:val="both"/>
        <w:rPr>
          <w:rFonts w:ascii="Arial" w:hAnsi="Arial" w:cs="Arial"/>
          <w:sz w:val="24"/>
          <w:szCs w:val="24"/>
        </w:rPr>
      </w:pPr>
      <w:r>
        <w:rPr>
          <w:rFonts w:ascii="Arial" w:hAnsi="Arial" w:cs="Arial"/>
          <w:sz w:val="24"/>
          <w:szCs w:val="24"/>
        </w:rPr>
        <w:t>O acompanhamento dos atos do processo até seu julgamento final e consequente publicação;</w:t>
      </w:r>
    </w:p>
    <w:p w14:paraId="33C496A5">
      <w:pPr>
        <w:numPr>
          <w:ilvl w:val="0"/>
          <w:numId w:val="20"/>
        </w:numPr>
        <w:spacing w:after="160" w:line="240" w:lineRule="auto"/>
        <w:ind w:left="284" w:firstLine="0"/>
        <w:jc w:val="both"/>
        <w:rPr>
          <w:rFonts w:ascii="Arial" w:hAnsi="Arial" w:cs="Arial"/>
          <w:sz w:val="24"/>
          <w:szCs w:val="24"/>
        </w:rPr>
      </w:pPr>
      <w:r>
        <w:rPr>
          <w:rFonts w:ascii="Arial" w:hAnsi="Arial" w:cs="Arial"/>
          <w:sz w:val="24"/>
          <w:szCs w:val="24"/>
        </w:rPr>
        <w:t>Se for o caso e de nosso interesse, nos prazos e nas formas legais e regimentais, exercer o direito de defesa, interpor recursos e o que mais couber.</w:t>
      </w:r>
    </w:p>
    <w:p w14:paraId="17D4008D">
      <w:pPr>
        <w:spacing w:after="0" w:line="240" w:lineRule="auto"/>
        <w:jc w:val="both"/>
        <w:rPr>
          <w:rFonts w:ascii="Arial" w:hAnsi="Arial" w:eastAsia="Times New Roman" w:cs="Arial"/>
          <w:sz w:val="24"/>
          <w:szCs w:val="24"/>
          <w:lang w:eastAsia="pt-BR"/>
        </w:rPr>
      </w:pPr>
    </w:p>
    <w:p w14:paraId="3B25D513">
      <w:pPr>
        <w:spacing w:line="240" w:lineRule="auto"/>
        <w:jc w:val="both"/>
        <w:rPr>
          <w:rFonts w:ascii="Arial" w:hAnsi="Arial" w:cs="Arial"/>
          <w:sz w:val="24"/>
          <w:szCs w:val="24"/>
        </w:rPr>
      </w:pPr>
      <w:r>
        <w:rPr>
          <w:rFonts w:ascii="Arial" w:hAnsi="Arial" w:cs="Arial"/>
          <w:sz w:val="24"/>
          <w:szCs w:val="24"/>
        </w:rPr>
        <w:t>Paulínia,       de                         de 2025.</w:t>
      </w:r>
    </w:p>
    <w:p w14:paraId="356C080E">
      <w:pPr>
        <w:spacing w:line="240" w:lineRule="auto"/>
        <w:jc w:val="center"/>
        <w:rPr>
          <w:rFonts w:ascii="Arial" w:hAnsi="Arial" w:cs="Arial"/>
          <w:b/>
          <w:sz w:val="24"/>
          <w:szCs w:val="24"/>
          <w:u w:val="single"/>
        </w:rPr>
      </w:pPr>
    </w:p>
    <w:p w14:paraId="0C7DC5E0">
      <w:pPr>
        <w:spacing w:line="240" w:lineRule="auto"/>
        <w:jc w:val="center"/>
        <w:rPr>
          <w:rFonts w:ascii="Arial" w:hAnsi="Arial" w:cs="Arial"/>
          <w:sz w:val="24"/>
          <w:szCs w:val="24"/>
        </w:rPr>
      </w:pPr>
      <w:r>
        <w:rPr>
          <w:rFonts w:ascii="Arial" w:hAnsi="Arial" w:cs="Arial"/>
          <w:b/>
          <w:sz w:val="24"/>
          <w:szCs w:val="24"/>
          <w:u w:val="single"/>
        </w:rPr>
        <w:t>AUTORIDADE MÁXIMA DO ÓRGÃO/ENTIDADE</w:t>
      </w:r>
      <w:r>
        <w:rPr>
          <w:rFonts w:ascii="Arial" w:hAnsi="Arial" w:cs="Arial"/>
          <w:b/>
          <w:strike/>
          <w:sz w:val="24"/>
          <w:szCs w:val="24"/>
        </w:rPr>
        <w:t>:</w:t>
      </w:r>
    </w:p>
    <w:p w14:paraId="501CCC1C">
      <w:pPr>
        <w:spacing w:after="0" w:line="240" w:lineRule="auto"/>
        <w:jc w:val="both"/>
        <w:rPr>
          <w:rFonts w:ascii="Arial" w:hAnsi="Arial" w:cs="Arial"/>
          <w:sz w:val="24"/>
          <w:szCs w:val="24"/>
        </w:rPr>
      </w:pPr>
    </w:p>
    <w:p w14:paraId="7BCF2EAD">
      <w:pPr>
        <w:spacing w:after="0" w:line="240" w:lineRule="auto"/>
        <w:rPr>
          <w:rFonts w:ascii="Arial" w:hAnsi="Arial" w:cs="Arial"/>
          <w:sz w:val="24"/>
          <w:szCs w:val="24"/>
        </w:rPr>
      </w:pPr>
      <w:r>
        <w:rPr>
          <w:rFonts w:ascii="Arial" w:hAnsi="Arial" w:cs="Arial"/>
          <w:sz w:val="24"/>
          <w:szCs w:val="24"/>
        </w:rPr>
        <w:t xml:space="preserve">Nome: </w:t>
      </w:r>
    </w:p>
    <w:p w14:paraId="563EA140">
      <w:pPr>
        <w:spacing w:after="0" w:line="240" w:lineRule="auto"/>
        <w:rPr>
          <w:rFonts w:ascii="Arial" w:hAnsi="Arial" w:cs="Arial"/>
          <w:sz w:val="24"/>
          <w:szCs w:val="24"/>
        </w:rPr>
      </w:pPr>
      <w:r>
        <w:rPr>
          <w:rFonts w:ascii="Arial" w:hAnsi="Arial" w:cs="Arial"/>
          <w:sz w:val="24"/>
          <w:szCs w:val="24"/>
        </w:rPr>
        <w:t xml:space="preserve">Cargo: </w:t>
      </w:r>
    </w:p>
    <w:p w14:paraId="3BBCFE93">
      <w:pPr>
        <w:spacing w:after="0" w:line="240" w:lineRule="auto"/>
        <w:rPr>
          <w:rFonts w:ascii="Arial" w:hAnsi="Arial" w:cs="Arial"/>
          <w:sz w:val="24"/>
          <w:szCs w:val="24"/>
        </w:rPr>
      </w:pPr>
      <w:r>
        <w:rPr>
          <w:rFonts w:ascii="Arial" w:hAnsi="Arial" w:cs="Arial"/>
          <w:sz w:val="24"/>
          <w:szCs w:val="24"/>
        </w:rPr>
        <w:t xml:space="preserve">CPF: </w:t>
      </w:r>
    </w:p>
    <w:p w14:paraId="5C7F1D93">
      <w:pPr>
        <w:spacing w:after="0" w:line="240" w:lineRule="auto"/>
        <w:rPr>
          <w:rFonts w:ascii="Arial" w:hAnsi="Arial" w:cs="Arial"/>
          <w:sz w:val="24"/>
          <w:szCs w:val="24"/>
        </w:rPr>
      </w:pPr>
    </w:p>
    <w:p w14:paraId="139E77E2">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4169C6A9">
      <w:pPr>
        <w:spacing w:line="240" w:lineRule="auto"/>
        <w:jc w:val="both"/>
        <w:rPr>
          <w:rFonts w:ascii="Arial" w:hAnsi="Arial" w:cs="Arial"/>
          <w:sz w:val="24"/>
          <w:szCs w:val="24"/>
        </w:rPr>
      </w:pPr>
    </w:p>
    <w:p w14:paraId="11F705A8">
      <w:pPr>
        <w:spacing w:line="240" w:lineRule="auto"/>
        <w:jc w:val="center"/>
        <w:rPr>
          <w:rFonts w:ascii="Arial" w:hAnsi="Arial" w:cs="Arial"/>
          <w:b/>
          <w:sz w:val="24"/>
          <w:szCs w:val="24"/>
          <w:u w:val="single"/>
        </w:rPr>
      </w:pPr>
      <w:r>
        <w:rPr>
          <w:rFonts w:ascii="Arial" w:hAnsi="Arial" w:cs="Arial"/>
          <w:b/>
          <w:sz w:val="24"/>
          <w:szCs w:val="24"/>
          <w:u w:val="single"/>
        </w:rPr>
        <w:t>RESPONSÁVEIS PELA HOMOLOGAÇÃO DO CERTAME OU RATIFICAÇÃO DA DISPENSA/INEXIGIBILIDADE DE LICITAÇÃO:</w:t>
      </w:r>
    </w:p>
    <w:p w14:paraId="4CA0C3B7">
      <w:pPr>
        <w:spacing w:after="0" w:line="240" w:lineRule="auto"/>
        <w:rPr>
          <w:rFonts w:ascii="Arial" w:hAnsi="Arial" w:cs="Arial"/>
          <w:sz w:val="24"/>
          <w:szCs w:val="24"/>
        </w:rPr>
      </w:pPr>
    </w:p>
    <w:p w14:paraId="4E811A79">
      <w:pPr>
        <w:spacing w:after="0" w:line="240" w:lineRule="auto"/>
        <w:rPr>
          <w:rFonts w:ascii="Arial" w:hAnsi="Arial" w:cs="Arial"/>
          <w:sz w:val="24"/>
          <w:szCs w:val="24"/>
        </w:rPr>
      </w:pPr>
      <w:r>
        <w:rPr>
          <w:rFonts w:ascii="Arial" w:hAnsi="Arial" w:cs="Arial"/>
          <w:sz w:val="24"/>
          <w:szCs w:val="24"/>
        </w:rPr>
        <w:t xml:space="preserve">Nome: </w:t>
      </w:r>
    </w:p>
    <w:p w14:paraId="49E16960">
      <w:pPr>
        <w:spacing w:after="0" w:line="240" w:lineRule="auto"/>
        <w:rPr>
          <w:rFonts w:ascii="Arial" w:hAnsi="Arial" w:cs="Arial"/>
          <w:sz w:val="24"/>
          <w:szCs w:val="24"/>
        </w:rPr>
      </w:pPr>
      <w:r>
        <w:rPr>
          <w:rFonts w:ascii="Arial" w:hAnsi="Arial" w:cs="Arial"/>
          <w:sz w:val="24"/>
          <w:szCs w:val="24"/>
        </w:rPr>
        <w:t xml:space="preserve">Cargo: </w:t>
      </w:r>
    </w:p>
    <w:p w14:paraId="67946469">
      <w:pPr>
        <w:spacing w:after="0" w:line="240" w:lineRule="auto"/>
        <w:rPr>
          <w:rFonts w:ascii="Arial" w:hAnsi="Arial" w:cs="Arial"/>
          <w:sz w:val="24"/>
          <w:szCs w:val="24"/>
        </w:rPr>
      </w:pPr>
      <w:r>
        <w:rPr>
          <w:rFonts w:ascii="Arial" w:hAnsi="Arial" w:cs="Arial"/>
          <w:sz w:val="24"/>
          <w:szCs w:val="24"/>
        </w:rPr>
        <w:t xml:space="preserve">CPF: </w:t>
      </w:r>
    </w:p>
    <w:p w14:paraId="42DCF67F">
      <w:pPr>
        <w:spacing w:after="0" w:line="240" w:lineRule="auto"/>
        <w:rPr>
          <w:rFonts w:ascii="Arial" w:hAnsi="Arial" w:cs="Arial"/>
          <w:sz w:val="24"/>
          <w:szCs w:val="24"/>
        </w:rPr>
      </w:pPr>
    </w:p>
    <w:p w14:paraId="31E9449F">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5CFA6379">
      <w:pPr>
        <w:spacing w:after="0" w:line="240" w:lineRule="auto"/>
        <w:jc w:val="both"/>
        <w:rPr>
          <w:rFonts w:ascii="Arial" w:hAnsi="Arial" w:cs="Arial"/>
          <w:b/>
          <w:sz w:val="24"/>
          <w:szCs w:val="24"/>
          <w:u w:val="single"/>
        </w:rPr>
      </w:pPr>
    </w:p>
    <w:p w14:paraId="0CC6FF63">
      <w:pPr>
        <w:spacing w:after="0" w:line="240" w:lineRule="auto"/>
        <w:jc w:val="center"/>
        <w:rPr>
          <w:rFonts w:ascii="Arial" w:hAnsi="Arial" w:cs="Arial"/>
          <w:b/>
          <w:sz w:val="24"/>
          <w:szCs w:val="24"/>
          <w:u w:val="single"/>
        </w:rPr>
      </w:pPr>
      <w:r>
        <w:rPr>
          <w:rFonts w:ascii="Arial" w:hAnsi="Arial" w:cs="Arial"/>
          <w:b/>
          <w:sz w:val="24"/>
          <w:szCs w:val="24"/>
          <w:u w:val="single"/>
        </w:rPr>
        <w:t>RESPONSÁVEIS QUE ASSINARAM O AJUSTE:</w:t>
      </w:r>
    </w:p>
    <w:p w14:paraId="4940380E">
      <w:pPr>
        <w:spacing w:after="0" w:line="240" w:lineRule="auto"/>
        <w:jc w:val="both"/>
        <w:rPr>
          <w:rFonts w:ascii="Arial" w:hAnsi="Arial" w:cs="Arial"/>
          <w:b/>
          <w:sz w:val="24"/>
          <w:szCs w:val="24"/>
          <w:u w:val="single"/>
        </w:rPr>
      </w:pPr>
    </w:p>
    <w:p w14:paraId="3FB348AD">
      <w:pPr>
        <w:spacing w:after="0" w:line="240" w:lineRule="auto"/>
        <w:jc w:val="both"/>
        <w:rPr>
          <w:rFonts w:ascii="Arial" w:hAnsi="Arial" w:cs="Arial"/>
          <w:b/>
          <w:sz w:val="24"/>
          <w:szCs w:val="24"/>
        </w:rPr>
      </w:pPr>
      <w:r>
        <w:rPr>
          <w:rFonts w:ascii="Arial" w:hAnsi="Arial" w:cs="Arial"/>
          <w:b/>
          <w:sz w:val="24"/>
          <w:szCs w:val="24"/>
          <w:u w:val="single"/>
        </w:rPr>
        <w:t>PELO CONTRATANTE</w:t>
      </w:r>
      <w:r>
        <w:rPr>
          <w:rFonts w:ascii="Arial" w:hAnsi="Arial" w:cs="Arial"/>
          <w:b/>
          <w:sz w:val="24"/>
          <w:szCs w:val="24"/>
        </w:rPr>
        <w:t>:</w:t>
      </w:r>
    </w:p>
    <w:p w14:paraId="5BF7FBA6">
      <w:pPr>
        <w:spacing w:after="0" w:line="240" w:lineRule="auto"/>
        <w:jc w:val="both"/>
        <w:rPr>
          <w:rFonts w:ascii="Arial" w:hAnsi="Arial" w:cs="Arial"/>
          <w:b/>
          <w:sz w:val="24"/>
          <w:szCs w:val="24"/>
        </w:rPr>
      </w:pPr>
    </w:p>
    <w:p w14:paraId="537DF13C">
      <w:pPr>
        <w:spacing w:after="0" w:line="240" w:lineRule="auto"/>
        <w:rPr>
          <w:rFonts w:ascii="Arial" w:hAnsi="Arial" w:cs="Arial"/>
          <w:sz w:val="24"/>
          <w:szCs w:val="24"/>
        </w:rPr>
      </w:pPr>
      <w:r>
        <w:rPr>
          <w:rFonts w:ascii="Arial" w:hAnsi="Arial" w:cs="Arial"/>
          <w:sz w:val="24"/>
          <w:szCs w:val="24"/>
        </w:rPr>
        <w:t xml:space="preserve">Nome: </w:t>
      </w:r>
    </w:p>
    <w:p w14:paraId="219C7426">
      <w:pPr>
        <w:spacing w:after="0" w:line="240" w:lineRule="auto"/>
        <w:rPr>
          <w:rFonts w:ascii="Arial" w:hAnsi="Arial" w:cs="Arial"/>
          <w:sz w:val="24"/>
          <w:szCs w:val="24"/>
        </w:rPr>
      </w:pPr>
      <w:r>
        <w:rPr>
          <w:rFonts w:ascii="Arial" w:hAnsi="Arial" w:cs="Arial"/>
          <w:sz w:val="24"/>
          <w:szCs w:val="24"/>
        </w:rPr>
        <w:t xml:space="preserve">Cargo: </w:t>
      </w:r>
    </w:p>
    <w:p w14:paraId="0A20981F">
      <w:pPr>
        <w:spacing w:after="0" w:line="240" w:lineRule="auto"/>
        <w:rPr>
          <w:rFonts w:ascii="Arial" w:hAnsi="Arial" w:cs="Arial"/>
          <w:sz w:val="24"/>
          <w:szCs w:val="24"/>
        </w:rPr>
      </w:pPr>
      <w:r>
        <w:rPr>
          <w:rFonts w:ascii="Arial" w:hAnsi="Arial" w:cs="Arial"/>
          <w:sz w:val="24"/>
          <w:szCs w:val="24"/>
        </w:rPr>
        <w:t xml:space="preserve">CPF: </w:t>
      </w:r>
    </w:p>
    <w:p w14:paraId="1F788739">
      <w:pPr>
        <w:spacing w:after="0" w:line="240" w:lineRule="auto"/>
        <w:rPr>
          <w:rFonts w:ascii="Arial" w:hAnsi="Arial" w:cs="Arial"/>
          <w:sz w:val="24"/>
          <w:szCs w:val="24"/>
        </w:rPr>
      </w:pPr>
    </w:p>
    <w:p w14:paraId="6DE864C1">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076E3228">
      <w:pPr>
        <w:spacing w:after="0" w:line="240" w:lineRule="auto"/>
        <w:jc w:val="both"/>
        <w:rPr>
          <w:rFonts w:ascii="Arial" w:hAnsi="Arial" w:cs="Arial"/>
          <w:sz w:val="24"/>
          <w:szCs w:val="24"/>
        </w:rPr>
      </w:pPr>
    </w:p>
    <w:p w14:paraId="2986EDB1">
      <w:pPr>
        <w:spacing w:after="0" w:line="240" w:lineRule="auto"/>
        <w:ind w:right="-1"/>
        <w:jc w:val="both"/>
        <w:rPr>
          <w:rFonts w:ascii="Arial" w:hAnsi="Arial" w:cs="Arial"/>
          <w:color w:val="000000"/>
          <w:sz w:val="24"/>
          <w:szCs w:val="24"/>
        </w:rPr>
      </w:pPr>
      <w:r>
        <w:rPr>
          <w:rFonts w:ascii="Arial" w:hAnsi="Arial" w:cs="Arial"/>
          <w:sz w:val="24"/>
          <w:szCs w:val="24"/>
        </w:rPr>
        <w:t>Nome:</w:t>
      </w:r>
      <w:r>
        <w:rPr>
          <w:rFonts w:ascii="Arial" w:hAnsi="Arial" w:cs="Arial"/>
          <w:b/>
          <w:sz w:val="24"/>
          <w:szCs w:val="24"/>
        </w:rPr>
        <w:t xml:space="preserve"> </w:t>
      </w:r>
      <w:r>
        <w:rPr>
          <w:rFonts w:ascii="Arial" w:hAnsi="Arial" w:cs="Arial"/>
          <w:color w:val="000000"/>
          <w:sz w:val="24"/>
          <w:szCs w:val="24"/>
        </w:rPr>
        <w:t xml:space="preserve"> </w:t>
      </w:r>
    </w:p>
    <w:p w14:paraId="38596BE1">
      <w:pPr>
        <w:spacing w:after="0" w:line="240" w:lineRule="auto"/>
        <w:ind w:right="-1"/>
        <w:jc w:val="both"/>
        <w:rPr>
          <w:rFonts w:ascii="Arial" w:hAnsi="Arial" w:cs="Arial"/>
          <w:sz w:val="24"/>
          <w:szCs w:val="24"/>
        </w:rPr>
      </w:pPr>
      <w:r>
        <w:rPr>
          <w:rFonts w:ascii="Arial" w:hAnsi="Arial" w:cs="Arial"/>
          <w:sz w:val="24"/>
          <w:szCs w:val="24"/>
        </w:rPr>
        <w:t>Cargo:</w:t>
      </w:r>
    </w:p>
    <w:p w14:paraId="598C62A4">
      <w:pPr>
        <w:spacing w:after="0" w:line="240" w:lineRule="auto"/>
        <w:ind w:right="-1"/>
        <w:jc w:val="both"/>
        <w:rPr>
          <w:rFonts w:ascii="Arial" w:hAnsi="Arial" w:cs="Arial"/>
          <w:sz w:val="24"/>
          <w:szCs w:val="24"/>
        </w:rPr>
      </w:pPr>
      <w:r>
        <w:rPr>
          <w:rFonts w:ascii="Arial" w:hAnsi="Arial" w:cs="Arial"/>
          <w:sz w:val="24"/>
          <w:szCs w:val="24"/>
        </w:rPr>
        <w:t xml:space="preserve"> </w:t>
      </w:r>
    </w:p>
    <w:p w14:paraId="79B1077D">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1779456B">
      <w:pPr>
        <w:spacing w:after="0" w:line="240" w:lineRule="auto"/>
        <w:ind w:right="-1"/>
        <w:jc w:val="both"/>
        <w:rPr>
          <w:rFonts w:ascii="Arial" w:hAnsi="Arial" w:cs="Arial"/>
          <w:b/>
          <w:sz w:val="24"/>
          <w:szCs w:val="24"/>
          <w:u w:val="single"/>
        </w:rPr>
      </w:pPr>
    </w:p>
    <w:p w14:paraId="2268C8DA">
      <w:pPr>
        <w:spacing w:after="0" w:line="240" w:lineRule="auto"/>
        <w:ind w:right="-1"/>
        <w:rPr>
          <w:rFonts w:ascii="Arial" w:hAnsi="Arial" w:cs="Arial"/>
          <w:b/>
          <w:sz w:val="24"/>
          <w:szCs w:val="24"/>
        </w:rPr>
      </w:pPr>
      <w:r>
        <w:rPr>
          <w:rFonts w:ascii="Arial" w:hAnsi="Arial" w:cs="Arial"/>
          <w:b/>
          <w:sz w:val="24"/>
          <w:szCs w:val="24"/>
          <w:u w:val="single"/>
        </w:rPr>
        <w:t>PELA CONTRATADA</w:t>
      </w:r>
      <w:r>
        <w:rPr>
          <w:rFonts w:ascii="Arial" w:hAnsi="Arial" w:cs="Arial"/>
          <w:b/>
          <w:sz w:val="24"/>
          <w:szCs w:val="24"/>
        </w:rPr>
        <w:t>:</w:t>
      </w:r>
    </w:p>
    <w:p w14:paraId="28EE28C4">
      <w:pPr>
        <w:spacing w:after="0" w:line="240" w:lineRule="auto"/>
        <w:ind w:right="-1"/>
        <w:jc w:val="both"/>
        <w:rPr>
          <w:rFonts w:ascii="Arial" w:hAnsi="Arial" w:cs="Arial"/>
          <w:sz w:val="24"/>
          <w:szCs w:val="24"/>
        </w:rPr>
      </w:pPr>
    </w:p>
    <w:p w14:paraId="539EAB50">
      <w:pPr>
        <w:spacing w:after="0" w:line="240" w:lineRule="auto"/>
        <w:ind w:right="-1"/>
        <w:jc w:val="both"/>
        <w:rPr>
          <w:rFonts w:ascii="Arial" w:hAnsi="Arial" w:cs="Arial"/>
          <w:sz w:val="24"/>
          <w:szCs w:val="24"/>
        </w:rPr>
      </w:pPr>
      <w:r>
        <w:rPr>
          <w:rFonts w:ascii="Arial" w:hAnsi="Arial" w:cs="Arial"/>
          <w:sz w:val="24"/>
          <w:szCs w:val="24"/>
        </w:rPr>
        <w:t xml:space="preserve">Nome: </w:t>
      </w:r>
    </w:p>
    <w:p w14:paraId="091EFA2D">
      <w:pPr>
        <w:spacing w:after="0" w:line="240" w:lineRule="auto"/>
        <w:ind w:right="-1"/>
        <w:jc w:val="both"/>
        <w:rPr>
          <w:rFonts w:ascii="Arial" w:hAnsi="Arial" w:cs="Arial"/>
          <w:sz w:val="24"/>
          <w:szCs w:val="24"/>
        </w:rPr>
      </w:pPr>
      <w:r>
        <w:rPr>
          <w:rFonts w:ascii="Arial" w:hAnsi="Arial" w:cs="Arial"/>
          <w:sz w:val="24"/>
          <w:szCs w:val="24"/>
        </w:rPr>
        <w:t xml:space="preserve">Cargo:  </w:t>
      </w:r>
    </w:p>
    <w:p w14:paraId="04704939">
      <w:pPr>
        <w:spacing w:after="0" w:line="240" w:lineRule="auto"/>
        <w:ind w:right="-1"/>
        <w:jc w:val="both"/>
        <w:rPr>
          <w:rFonts w:ascii="Arial" w:hAnsi="Arial" w:cs="Arial"/>
          <w:sz w:val="24"/>
          <w:szCs w:val="24"/>
        </w:rPr>
      </w:pPr>
      <w:r>
        <w:rPr>
          <w:rFonts w:ascii="Arial" w:hAnsi="Arial" w:cs="Arial"/>
          <w:sz w:val="24"/>
          <w:szCs w:val="24"/>
        </w:rPr>
        <w:t xml:space="preserve">CPF: </w:t>
      </w:r>
    </w:p>
    <w:p w14:paraId="62B5BE03">
      <w:pPr>
        <w:spacing w:after="0" w:line="240" w:lineRule="auto"/>
        <w:ind w:right="-1"/>
        <w:jc w:val="both"/>
        <w:rPr>
          <w:rFonts w:ascii="Arial" w:hAnsi="Arial" w:cs="Arial"/>
          <w:sz w:val="24"/>
          <w:szCs w:val="24"/>
        </w:rPr>
      </w:pPr>
    </w:p>
    <w:p w14:paraId="71475CAB">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59BAF552">
      <w:pPr>
        <w:spacing w:after="0" w:line="240" w:lineRule="auto"/>
        <w:ind w:right="-1"/>
        <w:jc w:val="both"/>
        <w:rPr>
          <w:rFonts w:ascii="Arial" w:hAnsi="Arial" w:cs="Arial"/>
          <w:b/>
          <w:sz w:val="24"/>
          <w:szCs w:val="24"/>
          <w:u w:val="single"/>
        </w:rPr>
      </w:pPr>
    </w:p>
    <w:p w14:paraId="74622586">
      <w:pPr>
        <w:spacing w:after="0" w:line="240" w:lineRule="auto"/>
        <w:jc w:val="center"/>
        <w:rPr>
          <w:rFonts w:ascii="Arial" w:hAnsi="Arial" w:cs="Arial"/>
          <w:b/>
          <w:sz w:val="24"/>
          <w:szCs w:val="24"/>
        </w:rPr>
      </w:pPr>
      <w:r>
        <w:rPr>
          <w:rFonts w:ascii="Arial" w:hAnsi="Arial" w:cs="Arial"/>
          <w:b/>
          <w:sz w:val="24"/>
          <w:szCs w:val="24"/>
          <w:u w:val="single"/>
        </w:rPr>
        <w:t>ORDENADOR DE DESPESAS DA CONTRATANTE</w:t>
      </w:r>
      <w:r>
        <w:rPr>
          <w:rFonts w:ascii="Arial" w:hAnsi="Arial" w:cs="Arial"/>
          <w:b/>
          <w:sz w:val="24"/>
          <w:szCs w:val="24"/>
        </w:rPr>
        <w:t>:</w:t>
      </w:r>
    </w:p>
    <w:p w14:paraId="7446849B">
      <w:pPr>
        <w:spacing w:after="0" w:line="240" w:lineRule="auto"/>
        <w:jc w:val="both"/>
        <w:rPr>
          <w:rFonts w:ascii="Arial" w:hAnsi="Arial" w:cs="Arial"/>
          <w:sz w:val="24"/>
          <w:szCs w:val="24"/>
        </w:rPr>
      </w:pPr>
    </w:p>
    <w:p w14:paraId="505A231F">
      <w:pPr>
        <w:spacing w:after="0" w:line="240" w:lineRule="auto"/>
        <w:rPr>
          <w:rFonts w:ascii="Arial" w:hAnsi="Arial" w:cs="Arial"/>
          <w:sz w:val="24"/>
          <w:szCs w:val="24"/>
        </w:rPr>
      </w:pPr>
      <w:r>
        <w:rPr>
          <w:rFonts w:ascii="Arial" w:hAnsi="Arial" w:cs="Arial"/>
          <w:sz w:val="24"/>
          <w:szCs w:val="24"/>
        </w:rPr>
        <w:t xml:space="preserve">Nome: </w:t>
      </w:r>
    </w:p>
    <w:p w14:paraId="2D023CFF">
      <w:pPr>
        <w:spacing w:after="0" w:line="240" w:lineRule="auto"/>
        <w:rPr>
          <w:rFonts w:ascii="Arial" w:hAnsi="Arial" w:cs="Arial"/>
          <w:sz w:val="24"/>
          <w:szCs w:val="24"/>
        </w:rPr>
      </w:pPr>
      <w:r>
        <w:rPr>
          <w:rFonts w:ascii="Arial" w:hAnsi="Arial" w:cs="Arial"/>
          <w:sz w:val="24"/>
          <w:szCs w:val="24"/>
        </w:rPr>
        <w:t xml:space="preserve">Cargo: </w:t>
      </w:r>
    </w:p>
    <w:p w14:paraId="49EAC938">
      <w:pPr>
        <w:spacing w:after="0" w:line="240" w:lineRule="auto"/>
        <w:rPr>
          <w:rFonts w:ascii="Arial" w:hAnsi="Arial" w:cs="Arial"/>
          <w:sz w:val="24"/>
          <w:szCs w:val="24"/>
        </w:rPr>
      </w:pPr>
      <w:r>
        <w:rPr>
          <w:rFonts w:ascii="Arial" w:hAnsi="Arial" w:cs="Arial"/>
          <w:sz w:val="24"/>
          <w:szCs w:val="24"/>
        </w:rPr>
        <w:t xml:space="preserve">CPF: </w:t>
      </w:r>
    </w:p>
    <w:p w14:paraId="4F36473A">
      <w:pPr>
        <w:spacing w:after="0" w:line="240" w:lineRule="auto"/>
        <w:rPr>
          <w:rFonts w:ascii="Arial" w:hAnsi="Arial" w:cs="Arial"/>
          <w:sz w:val="24"/>
          <w:szCs w:val="24"/>
        </w:rPr>
      </w:pPr>
    </w:p>
    <w:p w14:paraId="70576CC3">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64F455DF">
      <w:pPr>
        <w:spacing w:after="0" w:line="240" w:lineRule="auto"/>
        <w:ind w:right="-1"/>
        <w:jc w:val="both"/>
        <w:rPr>
          <w:rFonts w:ascii="Arial" w:hAnsi="Arial" w:cs="Arial"/>
          <w:b/>
          <w:sz w:val="24"/>
          <w:szCs w:val="24"/>
          <w:u w:val="single"/>
        </w:rPr>
      </w:pPr>
    </w:p>
    <w:p w14:paraId="0C8F2E8C">
      <w:pPr>
        <w:spacing w:after="0" w:line="240" w:lineRule="auto"/>
        <w:jc w:val="center"/>
        <w:rPr>
          <w:rFonts w:ascii="Arial" w:hAnsi="Arial" w:cs="Arial"/>
          <w:color w:val="000000"/>
          <w:sz w:val="24"/>
          <w:szCs w:val="24"/>
        </w:rPr>
      </w:pPr>
      <w:r>
        <w:rPr>
          <w:rFonts w:ascii="Arial" w:hAnsi="Arial" w:cs="Arial"/>
          <w:b/>
          <w:color w:val="000000"/>
          <w:sz w:val="24"/>
          <w:szCs w:val="24"/>
          <w:u w:val="single"/>
        </w:rPr>
        <w:t>GESTOR(A) DO CONTRATO</w:t>
      </w:r>
      <w:r>
        <w:rPr>
          <w:rFonts w:ascii="Arial" w:hAnsi="Arial" w:cs="Arial"/>
          <w:color w:val="000000"/>
          <w:sz w:val="24"/>
          <w:szCs w:val="24"/>
        </w:rPr>
        <w:t>:</w:t>
      </w:r>
    </w:p>
    <w:p w14:paraId="6BF95EDD">
      <w:pPr>
        <w:spacing w:after="0" w:line="240" w:lineRule="auto"/>
        <w:jc w:val="both"/>
        <w:rPr>
          <w:rFonts w:ascii="Arial" w:hAnsi="Arial" w:cs="Arial"/>
          <w:sz w:val="24"/>
          <w:szCs w:val="24"/>
        </w:rPr>
      </w:pPr>
    </w:p>
    <w:p w14:paraId="58B9325B">
      <w:pPr>
        <w:spacing w:after="0" w:line="240" w:lineRule="auto"/>
        <w:rPr>
          <w:rFonts w:ascii="Arial" w:hAnsi="Arial" w:cs="Arial"/>
          <w:color w:val="000000"/>
          <w:sz w:val="24"/>
          <w:szCs w:val="24"/>
        </w:rPr>
      </w:pPr>
      <w:r>
        <w:rPr>
          <w:rFonts w:ascii="Arial" w:hAnsi="Arial" w:cs="Arial"/>
          <w:color w:val="000000"/>
          <w:sz w:val="24"/>
          <w:szCs w:val="24"/>
        </w:rPr>
        <w:t>Nome:</w:t>
      </w:r>
      <w:r>
        <w:rPr>
          <w:rFonts w:ascii="Arial" w:hAnsi="Arial" w:cs="Arial"/>
          <w:b/>
          <w:color w:val="000000"/>
          <w:sz w:val="24"/>
          <w:szCs w:val="24"/>
        </w:rPr>
        <w:t xml:space="preserve"> </w:t>
      </w:r>
      <w:r>
        <w:rPr>
          <w:rFonts w:ascii="Arial" w:hAnsi="Arial" w:cs="Arial"/>
          <w:color w:val="000000"/>
          <w:sz w:val="24"/>
          <w:szCs w:val="24"/>
        </w:rPr>
        <w:t xml:space="preserve"> </w:t>
      </w:r>
    </w:p>
    <w:p w14:paraId="53CDA074">
      <w:pPr>
        <w:spacing w:after="0" w:line="240" w:lineRule="auto"/>
        <w:rPr>
          <w:rFonts w:ascii="Arial" w:hAnsi="Arial" w:cs="Arial"/>
          <w:color w:val="000000"/>
          <w:sz w:val="24"/>
          <w:szCs w:val="24"/>
        </w:rPr>
      </w:pPr>
      <w:r>
        <w:rPr>
          <w:rFonts w:ascii="Arial" w:hAnsi="Arial" w:cs="Arial"/>
          <w:color w:val="000000"/>
          <w:sz w:val="24"/>
          <w:szCs w:val="24"/>
        </w:rPr>
        <w:t xml:space="preserve">Cargo: </w:t>
      </w:r>
    </w:p>
    <w:p w14:paraId="1291625A">
      <w:pPr>
        <w:spacing w:after="0" w:line="240" w:lineRule="auto"/>
        <w:rPr>
          <w:rFonts w:ascii="Arial" w:hAnsi="Arial" w:cs="Arial"/>
          <w:sz w:val="24"/>
          <w:szCs w:val="24"/>
        </w:rPr>
      </w:pPr>
      <w:r>
        <w:rPr>
          <w:rFonts w:ascii="Arial" w:hAnsi="Arial" w:cs="Arial"/>
          <w:sz w:val="24"/>
          <w:szCs w:val="24"/>
        </w:rPr>
        <w:t xml:space="preserve">CPF: </w:t>
      </w:r>
    </w:p>
    <w:p w14:paraId="6E76D2DC">
      <w:pPr>
        <w:spacing w:after="0" w:line="240" w:lineRule="auto"/>
        <w:rPr>
          <w:rFonts w:ascii="Arial" w:hAnsi="Arial" w:cs="Arial"/>
          <w:sz w:val="24"/>
          <w:szCs w:val="24"/>
        </w:rPr>
      </w:pPr>
    </w:p>
    <w:p w14:paraId="5F843CA7">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0D29423D">
      <w:pPr>
        <w:spacing w:line="240" w:lineRule="auto"/>
        <w:ind w:firstLine="360"/>
        <w:jc w:val="center"/>
        <w:rPr>
          <w:rFonts w:ascii="Arial" w:hAnsi="Arial" w:cs="Arial"/>
          <w:b/>
          <w:sz w:val="24"/>
          <w:szCs w:val="24"/>
        </w:rPr>
      </w:pPr>
    </w:p>
    <w:p w14:paraId="02DEE08D">
      <w:pPr>
        <w:spacing w:line="240" w:lineRule="auto"/>
        <w:jc w:val="center"/>
        <w:rPr>
          <w:rFonts w:ascii="Arial" w:hAnsi="Arial" w:cs="Arial"/>
          <w:b/>
          <w:sz w:val="24"/>
          <w:szCs w:val="24"/>
        </w:rPr>
      </w:pPr>
      <w:r>
        <w:rPr>
          <w:rFonts w:ascii="Arial" w:hAnsi="Arial" w:cs="Arial"/>
          <w:b/>
          <w:sz w:val="24"/>
          <w:szCs w:val="24"/>
        </w:rPr>
        <w:br w:type="page"/>
      </w:r>
    </w:p>
    <w:p w14:paraId="67E5CD19">
      <w:pPr>
        <w:spacing w:line="240" w:lineRule="auto"/>
        <w:jc w:val="center"/>
        <w:rPr>
          <w:rFonts w:ascii="Arial" w:hAnsi="Arial" w:cs="Arial"/>
          <w:b/>
          <w:sz w:val="24"/>
          <w:szCs w:val="24"/>
        </w:rPr>
      </w:pPr>
      <w:r>
        <w:rPr>
          <w:rFonts w:ascii="Arial" w:hAnsi="Arial" w:cs="Arial"/>
          <w:b/>
          <w:sz w:val="24"/>
          <w:szCs w:val="24"/>
        </w:rPr>
        <w:t>ANEXO V – DECLARAÇÃO DE DOCUMENTOS À DISPOSIÇÃO DO TCE-SP</w:t>
      </w:r>
    </w:p>
    <w:p w14:paraId="75FA1B22">
      <w:pPr>
        <w:spacing w:line="240" w:lineRule="auto"/>
        <w:rPr>
          <w:rFonts w:ascii="Arial" w:hAnsi="Arial" w:cs="Arial"/>
          <w:b/>
          <w:sz w:val="24"/>
          <w:szCs w:val="24"/>
        </w:rPr>
      </w:pPr>
    </w:p>
    <w:p w14:paraId="7EBAAA0A">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 xml:space="preserve">CONTRATANTE: </w:t>
      </w:r>
    </w:p>
    <w:p w14:paraId="5A1A2D74">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 xml:space="preserve">CNPJ Nº: </w:t>
      </w:r>
    </w:p>
    <w:p w14:paraId="394EA3AB">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 xml:space="preserve">CONTRATADA: </w:t>
      </w:r>
    </w:p>
    <w:p w14:paraId="18E99983">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CNPJ Nº:</w:t>
      </w:r>
    </w:p>
    <w:p w14:paraId="54B2E784">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CONTRATO N° (DE ORIGEM):</w:t>
      </w:r>
    </w:p>
    <w:p w14:paraId="6E68A43E">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 xml:space="preserve">DATA DA ASSINATURA: </w:t>
      </w:r>
    </w:p>
    <w:p w14:paraId="3F71D0F0">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VIGÊNCIA:</w:t>
      </w:r>
    </w:p>
    <w:p w14:paraId="0C696F1E">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OBJETO:</w:t>
      </w:r>
    </w:p>
    <w:p w14:paraId="43D882E7">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VALOR (R$):</w:t>
      </w:r>
    </w:p>
    <w:p w14:paraId="6422A9D0">
      <w:pPr>
        <w:widowControl w:val="0"/>
        <w:autoSpaceDE w:val="0"/>
        <w:autoSpaceDN w:val="0"/>
        <w:spacing w:after="0" w:line="240" w:lineRule="auto"/>
        <w:ind w:right="57"/>
        <w:rPr>
          <w:rFonts w:ascii="Arial" w:hAnsi="Arial" w:eastAsia="Arial" w:cs="Arial"/>
          <w:sz w:val="24"/>
          <w:szCs w:val="24"/>
        </w:rPr>
      </w:pPr>
    </w:p>
    <w:p w14:paraId="20D97EDC">
      <w:pPr>
        <w:widowControl w:val="0"/>
        <w:autoSpaceDE w:val="0"/>
        <w:autoSpaceDN w:val="0"/>
        <w:spacing w:after="0" w:line="240" w:lineRule="auto"/>
        <w:ind w:right="57"/>
        <w:jc w:val="both"/>
        <w:rPr>
          <w:rFonts w:ascii="Arial" w:hAnsi="Arial" w:eastAsia="Arial" w:cs="Arial"/>
          <w:sz w:val="24"/>
          <w:szCs w:val="24"/>
        </w:rPr>
      </w:pPr>
      <w:r>
        <w:rPr>
          <w:rFonts w:ascii="Arial" w:hAnsi="Arial" w:eastAsia="Arial" w:cs="Arial"/>
          <w:sz w:val="24"/>
          <w:szCs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rFonts w:ascii="Arial" w:hAnsi="Arial" w:eastAsia="Arial" w:cs="Arial"/>
          <w:spacing w:val="-22"/>
          <w:sz w:val="24"/>
          <w:szCs w:val="24"/>
        </w:rPr>
        <w:t xml:space="preserve"> </w:t>
      </w:r>
      <w:r>
        <w:rPr>
          <w:rFonts w:ascii="Arial" w:hAnsi="Arial" w:eastAsia="Arial" w:cs="Arial"/>
          <w:sz w:val="24"/>
          <w:szCs w:val="24"/>
        </w:rPr>
        <w:t>requisitados.</w:t>
      </w:r>
    </w:p>
    <w:p w14:paraId="52E47FC8">
      <w:pPr>
        <w:widowControl w:val="0"/>
        <w:autoSpaceDE w:val="0"/>
        <w:autoSpaceDN w:val="0"/>
        <w:spacing w:after="0" w:line="240" w:lineRule="auto"/>
        <w:ind w:right="57"/>
        <w:jc w:val="both"/>
        <w:rPr>
          <w:rFonts w:ascii="Arial" w:hAnsi="Arial" w:eastAsia="Arial" w:cs="Arial"/>
          <w:sz w:val="24"/>
          <w:szCs w:val="24"/>
        </w:rPr>
      </w:pPr>
    </w:p>
    <w:p w14:paraId="3932CFE6">
      <w:pPr>
        <w:spacing w:line="240" w:lineRule="auto"/>
        <w:jc w:val="both"/>
        <w:rPr>
          <w:rFonts w:ascii="Arial" w:hAnsi="Arial" w:cs="Arial"/>
          <w:sz w:val="24"/>
          <w:szCs w:val="24"/>
        </w:rPr>
      </w:pPr>
    </w:p>
    <w:p w14:paraId="6D5E8A7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__________________, ____ de _____________de 20___.</w:t>
      </w:r>
    </w:p>
    <w:p w14:paraId="5EF2BDE3">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(Local e data)</w:t>
      </w:r>
    </w:p>
    <w:p w14:paraId="216B9265">
      <w:pPr>
        <w:autoSpaceDE w:val="0"/>
        <w:autoSpaceDN w:val="0"/>
        <w:adjustRightInd w:val="0"/>
        <w:spacing w:after="0" w:line="240" w:lineRule="auto"/>
        <w:jc w:val="center"/>
        <w:rPr>
          <w:rFonts w:ascii="Arial" w:hAnsi="Arial" w:cs="Arial"/>
          <w:sz w:val="24"/>
          <w:szCs w:val="24"/>
        </w:rPr>
      </w:pPr>
    </w:p>
    <w:p w14:paraId="36DBF9D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__________________________________________</w:t>
      </w:r>
    </w:p>
    <w:p w14:paraId="300D96EF">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(Representante legal — nome, cargo e assinatura)</w:t>
      </w:r>
    </w:p>
    <w:p w14:paraId="2E047DE2">
      <w:pPr>
        <w:spacing w:line="240" w:lineRule="auto"/>
        <w:rPr>
          <w:rFonts w:ascii="Arial" w:hAnsi="Arial" w:cs="Arial"/>
          <w:b/>
          <w:sz w:val="24"/>
          <w:szCs w:val="24"/>
        </w:rPr>
      </w:pPr>
    </w:p>
    <w:p w14:paraId="5CA5156D">
      <w:pPr>
        <w:spacing w:line="240" w:lineRule="auto"/>
        <w:rPr>
          <w:rFonts w:ascii="Arial" w:hAnsi="Arial" w:cs="Arial"/>
          <w:b/>
          <w:sz w:val="24"/>
          <w:szCs w:val="24"/>
        </w:rPr>
      </w:pPr>
    </w:p>
    <w:p w14:paraId="12B36BA8">
      <w:pPr>
        <w:spacing w:line="240" w:lineRule="auto"/>
        <w:rPr>
          <w:rFonts w:ascii="Arial" w:hAnsi="Arial" w:cs="Arial"/>
          <w:b/>
          <w:sz w:val="24"/>
          <w:szCs w:val="24"/>
        </w:rPr>
      </w:pPr>
    </w:p>
    <w:p w14:paraId="115CABC3">
      <w:pPr>
        <w:spacing w:line="240" w:lineRule="auto"/>
        <w:rPr>
          <w:rFonts w:ascii="Arial" w:hAnsi="Arial" w:cs="Arial"/>
          <w:b/>
          <w:sz w:val="24"/>
          <w:szCs w:val="24"/>
        </w:rPr>
      </w:pPr>
    </w:p>
    <w:p w14:paraId="56878FA0">
      <w:pPr>
        <w:spacing w:line="240" w:lineRule="auto"/>
        <w:rPr>
          <w:rFonts w:ascii="Arial" w:hAnsi="Arial" w:cs="Arial"/>
          <w:b/>
          <w:sz w:val="24"/>
          <w:szCs w:val="24"/>
        </w:rPr>
      </w:pPr>
    </w:p>
    <w:p w14:paraId="28E6155D">
      <w:pPr>
        <w:spacing w:line="240" w:lineRule="auto"/>
        <w:rPr>
          <w:rFonts w:ascii="Arial" w:hAnsi="Arial" w:cs="Arial"/>
          <w:b/>
          <w:sz w:val="24"/>
          <w:szCs w:val="24"/>
        </w:rPr>
      </w:pPr>
    </w:p>
    <w:p w14:paraId="11679E9D">
      <w:pPr>
        <w:spacing w:line="240" w:lineRule="auto"/>
        <w:rPr>
          <w:rFonts w:ascii="Arial" w:hAnsi="Arial" w:cs="Arial"/>
          <w:b/>
          <w:sz w:val="24"/>
          <w:szCs w:val="24"/>
        </w:rPr>
      </w:pPr>
    </w:p>
    <w:p w14:paraId="63A1965D">
      <w:pPr>
        <w:spacing w:line="240" w:lineRule="auto"/>
        <w:rPr>
          <w:rFonts w:ascii="Arial" w:hAnsi="Arial" w:cs="Arial"/>
          <w:b/>
          <w:sz w:val="24"/>
          <w:szCs w:val="24"/>
        </w:rPr>
      </w:pPr>
    </w:p>
    <w:p w14:paraId="6094314A">
      <w:pPr>
        <w:spacing w:line="240" w:lineRule="auto"/>
        <w:rPr>
          <w:rFonts w:ascii="Arial" w:hAnsi="Arial" w:cs="Arial"/>
          <w:b/>
          <w:sz w:val="24"/>
          <w:szCs w:val="24"/>
        </w:rPr>
      </w:pPr>
    </w:p>
    <w:p w14:paraId="50D07C87">
      <w:pPr>
        <w:spacing w:line="240" w:lineRule="auto"/>
        <w:rPr>
          <w:rFonts w:ascii="Arial" w:hAnsi="Arial" w:cs="Arial"/>
          <w:b/>
          <w:sz w:val="24"/>
          <w:szCs w:val="24"/>
        </w:rPr>
      </w:pPr>
    </w:p>
    <w:p w14:paraId="42798EFF">
      <w:pPr>
        <w:spacing w:line="240" w:lineRule="auto"/>
        <w:rPr>
          <w:rFonts w:ascii="Arial" w:hAnsi="Arial" w:cs="Arial"/>
          <w:b/>
          <w:sz w:val="24"/>
          <w:szCs w:val="24"/>
        </w:rPr>
      </w:pPr>
    </w:p>
    <w:p w14:paraId="3F3DD567">
      <w:pPr>
        <w:pStyle w:val="2"/>
        <w:spacing w:after="200"/>
        <w:jc w:val="center"/>
        <w:rPr>
          <w:rFonts w:ascii="Arial" w:hAnsi="Arial" w:cs="Arial"/>
          <w:u w:val="single"/>
        </w:rPr>
      </w:pPr>
      <w:r>
        <w:rPr>
          <w:rFonts w:ascii="Arial" w:hAnsi="Arial" w:cs="Arial"/>
        </w:rPr>
        <w:t>ANEXO VI – PROCURAÇÃO PARA ASSINATURA DA ATA DE REGISTRO DE PREÇOS</w:t>
      </w:r>
    </w:p>
    <w:p w14:paraId="4230A04B">
      <w:pPr>
        <w:spacing w:line="240" w:lineRule="auto"/>
        <w:ind w:firstLine="1418"/>
        <w:jc w:val="both"/>
        <w:rPr>
          <w:rFonts w:ascii="Arial" w:hAnsi="Arial" w:cs="Arial"/>
          <w:b/>
          <w:sz w:val="24"/>
          <w:szCs w:val="24"/>
        </w:rPr>
      </w:pPr>
    </w:p>
    <w:p w14:paraId="5E8228D9">
      <w:pPr>
        <w:spacing w:line="240" w:lineRule="auto"/>
        <w:jc w:val="both"/>
        <w:rPr>
          <w:rFonts w:ascii="Arial" w:hAnsi="Arial" w:cs="Arial"/>
          <w:b/>
          <w:sz w:val="24"/>
          <w:szCs w:val="24"/>
        </w:rPr>
      </w:pPr>
      <w:r>
        <w:rPr>
          <w:rFonts w:ascii="Arial" w:hAnsi="Arial" w:cs="Arial"/>
          <w:b/>
          <w:sz w:val="24"/>
          <w:szCs w:val="24"/>
        </w:rPr>
        <w:t>Pregão Eletrônico nº______/_______</w:t>
      </w:r>
    </w:p>
    <w:p w14:paraId="4265F13C">
      <w:pPr>
        <w:spacing w:line="240" w:lineRule="auto"/>
        <w:jc w:val="both"/>
        <w:rPr>
          <w:rFonts w:ascii="Arial" w:hAnsi="Arial" w:cs="Arial"/>
          <w:b/>
          <w:sz w:val="24"/>
          <w:szCs w:val="24"/>
        </w:rPr>
      </w:pPr>
      <w:r>
        <w:rPr>
          <w:rFonts w:ascii="Arial" w:hAnsi="Arial" w:cs="Arial"/>
          <w:b/>
          <w:sz w:val="24"/>
          <w:szCs w:val="24"/>
        </w:rPr>
        <w:t>Objeto:_______________________________________________________________________________________________________________________________________________________________________________________</w:t>
      </w:r>
    </w:p>
    <w:p w14:paraId="5BE473EB">
      <w:pPr>
        <w:spacing w:line="240" w:lineRule="auto"/>
        <w:ind w:firstLine="1985"/>
        <w:jc w:val="both"/>
        <w:rPr>
          <w:rFonts w:ascii="Arial" w:hAnsi="Arial" w:cs="Arial"/>
          <w:b/>
          <w:sz w:val="24"/>
          <w:szCs w:val="24"/>
        </w:rPr>
      </w:pPr>
      <w:r>
        <w:rPr>
          <w:rFonts w:ascii="Arial" w:hAnsi="Arial" w:cs="Arial"/>
          <w:b/>
          <w:sz w:val="24"/>
          <w:szCs w:val="24"/>
        </w:rPr>
        <w:t>A empresa______________________________________, inscrita no C.N.P.J. sob nº_________________________, situada na_________________________________________, Bairro__________________, Cidade_________________________, Estado_______, por seu representante legal_________________________, nacionalidade______________, estado civil________________________, portador da cédula de identidade de R.G. nº. __________________________ e inscrito no C.P.F. (M.F.) sob nº. ________________________________________, pelo presente instrumento, nomeia e constitui seu bastante procurador, nacionalidade______________, estado civil________________________, portador da cédula de identidade de R.G. nº. __________________________ e inscrito no C.P.F. (M.F.) sob nº. ________________________________________, ao qual confere poder específico para assinatura do contrato e do termo de ciência e de notificação referentes ao Pregão Eletrônico supracitado.</w:t>
      </w:r>
    </w:p>
    <w:p w14:paraId="663FF881">
      <w:pPr>
        <w:spacing w:line="240" w:lineRule="auto"/>
        <w:ind w:firstLine="1985"/>
        <w:jc w:val="both"/>
        <w:rPr>
          <w:rFonts w:ascii="Arial" w:hAnsi="Arial" w:cs="Arial"/>
          <w:sz w:val="24"/>
          <w:szCs w:val="24"/>
        </w:rPr>
      </w:pPr>
    </w:p>
    <w:p w14:paraId="3F2D498D">
      <w:pPr>
        <w:spacing w:line="240" w:lineRule="auto"/>
        <w:ind w:firstLine="1985"/>
        <w:jc w:val="both"/>
        <w:rPr>
          <w:rFonts w:ascii="Arial" w:hAnsi="Arial" w:cs="Arial"/>
          <w:sz w:val="24"/>
          <w:szCs w:val="24"/>
        </w:rPr>
      </w:pPr>
      <w:r>
        <w:rPr>
          <w:rFonts w:ascii="Arial" w:hAnsi="Arial" w:cs="Arial"/>
          <w:sz w:val="24"/>
          <w:szCs w:val="24"/>
        </w:rPr>
        <w:t>Local, Data</w:t>
      </w:r>
    </w:p>
    <w:p w14:paraId="476B7426">
      <w:pPr>
        <w:spacing w:line="240" w:lineRule="auto"/>
        <w:ind w:firstLine="1985"/>
        <w:jc w:val="both"/>
        <w:rPr>
          <w:rFonts w:ascii="Arial" w:hAnsi="Arial" w:cs="Arial"/>
          <w:sz w:val="24"/>
          <w:szCs w:val="24"/>
        </w:rPr>
      </w:pPr>
    </w:p>
    <w:p w14:paraId="0053AC0D">
      <w:pPr>
        <w:spacing w:line="240" w:lineRule="auto"/>
        <w:ind w:firstLine="1985"/>
        <w:jc w:val="both"/>
        <w:rPr>
          <w:rFonts w:ascii="Arial" w:hAnsi="Arial" w:cs="Arial"/>
          <w:sz w:val="24"/>
          <w:szCs w:val="24"/>
        </w:rPr>
      </w:pPr>
    </w:p>
    <w:p w14:paraId="24FC24D3">
      <w:pPr>
        <w:spacing w:line="240" w:lineRule="auto"/>
        <w:ind w:firstLine="1985"/>
        <w:jc w:val="both"/>
        <w:rPr>
          <w:rFonts w:ascii="Arial" w:hAnsi="Arial" w:cs="Arial"/>
          <w:sz w:val="24"/>
          <w:szCs w:val="24"/>
        </w:rPr>
      </w:pPr>
      <w:r>
        <w:rPr>
          <w:rFonts w:ascii="Arial" w:hAnsi="Arial" w:cs="Arial"/>
          <w:sz w:val="24"/>
          <w:szCs w:val="24"/>
        </w:rPr>
        <w:t xml:space="preserve">Assinatura </w:t>
      </w:r>
    </w:p>
    <w:p w14:paraId="781D6BAC">
      <w:pPr>
        <w:spacing w:line="240" w:lineRule="auto"/>
        <w:ind w:firstLine="1985"/>
        <w:jc w:val="both"/>
        <w:rPr>
          <w:rFonts w:ascii="Arial" w:hAnsi="Arial" w:cs="Arial"/>
          <w:sz w:val="24"/>
          <w:szCs w:val="24"/>
        </w:rPr>
      </w:pPr>
    </w:p>
    <w:p w14:paraId="1BB8967B">
      <w:pPr>
        <w:spacing w:line="240" w:lineRule="auto"/>
        <w:ind w:firstLine="1985"/>
        <w:jc w:val="both"/>
        <w:rPr>
          <w:rFonts w:ascii="Arial" w:hAnsi="Arial" w:cs="Arial"/>
          <w:sz w:val="24"/>
          <w:szCs w:val="24"/>
        </w:rPr>
      </w:pPr>
    </w:p>
    <w:p w14:paraId="13719CDE">
      <w:pPr>
        <w:spacing w:line="240" w:lineRule="auto"/>
        <w:ind w:firstLine="1985"/>
        <w:jc w:val="both"/>
        <w:rPr>
          <w:rFonts w:ascii="Arial" w:hAnsi="Arial" w:cs="Arial"/>
          <w:sz w:val="24"/>
          <w:szCs w:val="24"/>
        </w:rPr>
      </w:pPr>
    </w:p>
    <w:p w14:paraId="089B9C43">
      <w:pPr>
        <w:spacing w:line="240" w:lineRule="auto"/>
        <w:ind w:firstLine="1985"/>
        <w:jc w:val="both"/>
        <w:rPr>
          <w:rFonts w:ascii="Arial" w:hAnsi="Arial" w:cs="Arial"/>
          <w:sz w:val="24"/>
          <w:szCs w:val="24"/>
        </w:rPr>
      </w:pPr>
    </w:p>
    <w:p w14:paraId="54C65EE0">
      <w:pPr>
        <w:spacing w:line="240" w:lineRule="auto"/>
        <w:ind w:firstLine="1985"/>
        <w:jc w:val="both"/>
        <w:rPr>
          <w:rFonts w:ascii="Arial" w:hAnsi="Arial" w:cs="Arial"/>
          <w:sz w:val="24"/>
          <w:szCs w:val="24"/>
        </w:rPr>
      </w:pPr>
    </w:p>
    <w:p w14:paraId="59329B7A">
      <w:pPr>
        <w:spacing w:line="240" w:lineRule="auto"/>
        <w:ind w:firstLine="1985"/>
        <w:jc w:val="both"/>
        <w:rPr>
          <w:rFonts w:ascii="Arial" w:hAnsi="Arial" w:cs="Arial"/>
          <w:sz w:val="24"/>
          <w:szCs w:val="24"/>
        </w:rPr>
      </w:pPr>
    </w:p>
    <w:p w14:paraId="05838AF0">
      <w:pPr>
        <w:spacing w:line="240" w:lineRule="auto"/>
        <w:ind w:firstLine="1985"/>
        <w:jc w:val="both"/>
        <w:rPr>
          <w:rFonts w:ascii="Arial" w:hAnsi="Arial" w:cs="Arial"/>
          <w:sz w:val="24"/>
          <w:szCs w:val="24"/>
        </w:rPr>
      </w:pPr>
    </w:p>
    <w:p w14:paraId="2275D715">
      <w:pPr>
        <w:autoSpaceDE w:val="0"/>
        <w:autoSpaceDN w:val="0"/>
        <w:adjustRightInd w:val="0"/>
        <w:spacing w:line="240" w:lineRule="auto"/>
        <w:jc w:val="center"/>
        <w:rPr>
          <w:rFonts w:ascii="Arial" w:hAnsi="Arial" w:cs="Arial"/>
          <w:b/>
          <w:bCs/>
          <w:sz w:val="24"/>
          <w:szCs w:val="24"/>
        </w:rPr>
      </w:pPr>
    </w:p>
    <w:p w14:paraId="417D3F27">
      <w:pPr>
        <w:autoSpaceDE w:val="0"/>
        <w:autoSpaceDN w:val="0"/>
        <w:adjustRightInd w:val="0"/>
        <w:spacing w:line="240" w:lineRule="auto"/>
        <w:jc w:val="center"/>
        <w:rPr>
          <w:rFonts w:ascii="Arial" w:hAnsi="Arial" w:cs="Arial"/>
          <w:b/>
          <w:bCs/>
          <w:sz w:val="24"/>
          <w:szCs w:val="24"/>
        </w:rPr>
      </w:pPr>
      <w:r>
        <w:rPr>
          <w:rFonts w:ascii="Arial" w:hAnsi="Arial" w:cs="Arial"/>
          <w:b/>
          <w:bCs/>
          <w:sz w:val="24"/>
          <w:szCs w:val="24"/>
        </w:rPr>
        <w:t>ANEXO VII – DECLARAÇÃO DE MICROEMPRESA OU EMPRESA DE PEQUENO PORTE</w:t>
      </w:r>
    </w:p>
    <w:p w14:paraId="7CEC971A">
      <w:pPr>
        <w:autoSpaceDE w:val="0"/>
        <w:autoSpaceDN w:val="0"/>
        <w:adjustRightInd w:val="0"/>
        <w:spacing w:line="240" w:lineRule="auto"/>
        <w:jc w:val="both"/>
        <w:rPr>
          <w:rFonts w:ascii="Arial" w:hAnsi="Arial" w:cs="Arial"/>
          <w:b/>
          <w:bCs/>
          <w:sz w:val="24"/>
          <w:szCs w:val="24"/>
        </w:rPr>
      </w:pPr>
    </w:p>
    <w:p w14:paraId="1B6DBBC8">
      <w:pPr>
        <w:autoSpaceDE w:val="0"/>
        <w:autoSpaceDN w:val="0"/>
        <w:adjustRightInd w:val="0"/>
        <w:spacing w:line="240" w:lineRule="auto"/>
        <w:jc w:val="both"/>
        <w:rPr>
          <w:rFonts w:ascii="Arial" w:hAnsi="Arial" w:cs="Arial"/>
          <w:sz w:val="24"/>
          <w:szCs w:val="24"/>
        </w:rPr>
      </w:pPr>
      <w:r>
        <w:rPr>
          <w:rFonts w:ascii="Arial" w:hAnsi="Arial" w:cs="Arial"/>
          <w:sz w:val="24"/>
          <w:szCs w:val="24"/>
        </w:rPr>
        <w:t>___________________________________________ (nome da empresa), inscrita no CNPJ sob nº _______________, por intermédio de seu representante legal, Sr.(a)______________________________, portador(a) da Carteira de Identidade nº _________________, Órgão expedidor _______ e do C.P.F nº ________________, DECLARA QUE:</w:t>
      </w:r>
    </w:p>
    <w:p w14:paraId="5BC99A88">
      <w:pPr>
        <w:autoSpaceDE w:val="0"/>
        <w:autoSpaceDN w:val="0"/>
        <w:adjustRightInd w:val="0"/>
        <w:spacing w:line="240" w:lineRule="auto"/>
        <w:jc w:val="both"/>
        <w:rPr>
          <w:rFonts w:ascii="Arial" w:hAnsi="Arial" w:cs="Arial"/>
          <w:sz w:val="24"/>
          <w:szCs w:val="24"/>
        </w:rPr>
      </w:pPr>
    </w:p>
    <w:p w14:paraId="603A3A0E">
      <w:pPr>
        <w:pStyle w:val="40"/>
        <w:numPr>
          <w:ilvl w:val="0"/>
          <w:numId w:val="21"/>
        </w:num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É microempresa </w:t>
      </w:r>
      <w:r>
        <w:rPr>
          <w:rFonts w:ascii="Arial" w:hAnsi="Arial" w:cs="Arial"/>
          <w:b/>
          <w:color w:val="000000"/>
          <w:sz w:val="24"/>
          <w:szCs w:val="24"/>
          <w:u w:val="single"/>
        </w:rPr>
        <w:t>ou</w:t>
      </w:r>
      <w:r>
        <w:rPr>
          <w:rFonts w:ascii="Arial" w:hAnsi="Arial" w:cs="Arial"/>
          <w:sz w:val="24"/>
          <w:szCs w:val="24"/>
        </w:rPr>
        <w:t xml:space="preserve"> empresa de pequeno porte, nos termos do enquadramento previsto na Lei Complementar nº 123/2006.</w:t>
      </w:r>
    </w:p>
    <w:p w14:paraId="34D22572">
      <w:pPr>
        <w:pStyle w:val="40"/>
        <w:autoSpaceDE w:val="0"/>
        <w:autoSpaceDN w:val="0"/>
        <w:adjustRightInd w:val="0"/>
        <w:spacing w:line="240" w:lineRule="auto"/>
        <w:jc w:val="both"/>
        <w:rPr>
          <w:rFonts w:ascii="Arial" w:hAnsi="Arial" w:cs="Arial"/>
          <w:sz w:val="24"/>
          <w:szCs w:val="24"/>
        </w:rPr>
      </w:pPr>
    </w:p>
    <w:p w14:paraId="7CF351A4">
      <w:pPr>
        <w:pStyle w:val="40"/>
        <w:numPr>
          <w:ilvl w:val="0"/>
          <w:numId w:val="21"/>
        </w:numPr>
        <w:autoSpaceDE w:val="0"/>
        <w:autoSpaceDN w:val="0"/>
        <w:adjustRightInd w:val="0"/>
        <w:spacing w:line="240" w:lineRule="auto"/>
        <w:jc w:val="both"/>
        <w:rPr>
          <w:rFonts w:ascii="Arial" w:hAnsi="Arial" w:cs="Arial"/>
          <w:sz w:val="24"/>
          <w:szCs w:val="24"/>
        </w:rPr>
      </w:pPr>
      <w:r>
        <w:rPr>
          <w:rFonts w:ascii="Arial" w:hAnsi="Arial" w:cs="Arial"/>
          <w:sz w:val="24"/>
          <w:szCs w:val="24"/>
        </w:rPr>
        <w:t>Está apta a exercer os benefícios de que trata o Capítulo V da Lei Complementar nº 123/2006, tendo receita bruta compatível com o que preconizam os incisos I e II do art. 3º e não incidindo em nenhum dos impedimentos do §4º do mesmo artigo.</w:t>
      </w:r>
    </w:p>
    <w:p w14:paraId="1D8FE882">
      <w:pPr>
        <w:pStyle w:val="40"/>
        <w:spacing w:line="240" w:lineRule="auto"/>
        <w:rPr>
          <w:rFonts w:ascii="Arial" w:hAnsi="Arial" w:cs="Arial"/>
          <w:sz w:val="24"/>
          <w:szCs w:val="24"/>
        </w:rPr>
      </w:pPr>
    </w:p>
    <w:p w14:paraId="34D7744E">
      <w:pPr>
        <w:pStyle w:val="40"/>
        <w:numPr>
          <w:ilvl w:val="0"/>
          <w:numId w:val="21"/>
        </w:numPr>
        <w:autoSpaceDE w:val="0"/>
        <w:autoSpaceDN w:val="0"/>
        <w:adjustRightInd w:val="0"/>
        <w:spacing w:line="240" w:lineRule="auto"/>
        <w:jc w:val="both"/>
        <w:rPr>
          <w:rFonts w:ascii="Arial" w:hAnsi="Arial" w:cs="Arial"/>
          <w:sz w:val="24"/>
          <w:szCs w:val="24"/>
        </w:rPr>
      </w:pPr>
      <w:r>
        <w:rPr>
          <w:rFonts w:ascii="Arial" w:hAnsi="Arial" w:cs="Arial"/>
          <w:sz w:val="24"/>
          <w:szCs w:val="24"/>
        </w:rPr>
        <w:t>No ano-calendário de realização da presente licitação, a empresa não celebrou contratos com a Administração Pública cujos valores somados extrapolem a receita bruta máxima admitida para fins de enquadramento como empresa de pequeno porte, em conformidade com o art. 4º, §2º da Lei Federal nº 14.133/2021.</w:t>
      </w:r>
    </w:p>
    <w:p w14:paraId="4895AD33">
      <w:pPr>
        <w:pStyle w:val="40"/>
        <w:spacing w:line="240" w:lineRule="auto"/>
        <w:rPr>
          <w:rFonts w:ascii="Arial" w:hAnsi="Arial" w:cs="Arial"/>
          <w:sz w:val="24"/>
          <w:szCs w:val="24"/>
        </w:rPr>
      </w:pPr>
    </w:p>
    <w:p w14:paraId="312267B4">
      <w:pPr>
        <w:pStyle w:val="40"/>
        <w:spacing w:line="240" w:lineRule="auto"/>
        <w:rPr>
          <w:rFonts w:ascii="Arial" w:hAnsi="Arial" w:cs="Arial"/>
          <w:sz w:val="24"/>
          <w:szCs w:val="24"/>
        </w:rPr>
      </w:pPr>
    </w:p>
    <w:p w14:paraId="0FF126A1">
      <w:pPr>
        <w:pStyle w:val="40"/>
        <w:spacing w:line="240" w:lineRule="auto"/>
        <w:rPr>
          <w:rFonts w:ascii="Arial" w:hAnsi="Arial" w:cs="Arial"/>
          <w:sz w:val="24"/>
          <w:szCs w:val="24"/>
        </w:rPr>
      </w:pPr>
    </w:p>
    <w:p w14:paraId="3163B7D8">
      <w:pPr>
        <w:pStyle w:val="40"/>
        <w:spacing w:line="240" w:lineRule="auto"/>
        <w:rPr>
          <w:rFonts w:ascii="Arial" w:hAnsi="Arial" w:cs="Arial"/>
          <w:sz w:val="24"/>
          <w:szCs w:val="24"/>
        </w:rPr>
      </w:pPr>
    </w:p>
    <w:p w14:paraId="5990ACA3">
      <w:pPr>
        <w:autoSpaceDE w:val="0"/>
        <w:autoSpaceDN w:val="0"/>
        <w:adjustRightInd w:val="0"/>
        <w:spacing w:line="240" w:lineRule="auto"/>
        <w:jc w:val="center"/>
        <w:rPr>
          <w:rFonts w:ascii="Arial" w:hAnsi="Arial" w:cs="Arial"/>
          <w:sz w:val="24"/>
          <w:szCs w:val="24"/>
        </w:rPr>
      </w:pPr>
      <w:r>
        <w:rPr>
          <w:rFonts w:ascii="Arial" w:hAnsi="Arial" w:cs="Arial"/>
          <w:sz w:val="24"/>
          <w:szCs w:val="24"/>
        </w:rPr>
        <w:t>__________________, ____ de _____________de 20___.</w:t>
      </w:r>
    </w:p>
    <w:p w14:paraId="1E3BDAE2">
      <w:pPr>
        <w:autoSpaceDE w:val="0"/>
        <w:autoSpaceDN w:val="0"/>
        <w:adjustRightInd w:val="0"/>
        <w:spacing w:line="240" w:lineRule="auto"/>
        <w:jc w:val="center"/>
        <w:rPr>
          <w:rFonts w:ascii="Arial" w:hAnsi="Arial" w:cs="Arial"/>
          <w:sz w:val="24"/>
          <w:szCs w:val="24"/>
        </w:rPr>
      </w:pPr>
      <w:r>
        <w:rPr>
          <w:rFonts w:ascii="Arial" w:hAnsi="Arial" w:cs="Arial"/>
          <w:sz w:val="24"/>
          <w:szCs w:val="24"/>
        </w:rPr>
        <w:t>(Local e data)</w:t>
      </w:r>
    </w:p>
    <w:p w14:paraId="7948D8A1">
      <w:pPr>
        <w:autoSpaceDE w:val="0"/>
        <w:autoSpaceDN w:val="0"/>
        <w:adjustRightInd w:val="0"/>
        <w:spacing w:line="240" w:lineRule="auto"/>
        <w:jc w:val="center"/>
        <w:rPr>
          <w:rFonts w:ascii="Arial" w:hAnsi="Arial" w:cs="Arial"/>
          <w:sz w:val="24"/>
          <w:szCs w:val="24"/>
        </w:rPr>
      </w:pPr>
    </w:p>
    <w:p w14:paraId="7AAB9218">
      <w:pPr>
        <w:autoSpaceDE w:val="0"/>
        <w:autoSpaceDN w:val="0"/>
        <w:adjustRightInd w:val="0"/>
        <w:spacing w:line="240" w:lineRule="auto"/>
        <w:jc w:val="center"/>
        <w:rPr>
          <w:rFonts w:ascii="Arial" w:hAnsi="Arial" w:cs="Arial"/>
          <w:sz w:val="24"/>
          <w:szCs w:val="24"/>
        </w:rPr>
      </w:pPr>
      <w:r>
        <w:rPr>
          <w:rFonts w:ascii="Arial" w:hAnsi="Arial" w:cs="Arial"/>
          <w:sz w:val="24"/>
          <w:szCs w:val="24"/>
        </w:rPr>
        <w:t>__________________________________________</w:t>
      </w:r>
    </w:p>
    <w:p w14:paraId="23109B6E">
      <w:pPr>
        <w:autoSpaceDE w:val="0"/>
        <w:autoSpaceDN w:val="0"/>
        <w:adjustRightInd w:val="0"/>
        <w:spacing w:line="240" w:lineRule="auto"/>
        <w:jc w:val="center"/>
        <w:rPr>
          <w:rFonts w:ascii="Arial" w:hAnsi="Arial" w:cs="Arial"/>
          <w:sz w:val="24"/>
          <w:szCs w:val="24"/>
        </w:rPr>
      </w:pPr>
      <w:r>
        <w:rPr>
          <w:rFonts w:ascii="Arial" w:hAnsi="Arial" w:cs="Arial"/>
          <w:sz w:val="24"/>
          <w:szCs w:val="24"/>
        </w:rPr>
        <w:t>(Representante legal – nome e cargo)</w:t>
      </w:r>
    </w:p>
    <w:p w14:paraId="4F27966A">
      <w:pPr>
        <w:spacing w:line="240" w:lineRule="auto"/>
        <w:rPr>
          <w:rFonts w:ascii="Arial" w:hAnsi="Arial" w:cs="Arial"/>
          <w:sz w:val="24"/>
          <w:szCs w:val="24"/>
        </w:rPr>
      </w:pPr>
    </w:p>
    <w:p w14:paraId="3CC236FA">
      <w:pPr>
        <w:autoSpaceDE w:val="0"/>
        <w:autoSpaceDN w:val="0"/>
        <w:adjustRightInd w:val="0"/>
        <w:spacing w:line="240" w:lineRule="auto"/>
        <w:jc w:val="both"/>
        <w:rPr>
          <w:rFonts w:ascii="Arial" w:hAnsi="Arial" w:cs="Arial"/>
          <w:sz w:val="24"/>
          <w:szCs w:val="24"/>
        </w:rPr>
      </w:pPr>
    </w:p>
    <w:p w14:paraId="01C3DFD4">
      <w:pPr>
        <w:autoSpaceDE w:val="0"/>
        <w:autoSpaceDN w:val="0"/>
        <w:adjustRightInd w:val="0"/>
        <w:spacing w:line="240" w:lineRule="auto"/>
        <w:jc w:val="both"/>
        <w:rPr>
          <w:rFonts w:ascii="Arial" w:hAnsi="Arial" w:cs="Arial"/>
          <w:sz w:val="24"/>
          <w:szCs w:val="24"/>
        </w:rPr>
      </w:pPr>
    </w:p>
    <w:p w14:paraId="526E74AC">
      <w:pPr>
        <w:autoSpaceDE w:val="0"/>
        <w:autoSpaceDN w:val="0"/>
        <w:adjustRightInd w:val="0"/>
        <w:spacing w:line="240" w:lineRule="auto"/>
        <w:jc w:val="both"/>
        <w:rPr>
          <w:rFonts w:ascii="Arial" w:hAnsi="Arial" w:cs="Arial"/>
          <w:sz w:val="24"/>
          <w:szCs w:val="24"/>
        </w:rPr>
      </w:pPr>
    </w:p>
    <w:p w14:paraId="727ECE37">
      <w:pPr>
        <w:autoSpaceDE w:val="0"/>
        <w:autoSpaceDN w:val="0"/>
        <w:adjustRightInd w:val="0"/>
        <w:spacing w:line="240" w:lineRule="auto"/>
        <w:jc w:val="both"/>
        <w:rPr>
          <w:rFonts w:ascii="Arial" w:hAnsi="Arial" w:cs="Arial"/>
          <w:sz w:val="24"/>
          <w:szCs w:val="24"/>
        </w:rPr>
      </w:pPr>
    </w:p>
    <w:p w14:paraId="05B9FBC3">
      <w:pPr>
        <w:autoSpaceDE w:val="0"/>
        <w:autoSpaceDN w:val="0"/>
        <w:adjustRightInd w:val="0"/>
        <w:spacing w:line="240" w:lineRule="auto"/>
        <w:jc w:val="both"/>
        <w:rPr>
          <w:rFonts w:ascii="Arial" w:hAnsi="Arial" w:cs="Arial"/>
          <w:sz w:val="24"/>
          <w:szCs w:val="24"/>
        </w:rPr>
      </w:pPr>
    </w:p>
    <w:p w14:paraId="423E204A">
      <w:pPr>
        <w:spacing w:line="240" w:lineRule="auto"/>
        <w:jc w:val="center"/>
        <w:rPr>
          <w:rFonts w:ascii="Arial" w:hAnsi="Arial" w:cs="Arial"/>
          <w:b/>
          <w:sz w:val="24"/>
          <w:szCs w:val="24"/>
        </w:rPr>
      </w:pPr>
      <w:r>
        <w:rPr>
          <w:rFonts w:ascii="Arial" w:hAnsi="Arial" w:cs="Arial"/>
          <w:b/>
          <w:sz w:val="24"/>
          <w:szCs w:val="24"/>
        </w:rPr>
        <w:t>ANEXO VIII – MODELO DE PROPOSTA FINAL</w:t>
      </w:r>
    </w:p>
    <w:p w14:paraId="6469A04E">
      <w:pPr>
        <w:spacing w:line="240" w:lineRule="auto"/>
        <w:contextualSpacing/>
        <w:jc w:val="center"/>
        <w:rPr>
          <w:rFonts w:ascii="Arial" w:hAnsi="Arial" w:cs="Arial"/>
          <w:b/>
          <w:sz w:val="24"/>
          <w:szCs w:val="24"/>
        </w:rPr>
      </w:pPr>
      <w:r>
        <w:rPr>
          <w:rFonts w:ascii="Arial" w:hAnsi="Arial" w:cs="Arial"/>
          <w:b/>
          <w:sz w:val="24"/>
          <w:szCs w:val="24"/>
        </w:rPr>
        <w:t>PREGÃO ELETRÔNICO Nº _____/_____</w:t>
      </w:r>
    </w:p>
    <w:p w14:paraId="4337BFFB">
      <w:pPr>
        <w:spacing w:line="240" w:lineRule="auto"/>
        <w:contextualSpacing/>
        <w:jc w:val="center"/>
        <w:rPr>
          <w:rFonts w:ascii="Arial" w:hAnsi="Arial" w:cs="Arial"/>
          <w:b/>
          <w:sz w:val="24"/>
          <w:szCs w:val="24"/>
        </w:rPr>
      </w:pPr>
    </w:p>
    <w:tbl>
      <w:tblPr>
        <w:tblStyle w:val="4"/>
        <w:tblW w:w="51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1136"/>
        <w:gridCol w:w="870"/>
        <w:gridCol w:w="2366"/>
        <w:gridCol w:w="1843"/>
        <w:gridCol w:w="1056"/>
        <w:gridCol w:w="1056"/>
      </w:tblGrid>
      <w:tr w14:paraId="67C9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jc w:val="center"/>
        </w:trPr>
        <w:tc>
          <w:tcPr>
            <w:tcW w:w="5000" w:type="pct"/>
            <w:gridSpan w:val="7"/>
            <w:tcBorders>
              <w:left w:val="single" w:color="auto" w:sz="4" w:space="0"/>
            </w:tcBorders>
            <w:vAlign w:val="bottom"/>
          </w:tcPr>
          <w:p w14:paraId="4CCCCC63">
            <w:pPr>
              <w:spacing w:line="240" w:lineRule="auto"/>
              <w:contextualSpacing/>
              <w:rPr>
                <w:rFonts w:ascii="Arial" w:hAnsi="Arial" w:cs="Arial"/>
                <w:b/>
                <w:sz w:val="24"/>
                <w:szCs w:val="24"/>
              </w:rPr>
            </w:pPr>
            <w:r>
              <w:rPr>
                <w:rFonts w:ascii="Arial" w:hAnsi="Arial" w:cs="Arial"/>
                <w:b/>
                <w:sz w:val="24"/>
                <w:szCs w:val="24"/>
              </w:rPr>
              <w:t>Razão Social:</w:t>
            </w:r>
          </w:p>
        </w:tc>
      </w:tr>
      <w:tr w14:paraId="0333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5000" w:type="pct"/>
            <w:gridSpan w:val="7"/>
            <w:tcBorders>
              <w:left w:val="single" w:color="auto" w:sz="4" w:space="0"/>
            </w:tcBorders>
            <w:vAlign w:val="bottom"/>
          </w:tcPr>
          <w:p w14:paraId="420CE17C">
            <w:pPr>
              <w:spacing w:line="240" w:lineRule="auto"/>
              <w:contextualSpacing/>
              <w:rPr>
                <w:rFonts w:ascii="Arial" w:hAnsi="Arial" w:cs="Arial"/>
                <w:b/>
                <w:sz w:val="24"/>
                <w:szCs w:val="24"/>
              </w:rPr>
            </w:pPr>
            <w:r>
              <w:rPr>
                <w:rFonts w:ascii="Arial" w:hAnsi="Arial" w:cs="Arial"/>
                <w:b/>
                <w:sz w:val="24"/>
                <w:szCs w:val="24"/>
              </w:rPr>
              <w:t>CNPJ:</w:t>
            </w:r>
          </w:p>
        </w:tc>
      </w:tr>
      <w:tr w14:paraId="247E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5000" w:type="pct"/>
            <w:gridSpan w:val="7"/>
            <w:tcBorders>
              <w:left w:val="single" w:color="auto" w:sz="4" w:space="0"/>
            </w:tcBorders>
            <w:vAlign w:val="bottom"/>
          </w:tcPr>
          <w:p w14:paraId="5CB19A70">
            <w:pPr>
              <w:spacing w:line="240" w:lineRule="auto"/>
              <w:contextualSpacing/>
              <w:rPr>
                <w:rFonts w:ascii="Arial" w:hAnsi="Arial" w:cs="Arial"/>
                <w:b/>
                <w:sz w:val="24"/>
                <w:szCs w:val="24"/>
              </w:rPr>
            </w:pPr>
            <w:r>
              <w:rPr>
                <w:rFonts w:ascii="Arial" w:hAnsi="Arial" w:cs="Arial"/>
                <w:b/>
                <w:sz w:val="24"/>
                <w:szCs w:val="24"/>
              </w:rPr>
              <w:t>Endereço completo:</w:t>
            </w:r>
          </w:p>
        </w:tc>
      </w:tr>
      <w:tr w14:paraId="7D537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5000" w:type="pct"/>
            <w:gridSpan w:val="7"/>
            <w:tcBorders>
              <w:left w:val="single" w:color="auto" w:sz="4" w:space="0"/>
            </w:tcBorders>
            <w:vAlign w:val="bottom"/>
          </w:tcPr>
          <w:p w14:paraId="2956ADBA">
            <w:pPr>
              <w:spacing w:line="240" w:lineRule="auto"/>
              <w:contextualSpacing/>
              <w:rPr>
                <w:rFonts w:ascii="Arial" w:hAnsi="Arial" w:cs="Arial"/>
                <w:b/>
                <w:sz w:val="24"/>
                <w:szCs w:val="24"/>
              </w:rPr>
            </w:pPr>
            <w:r>
              <w:rPr>
                <w:rFonts w:ascii="Arial" w:hAnsi="Arial" w:cs="Arial"/>
                <w:b/>
                <w:sz w:val="24"/>
                <w:szCs w:val="24"/>
              </w:rPr>
              <w:t>Telefone:</w:t>
            </w:r>
          </w:p>
        </w:tc>
      </w:tr>
      <w:tr w14:paraId="7E9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exact"/>
          <w:jc w:val="center"/>
        </w:trPr>
        <w:tc>
          <w:tcPr>
            <w:tcW w:w="5000" w:type="pct"/>
            <w:gridSpan w:val="7"/>
            <w:tcBorders>
              <w:left w:val="single" w:color="auto" w:sz="4" w:space="0"/>
            </w:tcBorders>
            <w:vAlign w:val="bottom"/>
          </w:tcPr>
          <w:p w14:paraId="05508F6E">
            <w:pPr>
              <w:spacing w:line="240" w:lineRule="auto"/>
              <w:contextualSpacing/>
              <w:rPr>
                <w:rFonts w:ascii="Arial" w:hAnsi="Arial" w:cs="Arial"/>
                <w:b/>
                <w:sz w:val="24"/>
                <w:szCs w:val="24"/>
              </w:rPr>
            </w:pPr>
            <w:r>
              <w:rPr>
                <w:rFonts w:ascii="Arial" w:hAnsi="Arial" w:cs="Arial"/>
                <w:b/>
                <w:sz w:val="24"/>
                <w:szCs w:val="24"/>
              </w:rPr>
              <w:t>E-mail:</w:t>
            </w:r>
          </w:p>
        </w:tc>
      </w:tr>
      <w:tr w14:paraId="33260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423" w:type="pct"/>
            <w:tcBorders>
              <w:left w:val="single" w:color="auto" w:sz="4" w:space="0"/>
            </w:tcBorders>
          </w:tcPr>
          <w:p w14:paraId="218D687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ITEM</w:t>
            </w:r>
          </w:p>
        </w:tc>
        <w:tc>
          <w:tcPr>
            <w:tcW w:w="604" w:type="pct"/>
          </w:tcPr>
          <w:p w14:paraId="48ED54E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QUANT.</w:t>
            </w:r>
          </w:p>
        </w:tc>
        <w:tc>
          <w:tcPr>
            <w:tcW w:w="464" w:type="pct"/>
          </w:tcPr>
          <w:p w14:paraId="53DEFA2F">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UNID.</w:t>
            </w:r>
          </w:p>
        </w:tc>
        <w:tc>
          <w:tcPr>
            <w:tcW w:w="1247" w:type="pct"/>
          </w:tcPr>
          <w:p w14:paraId="2C30B5DE">
            <w:pPr>
              <w:tabs>
                <w:tab w:val="center" w:pos="4252"/>
                <w:tab w:val="right" w:pos="8504"/>
              </w:tabs>
              <w:overflowPunct w:val="0"/>
              <w:autoSpaceDE w:val="0"/>
              <w:autoSpaceDN w:val="0"/>
              <w:adjustRightInd w:val="0"/>
              <w:spacing w:line="240" w:lineRule="auto"/>
              <w:ind w:left="97" w:right="79"/>
              <w:contextualSpacing/>
              <w:jc w:val="center"/>
              <w:textAlignment w:val="baseline"/>
              <w:rPr>
                <w:rFonts w:ascii="Arial" w:hAnsi="Arial" w:cs="Arial"/>
                <w:b/>
                <w:sz w:val="24"/>
                <w:szCs w:val="24"/>
              </w:rPr>
            </w:pPr>
            <w:r>
              <w:rPr>
                <w:rFonts w:ascii="Arial" w:hAnsi="Arial" w:cs="Arial"/>
                <w:b/>
                <w:sz w:val="24"/>
                <w:szCs w:val="24"/>
              </w:rPr>
              <w:t>ESPECIFICAÇÃO</w:t>
            </w:r>
          </w:p>
        </w:tc>
        <w:tc>
          <w:tcPr>
            <w:tcW w:w="973" w:type="pct"/>
          </w:tcPr>
          <w:p w14:paraId="2ED5216C">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MARCA/</w:t>
            </w:r>
          </w:p>
          <w:p w14:paraId="7BCB61F1">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FABRICANTE/</w:t>
            </w:r>
          </w:p>
          <w:p w14:paraId="63BDC27D">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Nº REGISTRO</w:t>
            </w:r>
          </w:p>
        </w:tc>
        <w:tc>
          <w:tcPr>
            <w:tcW w:w="562" w:type="pct"/>
          </w:tcPr>
          <w:p w14:paraId="01DB2223">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VALOR UNIT. (R$)</w:t>
            </w:r>
          </w:p>
        </w:tc>
        <w:tc>
          <w:tcPr>
            <w:tcW w:w="727" w:type="pct"/>
          </w:tcPr>
          <w:p w14:paraId="4EB93B55">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VALOR TOTAL (R$)</w:t>
            </w:r>
          </w:p>
        </w:tc>
      </w:tr>
      <w:tr w14:paraId="774E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423" w:type="pct"/>
            <w:tcBorders>
              <w:left w:val="single" w:color="auto" w:sz="4" w:space="0"/>
            </w:tcBorders>
          </w:tcPr>
          <w:p w14:paraId="543D91F3">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604" w:type="pct"/>
          </w:tcPr>
          <w:p w14:paraId="5914FB3B">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464" w:type="pct"/>
          </w:tcPr>
          <w:p w14:paraId="14F6EC1D">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1247" w:type="pct"/>
          </w:tcPr>
          <w:p w14:paraId="5FCCDAAB">
            <w:pPr>
              <w:tabs>
                <w:tab w:val="center" w:pos="4252"/>
                <w:tab w:val="right" w:pos="8504"/>
              </w:tabs>
              <w:overflowPunct w:val="0"/>
              <w:autoSpaceDE w:val="0"/>
              <w:autoSpaceDN w:val="0"/>
              <w:adjustRightInd w:val="0"/>
              <w:spacing w:line="240" w:lineRule="auto"/>
              <w:ind w:left="97" w:right="79"/>
              <w:contextualSpacing/>
              <w:jc w:val="both"/>
              <w:textAlignment w:val="baseline"/>
              <w:rPr>
                <w:rFonts w:ascii="Arial" w:hAnsi="Arial" w:cs="Arial"/>
                <w:sz w:val="24"/>
                <w:szCs w:val="24"/>
              </w:rPr>
            </w:pPr>
          </w:p>
        </w:tc>
        <w:tc>
          <w:tcPr>
            <w:tcW w:w="973" w:type="pct"/>
          </w:tcPr>
          <w:p w14:paraId="50EDAC8F">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562" w:type="pct"/>
          </w:tcPr>
          <w:p w14:paraId="4901CD01">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727" w:type="pct"/>
          </w:tcPr>
          <w:p w14:paraId="65227E25">
            <w:pPr>
              <w:tabs>
                <w:tab w:val="center" w:pos="4252"/>
                <w:tab w:val="right" w:pos="8504"/>
              </w:tabs>
              <w:overflowPunct w:val="0"/>
              <w:autoSpaceDE w:val="0"/>
              <w:autoSpaceDN w:val="0"/>
              <w:adjustRightInd w:val="0"/>
              <w:spacing w:line="240" w:lineRule="auto"/>
              <w:ind w:left="-308" w:firstLine="308"/>
              <w:contextualSpacing/>
              <w:jc w:val="center"/>
              <w:textAlignment w:val="baseline"/>
              <w:rPr>
                <w:rFonts w:ascii="Arial" w:hAnsi="Arial" w:cs="Arial"/>
                <w:sz w:val="24"/>
                <w:szCs w:val="24"/>
              </w:rPr>
            </w:pPr>
          </w:p>
        </w:tc>
      </w:tr>
    </w:tbl>
    <w:p w14:paraId="1154677D">
      <w:pPr>
        <w:autoSpaceDE w:val="0"/>
        <w:autoSpaceDN w:val="0"/>
        <w:adjustRightInd w:val="0"/>
        <w:spacing w:line="240" w:lineRule="auto"/>
        <w:jc w:val="both"/>
        <w:rPr>
          <w:rFonts w:ascii="Arial" w:hAnsi="Arial" w:cs="Arial"/>
          <w:sz w:val="24"/>
          <w:szCs w:val="24"/>
        </w:rPr>
      </w:pPr>
    </w:p>
    <w:p w14:paraId="6E12E712">
      <w:pPr>
        <w:autoSpaceDE w:val="0"/>
        <w:autoSpaceDN w:val="0"/>
        <w:adjustRightInd w:val="0"/>
        <w:spacing w:line="240" w:lineRule="auto"/>
        <w:jc w:val="both"/>
        <w:rPr>
          <w:rFonts w:ascii="Arial" w:hAnsi="Arial" w:cs="Arial"/>
          <w:sz w:val="24"/>
          <w:szCs w:val="24"/>
        </w:rPr>
      </w:pPr>
      <w:r>
        <w:rPr>
          <w:rFonts w:ascii="Arial" w:hAnsi="Arial" w:cs="Arial"/>
          <w:sz w:val="24"/>
          <w:szCs w:val="24"/>
        </w:rPr>
        <w:t>Prazo de validade da proposta</w:t>
      </w:r>
    </w:p>
    <w:p w14:paraId="66379460">
      <w:pPr>
        <w:autoSpaceDE w:val="0"/>
        <w:autoSpaceDN w:val="0"/>
        <w:adjustRightInd w:val="0"/>
        <w:spacing w:line="240" w:lineRule="auto"/>
        <w:jc w:val="both"/>
        <w:rPr>
          <w:rFonts w:ascii="Arial" w:hAnsi="Arial" w:cs="Arial"/>
          <w:sz w:val="24"/>
          <w:szCs w:val="24"/>
        </w:rPr>
      </w:pPr>
      <w:r>
        <w:rPr>
          <w:rFonts w:ascii="Arial" w:hAnsi="Arial" w:cs="Arial"/>
          <w:sz w:val="24"/>
          <w:szCs w:val="24"/>
        </w:rPr>
        <w:t>Prazo de entrega</w:t>
      </w:r>
    </w:p>
    <w:p w14:paraId="7D440402">
      <w:pPr>
        <w:autoSpaceDE w:val="0"/>
        <w:autoSpaceDN w:val="0"/>
        <w:adjustRightInd w:val="0"/>
        <w:spacing w:line="240" w:lineRule="auto"/>
        <w:jc w:val="both"/>
        <w:rPr>
          <w:rFonts w:ascii="Arial" w:hAnsi="Arial" w:cs="Arial"/>
          <w:sz w:val="24"/>
          <w:szCs w:val="24"/>
        </w:rPr>
      </w:pPr>
      <w:r>
        <w:rPr>
          <w:rFonts w:ascii="Arial" w:hAnsi="Arial" w:cs="Arial"/>
          <w:sz w:val="24"/>
          <w:szCs w:val="24"/>
        </w:rPr>
        <w:t>Local de entrega</w:t>
      </w:r>
    </w:p>
    <w:p w14:paraId="355AB877">
      <w:pPr>
        <w:autoSpaceDE w:val="0"/>
        <w:autoSpaceDN w:val="0"/>
        <w:adjustRightInd w:val="0"/>
        <w:spacing w:line="240" w:lineRule="auto"/>
        <w:jc w:val="both"/>
        <w:rPr>
          <w:rFonts w:ascii="Arial" w:hAnsi="Arial" w:cs="Arial"/>
          <w:sz w:val="24"/>
          <w:szCs w:val="24"/>
        </w:rPr>
      </w:pPr>
      <w:r>
        <w:rPr>
          <w:rFonts w:ascii="Arial" w:hAnsi="Arial" w:cs="Arial"/>
          <w:sz w:val="24"/>
          <w:szCs w:val="24"/>
        </w:rPr>
        <w:t>Forma de pagamento</w:t>
      </w:r>
    </w:p>
    <w:p w14:paraId="74636AE5">
      <w:pPr>
        <w:autoSpaceDE w:val="0"/>
        <w:autoSpaceDN w:val="0"/>
        <w:adjustRightInd w:val="0"/>
        <w:spacing w:line="240" w:lineRule="auto"/>
        <w:jc w:val="both"/>
        <w:rPr>
          <w:rFonts w:ascii="Arial" w:hAnsi="Arial" w:cs="Arial"/>
          <w:sz w:val="24"/>
          <w:szCs w:val="24"/>
        </w:rPr>
      </w:pPr>
      <w:r>
        <w:rPr>
          <w:rFonts w:ascii="Arial" w:hAnsi="Arial" w:cs="Arial"/>
          <w:sz w:val="24"/>
          <w:szCs w:val="24"/>
        </w:rPr>
        <w:t>Nome do representante legal/procurador da licitante:</w:t>
      </w:r>
    </w:p>
    <w:p w14:paraId="2508BFD7">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RG:                 </w:t>
      </w:r>
    </w:p>
    <w:p w14:paraId="5BB45D44">
      <w:pPr>
        <w:autoSpaceDE w:val="0"/>
        <w:autoSpaceDN w:val="0"/>
        <w:adjustRightInd w:val="0"/>
        <w:spacing w:line="240" w:lineRule="auto"/>
        <w:jc w:val="both"/>
        <w:rPr>
          <w:rFonts w:ascii="Arial" w:hAnsi="Arial" w:cs="Arial"/>
          <w:sz w:val="24"/>
          <w:szCs w:val="24"/>
        </w:rPr>
      </w:pPr>
      <w:r>
        <w:rPr>
          <w:rFonts w:ascii="Arial" w:hAnsi="Arial" w:cs="Arial"/>
          <w:sz w:val="24"/>
          <w:szCs w:val="24"/>
        </w:rPr>
        <w:t>CPF:</w:t>
      </w:r>
    </w:p>
    <w:p w14:paraId="316AE274">
      <w:pPr>
        <w:autoSpaceDE w:val="0"/>
        <w:autoSpaceDN w:val="0"/>
        <w:adjustRightInd w:val="0"/>
        <w:spacing w:line="240" w:lineRule="auto"/>
        <w:jc w:val="both"/>
        <w:rPr>
          <w:rFonts w:ascii="Arial" w:hAnsi="Arial" w:cs="Arial"/>
          <w:sz w:val="24"/>
          <w:szCs w:val="24"/>
        </w:rPr>
      </w:pPr>
      <w:r>
        <w:rPr>
          <w:rFonts w:ascii="Arial" w:hAnsi="Arial" w:cs="Arial"/>
          <w:sz w:val="24"/>
          <w:szCs w:val="24"/>
        </w:rPr>
        <w:t>Profissão:</w:t>
      </w:r>
    </w:p>
    <w:p w14:paraId="6C7E536E">
      <w:pPr>
        <w:autoSpaceDE w:val="0"/>
        <w:autoSpaceDN w:val="0"/>
        <w:adjustRightInd w:val="0"/>
        <w:spacing w:line="240" w:lineRule="auto"/>
        <w:jc w:val="both"/>
        <w:rPr>
          <w:rFonts w:ascii="Arial" w:hAnsi="Arial" w:cs="Arial"/>
          <w:sz w:val="24"/>
          <w:szCs w:val="24"/>
        </w:rPr>
      </w:pPr>
      <w:r>
        <w:rPr>
          <w:rFonts w:ascii="Arial" w:hAnsi="Arial" w:cs="Arial"/>
          <w:sz w:val="24"/>
          <w:szCs w:val="24"/>
        </w:rPr>
        <w:t>E-mail particular:</w:t>
      </w:r>
    </w:p>
    <w:p w14:paraId="45539441">
      <w:pPr>
        <w:autoSpaceDE w:val="0"/>
        <w:autoSpaceDN w:val="0"/>
        <w:adjustRightInd w:val="0"/>
        <w:spacing w:line="240" w:lineRule="auto"/>
        <w:jc w:val="both"/>
        <w:rPr>
          <w:rFonts w:ascii="Arial" w:hAnsi="Arial" w:cs="Arial"/>
          <w:sz w:val="24"/>
          <w:szCs w:val="24"/>
        </w:rPr>
      </w:pPr>
      <w:r>
        <w:rPr>
          <w:rFonts w:ascii="Arial" w:hAnsi="Arial" w:cs="Arial"/>
          <w:sz w:val="24"/>
          <w:szCs w:val="24"/>
        </w:rPr>
        <w:t>Dados bancários para pagamento:</w:t>
      </w:r>
    </w:p>
    <w:p w14:paraId="326B4DAB">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Nome do banco:                        </w:t>
      </w:r>
    </w:p>
    <w:p w14:paraId="598F5A9B">
      <w:pPr>
        <w:autoSpaceDE w:val="0"/>
        <w:autoSpaceDN w:val="0"/>
        <w:adjustRightInd w:val="0"/>
        <w:spacing w:line="240" w:lineRule="auto"/>
        <w:jc w:val="both"/>
        <w:rPr>
          <w:rFonts w:ascii="Arial" w:hAnsi="Arial" w:cs="Arial"/>
          <w:sz w:val="24"/>
          <w:szCs w:val="24"/>
        </w:rPr>
      </w:pPr>
      <w:r>
        <w:rPr>
          <w:rFonts w:ascii="Arial" w:hAnsi="Arial" w:cs="Arial"/>
          <w:sz w:val="24"/>
          <w:szCs w:val="24"/>
        </w:rPr>
        <w:t>Nº banco:</w:t>
      </w:r>
    </w:p>
    <w:p w14:paraId="6B93E311">
      <w:pPr>
        <w:autoSpaceDE w:val="0"/>
        <w:autoSpaceDN w:val="0"/>
        <w:adjustRightInd w:val="0"/>
        <w:spacing w:line="240" w:lineRule="auto"/>
        <w:jc w:val="both"/>
        <w:rPr>
          <w:rFonts w:ascii="Arial" w:hAnsi="Arial" w:cs="Arial"/>
          <w:sz w:val="24"/>
          <w:szCs w:val="24"/>
        </w:rPr>
      </w:pPr>
      <w:r>
        <w:rPr>
          <w:rFonts w:ascii="Arial" w:hAnsi="Arial" w:cs="Arial"/>
          <w:sz w:val="24"/>
          <w:szCs w:val="24"/>
        </w:rPr>
        <w:t>Nº agência:</w:t>
      </w:r>
    </w:p>
    <w:p w14:paraId="237AFF8F">
      <w:pPr>
        <w:autoSpaceDE w:val="0"/>
        <w:autoSpaceDN w:val="0"/>
        <w:adjustRightInd w:val="0"/>
        <w:spacing w:line="240" w:lineRule="auto"/>
        <w:jc w:val="both"/>
        <w:rPr>
          <w:rFonts w:ascii="Arial" w:hAnsi="Arial" w:cs="Arial"/>
          <w:sz w:val="24"/>
          <w:szCs w:val="24"/>
        </w:rPr>
      </w:pPr>
      <w:r>
        <w:rPr>
          <w:rFonts w:ascii="Arial" w:hAnsi="Arial" w:cs="Arial"/>
          <w:sz w:val="24"/>
          <w:szCs w:val="24"/>
        </w:rPr>
        <w:t>Nº conta bancária:</w:t>
      </w:r>
    </w:p>
    <w:p w14:paraId="40AAD882">
      <w:pPr>
        <w:autoSpaceDE w:val="0"/>
        <w:autoSpaceDN w:val="0"/>
        <w:adjustRightInd w:val="0"/>
        <w:spacing w:line="240" w:lineRule="auto"/>
        <w:jc w:val="both"/>
        <w:rPr>
          <w:rFonts w:ascii="Arial" w:hAnsi="Arial" w:cs="Arial"/>
          <w:sz w:val="24"/>
          <w:szCs w:val="24"/>
        </w:rPr>
      </w:pPr>
    </w:p>
    <w:p w14:paraId="7540B89B">
      <w:pPr>
        <w:autoSpaceDE w:val="0"/>
        <w:autoSpaceDN w:val="0"/>
        <w:adjustRightInd w:val="0"/>
        <w:spacing w:line="240" w:lineRule="auto"/>
        <w:jc w:val="center"/>
        <w:rPr>
          <w:rFonts w:ascii="Arial" w:hAnsi="Arial" w:cs="Arial"/>
          <w:sz w:val="24"/>
          <w:szCs w:val="24"/>
        </w:rPr>
      </w:pPr>
      <w:r>
        <w:rPr>
          <w:rFonts w:ascii="Arial" w:hAnsi="Arial" w:cs="Arial"/>
          <w:sz w:val="24"/>
          <w:szCs w:val="24"/>
        </w:rPr>
        <w:t>Local e Data</w:t>
      </w:r>
    </w:p>
    <w:p w14:paraId="4EF71A27">
      <w:pPr>
        <w:autoSpaceDE w:val="0"/>
        <w:autoSpaceDN w:val="0"/>
        <w:adjustRightInd w:val="0"/>
        <w:spacing w:line="240" w:lineRule="auto"/>
        <w:jc w:val="center"/>
        <w:rPr>
          <w:rFonts w:ascii="Arial" w:hAnsi="Arial" w:cs="Arial"/>
          <w:b/>
          <w:sz w:val="24"/>
          <w:szCs w:val="24"/>
        </w:rPr>
      </w:pPr>
      <w:r>
        <w:rPr>
          <w:rFonts w:ascii="Arial" w:hAnsi="Arial" w:cs="Arial"/>
          <w:sz w:val="24"/>
          <w:szCs w:val="24"/>
        </w:rPr>
        <w:t>Assinatura do Representante Legal</w:t>
      </w:r>
    </w:p>
    <w:p w14:paraId="78B33024">
      <w:pPr>
        <w:spacing w:line="240" w:lineRule="auto"/>
        <w:jc w:val="center"/>
        <w:rPr>
          <w:rFonts w:ascii="Arial" w:hAnsi="Arial" w:cs="Arial"/>
          <w:b/>
          <w:sz w:val="24"/>
          <w:szCs w:val="24"/>
        </w:rPr>
      </w:pPr>
    </w:p>
    <w:p w14:paraId="01BF407E">
      <w:pPr>
        <w:spacing w:line="240" w:lineRule="auto"/>
        <w:jc w:val="center"/>
        <w:rPr>
          <w:rFonts w:ascii="Arial" w:hAnsi="Arial" w:cs="Arial"/>
          <w:b/>
          <w:sz w:val="24"/>
          <w:szCs w:val="24"/>
        </w:rPr>
      </w:pPr>
      <w:r>
        <w:rPr>
          <w:rFonts w:ascii="Arial" w:hAnsi="Arial" w:cs="Arial"/>
          <w:b/>
          <w:sz w:val="24"/>
          <w:szCs w:val="24"/>
        </w:rPr>
        <w:t>ANEXO IX – DECLARAÇÕES PARA A FASE DE HABILITAÇÃO</w:t>
      </w:r>
    </w:p>
    <w:p w14:paraId="2119CC1C">
      <w:pPr>
        <w:autoSpaceDE w:val="0"/>
        <w:autoSpaceDN w:val="0"/>
        <w:adjustRightInd w:val="0"/>
        <w:spacing w:line="240" w:lineRule="auto"/>
        <w:jc w:val="both"/>
        <w:rPr>
          <w:rFonts w:ascii="Arial" w:hAnsi="Arial" w:cs="Arial"/>
          <w:sz w:val="24"/>
          <w:szCs w:val="24"/>
        </w:rPr>
      </w:pPr>
    </w:p>
    <w:p w14:paraId="75B819B3">
      <w:pPr>
        <w:spacing w:line="240" w:lineRule="auto"/>
        <w:jc w:val="both"/>
        <w:rPr>
          <w:rFonts w:ascii="Arial" w:hAnsi="Arial" w:cs="Arial"/>
          <w:sz w:val="24"/>
          <w:szCs w:val="24"/>
        </w:rPr>
      </w:pPr>
      <w:r>
        <w:rPr>
          <w:rFonts w:ascii="Arial" w:hAnsi="Arial" w:cs="Arial"/>
          <w:sz w:val="24"/>
          <w:szCs w:val="24"/>
        </w:rPr>
        <w:t>___________________________________________(nome da empresa), inscrita no CNPJ sob nº _______________, por intermédio de seu representante legal, Sr.(a)______________________________, portador(a) da Carteira de Identidade nº _________________  Órgão expedidor _______  e do C.P.F nº ________________,</w:t>
      </w:r>
    </w:p>
    <w:p w14:paraId="32BEDC78">
      <w:pPr>
        <w:spacing w:line="240" w:lineRule="auto"/>
        <w:jc w:val="both"/>
        <w:rPr>
          <w:rFonts w:ascii="Arial" w:hAnsi="Arial" w:cs="Arial"/>
          <w:b/>
          <w:sz w:val="24"/>
          <w:szCs w:val="24"/>
        </w:rPr>
      </w:pPr>
    </w:p>
    <w:p w14:paraId="5F1CA58F">
      <w:pPr>
        <w:spacing w:line="240" w:lineRule="auto"/>
        <w:jc w:val="both"/>
        <w:rPr>
          <w:rFonts w:ascii="Arial" w:hAnsi="Arial" w:cs="Arial"/>
          <w:b/>
          <w:sz w:val="24"/>
          <w:szCs w:val="24"/>
        </w:rPr>
      </w:pPr>
      <w:r>
        <w:rPr>
          <w:rFonts w:ascii="Arial" w:hAnsi="Arial" w:cs="Arial"/>
          <w:b/>
          <w:sz w:val="24"/>
          <w:szCs w:val="24"/>
        </w:rPr>
        <w:t>DECLARA QUE:</w:t>
      </w:r>
    </w:p>
    <w:p w14:paraId="6908411A">
      <w:pPr>
        <w:spacing w:line="240" w:lineRule="auto"/>
        <w:jc w:val="both"/>
        <w:rPr>
          <w:rFonts w:ascii="Arial" w:hAnsi="Arial" w:cs="Arial"/>
          <w:sz w:val="24"/>
          <w:szCs w:val="24"/>
        </w:rPr>
      </w:pPr>
    </w:p>
    <w:p w14:paraId="7CB680B2">
      <w:pPr>
        <w:spacing w:line="240" w:lineRule="auto"/>
        <w:jc w:val="both"/>
        <w:rPr>
          <w:rFonts w:ascii="Arial" w:hAnsi="Arial" w:cs="Arial"/>
          <w:sz w:val="24"/>
          <w:szCs w:val="24"/>
        </w:rPr>
      </w:pPr>
      <w:r>
        <w:rPr>
          <w:rFonts w:ascii="Arial" w:hAnsi="Arial" w:cs="Arial"/>
          <w:sz w:val="24"/>
          <w:szCs w:val="24"/>
        </w:rPr>
        <w:t>A.1) Para fins de cumprimento do disposto no inciso XXXIII do Art. 7º da Constituição Federal, que não emprega menor de dezoito anos em trabalho noturno, perigoso ou insalubre e que não emprega menor de dezesseis anos.</w:t>
      </w:r>
    </w:p>
    <w:p w14:paraId="00742F58">
      <w:pPr>
        <w:spacing w:line="240" w:lineRule="auto"/>
        <w:jc w:val="both"/>
        <w:rPr>
          <w:rFonts w:ascii="Arial" w:hAnsi="Arial" w:cs="Arial"/>
          <w:sz w:val="24"/>
          <w:szCs w:val="24"/>
        </w:rPr>
      </w:pPr>
      <w:r>
        <w:rPr>
          <w:rFonts w:ascii="Arial" w:hAnsi="Arial" w:cs="Arial"/>
          <w:b/>
          <w:sz w:val="24"/>
          <w:szCs w:val="24"/>
        </w:rPr>
        <w:t>Ressalva</w:t>
      </w:r>
      <w:r>
        <w:rPr>
          <w:rFonts w:ascii="Arial" w:hAnsi="Arial" w:cs="Arial"/>
          <w:sz w:val="24"/>
          <w:szCs w:val="24"/>
        </w:rPr>
        <w:t>: emprega menor, a partir de quatorze anos, na condição de aprendiz ( )</w:t>
      </w:r>
    </w:p>
    <w:p w14:paraId="0448EE0E">
      <w:pPr>
        <w:spacing w:line="240" w:lineRule="auto"/>
        <w:jc w:val="both"/>
        <w:rPr>
          <w:rFonts w:ascii="Arial" w:hAnsi="Arial" w:cs="Arial"/>
          <w:sz w:val="24"/>
          <w:szCs w:val="24"/>
        </w:rPr>
      </w:pPr>
      <w:r>
        <w:rPr>
          <w:rFonts w:ascii="Arial" w:hAnsi="Arial" w:cs="Arial"/>
          <w:sz w:val="24"/>
          <w:szCs w:val="24"/>
        </w:rPr>
        <w:t>(assinalar com “x” a ressalva acima, caso verdadeira)</w:t>
      </w:r>
    </w:p>
    <w:p w14:paraId="7CE15391">
      <w:pPr>
        <w:spacing w:line="240" w:lineRule="auto"/>
        <w:jc w:val="both"/>
        <w:rPr>
          <w:rFonts w:ascii="Arial" w:hAnsi="Arial" w:cs="Arial"/>
          <w:sz w:val="24"/>
          <w:szCs w:val="24"/>
        </w:rPr>
      </w:pPr>
    </w:p>
    <w:p w14:paraId="6B4FEE1F">
      <w:pPr>
        <w:spacing w:line="240" w:lineRule="auto"/>
        <w:jc w:val="both"/>
        <w:rPr>
          <w:rFonts w:ascii="Arial" w:hAnsi="Arial" w:cs="Arial"/>
          <w:sz w:val="24"/>
          <w:szCs w:val="24"/>
        </w:rPr>
      </w:pPr>
      <w:r>
        <w:rPr>
          <w:rFonts w:ascii="Arial" w:hAnsi="Arial" w:cs="Arial"/>
          <w:sz w:val="24"/>
          <w:szCs w:val="24"/>
        </w:rPr>
        <w:t>A.2) De que cumpre as exigências de reserva de cargos para pessoa com deficiência e para reabilitado da Previdência Social, previstas em lei e em outras normas especificas, conforme inciso IV do artigo 63 da Lei 14.133/2021.</w:t>
      </w:r>
    </w:p>
    <w:p w14:paraId="746F135E">
      <w:pPr>
        <w:spacing w:line="240" w:lineRule="auto"/>
        <w:jc w:val="both"/>
        <w:rPr>
          <w:rFonts w:ascii="Arial" w:hAnsi="Arial" w:cs="Arial"/>
          <w:sz w:val="24"/>
          <w:szCs w:val="24"/>
        </w:rPr>
      </w:pPr>
      <w:r>
        <w:rPr>
          <w:rFonts w:ascii="Arial" w:hAnsi="Arial" w:cs="Arial"/>
          <w:sz w:val="24"/>
          <w:szCs w:val="24"/>
        </w:rPr>
        <w:t>A.3)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em atendimento ao disposto no artigo 63, § 1º da Lei 14.133/2021, sob pena de desclassificação da minha proposta do certame.</w:t>
      </w:r>
    </w:p>
    <w:p w14:paraId="644703F1">
      <w:pPr>
        <w:spacing w:line="240" w:lineRule="auto"/>
        <w:jc w:val="both"/>
        <w:rPr>
          <w:rFonts w:ascii="Arial" w:hAnsi="Arial" w:cs="Arial"/>
          <w:sz w:val="24"/>
          <w:szCs w:val="24"/>
        </w:rPr>
      </w:pPr>
    </w:p>
    <w:p w14:paraId="136F2C10">
      <w:pPr>
        <w:spacing w:line="240" w:lineRule="auto"/>
        <w:jc w:val="both"/>
        <w:rPr>
          <w:rFonts w:ascii="Arial" w:hAnsi="Arial"/>
          <w:snapToGrid w:val="0"/>
          <w:sz w:val="24"/>
        </w:rPr>
      </w:pPr>
    </w:p>
    <w:p w14:paraId="2AFA30CA">
      <w:pPr>
        <w:spacing w:line="240" w:lineRule="auto"/>
        <w:jc w:val="both"/>
        <w:rPr>
          <w:rFonts w:ascii="Arial" w:hAnsi="Arial"/>
          <w:snapToGrid w:val="0"/>
          <w:sz w:val="24"/>
        </w:rPr>
      </w:pPr>
    </w:p>
    <w:p w14:paraId="5B2E7A17">
      <w:pPr>
        <w:spacing w:line="240" w:lineRule="auto"/>
        <w:jc w:val="both"/>
        <w:rPr>
          <w:rFonts w:ascii="Arial" w:hAnsi="Arial"/>
          <w:snapToGrid w:val="0"/>
          <w:sz w:val="24"/>
        </w:rPr>
      </w:pPr>
      <w:r>
        <w:rPr>
          <w:rFonts w:ascii="Arial" w:hAnsi="Arial"/>
          <w:snapToGrid w:val="0"/>
          <w:sz w:val="24"/>
        </w:rPr>
        <w:t>(Local e data) __________________, ____ de _____________ de 20___.</w:t>
      </w:r>
    </w:p>
    <w:p w14:paraId="210EB3DA">
      <w:pPr>
        <w:spacing w:line="240" w:lineRule="auto"/>
        <w:jc w:val="both"/>
        <w:rPr>
          <w:rFonts w:ascii="Arial" w:hAnsi="Arial"/>
          <w:snapToGrid w:val="0"/>
          <w:sz w:val="24"/>
        </w:rPr>
      </w:pPr>
    </w:p>
    <w:p w14:paraId="4C167076">
      <w:pPr>
        <w:spacing w:line="240" w:lineRule="auto"/>
        <w:jc w:val="center"/>
        <w:rPr>
          <w:rFonts w:ascii="Arial" w:hAnsi="Arial"/>
          <w:snapToGrid w:val="0"/>
          <w:sz w:val="24"/>
        </w:rPr>
      </w:pPr>
      <w:r>
        <w:rPr>
          <w:rFonts w:ascii="Arial" w:hAnsi="Arial"/>
          <w:snapToGrid w:val="0"/>
          <w:sz w:val="24"/>
        </w:rPr>
        <w:t>__________________________________________</w:t>
      </w:r>
    </w:p>
    <w:p w14:paraId="13E53689">
      <w:pPr>
        <w:spacing w:line="240" w:lineRule="auto"/>
        <w:jc w:val="center"/>
        <w:rPr>
          <w:rFonts w:ascii="Arial" w:hAnsi="Arial"/>
          <w:snapToGrid w:val="0"/>
          <w:sz w:val="24"/>
        </w:rPr>
      </w:pPr>
      <w:r>
        <w:rPr>
          <w:rFonts w:ascii="Arial" w:hAnsi="Arial"/>
          <w:snapToGrid w:val="0"/>
          <w:sz w:val="24"/>
        </w:rPr>
        <w:t>(representante legal – nome e cargo)</w:t>
      </w:r>
    </w:p>
    <w:p w14:paraId="5B69ED2D">
      <w:pPr>
        <w:spacing w:line="240" w:lineRule="auto"/>
        <w:jc w:val="center"/>
        <w:rPr>
          <w:rFonts w:ascii="Arial" w:hAnsi="Arial"/>
          <w:snapToGrid w:val="0"/>
          <w:sz w:val="24"/>
        </w:rPr>
      </w:pPr>
    </w:p>
    <w:p w14:paraId="277EA942">
      <w:pPr>
        <w:spacing w:line="240" w:lineRule="auto"/>
        <w:jc w:val="center"/>
        <w:rPr>
          <w:rFonts w:ascii="Arial" w:hAnsi="Arial" w:cs="Arial"/>
          <w:b/>
          <w:sz w:val="24"/>
          <w:szCs w:val="24"/>
        </w:rPr>
      </w:pPr>
      <w:r>
        <w:rPr>
          <w:rFonts w:ascii="Arial" w:hAnsi="Arial" w:cs="Arial"/>
          <w:b/>
          <w:sz w:val="24"/>
          <w:szCs w:val="24"/>
        </w:rPr>
        <w:t>ANEXO X – DECLARAÇÃO DE PLENO CONHECIMENTO DAS CONDIÇÕES.</w:t>
      </w:r>
    </w:p>
    <w:p w14:paraId="413007C4">
      <w:pPr>
        <w:spacing w:line="240" w:lineRule="auto"/>
        <w:jc w:val="center"/>
        <w:rPr>
          <w:rFonts w:ascii="Arial" w:hAnsi="Arial" w:cs="Arial"/>
          <w:b/>
          <w:sz w:val="24"/>
          <w:szCs w:val="24"/>
        </w:rPr>
      </w:pPr>
    </w:p>
    <w:p w14:paraId="6AA6CC48">
      <w:pPr>
        <w:spacing w:line="240" w:lineRule="auto"/>
        <w:jc w:val="both"/>
        <w:rPr>
          <w:rFonts w:ascii="Arial" w:hAnsi="Arial" w:cs="Arial"/>
          <w:sz w:val="24"/>
          <w:szCs w:val="24"/>
        </w:rPr>
      </w:pPr>
      <w:r>
        <w:rPr>
          <w:rFonts w:ascii="Arial" w:hAnsi="Arial" w:cs="Arial"/>
          <w:sz w:val="24"/>
          <w:szCs w:val="24"/>
        </w:rPr>
        <w:t>___________________________________________(nome da empresa), inscrita no CNPJ sob nº _______________, por intermédio de seu representante legal, Sr.(a)______________________________, portador(a) da Carteira de Identidade nº _________________  Órgão expedidor _______  e do C.P.F nº ________________,</w:t>
      </w:r>
    </w:p>
    <w:p w14:paraId="1BF7DD72">
      <w:pPr>
        <w:spacing w:line="240" w:lineRule="auto"/>
        <w:jc w:val="both"/>
        <w:rPr>
          <w:rFonts w:ascii="Arial" w:hAnsi="Arial" w:cs="Arial"/>
          <w:b/>
          <w:sz w:val="24"/>
          <w:szCs w:val="24"/>
        </w:rPr>
      </w:pPr>
    </w:p>
    <w:p w14:paraId="0EF7187D">
      <w:pPr>
        <w:spacing w:line="240" w:lineRule="auto"/>
        <w:jc w:val="both"/>
        <w:rPr>
          <w:rFonts w:ascii="Arial" w:hAnsi="Arial" w:cs="Arial"/>
          <w:b/>
          <w:sz w:val="24"/>
          <w:szCs w:val="24"/>
        </w:rPr>
      </w:pPr>
      <w:r>
        <w:rPr>
          <w:rFonts w:ascii="Arial" w:hAnsi="Arial" w:cs="Arial"/>
          <w:b/>
          <w:sz w:val="24"/>
          <w:szCs w:val="24"/>
        </w:rPr>
        <w:t>DECLARA QUE:</w:t>
      </w:r>
    </w:p>
    <w:p w14:paraId="38731E1F">
      <w:pPr>
        <w:spacing w:line="240" w:lineRule="auto"/>
        <w:jc w:val="center"/>
        <w:rPr>
          <w:rFonts w:ascii="Arial" w:hAnsi="Arial"/>
          <w:b/>
          <w:snapToGrid w:val="0"/>
          <w:sz w:val="24"/>
          <w:u w:val="single"/>
        </w:rPr>
      </w:pPr>
    </w:p>
    <w:p w14:paraId="33575345">
      <w:pPr>
        <w:spacing w:line="240" w:lineRule="auto"/>
        <w:jc w:val="center"/>
        <w:rPr>
          <w:rFonts w:ascii="Arial" w:hAnsi="Arial"/>
          <w:b/>
          <w:snapToGrid w:val="0"/>
          <w:sz w:val="24"/>
          <w:u w:val="single"/>
        </w:rPr>
      </w:pPr>
    </w:p>
    <w:p w14:paraId="382246E6">
      <w:pPr>
        <w:spacing w:line="240" w:lineRule="auto"/>
        <w:jc w:val="both"/>
        <w:rPr>
          <w:rFonts w:ascii="Arial" w:hAnsi="Arial"/>
          <w:snapToGrid w:val="0"/>
          <w:sz w:val="24"/>
        </w:rPr>
      </w:pPr>
      <w:r>
        <w:rPr>
          <w:rFonts w:ascii="Arial" w:hAnsi="Arial"/>
          <w:snapToGrid w:val="0"/>
          <w:sz w:val="24"/>
        </w:rPr>
        <w:t>- Caso opte por não realizar a visita técnica declara que tem pleno conhecimento das condições e peculiaridades da presente contratação e não poderá alegar desconhecimento durante a fase de execução contratual, caso seja o vencedor, conforme determina o art. 63, § 3º da Lei 14.133/2021.</w:t>
      </w:r>
    </w:p>
    <w:p w14:paraId="1606AE50">
      <w:pPr>
        <w:spacing w:line="240" w:lineRule="auto"/>
        <w:jc w:val="both"/>
        <w:rPr>
          <w:rFonts w:ascii="Arial" w:hAnsi="Arial"/>
          <w:snapToGrid w:val="0"/>
          <w:sz w:val="24"/>
        </w:rPr>
      </w:pPr>
    </w:p>
    <w:p w14:paraId="1959F4DA">
      <w:pPr>
        <w:spacing w:line="240" w:lineRule="auto"/>
        <w:jc w:val="center"/>
        <w:rPr>
          <w:rFonts w:ascii="Arial" w:hAnsi="Arial"/>
          <w:b/>
          <w:snapToGrid w:val="0"/>
          <w:sz w:val="24"/>
          <w:u w:val="single"/>
        </w:rPr>
      </w:pPr>
    </w:p>
    <w:p w14:paraId="2B13151B">
      <w:pPr>
        <w:spacing w:line="240" w:lineRule="auto"/>
        <w:jc w:val="both"/>
        <w:rPr>
          <w:rFonts w:ascii="Arial" w:hAnsi="Arial"/>
          <w:snapToGrid w:val="0"/>
          <w:sz w:val="24"/>
        </w:rPr>
      </w:pPr>
      <w:r>
        <w:rPr>
          <w:rFonts w:ascii="Arial" w:hAnsi="Arial"/>
          <w:snapToGrid w:val="0"/>
          <w:sz w:val="24"/>
        </w:rPr>
        <w:t>(Local e data) __________________, ____ de _____________ de 20___.</w:t>
      </w:r>
    </w:p>
    <w:p w14:paraId="161D7258">
      <w:pPr>
        <w:spacing w:line="240" w:lineRule="auto"/>
        <w:jc w:val="both"/>
        <w:rPr>
          <w:rFonts w:ascii="Arial" w:hAnsi="Arial"/>
          <w:snapToGrid w:val="0"/>
          <w:sz w:val="24"/>
        </w:rPr>
      </w:pPr>
    </w:p>
    <w:p w14:paraId="02B86307">
      <w:pPr>
        <w:spacing w:line="240" w:lineRule="auto"/>
        <w:jc w:val="both"/>
        <w:rPr>
          <w:rFonts w:ascii="Arial" w:hAnsi="Arial"/>
          <w:snapToGrid w:val="0"/>
          <w:sz w:val="24"/>
        </w:rPr>
      </w:pPr>
    </w:p>
    <w:p w14:paraId="76BBBAD6">
      <w:pPr>
        <w:spacing w:line="240" w:lineRule="auto"/>
        <w:jc w:val="both"/>
        <w:rPr>
          <w:rFonts w:ascii="Arial" w:hAnsi="Arial"/>
          <w:snapToGrid w:val="0"/>
          <w:sz w:val="24"/>
        </w:rPr>
      </w:pPr>
    </w:p>
    <w:p w14:paraId="1AFBA5E6">
      <w:pPr>
        <w:spacing w:line="240" w:lineRule="auto"/>
        <w:jc w:val="center"/>
        <w:rPr>
          <w:rFonts w:ascii="Arial" w:hAnsi="Arial"/>
          <w:snapToGrid w:val="0"/>
          <w:sz w:val="24"/>
        </w:rPr>
      </w:pPr>
      <w:r>
        <w:rPr>
          <w:rFonts w:ascii="Arial" w:hAnsi="Arial"/>
          <w:snapToGrid w:val="0"/>
          <w:sz w:val="24"/>
        </w:rPr>
        <w:t>__________________________________________</w:t>
      </w:r>
    </w:p>
    <w:p w14:paraId="4318203A">
      <w:pPr>
        <w:spacing w:line="240" w:lineRule="auto"/>
        <w:jc w:val="center"/>
        <w:rPr>
          <w:rFonts w:ascii="Arial" w:hAnsi="Arial"/>
          <w:snapToGrid w:val="0"/>
          <w:sz w:val="24"/>
        </w:rPr>
      </w:pPr>
      <w:r>
        <w:rPr>
          <w:rFonts w:ascii="Arial" w:hAnsi="Arial"/>
          <w:snapToGrid w:val="0"/>
          <w:sz w:val="24"/>
        </w:rPr>
        <w:t>(representante legal – nome e cargo)</w:t>
      </w:r>
    </w:p>
    <w:p w14:paraId="0F992957">
      <w:pPr>
        <w:spacing w:line="240" w:lineRule="auto"/>
        <w:jc w:val="center"/>
        <w:rPr>
          <w:rFonts w:ascii="Arial" w:hAnsi="Arial"/>
          <w:snapToGrid w:val="0"/>
          <w:sz w:val="24"/>
        </w:rPr>
      </w:pPr>
    </w:p>
    <w:p w14:paraId="01D3A109">
      <w:pPr>
        <w:spacing w:line="240" w:lineRule="auto"/>
        <w:jc w:val="center"/>
        <w:rPr>
          <w:rFonts w:ascii="Arial" w:hAnsi="Arial"/>
          <w:snapToGrid w:val="0"/>
          <w:sz w:val="24"/>
        </w:rPr>
      </w:pPr>
    </w:p>
    <w:p w14:paraId="2ED5931D">
      <w:pPr>
        <w:spacing w:line="240" w:lineRule="auto"/>
        <w:jc w:val="center"/>
        <w:rPr>
          <w:rFonts w:ascii="Arial" w:hAnsi="Arial"/>
          <w:b/>
          <w:snapToGrid w:val="0"/>
          <w:sz w:val="24"/>
          <w:u w:val="single"/>
        </w:rPr>
      </w:pPr>
    </w:p>
    <w:p w14:paraId="527985E5">
      <w:pPr>
        <w:spacing w:line="240" w:lineRule="auto"/>
        <w:jc w:val="center"/>
        <w:rPr>
          <w:rFonts w:ascii="Arial" w:hAnsi="Arial"/>
          <w:b/>
          <w:snapToGrid w:val="0"/>
          <w:sz w:val="24"/>
          <w:u w:val="single"/>
        </w:rPr>
      </w:pPr>
    </w:p>
    <w:p w14:paraId="1B12822D">
      <w:pPr>
        <w:spacing w:line="240" w:lineRule="auto"/>
        <w:jc w:val="center"/>
        <w:rPr>
          <w:rFonts w:ascii="Arial" w:hAnsi="Arial"/>
          <w:b/>
          <w:snapToGrid w:val="0"/>
          <w:sz w:val="24"/>
          <w:u w:val="single"/>
        </w:rPr>
      </w:pPr>
    </w:p>
    <w:p w14:paraId="3018C5FA">
      <w:pPr>
        <w:spacing w:line="240" w:lineRule="auto"/>
        <w:jc w:val="center"/>
        <w:rPr>
          <w:rFonts w:ascii="Arial" w:hAnsi="Arial"/>
          <w:b/>
          <w:snapToGrid w:val="0"/>
          <w:sz w:val="24"/>
          <w:u w:val="single"/>
        </w:rPr>
      </w:pPr>
    </w:p>
    <w:p w14:paraId="416FC231">
      <w:pPr>
        <w:spacing w:line="240" w:lineRule="auto"/>
        <w:jc w:val="center"/>
        <w:rPr>
          <w:rFonts w:ascii="Arial" w:hAnsi="Arial"/>
          <w:snapToGrid w:val="0"/>
          <w:sz w:val="24"/>
        </w:rPr>
      </w:pPr>
    </w:p>
    <w:p w14:paraId="77799861">
      <w:pPr>
        <w:spacing w:line="240" w:lineRule="auto"/>
        <w:jc w:val="center"/>
        <w:rPr>
          <w:rFonts w:ascii="Arial" w:hAnsi="Arial"/>
          <w:b/>
          <w:snapToGrid w:val="0"/>
          <w:sz w:val="24"/>
        </w:rPr>
      </w:pPr>
    </w:p>
    <w:p w14:paraId="06C016D1">
      <w:pPr>
        <w:spacing w:after="0" w:line="240" w:lineRule="auto"/>
        <w:jc w:val="center"/>
        <w:rPr>
          <w:rFonts w:ascii="Arial" w:hAnsi="Arial"/>
          <w:b/>
          <w:snapToGrid w:val="0"/>
          <w:sz w:val="24"/>
        </w:rPr>
      </w:pPr>
      <w:r>
        <w:rPr>
          <w:rFonts w:ascii="Arial" w:hAnsi="Arial"/>
          <w:b/>
          <w:snapToGrid w:val="0"/>
          <w:sz w:val="24"/>
        </w:rPr>
        <w:t>ANEXO XI – MINUTA DA ATA DE REGISTRO DE PREÇOS</w:t>
      </w:r>
    </w:p>
    <w:p w14:paraId="12381191">
      <w:pPr>
        <w:spacing w:after="0" w:line="240" w:lineRule="auto"/>
        <w:jc w:val="center"/>
        <w:rPr>
          <w:rFonts w:ascii="Arial" w:hAnsi="Arial"/>
          <w:b/>
          <w:snapToGrid w:val="0"/>
          <w:sz w:val="24"/>
          <w:u w:val="single"/>
        </w:rPr>
      </w:pPr>
    </w:p>
    <w:p w14:paraId="0C069FA7">
      <w:pPr>
        <w:widowControl w:val="0"/>
        <w:adjustRightInd w:val="0"/>
        <w:spacing w:line="240" w:lineRule="auto"/>
        <w:jc w:val="both"/>
        <w:textAlignment w:val="baseline"/>
        <w:rPr>
          <w:rFonts w:ascii="Arial" w:hAnsi="Arial" w:cs="Arial"/>
          <w:sz w:val="24"/>
          <w:szCs w:val="24"/>
        </w:rPr>
      </w:pPr>
      <w:r>
        <w:rPr>
          <w:rFonts w:ascii="Arial" w:hAnsi="Arial" w:cs="Arial"/>
          <w:sz w:val="24"/>
          <w:szCs w:val="24"/>
        </w:rPr>
        <w:t>O MUNICÍPIO DE PAULÍNIA, pessoa jurídica de direito público interno, com sede na Prefeitura Municipal, situada na Avenida Prefeito José Lozano Araújo, nº 1551, Bairro Parque Brasil 500, Paulínia/SP, inscrita no CNPJ/MF sob nº 45.751.435/0001-06, representada pelo Exmo. Prefeito Municipal, (qualificação),</w:t>
      </w:r>
      <w:r>
        <w:rPr>
          <w:rFonts w:ascii="Arial" w:hAnsi="Arial" w:cs="Arial"/>
          <w:bCs/>
          <w:sz w:val="24"/>
          <w:szCs w:val="24"/>
        </w:rPr>
        <w:t xml:space="preserve"> e Sr. Secretário de .........., (qualificação), doravante designado MUNICÍPIO e a(s) empresa(s) </w:t>
      </w:r>
      <w:r>
        <w:rPr>
          <w:rFonts w:ascii="Arial" w:hAnsi="Arial" w:cs="Arial"/>
          <w:sz w:val="24"/>
          <w:szCs w:val="24"/>
        </w:rPr>
        <w:t xml:space="preserve">........................, inscrita no CNPJ/MF sob nº ..........................., com sede na ........................, neste ato representada pelo Sr. </w:t>
      </w:r>
      <w:r>
        <w:rPr>
          <w:rFonts w:ascii="Arial" w:hAnsi="Arial" w:cs="Arial"/>
          <w:bCs/>
          <w:sz w:val="24"/>
          <w:szCs w:val="24"/>
        </w:rPr>
        <w:t xml:space="preserve">.................. </w:t>
      </w:r>
      <w:r>
        <w:rPr>
          <w:rFonts w:ascii="Arial" w:hAnsi="Arial" w:cs="Arial"/>
          <w:sz w:val="24"/>
          <w:szCs w:val="24"/>
        </w:rPr>
        <w:t>portador do CPF nº...................e RG nº........................</w:t>
      </w:r>
    </w:p>
    <w:p w14:paraId="75277114">
      <w:pPr>
        <w:pStyle w:val="16"/>
        <w:spacing w:after="200" w:line="240" w:lineRule="auto"/>
        <w:rPr>
          <w:rFonts w:ascii="Arial" w:hAnsi="Arial" w:cs="Arial"/>
          <w:sz w:val="24"/>
          <w:szCs w:val="24"/>
        </w:rPr>
      </w:pPr>
      <w:r>
        <w:rPr>
          <w:rFonts w:ascii="Arial" w:hAnsi="Arial" w:cs="Arial"/>
          <w:sz w:val="24"/>
          <w:szCs w:val="24"/>
        </w:rPr>
        <w:t>Doravante denominada DETENTORA, considerando a instrução constante do Edital nº.........../2024, Pregão Eletrônico nº ........../2024, Protocolado Administrativo nº .........../2024, resolvem celebrar a presente Ata de Registro de Preços, nos termos das cláusulas e condições a seguir discriminadas:</w:t>
      </w:r>
    </w:p>
    <w:p w14:paraId="368C879B">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PRIMEIRA – OBJETO</w:t>
      </w:r>
    </w:p>
    <w:p w14:paraId="483B048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1.1</w:t>
      </w:r>
      <w:r>
        <w:rPr>
          <w:rFonts w:ascii="Arial" w:hAnsi="Arial" w:cs="Arial"/>
          <w:sz w:val="24"/>
          <w:szCs w:val="24"/>
        </w:rPr>
        <w:t>- Registro de Preços para aquisição de ____________________________</w:t>
      </w:r>
    </w:p>
    <w:p w14:paraId="1B2A5464">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SEGUNDA – CONDIÇÕES DE ENTREGA</w:t>
      </w:r>
    </w:p>
    <w:p w14:paraId="41F438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2.1</w:t>
      </w:r>
      <w:r>
        <w:rPr>
          <w:rFonts w:ascii="Arial" w:hAnsi="Arial" w:cs="Arial"/>
          <w:sz w:val="24"/>
          <w:szCs w:val="24"/>
        </w:rPr>
        <w:t>- As solicitações do produto serão feitas pela Secretaria________________, com previsão de periodicidade ____________.</w:t>
      </w:r>
    </w:p>
    <w:p w14:paraId="51294F5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2.2</w:t>
      </w:r>
      <w:r>
        <w:rPr>
          <w:rFonts w:ascii="Arial" w:hAnsi="Arial" w:cs="Arial"/>
          <w:sz w:val="24"/>
          <w:szCs w:val="24"/>
        </w:rPr>
        <w:t>- É necessário o prévio agendamento das entregas junto à Diretoria/Departamento___________________________________________</w:t>
      </w:r>
    </w:p>
    <w:p w14:paraId="38D65EB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 xml:space="preserve">2.3- </w:t>
      </w:r>
      <w:r>
        <w:rPr>
          <w:rFonts w:ascii="Arial" w:hAnsi="Arial" w:cs="Arial"/>
          <w:sz w:val="24"/>
          <w:szCs w:val="24"/>
        </w:rPr>
        <w:t xml:space="preserve">As entregas deverão ocorrer sem prejuízo dos serviços normais do </w:t>
      </w:r>
      <w:r>
        <w:rPr>
          <w:rFonts w:ascii="Arial" w:hAnsi="Arial" w:cs="Arial"/>
          <w:bCs/>
          <w:sz w:val="24"/>
          <w:szCs w:val="24"/>
        </w:rPr>
        <w:t>MUNICÍPIO</w:t>
      </w:r>
      <w:r>
        <w:rPr>
          <w:rFonts w:ascii="Arial" w:hAnsi="Arial" w:cs="Arial"/>
          <w:sz w:val="24"/>
          <w:szCs w:val="24"/>
        </w:rPr>
        <w:t xml:space="preserve"> e em prazo não superior a 15 (quinze) dias corridos após a solicitação por escrito, conforme disposto nas especificações do objeto de responsabilidade/formulação da Secretaria Municipal de Saúde, contados do recebimento da </w:t>
      </w:r>
      <w:r>
        <w:rPr>
          <w:rFonts w:ascii="Arial" w:hAnsi="Arial" w:cs="Arial"/>
          <w:bCs/>
          <w:sz w:val="24"/>
          <w:szCs w:val="24"/>
        </w:rPr>
        <w:t>Autorização de Compra</w:t>
      </w:r>
      <w:r>
        <w:rPr>
          <w:rFonts w:ascii="Arial" w:hAnsi="Arial" w:cs="Arial"/>
          <w:sz w:val="24"/>
          <w:szCs w:val="24"/>
        </w:rPr>
        <w:t>.</w:t>
      </w:r>
    </w:p>
    <w:p w14:paraId="12FCEB6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 xml:space="preserve">2.3.1- </w:t>
      </w:r>
      <w:r>
        <w:rPr>
          <w:rFonts w:ascii="Arial" w:hAnsi="Arial" w:cs="Arial"/>
          <w:sz w:val="24"/>
          <w:szCs w:val="24"/>
        </w:rPr>
        <w:t>Correrão por conta da DETENTORA todas as despesas pertinentes, tais como embalagens, seguro, transporte, tributos, encargos trabalhistas e previdenciários.</w:t>
      </w:r>
    </w:p>
    <w:p w14:paraId="0BDF7C21">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2.4</w:t>
      </w:r>
      <w:r>
        <w:rPr>
          <w:rFonts w:ascii="Arial" w:hAnsi="Arial" w:cs="Arial"/>
          <w:sz w:val="24"/>
          <w:szCs w:val="24"/>
        </w:rPr>
        <w:t xml:space="preserve">- Constatadas irregularidades no objeto, o </w:t>
      </w:r>
      <w:r>
        <w:rPr>
          <w:rFonts w:ascii="Arial" w:hAnsi="Arial" w:cs="Arial"/>
          <w:bCs/>
          <w:sz w:val="24"/>
          <w:szCs w:val="24"/>
        </w:rPr>
        <w:t>MUNICÍPIO</w:t>
      </w:r>
      <w:r>
        <w:rPr>
          <w:rFonts w:ascii="Arial" w:hAnsi="Arial" w:cs="Arial"/>
          <w:sz w:val="24"/>
          <w:szCs w:val="24"/>
        </w:rPr>
        <w:t>, sem prejuízo das penalidades cabíveis, poderá:</w:t>
      </w:r>
    </w:p>
    <w:p w14:paraId="17A9A9D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2.4.1</w:t>
      </w:r>
      <w:r>
        <w:rPr>
          <w:rFonts w:ascii="Arial" w:hAnsi="Arial" w:cs="Arial"/>
          <w:sz w:val="24"/>
          <w:szCs w:val="24"/>
        </w:rPr>
        <w:t>- Rejeitá-lo no todo ou em parte se não corresponder às especificações do Edital, determinando sua substituição;</w:t>
      </w:r>
    </w:p>
    <w:p w14:paraId="62E4C117">
      <w:pPr>
        <w:widowControl w:val="0"/>
        <w:autoSpaceDE w:val="0"/>
        <w:autoSpaceDN w:val="0"/>
        <w:adjustRightInd w:val="0"/>
        <w:spacing w:line="240" w:lineRule="auto"/>
        <w:ind w:firstLine="284"/>
        <w:jc w:val="both"/>
        <w:textAlignment w:val="baseline"/>
        <w:rPr>
          <w:rFonts w:ascii="Arial" w:hAnsi="Arial" w:cs="Arial"/>
          <w:sz w:val="24"/>
          <w:szCs w:val="24"/>
        </w:rPr>
      </w:pPr>
      <w:r>
        <w:rPr>
          <w:rFonts w:ascii="Arial" w:hAnsi="Arial" w:cs="Arial"/>
          <w:bCs/>
          <w:sz w:val="24"/>
          <w:szCs w:val="24"/>
        </w:rPr>
        <w:t>2.4.2</w:t>
      </w:r>
      <w:r>
        <w:rPr>
          <w:rFonts w:ascii="Arial" w:hAnsi="Arial" w:cs="Arial"/>
          <w:sz w:val="24"/>
          <w:szCs w:val="24"/>
        </w:rPr>
        <w:t>- Determinar sua complementação se houver diferença de quantidades.</w:t>
      </w:r>
    </w:p>
    <w:p w14:paraId="7CD08D7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2.5</w:t>
      </w:r>
      <w:r>
        <w:rPr>
          <w:rFonts w:ascii="Arial" w:hAnsi="Arial" w:cs="Arial"/>
          <w:sz w:val="24"/>
          <w:szCs w:val="24"/>
        </w:rPr>
        <w:t>- As irregularidades deverão ser sanadas no prazo máximo de 03 (três) dias úteis, contados do recebimento pelo adjudicatário da notificação por escrito, mantido o preço inicialmente contratado.</w:t>
      </w:r>
    </w:p>
    <w:p w14:paraId="268F425D">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TERCEIRA – VIGÊNCIA E REAJUSTE</w:t>
      </w:r>
    </w:p>
    <w:p w14:paraId="60F1BB7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3.1</w:t>
      </w:r>
      <w:r>
        <w:rPr>
          <w:rFonts w:ascii="Arial" w:hAnsi="Arial" w:cs="Arial"/>
          <w:sz w:val="24"/>
          <w:szCs w:val="24"/>
        </w:rPr>
        <w:t xml:space="preserve">- O prazo de vigência desta Ata de Registro de Preços é de 12 (doze) </w:t>
      </w:r>
      <w:r>
        <w:rPr>
          <w:rFonts w:ascii="Arial" w:hAnsi="Arial" w:cs="Arial"/>
          <w:bCs/>
          <w:sz w:val="24"/>
          <w:szCs w:val="24"/>
        </w:rPr>
        <w:t>meses</w:t>
      </w:r>
      <w:r>
        <w:rPr>
          <w:rFonts w:ascii="Arial" w:hAnsi="Arial" w:cs="Arial"/>
          <w:sz w:val="24"/>
          <w:szCs w:val="24"/>
        </w:rPr>
        <w:t>,</w:t>
      </w:r>
      <w:r>
        <w:t xml:space="preserve"> </w:t>
      </w:r>
      <w:r>
        <w:rPr>
          <w:rFonts w:ascii="Arial" w:hAnsi="Arial" w:cs="Arial"/>
          <w:sz w:val="24"/>
          <w:szCs w:val="24"/>
        </w:rPr>
        <w:t>e poderá ser prorrogado, por igual período, desde que comprovado o preço vantajoso.</w:t>
      </w:r>
    </w:p>
    <w:p w14:paraId="3FF1F062">
      <w:pPr>
        <w:widowControl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3.2- Os preços são fixos e irreajustáveis pelo período de 12 (doze) meses, a contar da data do orçamento estimado em 29/09/2025. Após o período de 12 (doze) meses, os valores contratados poderão ser reajustados, visando a adequação aos preços de mercado pela variação percentual, com base no indicador INPC – Índice Nacional de Preços ao Consumidor (IBGE).</w:t>
      </w:r>
    </w:p>
    <w:p w14:paraId="1820DE04">
      <w:pPr>
        <w:widowControl w:val="0"/>
        <w:autoSpaceDE w:val="0"/>
        <w:autoSpaceDN w:val="0"/>
        <w:adjustRightInd w:val="0"/>
        <w:spacing w:after="0" w:line="240" w:lineRule="auto"/>
        <w:jc w:val="both"/>
        <w:textAlignment w:val="baseline"/>
        <w:rPr>
          <w:rFonts w:ascii="Arial" w:hAnsi="Arial" w:cs="Arial"/>
          <w:sz w:val="24"/>
          <w:szCs w:val="24"/>
        </w:rPr>
      </w:pPr>
    </w:p>
    <w:p w14:paraId="34B150E5">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QUARTA – PREÇO</w:t>
      </w:r>
    </w:p>
    <w:p w14:paraId="11792F6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4.1</w:t>
      </w:r>
      <w:r>
        <w:rPr>
          <w:rFonts w:ascii="Arial" w:hAnsi="Arial" w:cs="Arial"/>
          <w:sz w:val="24"/>
          <w:szCs w:val="24"/>
        </w:rPr>
        <w:t xml:space="preserve">- A quantidade registrada é: </w:t>
      </w:r>
    </w:p>
    <w:p w14:paraId="711CE79F">
      <w:pPr>
        <w:widowControl w:val="0"/>
        <w:autoSpaceDE w:val="0"/>
        <w:autoSpaceDN w:val="0"/>
        <w:adjustRightInd w:val="0"/>
        <w:spacing w:line="240" w:lineRule="auto"/>
        <w:jc w:val="both"/>
        <w:textAlignment w:val="baseline"/>
        <w:rPr>
          <w:rFonts w:ascii="Arial" w:hAnsi="Arial" w:cs="Arial"/>
          <w:bCs/>
          <w:sz w:val="24"/>
          <w:szCs w:val="24"/>
        </w:rPr>
      </w:pPr>
      <w:r>
        <w:rPr>
          <w:rFonts w:ascii="Arial" w:hAnsi="Arial" w:cs="Arial"/>
          <w:bCs/>
          <w:sz w:val="24"/>
          <w:szCs w:val="24"/>
        </w:rPr>
        <w:t>Item Qt. Unid. Discriminação V. Unitário V. Total</w:t>
      </w:r>
    </w:p>
    <w:tbl>
      <w:tblPr>
        <w:tblStyle w:val="4"/>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4"/>
        <w:gridCol w:w="1235"/>
        <w:gridCol w:w="1235"/>
        <w:gridCol w:w="1288"/>
        <w:gridCol w:w="1235"/>
        <w:gridCol w:w="1250"/>
      </w:tblGrid>
      <w:tr w14:paraId="0D5A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4" w:type="dxa"/>
          </w:tcPr>
          <w:p w14:paraId="7CEEB119">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ITEM</w:t>
            </w:r>
          </w:p>
        </w:tc>
        <w:tc>
          <w:tcPr>
            <w:tcW w:w="1235" w:type="dxa"/>
          </w:tcPr>
          <w:p w14:paraId="6C0D137A">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QT.</w:t>
            </w:r>
          </w:p>
        </w:tc>
        <w:tc>
          <w:tcPr>
            <w:tcW w:w="1235" w:type="dxa"/>
          </w:tcPr>
          <w:p w14:paraId="4CB111DA">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UNID.</w:t>
            </w:r>
          </w:p>
        </w:tc>
        <w:tc>
          <w:tcPr>
            <w:tcW w:w="1288" w:type="dxa"/>
          </w:tcPr>
          <w:p w14:paraId="4006ACA4">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DISCRIM</w:t>
            </w:r>
          </w:p>
        </w:tc>
        <w:tc>
          <w:tcPr>
            <w:tcW w:w="1235" w:type="dxa"/>
          </w:tcPr>
          <w:p w14:paraId="5B19DE40">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V.UNIT</w:t>
            </w:r>
          </w:p>
        </w:tc>
        <w:tc>
          <w:tcPr>
            <w:tcW w:w="1250" w:type="dxa"/>
          </w:tcPr>
          <w:p w14:paraId="0A7032D1">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V.TOTAL</w:t>
            </w:r>
          </w:p>
        </w:tc>
      </w:tr>
      <w:tr w14:paraId="1B94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4" w:type="dxa"/>
          </w:tcPr>
          <w:p w14:paraId="57D0B47A">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7CA89212">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69F8B000">
            <w:pPr>
              <w:widowControl w:val="0"/>
              <w:autoSpaceDE w:val="0"/>
              <w:autoSpaceDN w:val="0"/>
              <w:adjustRightInd w:val="0"/>
              <w:spacing w:line="240" w:lineRule="auto"/>
              <w:jc w:val="both"/>
              <w:textAlignment w:val="baseline"/>
              <w:rPr>
                <w:rFonts w:ascii="Arial" w:hAnsi="Arial" w:cs="Arial"/>
                <w:bCs/>
                <w:i/>
                <w:iCs/>
                <w:sz w:val="24"/>
                <w:szCs w:val="24"/>
              </w:rPr>
            </w:pPr>
          </w:p>
        </w:tc>
        <w:tc>
          <w:tcPr>
            <w:tcW w:w="1288" w:type="dxa"/>
          </w:tcPr>
          <w:p w14:paraId="0484ECC2">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7A7B9282">
            <w:pPr>
              <w:widowControl w:val="0"/>
              <w:autoSpaceDE w:val="0"/>
              <w:autoSpaceDN w:val="0"/>
              <w:adjustRightInd w:val="0"/>
              <w:spacing w:line="240" w:lineRule="auto"/>
              <w:jc w:val="both"/>
              <w:textAlignment w:val="baseline"/>
              <w:rPr>
                <w:rFonts w:ascii="Arial" w:hAnsi="Arial" w:cs="Arial"/>
                <w:bCs/>
                <w:i/>
                <w:iCs/>
                <w:sz w:val="24"/>
                <w:szCs w:val="24"/>
              </w:rPr>
            </w:pPr>
          </w:p>
        </w:tc>
        <w:tc>
          <w:tcPr>
            <w:tcW w:w="1250" w:type="dxa"/>
          </w:tcPr>
          <w:p w14:paraId="71B082BB">
            <w:pPr>
              <w:widowControl w:val="0"/>
              <w:autoSpaceDE w:val="0"/>
              <w:autoSpaceDN w:val="0"/>
              <w:adjustRightInd w:val="0"/>
              <w:spacing w:line="240" w:lineRule="auto"/>
              <w:jc w:val="both"/>
              <w:textAlignment w:val="baseline"/>
              <w:rPr>
                <w:rFonts w:ascii="Arial" w:hAnsi="Arial" w:cs="Arial"/>
                <w:bCs/>
                <w:i/>
                <w:iCs/>
                <w:sz w:val="24"/>
                <w:szCs w:val="24"/>
              </w:rPr>
            </w:pPr>
          </w:p>
        </w:tc>
      </w:tr>
    </w:tbl>
    <w:p w14:paraId="277B5907">
      <w:pPr>
        <w:widowControl w:val="0"/>
        <w:adjustRightInd w:val="0"/>
        <w:spacing w:after="0" w:line="240" w:lineRule="auto"/>
        <w:jc w:val="both"/>
        <w:textAlignment w:val="baseline"/>
        <w:rPr>
          <w:rFonts w:ascii="Arial" w:hAnsi="Arial" w:cs="Arial"/>
          <w:b/>
          <w:sz w:val="24"/>
          <w:szCs w:val="24"/>
        </w:rPr>
      </w:pPr>
    </w:p>
    <w:p w14:paraId="1015C937">
      <w:pPr>
        <w:widowControl w:val="0"/>
        <w:adjustRightInd w:val="0"/>
        <w:spacing w:line="240" w:lineRule="auto"/>
        <w:jc w:val="both"/>
        <w:textAlignment w:val="baseline"/>
        <w:rPr>
          <w:rFonts w:ascii="Arial" w:hAnsi="Arial" w:cs="Arial"/>
          <w:b/>
          <w:sz w:val="24"/>
          <w:szCs w:val="24"/>
        </w:rPr>
      </w:pPr>
      <w:r>
        <w:rPr>
          <w:rFonts w:ascii="Arial" w:hAnsi="Arial" w:cs="Arial"/>
          <w:b/>
          <w:sz w:val="24"/>
          <w:szCs w:val="24"/>
        </w:rPr>
        <w:t>CLÁUSULA QUINTA – PAGAMENTO</w:t>
      </w:r>
    </w:p>
    <w:p w14:paraId="2ED4F050">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5.1- Os pagamentos serão efetuados de forma parcelada, em 30 (trinta) dias, de acordo com as quantidades efetivamente entregues e devidamente atestadas pela Secretaria Municipal de Saúde e com os preços unitários constantes da planilha de preços da(s) licitante(s) vencedora(s), na forma prevista no Edital.</w:t>
      </w:r>
    </w:p>
    <w:p w14:paraId="3A1402C8">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5.1.1-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2CBB84B4">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 xml:space="preserve">5.1.2-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30DEC342">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5.1.3- Aferidos os produtos e documentos anexados à nota fiscal/fatura pela Secretaria Municipal de Saúde, a mesma emitirá o recebimento dos mesmos, e encaminhará para a Secretaria Municipal de Finanças providenciar o respectivo pagamento.</w:t>
      </w:r>
    </w:p>
    <w:p w14:paraId="6CF59AF5">
      <w:pPr>
        <w:widowControl w:val="0"/>
        <w:adjustRightInd w:val="0"/>
        <w:spacing w:line="240" w:lineRule="auto"/>
        <w:ind w:left="284"/>
        <w:jc w:val="both"/>
        <w:textAlignment w:val="baseline"/>
        <w:rPr>
          <w:rFonts w:ascii="Arial" w:hAnsi="Arial" w:cs="Arial"/>
          <w:sz w:val="24"/>
          <w:szCs w:val="24"/>
        </w:rPr>
      </w:pPr>
      <w:r>
        <w:rPr>
          <w:rFonts w:ascii="Arial" w:hAnsi="Arial" w:cs="Arial"/>
          <w:sz w:val="24"/>
          <w:szCs w:val="24"/>
        </w:rPr>
        <w:t>5.1.4- Os pagamentos a serem efetuados pela PREFEITURA MUNICIPAL DE PAULÍNIA, não obstante o prazo acima fixado, obedecerão às normas da Lei 14.133/2021 e Portaria 001/2024/SMF, de 20/02/2024, publicada no Diário Oficial do Município na data de 22/02/2024.</w:t>
      </w:r>
    </w:p>
    <w:p w14:paraId="55F11C4F">
      <w:pPr>
        <w:widowControl w:val="0"/>
        <w:adjustRightInd w:val="0"/>
        <w:spacing w:line="240" w:lineRule="auto"/>
        <w:ind w:left="284"/>
        <w:jc w:val="both"/>
        <w:textAlignment w:val="baseline"/>
        <w:rPr>
          <w:rFonts w:ascii="Arial" w:hAnsi="Arial" w:cs="Arial"/>
          <w:sz w:val="24"/>
          <w:szCs w:val="24"/>
        </w:rPr>
      </w:pPr>
      <w:r>
        <w:rPr>
          <w:rFonts w:ascii="Arial" w:hAnsi="Arial" w:cs="Arial"/>
          <w:sz w:val="24"/>
          <w:szCs w:val="24"/>
        </w:rPr>
        <w:t>5.1.5- Decorrido o prazo da validade da Ata de Registro de Preços não cessa a obrigação da Detentora de cumprir as Ordens de Serviço/Autorizações de Fornecimento recebidas até a data de vencimento da Ata de Registro de Preços, bem como a obrigação do MUNICÍPIO de pagar as notas fiscais em conformidade com os subitens anteriores.</w:t>
      </w:r>
    </w:p>
    <w:p w14:paraId="1DD7E096">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5.2- As notas fiscais/faturas que apresentarem incorreções serão devolvidas à Detentora e seu vencimento ocorrerá em 05 (cinco) dias após a data de sua apresentação válida. </w:t>
      </w:r>
    </w:p>
    <w:p w14:paraId="7DCFA4D1">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5.3- O pagamento será feito mediante crédito aberto em conta corrente em nome da Detentora no </w:t>
      </w:r>
      <w:r>
        <w:rPr>
          <w:rFonts w:ascii="Arial" w:hAnsi="Arial" w:cs="Arial"/>
          <w:sz w:val="24"/>
          <w:szCs w:val="24"/>
        </w:rPr>
        <w:t>Banco ______________________ (_____), agência nº _________, conta corrente nº ______________.</w:t>
      </w:r>
    </w:p>
    <w:p w14:paraId="21F2ED53">
      <w:pPr>
        <w:widowControl w:val="0"/>
        <w:adjustRightInd w:val="0"/>
        <w:spacing w:line="240" w:lineRule="auto"/>
        <w:jc w:val="both"/>
        <w:textAlignment w:val="baseline"/>
        <w:rPr>
          <w:rFonts w:ascii="Arial" w:hAnsi="Arial"/>
          <w:b/>
          <w:bCs/>
          <w:sz w:val="24"/>
        </w:rPr>
      </w:pPr>
      <w:r>
        <w:rPr>
          <w:rFonts w:ascii="Arial" w:hAnsi="Arial"/>
          <w:b/>
          <w:bCs/>
          <w:sz w:val="24"/>
        </w:rPr>
        <w:t>CLÁUSULA SEXTA – DA CONTRATAÇÃO</w:t>
      </w:r>
    </w:p>
    <w:p w14:paraId="7F874551">
      <w:pPr>
        <w:widowControl w:val="0"/>
        <w:autoSpaceDE w:val="0"/>
        <w:autoSpaceDN w:val="0"/>
        <w:adjustRightInd w:val="0"/>
        <w:spacing w:after="240" w:line="360" w:lineRule="atLeast"/>
        <w:jc w:val="both"/>
        <w:textAlignment w:val="baseline"/>
        <w:rPr>
          <w:rFonts w:ascii="Arial" w:hAnsi="Arial" w:eastAsia="Times New Roman" w:cs="Arial"/>
          <w:sz w:val="24"/>
          <w:szCs w:val="24"/>
          <w:lang w:eastAsia="pt-BR"/>
        </w:rPr>
      </w:pPr>
      <w:r>
        <w:rPr>
          <w:rFonts w:ascii="Arial" w:hAnsi="Arial" w:eastAsia="Times New Roman" w:cs="Arial"/>
          <w:sz w:val="24"/>
          <w:szCs w:val="24"/>
          <w:lang w:eastAsia="pt-BR"/>
        </w:rPr>
        <w:t xml:space="preserve">6.1- A contratação decorrente desta licitação será formalizada mediante emissão da </w:t>
      </w:r>
      <w:r>
        <w:rPr>
          <w:rFonts w:ascii="Arial" w:hAnsi="Arial" w:cs="Arial"/>
          <w:sz w:val="24"/>
          <w:szCs w:val="24"/>
        </w:rPr>
        <w:t>Ordem de Serviço/Autorização de Fornecimento observado o fundamentado no art. 95, da Lei nº 14.133/2021.</w:t>
      </w:r>
    </w:p>
    <w:p w14:paraId="037B2F2A">
      <w:pPr>
        <w:widowControl w:val="0"/>
        <w:autoSpaceDE w:val="0"/>
        <w:autoSpaceDN w:val="0"/>
        <w:adjustRightInd w:val="0"/>
        <w:spacing w:after="240" w:line="360" w:lineRule="atLeast"/>
        <w:ind w:left="426"/>
        <w:jc w:val="both"/>
        <w:textAlignment w:val="baseline"/>
        <w:rPr>
          <w:rFonts w:ascii="Arial" w:hAnsi="Arial" w:eastAsia="Times New Roman" w:cs="Arial"/>
          <w:sz w:val="24"/>
          <w:szCs w:val="24"/>
          <w:lang w:eastAsia="pt-BR"/>
        </w:rPr>
      </w:pPr>
      <w:r>
        <w:rPr>
          <w:rFonts w:ascii="Arial" w:hAnsi="Arial" w:eastAsia="Times New Roman" w:cs="Arial"/>
          <w:sz w:val="24"/>
          <w:szCs w:val="24"/>
          <w:lang w:eastAsia="pt-BR"/>
        </w:rPr>
        <w:t>6.1.1-</w:t>
      </w:r>
      <w:r>
        <w:rPr>
          <w:rFonts w:ascii="Arial" w:hAnsi="Arial" w:eastAsia="Times New Roman" w:cs="Arial"/>
          <w:sz w:val="24"/>
          <w:szCs w:val="24"/>
          <w:lang w:eastAsia="pt-BR"/>
        </w:rPr>
        <w:tab/>
      </w:r>
      <w:r>
        <w:rPr>
          <w:rFonts w:ascii="Arial" w:hAnsi="Arial" w:eastAsia="Times New Roman" w:cs="Arial"/>
          <w:sz w:val="24"/>
          <w:szCs w:val="24"/>
          <w:lang w:eastAsia="pt-BR"/>
        </w:rPr>
        <w:t>O prazo da contratação será definido em conformidade com os itens registrados, a demanda da Secretaria e o prazo de entrega dos itens.</w:t>
      </w:r>
    </w:p>
    <w:p w14:paraId="27CCFFC1">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SÉTIMA – OBRIGAÇÕES DA DETENTORA</w:t>
      </w:r>
    </w:p>
    <w:p w14:paraId="7E7C4A01">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 xml:space="preserve">7.1- </w:t>
      </w:r>
      <w:r>
        <w:rPr>
          <w:rFonts w:ascii="Arial" w:hAnsi="Arial" w:cs="Arial"/>
          <w:sz w:val="24"/>
          <w:szCs w:val="24"/>
        </w:rPr>
        <w:t>Fornecer, nas condições previstas no Edital do Pregão nº _____ e nesta Ata, o(s) produto(s) objeto deste ajuste.</w:t>
      </w:r>
    </w:p>
    <w:p w14:paraId="012FFFBA">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7.2</w:t>
      </w:r>
      <w:r>
        <w:rPr>
          <w:rFonts w:ascii="Arial" w:hAnsi="Arial" w:cs="Arial"/>
          <w:sz w:val="24"/>
          <w:szCs w:val="24"/>
        </w:rPr>
        <w:t>- Substituir, no local de entrega e no prazo ajustado, após notificação, o(s) produto(s) recusado(s).</w:t>
      </w:r>
    </w:p>
    <w:p w14:paraId="297243A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7.3</w:t>
      </w:r>
      <w:r>
        <w:rPr>
          <w:rFonts w:ascii="Arial" w:hAnsi="Arial" w:cs="Arial"/>
          <w:sz w:val="24"/>
          <w:szCs w:val="24"/>
        </w:rPr>
        <w:t>- Ficar responsável pelas operações de transporte, carga e descarga.</w:t>
      </w:r>
    </w:p>
    <w:p w14:paraId="1F9B647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7.4</w:t>
      </w:r>
      <w:r>
        <w:rPr>
          <w:rFonts w:ascii="Arial" w:hAnsi="Arial" w:cs="Arial"/>
          <w:sz w:val="24"/>
          <w:szCs w:val="24"/>
        </w:rPr>
        <w:t>- Manter durante toda a vigência deste Registro de Preços, compatibilidade com as obrigações assumidas, para o fornecimento dos produtos objetos do Pregão Eletrônico nº ..../......., homologados e adjudicados em favor da Detentora assim como todas as condições de habilitação e qualificação exigida na licitação.</w:t>
      </w:r>
    </w:p>
    <w:p w14:paraId="276B2BE6">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OITAVA – OBRIGAÇÕES DO MUNICÍPIO</w:t>
      </w:r>
    </w:p>
    <w:p w14:paraId="557FEA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8.1</w:t>
      </w:r>
      <w:r>
        <w:rPr>
          <w:rFonts w:ascii="Arial" w:hAnsi="Arial" w:cs="Arial"/>
          <w:sz w:val="24"/>
          <w:szCs w:val="24"/>
        </w:rPr>
        <w:t>- Cumprir o prazo fixado para realização do pagamento.</w:t>
      </w:r>
    </w:p>
    <w:p w14:paraId="2762DDD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8.2</w:t>
      </w:r>
      <w:r>
        <w:rPr>
          <w:rFonts w:ascii="Arial" w:hAnsi="Arial" w:cs="Arial"/>
          <w:sz w:val="24"/>
          <w:szCs w:val="24"/>
        </w:rPr>
        <w:t>- Indicar o funcionário responsável pelo acompanhamento deste Registro de Preços.</w:t>
      </w:r>
    </w:p>
    <w:p w14:paraId="16E6764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8.3</w:t>
      </w:r>
      <w:r>
        <w:rPr>
          <w:rFonts w:ascii="Arial" w:hAnsi="Arial" w:cs="Arial"/>
          <w:sz w:val="24"/>
          <w:szCs w:val="24"/>
        </w:rPr>
        <w:t>- Permitir acesso dos funcionários da DETENTORA ao local determinado para a entrega do objeto contratado.</w:t>
      </w:r>
    </w:p>
    <w:p w14:paraId="22533E9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8.4</w:t>
      </w:r>
      <w:r>
        <w:rPr>
          <w:rFonts w:ascii="Arial" w:hAnsi="Arial" w:cs="Arial"/>
          <w:sz w:val="24"/>
          <w:szCs w:val="24"/>
        </w:rPr>
        <w:t>- Comunicar à DETENTORA sobre qualquer irregularidade no fornecimento do produto.</w:t>
      </w:r>
    </w:p>
    <w:p w14:paraId="6E95937A">
      <w:pPr>
        <w:widowControl w:val="0"/>
        <w:autoSpaceDE w:val="0"/>
        <w:autoSpaceDN w:val="0"/>
        <w:adjustRightInd w:val="0"/>
        <w:jc w:val="both"/>
        <w:textAlignment w:val="baseline"/>
        <w:rPr>
          <w:rFonts w:ascii="Arial" w:hAnsi="Arial" w:cs="Arial"/>
          <w:b/>
          <w:sz w:val="24"/>
          <w:szCs w:val="24"/>
        </w:rPr>
      </w:pPr>
      <w:r>
        <w:rPr>
          <w:rFonts w:ascii="Arial" w:hAnsi="Arial" w:cs="Arial"/>
          <w:b/>
          <w:sz w:val="24"/>
          <w:szCs w:val="24"/>
        </w:rPr>
        <w:t>CLÁUSULA NONA – GESTÃO E FISCALIZAÇÃO</w:t>
      </w:r>
    </w:p>
    <w:p w14:paraId="219ADBA5">
      <w:pPr>
        <w:pStyle w:val="29"/>
        <w:spacing w:before="0" w:beforeAutospacing="0" w:after="200" w:afterAutospacing="0" w:line="240" w:lineRule="auto"/>
        <w:rPr>
          <w:sz w:val="24"/>
          <w:szCs w:val="24"/>
        </w:rPr>
      </w:pPr>
      <w:r>
        <w:rPr>
          <w:sz w:val="24"/>
          <w:szCs w:val="24"/>
        </w:rPr>
        <w:t>9.1- A gestão e fiscalização da Ata de Registro de Preços deverão ser de responsabilidade da Secretaria Municipal de Saúde, através do respectivo gestor, o servidor Sr. Orly Alves de Freitas Júnior e fiscal Sr. João Carlos da Fonseca Filho, cujas atribuições são:</w:t>
      </w:r>
    </w:p>
    <w:p w14:paraId="4CE9099B">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a) Gerenciar a Ata de Registro de Preços e controlar o prazo de vigência e os saldos; </w:t>
      </w:r>
    </w:p>
    <w:p w14:paraId="23224FC9">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b) Zelar pela observância dos termos constantes do edital e ao instrumento que substitui o contrato, de modo a garantir a qualidade dos produtos fornecidos e/ou serviços prestados e o fiel cumprimento das obrigações assumidas pelas partes;</w:t>
      </w:r>
    </w:p>
    <w:p w14:paraId="765B88A4">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c) Aplicar as penalidades previstas no edital quando da ocorrência de descumprimento das cláusulas acordadas e solicitar através dos protocolos administrativos as devidas providências; </w:t>
      </w:r>
    </w:p>
    <w:p w14:paraId="3095E561">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d) Solicitar à detentora e seus prepostos, ou obter da Administração, tempestivamente, todas as providências necessárias para o bom andamento das prestações de serviços; </w:t>
      </w:r>
    </w:p>
    <w:p w14:paraId="018D8000">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e) Acompanhar e atestar o recebimento definitivo dos materiais e produtos, desde que atendidas especificações de responsabilidade da secretaria requisitante e as obrigações contratuais; </w:t>
      </w:r>
    </w:p>
    <w:p w14:paraId="2C743799">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f) Solicitar ou ratificar por escrito o Atestado de Capacidade Operacional e/ou Profissional quando requerido pela detentora, desde que atendidas plenamente as obrigações contratuais, devidamente, atestado o efetivo cumprimento das mesmas, conforme o edital e contrato para a Divisão de Compras;</w:t>
      </w:r>
    </w:p>
    <w:p w14:paraId="0185B9E2">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g) Atestar e encaminhar ao Setor competente as notas fiscais em estrito cumprimento ao Edital e instrumento que substitui o contrato para os procedimentos quanto aos trâmites administrativos relacionados aos respectivos pagamentos;</w:t>
      </w:r>
    </w:p>
    <w:p w14:paraId="0238D528">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h) Designar formalmente um servidor para acompanhar a fiscalização da execução de cada contrato de prestação e/ou aquisição de produtos.</w:t>
      </w:r>
    </w:p>
    <w:p w14:paraId="59560449">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i) Verificar e atestar se a detentora mantém as mesmas condições habilitatórias, bem como a manutenção de regularidade fiscal durante toda a vigência contratual.</w:t>
      </w:r>
    </w:p>
    <w:p w14:paraId="53EF3A4F">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DÉCIMA – SANÇÕES</w:t>
      </w:r>
    </w:p>
    <w:p w14:paraId="1B9CD114">
      <w:pPr>
        <w:pStyle w:val="29"/>
        <w:spacing w:before="0" w:beforeAutospacing="0" w:after="200" w:afterAutospacing="0" w:line="240" w:lineRule="auto"/>
        <w:rPr>
          <w:sz w:val="24"/>
          <w:szCs w:val="24"/>
        </w:rPr>
      </w:pPr>
      <w:r>
        <w:rPr>
          <w:sz w:val="24"/>
          <w:szCs w:val="24"/>
        </w:rPr>
        <w:t>10.1. Comete infração administrativa, nos termos da lei, o licitante que:</w:t>
      </w:r>
    </w:p>
    <w:p w14:paraId="6A0DA0B7">
      <w:pPr>
        <w:pStyle w:val="29"/>
        <w:spacing w:before="0" w:beforeAutospacing="0" w:after="200" w:afterAutospacing="0" w:line="240" w:lineRule="auto"/>
        <w:ind w:left="284"/>
        <w:rPr>
          <w:sz w:val="24"/>
          <w:szCs w:val="24"/>
        </w:rPr>
      </w:pPr>
      <w:r>
        <w:rPr>
          <w:sz w:val="24"/>
          <w:szCs w:val="24"/>
        </w:rPr>
        <w:t>I – Com dolo ou culpa, ensejar o retardamento da execução de seu objeto, não mantiver a proposta, falhar ou fraudar na execução do contrato, comportar-se de modo inidôneo ou cometer fraude fiscal;</w:t>
      </w:r>
    </w:p>
    <w:p w14:paraId="27DB6C04">
      <w:pPr>
        <w:pStyle w:val="29"/>
        <w:spacing w:before="0" w:beforeAutospacing="0" w:after="200" w:afterAutospacing="0" w:line="240" w:lineRule="auto"/>
        <w:ind w:left="284"/>
        <w:rPr>
          <w:sz w:val="24"/>
          <w:szCs w:val="24"/>
        </w:rPr>
      </w:pPr>
      <w:r>
        <w:rPr>
          <w:sz w:val="24"/>
          <w:szCs w:val="24"/>
        </w:rPr>
        <w:t>II - Deixar de entregar a documentação exigida para o certame ou não entregar qualquer documento que tenha sido solicitado pelo/a pregoeiro/a durante o certame;</w:t>
      </w:r>
    </w:p>
    <w:p w14:paraId="49B7DCF2">
      <w:pPr>
        <w:pStyle w:val="29"/>
        <w:spacing w:before="0" w:beforeAutospacing="0" w:after="200" w:afterAutospacing="0" w:line="240" w:lineRule="auto"/>
        <w:ind w:left="284"/>
        <w:rPr>
          <w:sz w:val="24"/>
          <w:szCs w:val="24"/>
        </w:rPr>
      </w:pPr>
      <w:r>
        <w:rPr>
          <w:sz w:val="24"/>
          <w:szCs w:val="24"/>
        </w:rPr>
        <w:t>III - Salvo em decorrência de fato superveniente devidamente justificado, não mantiver a proposta em especial quando:</w:t>
      </w:r>
    </w:p>
    <w:p w14:paraId="2DA41A9D">
      <w:pPr>
        <w:pStyle w:val="29"/>
        <w:spacing w:before="0" w:beforeAutospacing="0" w:after="200" w:afterAutospacing="0" w:line="240" w:lineRule="auto"/>
        <w:ind w:left="567"/>
        <w:rPr>
          <w:sz w:val="24"/>
          <w:szCs w:val="24"/>
        </w:rPr>
      </w:pPr>
      <w:r>
        <w:rPr>
          <w:sz w:val="24"/>
          <w:szCs w:val="24"/>
        </w:rPr>
        <w:t>A - Não enviar a proposta adequada ao último lance ofertado ou após a negociação;</w:t>
      </w:r>
    </w:p>
    <w:p w14:paraId="0B9DC5B1">
      <w:pPr>
        <w:pStyle w:val="29"/>
        <w:spacing w:before="0" w:beforeAutospacing="0" w:after="200" w:afterAutospacing="0" w:line="240" w:lineRule="auto"/>
        <w:ind w:left="567"/>
        <w:rPr>
          <w:sz w:val="24"/>
          <w:szCs w:val="24"/>
        </w:rPr>
      </w:pPr>
      <w:r>
        <w:rPr>
          <w:sz w:val="24"/>
          <w:szCs w:val="24"/>
        </w:rPr>
        <w:t>B - Recusar-se a enviar o detalhamento da proposta quando exigível;</w:t>
      </w:r>
    </w:p>
    <w:p w14:paraId="3EB5C3CF">
      <w:pPr>
        <w:pStyle w:val="29"/>
        <w:spacing w:before="0" w:beforeAutospacing="0" w:after="200" w:afterAutospacing="0" w:line="240" w:lineRule="auto"/>
        <w:ind w:left="567"/>
        <w:rPr>
          <w:sz w:val="24"/>
          <w:szCs w:val="24"/>
        </w:rPr>
      </w:pPr>
      <w:r>
        <w:rPr>
          <w:sz w:val="24"/>
          <w:szCs w:val="24"/>
        </w:rPr>
        <w:t>C - Pedir para ser desclassificado quando encerrada a etapa competitiva;</w:t>
      </w:r>
    </w:p>
    <w:p w14:paraId="5E25B1FE">
      <w:pPr>
        <w:pStyle w:val="29"/>
        <w:spacing w:before="0" w:beforeAutospacing="0" w:after="200" w:afterAutospacing="0" w:line="240" w:lineRule="auto"/>
        <w:ind w:left="567"/>
        <w:rPr>
          <w:sz w:val="24"/>
          <w:szCs w:val="24"/>
        </w:rPr>
      </w:pPr>
      <w:r>
        <w:rPr>
          <w:sz w:val="24"/>
          <w:szCs w:val="24"/>
        </w:rPr>
        <w:t>D - Deixar de apresentar amostra;</w:t>
      </w:r>
    </w:p>
    <w:p w14:paraId="672A3649">
      <w:pPr>
        <w:pStyle w:val="29"/>
        <w:spacing w:before="0" w:beforeAutospacing="0" w:after="200" w:afterAutospacing="0" w:line="240" w:lineRule="auto"/>
        <w:ind w:left="567"/>
        <w:rPr>
          <w:sz w:val="24"/>
          <w:szCs w:val="24"/>
        </w:rPr>
      </w:pPr>
      <w:r>
        <w:rPr>
          <w:sz w:val="24"/>
          <w:szCs w:val="24"/>
        </w:rPr>
        <w:t>E - Apresentar proposta ou amostra em desacordo com as especificações do edital;</w:t>
      </w:r>
    </w:p>
    <w:p w14:paraId="597186A1">
      <w:pPr>
        <w:pStyle w:val="29"/>
        <w:spacing w:before="0" w:beforeAutospacing="0" w:after="200" w:afterAutospacing="0" w:line="240" w:lineRule="auto"/>
        <w:ind w:left="284"/>
        <w:rPr>
          <w:sz w:val="24"/>
          <w:szCs w:val="24"/>
        </w:rPr>
      </w:pPr>
      <w:r>
        <w:rPr>
          <w:sz w:val="24"/>
          <w:szCs w:val="24"/>
        </w:rPr>
        <w:t>IV - Não celebrar o contrato ou 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7346AED8">
      <w:pPr>
        <w:pStyle w:val="29"/>
        <w:spacing w:before="0" w:beforeAutospacing="0" w:after="200" w:afterAutospacing="0" w:line="240" w:lineRule="auto"/>
        <w:ind w:left="284"/>
        <w:rPr>
          <w:sz w:val="24"/>
          <w:szCs w:val="24"/>
        </w:rPr>
      </w:pPr>
      <w:r>
        <w:rPr>
          <w:sz w:val="24"/>
          <w:szCs w:val="24"/>
        </w:rPr>
        <w:t>V - Apresentar declaração ou documentação falsa exigida para o certame ou prestar declaração falsa durante a licitação.</w:t>
      </w:r>
    </w:p>
    <w:p w14:paraId="79AE84EF">
      <w:pPr>
        <w:pStyle w:val="29"/>
        <w:spacing w:before="0" w:beforeAutospacing="0" w:after="200" w:afterAutospacing="0" w:line="240" w:lineRule="auto"/>
        <w:ind w:firstLine="284"/>
        <w:rPr>
          <w:sz w:val="24"/>
          <w:szCs w:val="24"/>
        </w:rPr>
      </w:pPr>
      <w:r>
        <w:rPr>
          <w:sz w:val="24"/>
          <w:szCs w:val="24"/>
        </w:rPr>
        <w:t>VI - Fraudar a licitação.</w:t>
      </w:r>
    </w:p>
    <w:p w14:paraId="372EB764">
      <w:pPr>
        <w:pStyle w:val="29"/>
        <w:spacing w:before="0" w:beforeAutospacing="0" w:after="200" w:afterAutospacing="0" w:line="240" w:lineRule="auto"/>
        <w:ind w:left="284"/>
        <w:rPr>
          <w:sz w:val="24"/>
          <w:szCs w:val="24"/>
        </w:rPr>
      </w:pPr>
      <w:r>
        <w:rPr>
          <w:sz w:val="24"/>
          <w:szCs w:val="24"/>
        </w:rPr>
        <w:t>VII - Comportar-se de modo inidôneo ou cometer fraude de qualquer natureza, em especial quando:</w:t>
      </w:r>
    </w:p>
    <w:p w14:paraId="163E46D4">
      <w:pPr>
        <w:pStyle w:val="29"/>
        <w:spacing w:before="0" w:beforeAutospacing="0" w:after="200" w:afterAutospacing="0" w:line="240" w:lineRule="auto"/>
        <w:ind w:left="567"/>
        <w:rPr>
          <w:sz w:val="24"/>
          <w:szCs w:val="24"/>
        </w:rPr>
      </w:pPr>
      <w:r>
        <w:rPr>
          <w:sz w:val="24"/>
          <w:szCs w:val="24"/>
        </w:rPr>
        <w:t>A - Agir em conluio ou em desconformidade com a lei;</w:t>
      </w:r>
    </w:p>
    <w:p w14:paraId="6E300223">
      <w:pPr>
        <w:pStyle w:val="29"/>
        <w:spacing w:before="0" w:beforeAutospacing="0" w:after="200" w:afterAutospacing="0" w:line="240" w:lineRule="auto"/>
        <w:ind w:left="567"/>
        <w:rPr>
          <w:sz w:val="24"/>
          <w:szCs w:val="24"/>
        </w:rPr>
      </w:pPr>
      <w:r>
        <w:rPr>
          <w:sz w:val="24"/>
          <w:szCs w:val="24"/>
        </w:rPr>
        <w:t>B - Induzir deliberadamente a erro no julgamento;</w:t>
      </w:r>
    </w:p>
    <w:p w14:paraId="42CEF1B9">
      <w:pPr>
        <w:pStyle w:val="29"/>
        <w:spacing w:before="0" w:beforeAutospacing="0" w:after="200" w:afterAutospacing="0" w:line="240" w:lineRule="auto"/>
        <w:ind w:left="567"/>
        <w:rPr>
          <w:sz w:val="24"/>
          <w:szCs w:val="24"/>
        </w:rPr>
      </w:pPr>
      <w:r>
        <w:rPr>
          <w:sz w:val="24"/>
          <w:szCs w:val="24"/>
        </w:rPr>
        <w:t>C - Apresentar amostra falsificada ou deteriorada;</w:t>
      </w:r>
    </w:p>
    <w:p w14:paraId="181C2D89">
      <w:pPr>
        <w:pStyle w:val="29"/>
        <w:spacing w:before="0" w:beforeAutospacing="0" w:after="200" w:afterAutospacing="0" w:line="240" w:lineRule="auto"/>
        <w:ind w:firstLine="284"/>
        <w:rPr>
          <w:sz w:val="24"/>
          <w:szCs w:val="24"/>
        </w:rPr>
      </w:pPr>
      <w:r>
        <w:rPr>
          <w:sz w:val="24"/>
          <w:szCs w:val="24"/>
        </w:rPr>
        <w:t>VIII - Praticar atos ilícitos com vistas a frustrar os objetivos da licitação.</w:t>
      </w:r>
    </w:p>
    <w:p w14:paraId="0C0BA6C2">
      <w:pPr>
        <w:pStyle w:val="29"/>
        <w:spacing w:before="0" w:beforeAutospacing="0" w:after="200" w:afterAutospacing="0" w:line="240" w:lineRule="auto"/>
        <w:ind w:firstLine="284"/>
        <w:rPr>
          <w:sz w:val="24"/>
          <w:szCs w:val="24"/>
        </w:rPr>
      </w:pPr>
      <w:r>
        <w:rPr>
          <w:sz w:val="24"/>
          <w:szCs w:val="24"/>
        </w:rPr>
        <w:t>IX - Praticar ato lesivo previsto no art. 5º da Lei nº 12.846, de 2013.</w:t>
      </w:r>
    </w:p>
    <w:p w14:paraId="3609069E">
      <w:pPr>
        <w:pStyle w:val="29"/>
        <w:spacing w:before="0" w:beforeAutospacing="0" w:after="200" w:afterAutospacing="0" w:line="240" w:lineRule="auto"/>
        <w:rPr>
          <w:sz w:val="24"/>
          <w:szCs w:val="24"/>
        </w:rPr>
      </w:pPr>
      <w:r>
        <w:rPr>
          <w:sz w:val="24"/>
          <w:szCs w:val="24"/>
        </w:rPr>
        <w:t>10.2 - Com fulcro na Lei nº 14.133, de 2021 e Arts. 156 e 157 do Decreto nº 8.388/2023 a Administração poderá, garantida a prévia defesa e o contraditório, aplicar aos licitantes e/ou adjudicatários as seguintes sanções, sem prejuízo das responsabilidades civil e criminal:</w:t>
      </w:r>
    </w:p>
    <w:p w14:paraId="134FA056">
      <w:pPr>
        <w:pStyle w:val="29"/>
        <w:spacing w:before="0" w:beforeAutospacing="0" w:after="200" w:afterAutospacing="0" w:line="240" w:lineRule="auto"/>
        <w:ind w:left="284"/>
        <w:rPr>
          <w:sz w:val="24"/>
          <w:szCs w:val="24"/>
        </w:rPr>
      </w:pPr>
      <w:r>
        <w:rPr>
          <w:sz w:val="24"/>
          <w:szCs w:val="24"/>
        </w:rPr>
        <w:t>A - Advertência;</w:t>
      </w:r>
    </w:p>
    <w:p w14:paraId="70C6BAE9">
      <w:pPr>
        <w:pStyle w:val="29"/>
        <w:spacing w:before="0" w:beforeAutospacing="0" w:after="200" w:afterAutospacing="0" w:line="240" w:lineRule="auto"/>
        <w:ind w:left="284"/>
        <w:rPr>
          <w:sz w:val="24"/>
          <w:szCs w:val="24"/>
        </w:rPr>
      </w:pPr>
      <w:r>
        <w:rPr>
          <w:sz w:val="24"/>
          <w:szCs w:val="24"/>
        </w:rPr>
        <w:t>B - Multa;</w:t>
      </w:r>
    </w:p>
    <w:p w14:paraId="12FD7B47">
      <w:pPr>
        <w:pStyle w:val="29"/>
        <w:spacing w:before="0" w:beforeAutospacing="0" w:after="200" w:afterAutospacing="0" w:line="240" w:lineRule="auto"/>
        <w:ind w:left="284"/>
        <w:rPr>
          <w:sz w:val="24"/>
          <w:szCs w:val="24"/>
        </w:rPr>
      </w:pPr>
      <w:r>
        <w:rPr>
          <w:sz w:val="24"/>
          <w:szCs w:val="24"/>
        </w:rPr>
        <w:t>C - Impedimento de licitar e contratar com o Município de Paulínia; e</w:t>
      </w:r>
    </w:p>
    <w:p w14:paraId="216F055F">
      <w:pPr>
        <w:pStyle w:val="29"/>
        <w:spacing w:before="0" w:beforeAutospacing="0" w:after="200" w:afterAutospacing="0" w:line="240" w:lineRule="auto"/>
        <w:ind w:left="284"/>
        <w:rPr>
          <w:sz w:val="24"/>
          <w:szCs w:val="24"/>
        </w:rPr>
      </w:pPr>
      <w:r>
        <w:rPr>
          <w:sz w:val="24"/>
          <w:szCs w:val="24"/>
        </w:rPr>
        <w:t>D - Declaração de inidoneidade para licitar ou contratar, enquanto perdurarem os motivos determinantes da punição ou até que seja promovida sua reabilitação perante a própria autoridade que aplicou a penalidade.</w:t>
      </w:r>
    </w:p>
    <w:p w14:paraId="68CF735C">
      <w:pPr>
        <w:pStyle w:val="29"/>
        <w:spacing w:before="0" w:beforeAutospacing="0" w:after="200" w:afterAutospacing="0" w:line="240" w:lineRule="auto"/>
        <w:rPr>
          <w:sz w:val="24"/>
          <w:szCs w:val="24"/>
        </w:rPr>
      </w:pPr>
      <w:r>
        <w:rPr>
          <w:sz w:val="24"/>
          <w:szCs w:val="24"/>
        </w:rPr>
        <w:t>10.3 - Na aplicação das sanções serão considerados:</w:t>
      </w:r>
    </w:p>
    <w:p w14:paraId="79898083">
      <w:pPr>
        <w:pStyle w:val="29"/>
        <w:spacing w:before="0" w:beforeAutospacing="0" w:after="200" w:afterAutospacing="0" w:line="240" w:lineRule="auto"/>
        <w:ind w:left="284"/>
        <w:rPr>
          <w:sz w:val="24"/>
          <w:szCs w:val="24"/>
        </w:rPr>
      </w:pPr>
      <w:r>
        <w:rPr>
          <w:sz w:val="24"/>
          <w:szCs w:val="24"/>
        </w:rPr>
        <w:t>A - A natureza e a gravidade da infração cometida;</w:t>
      </w:r>
    </w:p>
    <w:p w14:paraId="2B14179A">
      <w:pPr>
        <w:pStyle w:val="29"/>
        <w:spacing w:before="0" w:beforeAutospacing="0" w:after="200" w:afterAutospacing="0" w:line="240" w:lineRule="auto"/>
        <w:ind w:left="284"/>
        <w:rPr>
          <w:sz w:val="24"/>
          <w:szCs w:val="24"/>
        </w:rPr>
      </w:pPr>
      <w:r>
        <w:rPr>
          <w:sz w:val="24"/>
          <w:szCs w:val="24"/>
        </w:rPr>
        <w:t>B - As peculiaridades do caso concreto;</w:t>
      </w:r>
    </w:p>
    <w:p w14:paraId="3CDA4C15">
      <w:pPr>
        <w:pStyle w:val="29"/>
        <w:spacing w:before="0" w:beforeAutospacing="0" w:after="200" w:afterAutospacing="0" w:line="240" w:lineRule="auto"/>
        <w:ind w:left="284"/>
        <w:rPr>
          <w:sz w:val="24"/>
          <w:szCs w:val="24"/>
        </w:rPr>
      </w:pPr>
      <w:r>
        <w:rPr>
          <w:sz w:val="24"/>
          <w:szCs w:val="24"/>
        </w:rPr>
        <w:t>C - As circunstâncias agravantes ou atenuantes;</w:t>
      </w:r>
    </w:p>
    <w:p w14:paraId="1DA59301">
      <w:pPr>
        <w:pStyle w:val="29"/>
        <w:spacing w:before="0" w:beforeAutospacing="0" w:after="200" w:afterAutospacing="0" w:line="240" w:lineRule="auto"/>
        <w:ind w:left="284"/>
        <w:rPr>
          <w:sz w:val="24"/>
          <w:szCs w:val="24"/>
        </w:rPr>
      </w:pPr>
      <w:r>
        <w:rPr>
          <w:sz w:val="24"/>
          <w:szCs w:val="24"/>
        </w:rPr>
        <w:t>D - Os danos que dela provierem para a Administração Pública;</w:t>
      </w:r>
    </w:p>
    <w:p w14:paraId="74054AE0">
      <w:pPr>
        <w:pStyle w:val="29"/>
        <w:spacing w:before="0" w:beforeAutospacing="0" w:after="200" w:afterAutospacing="0" w:line="240" w:lineRule="auto"/>
        <w:ind w:left="284"/>
        <w:rPr>
          <w:sz w:val="24"/>
          <w:szCs w:val="24"/>
        </w:rPr>
      </w:pPr>
      <w:r>
        <w:rPr>
          <w:sz w:val="24"/>
          <w:szCs w:val="24"/>
        </w:rPr>
        <w:t>E - A implantação ou o aperfeiçoamento de programa de integridade, conforme normas e orientações dos órgãos de controle.</w:t>
      </w:r>
    </w:p>
    <w:p w14:paraId="0A167874">
      <w:pPr>
        <w:pStyle w:val="29"/>
        <w:spacing w:before="0" w:beforeAutospacing="0" w:after="200" w:afterAutospacing="0" w:line="240" w:lineRule="auto"/>
        <w:rPr>
          <w:sz w:val="24"/>
          <w:szCs w:val="24"/>
        </w:rPr>
      </w:pPr>
      <w:r>
        <w:rPr>
          <w:sz w:val="24"/>
          <w:szCs w:val="24"/>
        </w:rPr>
        <w:t xml:space="preserve">10.4 - A multa será recolhida em percentual de 0,5% a 30% incidente sobre o valor do contrato licitado / valor empenhado </w:t>
      </w:r>
      <w:r>
        <w:rPr>
          <w:i/>
          <w:sz w:val="24"/>
          <w:szCs w:val="24"/>
        </w:rPr>
        <w:t>(em caso de Ata de Registro de Preços) da respectiva Autorização de Fornecimento</w:t>
      </w:r>
      <w:r>
        <w:rPr>
          <w:sz w:val="24"/>
          <w:szCs w:val="24"/>
        </w:rPr>
        <w:t>, recolhida no prazo máximo de 30 (trinta) dias corridos, a contar da comunicação oficial.</w:t>
      </w:r>
    </w:p>
    <w:p w14:paraId="1B179E09">
      <w:pPr>
        <w:pStyle w:val="29"/>
        <w:spacing w:before="0" w:beforeAutospacing="0" w:after="200" w:afterAutospacing="0" w:line="240" w:lineRule="auto"/>
        <w:ind w:left="284"/>
        <w:rPr>
          <w:sz w:val="24"/>
          <w:szCs w:val="24"/>
        </w:rPr>
      </w:pPr>
      <w:r>
        <w:rPr>
          <w:sz w:val="24"/>
          <w:szCs w:val="24"/>
        </w:rPr>
        <w:t>I - Para as infrações previstas na Cláusula 9.1 - Inc. I, II e III: a multa será de 0,5% a 15% do valor do contrato licitado.</w:t>
      </w:r>
    </w:p>
    <w:p w14:paraId="741672F8">
      <w:pPr>
        <w:pStyle w:val="29"/>
        <w:spacing w:before="0" w:beforeAutospacing="0" w:after="200" w:afterAutospacing="0" w:line="240" w:lineRule="auto"/>
        <w:ind w:left="284"/>
        <w:rPr>
          <w:sz w:val="24"/>
          <w:szCs w:val="24"/>
        </w:rPr>
      </w:pPr>
      <w:r>
        <w:rPr>
          <w:sz w:val="24"/>
          <w:szCs w:val="24"/>
        </w:rPr>
        <w:t>II - Para as infrações previstas na Cláusula 9.1 - Inc. IV, V, VI, VII, VIII e IX: a multa será de 15% a 30% do valor do contrato licitado.</w:t>
      </w:r>
    </w:p>
    <w:p w14:paraId="1C457AAC">
      <w:pPr>
        <w:pStyle w:val="29"/>
        <w:spacing w:before="0" w:beforeAutospacing="0" w:after="200" w:afterAutospacing="0" w:line="240" w:lineRule="auto"/>
        <w:ind w:left="284"/>
        <w:rPr>
          <w:sz w:val="24"/>
          <w:szCs w:val="24"/>
        </w:rPr>
      </w:pPr>
      <w:r>
        <w:rPr>
          <w:sz w:val="24"/>
          <w:szCs w:val="24"/>
        </w:rPr>
        <w:t>III - Por dia de atraso na entrega injustificado: 0,5% por dia de atraso, sobre o valor solicitado na entrega, conforme Autorização de Fornecimento ou Solicitação de Compra, até o Trigésimo dia, configurando-se, após esse prazo, a hipótese de rescisão unilateral da avença por parte dessa Administração pela inexecução, parcial ou total, de seu objeto.</w:t>
      </w:r>
    </w:p>
    <w:p w14:paraId="307FE596">
      <w:pPr>
        <w:pStyle w:val="29"/>
        <w:spacing w:before="0" w:beforeAutospacing="0" w:after="200" w:afterAutospacing="0" w:line="240" w:lineRule="auto"/>
        <w:ind w:left="284"/>
        <w:rPr>
          <w:sz w:val="24"/>
          <w:szCs w:val="24"/>
        </w:rPr>
      </w:pPr>
      <w:r>
        <w:rPr>
          <w:sz w:val="24"/>
          <w:szCs w:val="24"/>
        </w:rPr>
        <w:t xml:space="preserve">IV – Por inexecução contratual parcial: 15% sobre o valor do saldo contratual </w:t>
      </w:r>
      <w:r>
        <w:rPr>
          <w:i/>
          <w:sz w:val="24"/>
          <w:szCs w:val="24"/>
        </w:rPr>
        <w:t>(em caso de Ata de Registro de Preços) da respectiva Autorização de Fornecimento</w:t>
      </w:r>
      <w:r>
        <w:rPr>
          <w:sz w:val="24"/>
          <w:szCs w:val="24"/>
        </w:rPr>
        <w:t>.</w:t>
      </w:r>
    </w:p>
    <w:p w14:paraId="359781CF">
      <w:pPr>
        <w:pStyle w:val="29"/>
        <w:spacing w:before="0" w:beforeAutospacing="0" w:after="200" w:afterAutospacing="0" w:line="240" w:lineRule="auto"/>
        <w:ind w:left="568"/>
        <w:rPr>
          <w:sz w:val="24"/>
          <w:szCs w:val="24"/>
        </w:rPr>
      </w:pPr>
      <w:r>
        <w:rPr>
          <w:sz w:val="24"/>
          <w:szCs w:val="24"/>
        </w:rPr>
        <w:t>A – Sobre a parcela não executada do ajuste decorrente deste certame; ou por material não aceito pela Contratante e não substituído no prazo fixado por esta, prazo este que não excederá 15 (quinze) dias úteis, contados da intimação.</w:t>
      </w:r>
    </w:p>
    <w:p w14:paraId="105BC5A2">
      <w:pPr>
        <w:pStyle w:val="29"/>
        <w:spacing w:before="0" w:beforeAutospacing="0" w:after="200" w:afterAutospacing="0" w:line="240" w:lineRule="auto"/>
        <w:ind w:left="284"/>
        <w:rPr>
          <w:sz w:val="24"/>
          <w:szCs w:val="24"/>
        </w:rPr>
      </w:pPr>
      <w:r>
        <w:rPr>
          <w:sz w:val="24"/>
          <w:szCs w:val="24"/>
        </w:rPr>
        <w:t xml:space="preserve">V – Por inexecução contratual total: 30% sobre o valor do contrato licitado </w:t>
      </w:r>
      <w:r>
        <w:rPr>
          <w:i/>
          <w:sz w:val="24"/>
          <w:szCs w:val="24"/>
        </w:rPr>
        <w:t>(em caso de Ata de Registro de Preços) da respectiva Autorização de Fornecimento</w:t>
      </w:r>
      <w:r>
        <w:rPr>
          <w:sz w:val="24"/>
          <w:szCs w:val="24"/>
        </w:rPr>
        <w:t>.</w:t>
      </w:r>
    </w:p>
    <w:p w14:paraId="2BB98CC1">
      <w:pPr>
        <w:pStyle w:val="29"/>
        <w:spacing w:before="0" w:beforeAutospacing="0" w:after="200" w:afterAutospacing="0" w:line="240" w:lineRule="auto"/>
        <w:ind w:left="284"/>
        <w:rPr>
          <w:sz w:val="24"/>
          <w:szCs w:val="24"/>
        </w:rPr>
      </w:pPr>
      <w:r>
        <w:rPr>
          <w:sz w:val="24"/>
          <w:szCs w:val="24"/>
        </w:rPr>
        <w:t>VI – As multas, calculadas como acima, deverão ser recolhidas no prazo de 30 (trinta) dias corridos, a contar da data do recebimento da comunicação enviada por esta Administração.</w:t>
      </w:r>
    </w:p>
    <w:p w14:paraId="085984BC">
      <w:pPr>
        <w:pStyle w:val="29"/>
        <w:spacing w:before="0" w:beforeAutospacing="0" w:after="200" w:afterAutospacing="0" w:line="240" w:lineRule="auto"/>
        <w:ind w:left="568"/>
        <w:rPr>
          <w:sz w:val="24"/>
          <w:szCs w:val="24"/>
        </w:rPr>
      </w:pPr>
      <w:r>
        <w:rPr>
          <w:sz w:val="24"/>
          <w:szCs w:val="24"/>
        </w:rPr>
        <w:t>A - As multas, calculada como acima, poderão ser deduzidas, até seu valor total, de quaisquer pagamentos devidos à adjudicatária, mesmo que referentes a outras avenças, ou deduzidas de eventual de garantia de contrato. Poderão, alternativamente, ser inscritas em Dívida Ativa do Município para cobrança executiva ou cobradas judicialmente.</w:t>
      </w:r>
    </w:p>
    <w:p w14:paraId="2A8C8818">
      <w:pPr>
        <w:pStyle w:val="29"/>
        <w:spacing w:before="0" w:beforeAutospacing="0" w:after="200" w:afterAutospacing="0" w:line="240" w:lineRule="auto"/>
        <w:ind w:left="568"/>
        <w:rPr>
          <w:sz w:val="24"/>
          <w:szCs w:val="24"/>
        </w:rPr>
      </w:pPr>
      <w:r>
        <w:rPr>
          <w:sz w:val="24"/>
          <w:szCs w:val="24"/>
        </w:rPr>
        <w:t>B - Se a multa aplicada e as indenizações cabíveis forem superiores ao valor de pagamento eventualmente devido pela Administração ao contratado, além da perda desse valor, a diferença será descontada da garantia prestada ou será cobrada judicialmente.</w:t>
      </w:r>
    </w:p>
    <w:p w14:paraId="6C4DD65C">
      <w:pPr>
        <w:pStyle w:val="29"/>
        <w:spacing w:before="0" w:beforeAutospacing="0" w:after="200" w:afterAutospacing="0" w:line="240" w:lineRule="auto"/>
        <w:rPr>
          <w:sz w:val="24"/>
          <w:szCs w:val="24"/>
        </w:rPr>
      </w:pPr>
      <w:r>
        <w:rPr>
          <w:sz w:val="24"/>
          <w:szCs w:val="24"/>
        </w:rPr>
        <w:t>10.5 - As sanções de advertência, impedimento de licitar e contratar e declaração de inidoneidade para licitar ou contratar poderão ser aplicadas, cumulativamente ou não, à penalidade de multa.</w:t>
      </w:r>
    </w:p>
    <w:p w14:paraId="012578DE">
      <w:pPr>
        <w:pStyle w:val="29"/>
        <w:spacing w:before="0" w:beforeAutospacing="0" w:after="200" w:afterAutospacing="0" w:line="240" w:lineRule="auto"/>
        <w:rPr>
          <w:sz w:val="24"/>
          <w:szCs w:val="24"/>
        </w:rPr>
      </w:pPr>
      <w:r>
        <w:rPr>
          <w:sz w:val="24"/>
          <w:szCs w:val="24"/>
        </w:rPr>
        <w:t>10.6 - Na aplicação da sanção de multa será facultada a defesa do interessado no prazo de 15 (quinze) dias úteis, contado da data de sua intimação.</w:t>
      </w:r>
    </w:p>
    <w:p w14:paraId="159A906D">
      <w:pPr>
        <w:pStyle w:val="29"/>
        <w:spacing w:before="0" w:beforeAutospacing="0" w:after="200" w:afterAutospacing="0" w:line="240" w:lineRule="auto"/>
        <w:rPr>
          <w:sz w:val="24"/>
          <w:szCs w:val="24"/>
        </w:rPr>
      </w:pPr>
      <w:r>
        <w:rPr>
          <w:sz w:val="24"/>
          <w:szCs w:val="24"/>
        </w:rPr>
        <w:t>10.7 -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5A36CC7">
      <w:pPr>
        <w:pStyle w:val="29"/>
        <w:spacing w:before="0" w:beforeAutospacing="0" w:after="200" w:afterAutospacing="0" w:line="240" w:lineRule="auto"/>
        <w:rPr>
          <w:sz w:val="24"/>
          <w:szCs w:val="24"/>
        </w:rPr>
      </w:pPr>
      <w:r>
        <w:rPr>
          <w:sz w:val="24"/>
          <w:szCs w:val="24"/>
        </w:rPr>
        <w:t>10.8 - Poderá ser aplicada ao responsável a sanção de declaração de inidoneidade para licitar ou contratar, em decorrência da prática das infrações acima descriminadas, que justifiquem a imposição de penalidade mais grave que a sanção de impedimento de licitar e contratar, cuja duração observará o prazo previsto no art. 156, §5º, da Lei n. º 14.133/2021.</w:t>
      </w:r>
    </w:p>
    <w:p w14:paraId="49910910">
      <w:pPr>
        <w:pStyle w:val="29"/>
        <w:spacing w:before="0" w:beforeAutospacing="0" w:after="200" w:afterAutospacing="0" w:line="240" w:lineRule="auto"/>
        <w:rPr>
          <w:sz w:val="24"/>
          <w:szCs w:val="24"/>
        </w:rPr>
      </w:pPr>
      <w:r>
        <w:rPr>
          <w:sz w:val="24"/>
          <w:szCs w:val="24"/>
        </w:rPr>
        <w:t>10.9 -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5C158939">
      <w:pPr>
        <w:pStyle w:val="29"/>
        <w:spacing w:before="0" w:beforeAutospacing="0" w:after="200" w:afterAutospacing="0" w:line="240" w:lineRule="auto"/>
        <w:rPr>
          <w:sz w:val="24"/>
          <w:szCs w:val="24"/>
        </w:rPr>
      </w:pPr>
      <w:r>
        <w:rPr>
          <w:sz w:val="24"/>
          <w:szCs w:val="24"/>
        </w:rPr>
        <w:t>10.10 -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 que será nomeada pelo Secretário da Pasta requisitante - que avaliará fatos e circunstâncias conhecidos e intimará o licitante ou o adjudicatário para, no prazo de 15 (quinze) dias úteis, contado da data de sua intimação, apresentar defesa escrita e especificar as provas que pretenda produzir.</w:t>
      </w:r>
    </w:p>
    <w:p w14:paraId="413E2474">
      <w:pPr>
        <w:pStyle w:val="29"/>
        <w:spacing w:before="0" w:beforeAutospacing="0" w:after="200" w:afterAutospacing="0" w:line="240" w:lineRule="auto"/>
        <w:rPr>
          <w:sz w:val="24"/>
          <w:szCs w:val="24"/>
        </w:rPr>
      </w:pPr>
      <w:r>
        <w:rPr>
          <w:sz w:val="24"/>
          <w:szCs w:val="24"/>
        </w:rPr>
        <w:t>10.11 -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 Sr. Prefeito Municipal, que deverá proferir sua decisão no prazo máximo de 20 (vinte) dias úteis, contado do recebimento dos autos.</w:t>
      </w:r>
    </w:p>
    <w:p w14:paraId="1AF81D8D">
      <w:pPr>
        <w:pStyle w:val="29"/>
        <w:spacing w:before="0" w:beforeAutospacing="0" w:after="200" w:afterAutospacing="0" w:line="240" w:lineRule="auto"/>
        <w:rPr>
          <w:sz w:val="24"/>
          <w:szCs w:val="24"/>
        </w:rPr>
      </w:pPr>
      <w:r>
        <w:rPr>
          <w:sz w:val="24"/>
          <w:szCs w:val="24"/>
        </w:rPr>
        <w:t>10.12 -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B9258E7">
      <w:pPr>
        <w:pStyle w:val="29"/>
        <w:spacing w:before="0" w:beforeAutospacing="0" w:after="200" w:afterAutospacing="0" w:line="240" w:lineRule="auto"/>
        <w:rPr>
          <w:sz w:val="24"/>
          <w:szCs w:val="24"/>
        </w:rPr>
      </w:pPr>
      <w:r>
        <w:rPr>
          <w:sz w:val="24"/>
          <w:szCs w:val="24"/>
        </w:rPr>
        <w:t>10.13 - O recurso e o pedido de reconsideração terão efeito suspensivo do ato ou da decisão recorrida até que sobrevenha decisão final da autoridade competente.</w:t>
      </w:r>
    </w:p>
    <w:p w14:paraId="786975F9">
      <w:pPr>
        <w:pStyle w:val="29"/>
        <w:spacing w:before="0" w:beforeAutospacing="0" w:after="200" w:afterAutospacing="0" w:line="240" w:lineRule="auto"/>
        <w:rPr>
          <w:sz w:val="24"/>
          <w:szCs w:val="24"/>
        </w:rPr>
      </w:pPr>
      <w:r>
        <w:rPr>
          <w:sz w:val="24"/>
          <w:szCs w:val="24"/>
        </w:rPr>
        <w:t>10.14 - A aplicação das sanções previstas neste edital não exclui, em hipótese alguma, a obrigação de reparação integral dos danos causados.</w:t>
      </w:r>
    </w:p>
    <w:p w14:paraId="03460CB7">
      <w:pPr>
        <w:spacing w:line="240" w:lineRule="auto"/>
        <w:ind w:right="141"/>
        <w:jc w:val="both"/>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PRIMEIRA– EXTINÇÃO DO CONTRATO (AUTORIZAÇÃO DE FORNECIMENTO)</w:t>
      </w:r>
    </w:p>
    <w:p w14:paraId="3162864C">
      <w:pPr>
        <w:spacing w:line="240" w:lineRule="auto"/>
        <w:ind w:right="141"/>
        <w:jc w:val="both"/>
        <w:rPr>
          <w:rFonts w:ascii="Arial" w:hAnsi="Arial" w:eastAsia="Arial Unicode MS" w:cs="Arial"/>
          <w:sz w:val="24"/>
          <w:szCs w:val="24"/>
          <w:lang w:eastAsia="pt-BR"/>
        </w:rPr>
      </w:pPr>
      <w:r>
        <w:rPr>
          <w:rFonts w:ascii="Arial" w:hAnsi="Arial" w:eastAsia="Arial Unicode MS" w:cs="Arial"/>
          <w:sz w:val="24"/>
          <w:szCs w:val="24"/>
          <w:lang w:eastAsia="pt-BR"/>
        </w:rPr>
        <w:t>11.1- O contrato (autorização de fornecimento) se extingue quando cumpridas as obrigações de ambas as partes, ainda que isso ocorra antes do prazo estipulado para tanto.</w:t>
      </w:r>
    </w:p>
    <w:p w14:paraId="2BC6E5D5">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I – Quando a não conclusão do contrato (autorização de fornecimento) referida no item anterior decorrer de culpa do contratado, ficará ele constituído em mora, sendo-lhe aplicáveis as respectivas sanções administrativas.</w:t>
      </w:r>
    </w:p>
    <w:p w14:paraId="086BED28">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II – Poderá a Administração optar pela extinção do contrato (autorização de fornecimento) e, nesse caso, adotará as medidas admitidas em lei para a continuidade da execução contratual.</w:t>
      </w:r>
    </w:p>
    <w:p w14:paraId="2F75C3AA">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11.2- Constituirão motivos para extinção do contrato (autorização de fornecimento), assegurados o contraditório e a ampla defesa, as situações previstas no art. 137 da Lei 14.133/2021.</w:t>
      </w:r>
    </w:p>
    <w:p w14:paraId="53E02A12">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 xml:space="preserve">I – A extinção do contrato (autorização de fornecimento), observando disposto nos artigos 138 e 139 da Lei 14.133/2021, poderá ser: </w:t>
      </w:r>
    </w:p>
    <w:p w14:paraId="59BAE228">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A – Determinada por ato unilateral e escrito da Administração, exceto no caso de descumprimento decorrente de sua própria conduta;</w:t>
      </w:r>
    </w:p>
    <w:p w14:paraId="71830EC4">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B – Consensual, por acordo entre as partes, por conciliação, por mediação ou por comitê de resolução de disputas, desde que haja interesse da Administração;</w:t>
      </w:r>
    </w:p>
    <w:p w14:paraId="4BDA672B">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C – Determinada por decisão arbitral, em decorrência de cláusula compromissária ou compromisso arbitral, ou por decisão judicial.</w:t>
      </w:r>
    </w:p>
    <w:p w14:paraId="14B4C11A">
      <w:pPr>
        <w:spacing w:line="240" w:lineRule="auto"/>
        <w:ind w:right="141"/>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SEGUNDA – LEGISLAÇÃO</w:t>
      </w:r>
    </w:p>
    <w:p w14:paraId="7560CC2C">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12.1- A legislação aplicável à execução do contrato (autorização de fornecimento) e especialmente aos casos omissos é a Lei Federal sob nº. 14.133/2021 e o Decreto Municipal nº 8.388/2023, com as alterações subsequentes, e, em relação aos casos omissos, as disposições de Direito Privado, no que for compatível.</w:t>
      </w:r>
    </w:p>
    <w:p w14:paraId="1D85AA00">
      <w:pPr>
        <w:spacing w:line="240" w:lineRule="auto"/>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TERCEIRA – LEI GERAL DE PROTEÇÃO DE DADOS</w:t>
      </w:r>
    </w:p>
    <w:p w14:paraId="2BD778C6">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 xml:space="preserve">13.1- As partes deverão cumprir a </w:t>
      </w:r>
      <w:r>
        <w:fldChar w:fldCharType="begin"/>
      </w:r>
      <w:r>
        <w:instrText xml:space="preserve"> HYPERLINK "https://www.planalto.gov.br/ccivil_03/_ato2015-2018/2018/lei/l13709.htm" </w:instrText>
      </w:r>
      <w:r>
        <w:fldChar w:fldCharType="separate"/>
      </w:r>
      <w:r>
        <w:rPr>
          <w:rFonts w:ascii="Arial" w:hAnsi="Arial" w:eastAsia="Arial Unicode MS" w:cs="Arial"/>
          <w:sz w:val="24"/>
          <w:szCs w:val="24"/>
          <w:lang w:eastAsia="pt-BR"/>
        </w:rPr>
        <w:t>Lei nº 13.709, de 14 de agosto de 2018 (LGPD)</w:t>
      </w:r>
      <w:r>
        <w:rPr>
          <w:rFonts w:ascii="Arial" w:hAnsi="Arial" w:eastAsia="Arial Unicode MS" w:cs="Arial"/>
          <w:sz w:val="24"/>
          <w:szCs w:val="24"/>
          <w:lang w:eastAsia="pt-BR"/>
        </w:rPr>
        <w:fldChar w:fldCharType="end"/>
      </w:r>
      <w:r>
        <w:rPr>
          <w:rFonts w:ascii="Arial" w:hAnsi="Arial" w:eastAsia="Arial Unicode MS" w:cs="Arial"/>
          <w:sz w:val="24"/>
          <w:szCs w:val="24"/>
          <w:lang w:eastAsia="pt-BR"/>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0441154E">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 xml:space="preserve">I - Os dados obtidos somente poderão ser utilizados para as finalidades que justificaram seu acesso e de acordo com a boa-fé e com os princípios do </w:t>
      </w:r>
      <w:r>
        <w:fldChar w:fldCharType="begin"/>
      </w:r>
      <w:r>
        <w:instrText xml:space="preserve"> HYPERLINK "https://www.planalto.gov.br/ccivil_03/_ato2015-2018/2018/lei/l13709.htm" \l "art6" </w:instrText>
      </w:r>
      <w:r>
        <w:fldChar w:fldCharType="separate"/>
      </w:r>
      <w:r>
        <w:rPr>
          <w:rFonts w:eastAsia="Arial Unicode MS"/>
          <w:iCs w:val="0"/>
          <w:color w:val="auto"/>
          <w:sz w:val="24"/>
          <w:szCs w:val="24"/>
        </w:rPr>
        <w:t>art. 6º da LGPD</w:t>
      </w:r>
      <w:r>
        <w:rPr>
          <w:rFonts w:eastAsia="Arial Unicode MS"/>
          <w:iCs w:val="0"/>
          <w:color w:val="auto"/>
          <w:sz w:val="24"/>
          <w:szCs w:val="24"/>
        </w:rPr>
        <w:fldChar w:fldCharType="end"/>
      </w:r>
      <w:r>
        <w:rPr>
          <w:rFonts w:eastAsia="Arial Unicode MS"/>
          <w:i w:val="0"/>
          <w:iCs w:val="0"/>
          <w:color w:val="auto"/>
          <w:sz w:val="24"/>
          <w:szCs w:val="24"/>
        </w:rPr>
        <w:t xml:space="preserve">. </w:t>
      </w:r>
    </w:p>
    <w:p w14:paraId="4FDB0EDA">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II - É vedado o compartilhamento com terceiros dos dados obtidos fora das hipóteses permitidas em Lei.</w:t>
      </w:r>
    </w:p>
    <w:p w14:paraId="21D59FE8">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III - É dever do contratado orientar e treinar seus empregados sobre os deveres, requisitos e responsabilidades decorrentes da LGPD.</w:t>
      </w:r>
    </w:p>
    <w:p w14:paraId="1B64518A">
      <w:pPr>
        <w:widowControl w:val="0"/>
        <w:autoSpaceDE w:val="0"/>
        <w:autoSpaceDN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QUARTA – DISPOSIÇÕES GERAIS</w:t>
      </w:r>
    </w:p>
    <w:p w14:paraId="7298CED5">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14.1- Constituem parte integrante desta ata de registro de preços e demais instrumentos equivalentes, mesmo que não transcritos, todos os itens constantes do edital nº ________, seus anexos, a proposta da licitante vencedora e quaisquer outros documentos ou cartas que tenham sido apresentados em qualquer fase da licitação para complementar ou esclarecer a instrução do processo.</w:t>
      </w:r>
    </w:p>
    <w:p w14:paraId="6B43A7F4">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14.2- As despesas decorrentes da ata de registro de preços correrão por conta das dotações orçamentárias nºs: </w:t>
      </w:r>
    </w:p>
    <w:p w14:paraId="1D8F2F1C">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14.3- A existência de preços registrados não obriga o MUNICÍPIO a firmar as contratações que deles poderão advir.</w:t>
      </w:r>
    </w:p>
    <w:p w14:paraId="190EF534">
      <w:pPr>
        <w:widowControl w:val="0"/>
        <w:autoSpaceDE w:val="0"/>
        <w:autoSpaceDN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QUINTA – FORO</w:t>
      </w:r>
    </w:p>
    <w:p w14:paraId="6DE18FEC">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15.1- As partes elegem o Foro da Comarca de Paulínia, Estado de São Paulo, para dirimir qualquer dúvida que possa advir da execução da presente ata de registro de preços.</w:t>
      </w:r>
    </w:p>
    <w:p w14:paraId="26D55D98">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E por estarem plenamente justas e acordadas, assinam as partes este instrumento, em duas vias de igual teor e forma, diante de duas testemunhas, para que produza os efeitos de Lei.</w:t>
      </w:r>
    </w:p>
    <w:p w14:paraId="6274451E">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p>
    <w:p w14:paraId="218C7E62">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Paulínia,      de             de    .</w:t>
      </w:r>
    </w:p>
    <w:p w14:paraId="2AC9DDF1">
      <w:pPr>
        <w:spacing w:line="240" w:lineRule="auto"/>
        <w:jc w:val="center"/>
        <w:rPr>
          <w:rFonts w:ascii="Arial" w:hAnsi="Arial"/>
          <w:b/>
          <w:snapToGrid w:val="0"/>
          <w:sz w:val="24"/>
          <w:u w:val="single"/>
        </w:rPr>
      </w:pPr>
    </w:p>
    <w:p w14:paraId="3F91038B">
      <w:pPr>
        <w:spacing w:line="240" w:lineRule="auto"/>
        <w:jc w:val="center"/>
        <w:rPr>
          <w:rFonts w:ascii="Arial" w:hAnsi="Arial"/>
          <w:b/>
          <w:snapToGrid w:val="0"/>
          <w:sz w:val="24"/>
        </w:rPr>
      </w:pPr>
      <w:r>
        <w:rPr>
          <w:rFonts w:ascii="Arial" w:hAnsi="Arial"/>
          <w:b/>
          <w:snapToGrid w:val="0"/>
          <w:sz w:val="24"/>
        </w:rPr>
        <w:t>ANEXO XII - MINUTA DA AUTORIZAÇÃO DE COMPRA</w:t>
      </w:r>
    </w:p>
    <w:p w14:paraId="3941B0A8">
      <w:pPr>
        <w:spacing w:line="240" w:lineRule="auto"/>
        <w:jc w:val="center"/>
        <w:rPr>
          <w:rFonts w:ascii="Arial" w:hAnsi="Arial"/>
          <w:b/>
          <w:snapToGrid w:val="0"/>
          <w:sz w:val="24"/>
          <w:u w:val="single"/>
        </w:rPr>
      </w:pPr>
    </w:p>
    <w:p w14:paraId="2822E99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AUTORIZAÇÃO DE COMPRAS Nº _________/_____</w:t>
      </w:r>
    </w:p>
    <w:p w14:paraId="5E68D19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À</w:t>
      </w:r>
    </w:p>
    <w:p w14:paraId="763CCE5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(............Empresa...............)</w:t>
      </w:r>
    </w:p>
    <w:p w14:paraId="15C3D21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A/C (...........Contato................)</w:t>
      </w:r>
    </w:p>
    <w:p w14:paraId="145EAB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(..........Endereço...............)</w:t>
      </w:r>
    </w:p>
    <w:p w14:paraId="0EE6E2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(............Fone...............)</w:t>
      </w:r>
    </w:p>
    <w:p w14:paraId="4A9AE29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(............Fax...............)</w:t>
      </w:r>
    </w:p>
    <w:p w14:paraId="32F2FF8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Prazo de vigência: ____________</w:t>
      </w:r>
    </w:p>
    <w:p w14:paraId="2F4123D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De conformidade com ata de registro de preços nº (______/_____), datada de (______/_____), que integra os autos do protocolado administrativo nº(_____/_____), deverá a empresa___________________________________________________________________ fornecer os artigos relacionados nesta Autorização de Compras, rigorosamente de acordo com a descrição abaixo, e pelos preços cotados, que vão transcritos. Pela inexecução total ou parcial do ajuste contratual resumido a Administração poderá aplicar à DETENTORA as sanções previstas no Edital de Licitação e Ata de Registro de Preços</w:t>
      </w:r>
    </w:p>
    <w:p w14:paraId="71082A5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CONDIÇÕES DE ENTREGA</w:t>
      </w:r>
    </w:p>
    <w:p w14:paraId="614C6F5E">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1- O objeto desta licitação deverá ser entregue de forma parcelada de acordo com a necessidade da Secretaria de ____________________, Departamento de ________________________ .</w:t>
      </w:r>
    </w:p>
    <w:p w14:paraId="4C59526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 xml:space="preserve">2- A entrega do objeto desta licitação deverá ser feita, conforme especificado no Anexo I do Edital. </w:t>
      </w:r>
    </w:p>
    <w:p w14:paraId="19BBDAF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 As entregas deverão ocorrer sem prejuízo dos serviços e em prazo não superior a 15 (quinze) dias corridos após a solicitação por escrito, conforme disposto nas especificações do objeto de responsabilidade/formulação da Secretaria Municipal de Saúde, contados do recebimento da Autorização de Compra.</w:t>
      </w:r>
    </w:p>
    <w:p w14:paraId="56CB23FE">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3.1- Correrão por conta da DETENTORA todas as despesas pertinentes, tais como embalagens, seguro, transporte, tributos, encargos trabalhistas e previdenciários.</w:t>
      </w:r>
    </w:p>
    <w:p w14:paraId="4A30BC5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4- Constatadas irregularidades no objeto, o MUNICÍPIO DE PAULÍNIA, sem prejuízo das penalidades cabíveis, poderá:</w:t>
      </w:r>
    </w:p>
    <w:p w14:paraId="4AB5184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4.1- Rejeitá-lo no todo ou em parte se não corresponder às especificações do Edital, determinando sua substituição;</w:t>
      </w:r>
    </w:p>
    <w:p w14:paraId="130BE552">
      <w:pPr>
        <w:widowControl w:val="0"/>
        <w:autoSpaceDE w:val="0"/>
        <w:autoSpaceDN w:val="0"/>
        <w:adjustRightInd w:val="0"/>
        <w:spacing w:line="240" w:lineRule="auto"/>
        <w:ind w:firstLine="284"/>
        <w:jc w:val="both"/>
        <w:textAlignment w:val="baseline"/>
        <w:rPr>
          <w:rFonts w:ascii="Arial" w:hAnsi="Arial" w:cs="Arial"/>
          <w:sz w:val="24"/>
          <w:szCs w:val="24"/>
        </w:rPr>
      </w:pPr>
      <w:r>
        <w:rPr>
          <w:rFonts w:ascii="Arial" w:hAnsi="Arial" w:cs="Arial"/>
          <w:sz w:val="24"/>
          <w:szCs w:val="24"/>
        </w:rPr>
        <w:t>4.2- Determinar sua complementação se houver diferença de quantidades.</w:t>
      </w:r>
    </w:p>
    <w:p w14:paraId="4A6947E4">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5- As irregularidades deverão ser sanadas no prazo máximo de 03 (três) dias úteis, contados do recebimento pelo adjudicatário da notificação por escrito, mantido o preço inicialmente contratado.</w:t>
      </w:r>
    </w:p>
    <w:p w14:paraId="43F7CC2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DA FORMA DE PAGAMENTO</w:t>
      </w:r>
    </w:p>
    <w:p w14:paraId="145F8AE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1- Os pagamentos serão efetuados de forma parcelada, em 30 (trinta) dias, de acordo com as quantidades efetivamente entregues e devidamente atestadas pela Secretaria Municipal de Saúde e com os preços unitários constantes da planilha de preços da(s) licitante(s) vencedora(s), na forma prevista no Edital.</w:t>
      </w:r>
    </w:p>
    <w:p w14:paraId="305F684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1.1-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57302869">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 xml:space="preserve">1.2-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6D8B1BF5">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1.3- Aferidos os produtos e documentos anexados à nota fiscal/fatura pela Secretaria Municipal de Saúde, a mesma emitirá o recebimento dos mesmos, e encaminhará para a Secretaria Municipal de Finanças providenciar o respectivo pagamento.</w:t>
      </w:r>
    </w:p>
    <w:p w14:paraId="0CBC81B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1.4- Os pagamentos a serem efetuados pela PREFEITURA MUNICIPAL DE PAULÍNIA, não obstante o prazo acima fixado, obedecerão às normas da Lei 14.133/2021 e Portaria 001/2024/SMF, de 20/02/2024, publicada no Diário Oficial do Município na data de 22/02/2024.</w:t>
      </w:r>
    </w:p>
    <w:p w14:paraId="36C8F8C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1.5- Decorrido o prazo da validade da Ata de Registro de Preços não cessa a obrigação da Detentora de cumprir as Ordens de Serviço/Autorizações de Fornecimento recebidas até a data de vencimento da Ata de Registro de Preços, bem como a obrigação do MUNICÍPIO DE PAULÍNIA de pagar as notas fiscais em conformidade com os subitens anteriores.</w:t>
      </w:r>
    </w:p>
    <w:p w14:paraId="56FC1BE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 xml:space="preserve">2- As notas fiscais/faturas que apresentarem incorreções serão devolvidas à Detentora e seu vencimento ocorrerá em 05 (cinco) dias após a data de sua apresentação válida. </w:t>
      </w:r>
    </w:p>
    <w:p w14:paraId="20C7E05D">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 O pagamento será feito mediante crédito aberto em conta corrente em nome da Detentora.</w:t>
      </w:r>
    </w:p>
    <w:p w14:paraId="2EF70908">
      <w:pPr>
        <w:widowControl w:val="0"/>
        <w:autoSpaceDE w:val="0"/>
        <w:autoSpaceDN w:val="0"/>
        <w:adjustRightInd w:val="0"/>
        <w:spacing w:line="240" w:lineRule="auto"/>
        <w:jc w:val="both"/>
        <w:textAlignment w:val="baseline"/>
        <w:rPr>
          <w:rFonts w:ascii="Arial" w:hAnsi="Arial" w:cs="Arial"/>
          <w:sz w:val="24"/>
          <w:szCs w:val="24"/>
        </w:rPr>
      </w:pPr>
    </w:p>
    <w:p w14:paraId="5622490D">
      <w:pPr>
        <w:widowControl w:val="0"/>
        <w:autoSpaceDE w:val="0"/>
        <w:autoSpaceDN w:val="0"/>
        <w:adjustRightInd w:val="0"/>
        <w:spacing w:line="240" w:lineRule="auto"/>
        <w:jc w:val="both"/>
        <w:textAlignment w:val="baseline"/>
        <w:rPr>
          <w:rFonts w:ascii="Arial" w:hAnsi="Arial" w:cs="Arial"/>
          <w:sz w:val="24"/>
          <w:szCs w:val="24"/>
        </w:rPr>
      </w:pPr>
    </w:p>
    <w:p w14:paraId="7C596D0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Item Qt. Unid. Discriminação V. Unitário V. Total</w:t>
      </w:r>
    </w:p>
    <w:p w14:paraId="0DB9C3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ITEM</w:t>
      </w:r>
      <w:r>
        <w:rPr>
          <w:rFonts w:ascii="Arial" w:hAnsi="Arial" w:cs="Arial"/>
          <w:sz w:val="24"/>
          <w:szCs w:val="24"/>
        </w:rPr>
        <w:tab/>
      </w:r>
      <w:r>
        <w:rPr>
          <w:rFonts w:ascii="Arial" w:hAnsi="Arial" w:cs="Arial"/>
          <w:sz w:val="24"/>
          <w:szCs w:val="24"/>
        </w:rPr>
        <w:t>QT.</w:t>
      </w:r>
      <w:r>
        <w:rPr>
          <w:rFonts w:ascii="Arial" w:hAnsi="Arial" w:cs="Arial"/>
          <w:sz w:val="24"/>
          <w:szCs w:val="24"/>
        </w:rPr>
        <w:tab/>
      </w:r>
      <w:r>
        <w:rPr>
          <w:rFonts w:ascii="Arial" w:hAnsi="Arial" w:cs="Arial"/>
          <w:sz w:val="24"/>
          <w:szCs w:val="24"/>
        </w:rPr>
        <w:t>UNID.</w:t>
      </w:r>
      <w:r>
        <w:rPr>
          <w:rFonts w:ascii="Arial" w:hAnsi="Arial" w:cs="Arial"/>
          <w:sz w:val="24"/>
          <w:szCs w:val="24"/>
        </w:rPr>
        <w:tab/>
      </w:r>
      <w:r>
        <w:rPr>
          <w:rFonts w:ascii="Arial" w:hAnsi="Arial" w:cs="Arial"/>
          <w:sz w:val="24"/>
          <w:szCs w:val="24"/>
        </w:rPr>
        <w:t>DISCRIM</w:t>
      </w:r>
      <w:r>
        <w:rPr>
          <w:rFonts w:ascii="Arial" w:hAnsi="Arial" w:cs="Arial"/>
          <w:sz w:val="24"/>
          <w:szCs w:val="24"/>
        </w:rPr>
        <w:tab/>
      </w:r>
      <w:r>
        <w:rPr>
          <w:rFonts w:ascii="Arial" w:hAnsi="Arial" w:cs="Arial"/>
          <w:sz w:val="24"/>
          <w:szCs w:val="24"/>
        </w:rPr>
        <w:t>V.UNIT</w:t>
      </w:r>
      <w:r>
        <w:rPr>
          <w:rFonts w:ascii="Arial" w:hAnsi="Arial" w:cs="Arial"/>
          <w:sz w:val="24"/>
          <w:szCs w:val="24"/>
        </w:rPr>
        <w:tab/>
      </w:r>
      <w:r>
        <w:rPr>
          <w:rFonts w:ascii="Arial" w:hAnsi="Arial" w:cs="Arial"/>
          <w:sz w:val="24"/>
          <w:szCs w:val="24"/>
        </w:rPr>
        <w:t>V.TOTAL</w:t>
      </w:r>
    </w:p>
    <w:p w14:paraId="2A8EB4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Total: R$ (.....valor total, por extenso.....)</w:t>
      </w:r>
    </w:p>
    <w:p w14:paraId="3FBE2DB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(........Local e data.......)</w:t>
      </w:r>
    </w:p>
    <w:p w14:paraId="7DEBFF9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(.Assinatura da Secretaria interessada através de seu gestor contratual.)</w:t>
      </w:r>
    </w:p>
    <w:p w14:paraId="61B8722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(Assinatura da empresa detentora da ata de registro de preços)</w:t>
      </w:r>
    </w:p>
    <w:p w14:paraId="7C014F82">
      <w:pPr>
        <w:widowControl w:val="0"/>
        <w:autoSpaceDE w:val="0"/>
        <w:autoSpaceDN w:val="0"/>
        <w:adjustRightInd w:val="0"/>
        <w:spacing w:line="240" w:lineRule="auto"/>
        <w:jc w:val="both"/>
        <w:textAlignment w:val="baseline"/>
        <w:rPr>
          <w:rFonts w:ascii="Arial" w:hAnsi="Arial" w:cs="Arial"/>
          <w:sz w:val="24"/>
          <w:szCs w:val="24"/>
        </w:rPr>
      </w:pPr>
    </w:p>
    <w:p w14:paraId="595437A5">
      <w:pPr>
        <w:widowControl w:val="0"/>
        <w:autoSpaceDE w:val="0"/>
        <w:autoSpaceDN w:val="0"/>
        <w:adjustRightInd w:val="0"/>
        <w:spacing w:line="240" w:lineRule="auto"/>
        <w:jc w:val="both"/>
        <w:textAlignment w:val="baseline"/>
        <w:rPr>
          <w:rFonts w:ascii="Arial" w:hAnsi="Arial" w:cs="Arial"/>
          <w:sz w:val="24"/>
          <w:szCs w:val="24"/>
        </w:rPr>
      </w:pPr>
    </w:p>
    <w:p w14:paraId="0EE793E1">
      <w:pPr>
        <w:widowControl w:val="0"/>
        <w:autoSpaceDE w:val="0"/>
        <w:autoSpaceDN w:val="0"/>
        <w:adjustRightInd w:val="0"/>
        <w:spacing w:line="240" w:lineRule="auto"/>
        <w:jc w:val="both"/>
        <w:textAlignment w:val="baseline"/>
        <w:rPr>
          <w:rFonts w:ascii="Arial" w:hAnsi="Arial" w:cs="Arial"/>
          <w:sz w:val="24"/>
          <w:szCs w:val="24"/>
        </w:rPr>
      </w:pPr>
    </w:p>
    <w:p w14:paraId="6520D788">
      <w:pPr>
        <w:widowControl w:val="0"/>
        <w:autoSpaceDE w:val="0"/>
        <w:autoSpaceDN w:val="0"/>
        <w:adjustRightInd w:val="0"/>
        <w:spacing w:line="240" w:lineRule="auto"/>
        <w:jc w:val="both"/>
        <w:textAlignment w:val="baseline"/>
        <w:rPr>
          <w:rFonts w:ascii="Arial" w:hAnsi="Arial" w:cs="Arial"/>
          <w:sz w:val="24"/>
          <w:szCs w:val="24"/>
        </w:rPr>
      </w:pPr>
    </w:p>
    <w:p w14:paraId="37F97079">
      <w:pPr>
        <w:widowControl w:val="0"/>
        <w:autoSpaceDE w:val="0"/>
        <w:autoSpaceDN w:val="0"/>
        <w:adjustRightInd w:val="0"/>
        <w:spacing w:line="240" w:lineRule="auto"/>
        <w:jc w:val="both"/>
        <w:textAlignment w:val="baseline"/>
        <w:rPr>
          <w:rFonts w:ascii="Arial" w:hAnsi="Arial" w:cs="Arial"/>
          <w:sz w:val="24"/>
          <w:szCs w:val="24"/>
        </w:rPr>
      </w:pPr>
    </w:p>
    <w:p w14:paraId="775C934B">
      <w:pPr>
        <w:widowControl w:val="0"/>
        <w:autoSpaceDE w:val="0"/>
        <w:autoSpaceDN w:val="0"/>
        <w:adjustRightInd w:val="0"/>
        <w:spacing w:line="240" w:lineRule="auto"/>
        <w:jc w:val="both"/>
        <w:textAlignment w:val="baseline"/>
        <w:rPr>
          <w:rFonts w:ascii="Arial" w:hAnsi="Arial" w:cs="Arial"/>
          <w:sz w:val="24"/>
          <w:szCs w:val="24"/>
        </w:rPr>
      </w:pPr>
    </w:p>
    <w:p w14:paraId="358B8D12">
      <w:pPr>
        <w:widowControl w:val="0"/>
        <w:autoSpaceDE w:val="0"/>
        <w:autoSpaceDN w:val="0"/>
        <w:adjustRightInd w:val="0"/>
        <w:spacing w:line="240" w:lineRule="auto"/>
        <w:jc w:val="both"/>
        <w:textAlignment w:val="baseline"/>
        <w:rPr>
          <w:rFonts w:ascii="Arial" w:hAnsi="Arial" w:cs="Arial"/>
          <w:sz w:val="24"/>
          <w:szCs w:val="24"/>
        </w:rPr>
      </w:pPr>
    </w:p>
    <w:p w14:paraId="45AFC9E0">
      <w:pPr>
        <w:widowControl w:val="0"/>
        <w:autoSpaceDE w:val="0"/>
        <w:autoSpaceDN w:val="0"/>
        <w:adjustRightInd w:val="0"/>
        <w:spacing w:line="240" w:lineRule="auto"/>
        <w:jc w:val="both"/>
        <w:textAlignment w:val="baseline"/>
        <w:rPr>
          <w:rFonts w:ascii="Arial" w:hAnsi="Arial" w:cs="Arial"/>
          <w:sz w:val="24"/>
          <w:szCs w:val="24"/>
        </w:rPr>
      </w:pPr>
    </w:p>
    <w:p w14:paraId="03E06428">
      <w:pPr>
        <w:widowControl w:val="0"/>
        <w:autoSpaceDE w:val="0"/>
        <w:autoSpaceDN w:val="0"/>
        <w:adjustRightInd w:val="0"/>
        <w:spacing w:line="240" w:lineRule="auto"/>
        <w:jc w:val="both"/>
        <w:textAlignment w:val="baseline"/>
        <w:rPr>
          <w:rFonts w:ascii="Arial" w:hAnsi="Arial" w:cs="Arial"/>
          <w:sz w:val="24"/>
          <w:szCs w:val="24"/>
        </w:rPr>
      </w:pPr>
    </w:p>
    <w:p w14:paraId="526EF479">
      <w:pPr>
        <w:widowControl w:val="0"/>
        <w:autoSpaceDE w:val="0"/>
        <w:autoSpaceDN w:val="0"/>
        <w:adjustRightInd w:val="0"/>
        <w:spacing w:line="240" w:lineRule="auto"/>
        <w:jc w:val="both"/>
        <w:textAlignment w:val="baseline"/>
        <w:rPr>
          <w:rFonts w:ascii="Arial" w:hAnsi="Arial" w:cs="Arial"/>
          <w:sz w:val="24"/>
          <w:szCs w:val="24"/>
        </w:rPr>
      </w:pPr>
    </w:p>
    <w:p w14:paraId="05A5AAAA">
      <w:pPr>
        <w:widowControl w:val="0"/>
        <w:autoSpaceDE w:val="0"/>
        <w:autoSpaceDN w:val="0"/>
        <w:adjustRightInd w:val="0"/>
        <w:spacing w:line="240" w:lineRule="auto"/>
        <w:jc w:val="both"/>
        <w:textAlignment w:val="baseline"/>
        <w:rPr>
          <w:rFonts w:ascii="Arial" w:hAnsi="Arial" w:cs="Arial"/>
          <w:sz w:val="24"/>
          <w:szCs w:val="24"/>
        </w:rPr>
      </w:pPr>
    </w:p>
    <w:p w14:paraId="3F90F408">
      <w:pPr>
        <w:widowControl w:val="0"/>
        <w:autoSpaceDE w:val="0"/>
        <w:autoSpaceDN w:val="0"/>
        <w:adjustRightInd w:val="0"/>
        <w:spacing w:line="240" w:lineRule="auto"/>
        <w:jc w:val="both"/>
        <w:textAlignment w:val="baseline"/>
        <w:rPr>
          <w:rFonts w:ascii="Arial" w:hAnsi="Arial" w:cs="Arial"/>
          <w:sz w:val="24"/>
          <w:szCs w:val="24"/>
        </w:rPr>
      </w:pPr>
    </w:p>
    <w:p w14:paraId="36EE9A31">
      <w:pPr>
        <w:widowControl w:val="0"/>
        <w:autoSpaceDE w:val="0"/>
        <w:autoSpaceDN w:val="0"/>
        <w:adjustRightInd w:val="0"/>
        <w:spacing w:line="240" w:lineRule="auto"/>
        <w:jc w:val="both"/>
        <w:textAlignment w:val="baseline"/>
        <w:rPr>
          <w:rFonts w:ascii="Arial" w:hAnsi="Arial" w:cs="Arial"/>
          <w:sz w:val="24"/>
          <w:szCs w:val="24"/>
        </w:rPr>
      </w:pPr>
    </w:p>
    <w:p w14:paraId="7A9E27FB">
      <w:pPr>
        <w:widowControl w:val="0"/>
        <w:autoSpaceDE w:val="0"/>
        <w:autoSpaceDN w:val="0"/>
        <w:adjustRightInd w:val="0"/>
        <w:spacing w:line="240" w:lineRule="auto"/>
        <w:jc w:val="both"/>
        <w:textAlignment w:val="baseline"/>
        <w:rPr>
          <w:rFonts w:ascii="Arial" w:hAnsi="Arial" w:cs="Arial"/>
          <w:sz w:val="24"/>
          <w:szCs w:val="24"/>
        </w:rPr>
      </w:pPr>
    </w:p>
    <w:p w14:paraId="2070D4C0">
      <w:pPr>
        <w:widowControl w:val="0"/>
        <w:autoSpaceDE w:val="0"/>
        <w:autoSpaceDN w:val="0"/>
        <w:adjustRightInd w:val="0"/>
        <w:spacing w:line="240" w:lineRule="auto"/>
        <w:jc w:val="both"/>
        <w:textAlignment w:val="baseline"/>
        <w:rPr>
          <w:rFonts w:ascii="Arial" w:hAnsi="Arial" w:cs="Arial"/>
          <w:sz w:val="24"/>
          <w:szCs w:val="24"/>
        </w:rPr>
      </w:pPr>
    </w:p>
    <w:p w14:paraId="239E9A4D">
      <w:pPr>
        <w:widowControl w:val="0"/>
        <w:autoSpaceDE w:val="0"/>
        <w:autoSpaceDN w:val="0"/>
        <w:adjustRightInd w:val="0"/>
        <w:spacing w:line="240" w:lineRule="auto"/>
        <w:jc w:val="both"/>
        <w:textAlignment w:val="baseline"/>
        <w:rPr>
          <w:rFonts w:ascii="Arial" w:hAnsi="Arial" w:cs="Arial"/>
          <w:sz w:val="24"/>
          <w:szCs w:val="24"/>
        </w:rPr>
      </w:pPr>
    </w:p>
    <w:p w14:paraId="16923991">
      <w:pPr>
        <w:widowControl w:val="0"/>
        <w:autoSpaceDE w:val="0"/>
        <w:autoSpaceDN w:val="0"/>
        <w:adjustRightInd w:val="0"/>
        <w:spacing w:line="240" w:lineRule="auto"/>
        <w:jc w:val="both"/>
        <w:textAlignment w:val="baseline"/>
        <w:rPr>
          <w:rFonts w:ascii="Arial" w:hAnsi="Arial" w:cs="Arial"/>
          <w:sz w:val="24"/>
          <w:szCs w:val="24"/>
        </w:rPr>
      </w:pPr>
    </w:p>
    <w:p w14:paraId="02B72EFF">
      <w:pPr>
        <w:widowControl w:val="0"/>
        <w:autoSpaceDE w:val="0"/>
        <w:autoSpaceDN w:val="0"/>
        <w:adjustRightInd w:val="0"/>
        <w:spacing w:line="240" w:lineRule="auto"/>
        <w:jc w:val="both"/>
        <w:textAlignment w:val="baseline"/>
        <w:rPr>
          <w:rFonts w:ascii="Arial" w:hAnsi="Arial" w:cs="Arial"/>
          <w:sz w:val="24"/>
          <w:szCs w:val="24"/>
        </w:rPr>
      </w:pPr>
    </w:p>
    <w:p w14:paraId="48928C68">
      <w:pPr>
        <w:widowControl w:val="0"/>
        <w:autoSpaceDE w:val="0"/>
        <w:autoSpaceDN w:val="0"/>
        <w:adjustRightInd w:val="0"/>
        <w:spacing w:line="240" w:lineRule="auto"/>
        <w:jc w:val="both"/>
        <w:textAlignment w:val="baseline"/>
        <w:rPr>
          <w:rFonts w:ascii="Arial" w:hAnsi="Arial" w:cs="Arial"/>
          <w:sz w:val="24"/>
          <w:szCs w:val="24"/>
        </w:rPr>
      </w:pPr>
    </w:p>
    <w:p w14:paraId="39214C39">
      <w:pPr>
        <w:widowControl w:val="0"/>
        <w:autoSpaceDE w:val="0"/>
        <w:autoSpaceDN w:val="0"/>
        <w:adjustRightInd w:val="0"/>
        <w:spacing w:line="240" w:lineRule="auto"/>
        <w:jc w:val="both"/>
        <w:textAlignment w:val="baseline"/>
        <w:rPr>
          <w:rFonts w:ascii="Arial" w:hAnsi="Arial" w:cs="Arial"/>
          <w:sz w:val="24"/>
          <w:szCs w:val="24"/>
        </w:rPr>
      </w:pPr>
    </w:p>
    <w:p w14:paraId="4D75FA67">
      <w:pPr>
        <w:widowControl w:val="0"/>
        <w:autoSpaceDE w:val="0"/>
        <w:autoSpaceDN w:val="0"/>
        <w:adjustRightInd w:val="0"/>
        <w:spacing w:line="240" w:lineRule="auto"/>
        <w:jc w:val="both"/>
        <w:textAlignment w:val="baseline"/>
        <w:rPr>
          <w:rFonts w:ascii="Arial" w:hAnsi="Arial" w:cs="Arial"/>
          <w:sz w:val="24"/>
          <w:szCs w:val="24"/>
        </w:rPr>
      </w:pPr>
    </w:p>
    <w:p w14:paraId="2FDE18BD">
      <w:pPr>
        <w:spacing w:line="240" w:lineRule="auto"/>
        <w:jc w:val="center"/>
        <w:rPr>
          <w:rFonts w:ascii="Arial" w:hAnsi="Arial" w:cs="Arial"/>
          <w:sz w:val="24"/>
          <w:szCs w:val="24"/>
        </w:rPr>
      </w:pPr>
      <w:r>
        <w:rPr>
          <w:rFonts w:ascii="Arial" w:hAnsi="Arial"/>
          <w:b/>
          <w:snapToGrid w:val="0"/>
          <w:sz w:val="24"/>
        </w:rPr>
        <w:t>ANEXO XIII – ESTUDO TÉCNICO PRELIMINAR</w:t>
      </w:r>
    </w:p>
    <w:p w14:paraId="1D56123F">
      <w:pPr>
        <w:spacing w:after="120" w:line="360" w:lineRule="auto"/>
        <w:ind w:right="91"/>
        <w:jc w:val="center"/>
        <w:rPr>
          <w:rFonts w:ascii="Arial" w:hAnsi="Arial" w:cs="Arial"/>
          <w:b/>
          <w:sz w:val="26"/>
          <w:szCs w:val="26"/>
        </w:rPr>
      </w:pPr>
      <w:r>
        <w:rPr>
          <w:rFonts w:ascii="Arial" w:hAnsi="Arial" w:cs="Arial"/>
          <w:b/>
          <w:sz w:val="26"/>
          <w:szCs w:val="26"/>
        </w:rPr>
        <w:t>PROTOCOLO 29068/2025</w:t>
      </w:r>
    </w:p>
    <w:p w14:paraId="52F33E52">
      <w:pPr>
        <w:spacing w:after="120" w:line="360" w:lineRule="auto"/>
        <w:ind w:right="91"/>
        <w:jc w:val="both"/>
        <w:rPr>
          <w:rFonts w:ascii="Arial" w:hAnsi="Arial" w:cs="Arial"/>
          <w:b/>
          <w:sz w:val="26"/>
          <w:szCs w:val="26"/>
        </w:rPr>
      </w:pPr>
      <w:r>
        <w:rPr>
          <w:rFonts w:ascii="Arial" w:hAnsi="Arial" w:cs="Arial"/>
          <w:b/>
          <w:sz w:val="26"/>
          <w:szCs w:val="26"/>
        </w:rPr>
        <w:t>INTRODUÇÃO</w:t>
      </w:r>
    </w:p>
    <w:p w14:paraId="58AAAAC0">
      <w:pPr>
        <w:spacing w:after="0" w:line="360" w:lineRule="auto"/>
        <w:ind w:left="61" w:right="92" w:firstLine="412"/>
        <w:jc w:val="both"/>
        <w:rPr>
          <w:rFonts w:ascii="Arial" w:hAnsi="Arial" w:cs="Arial"/>
          <w:sz w:val="24"/>
          <w:szCs w:val="24"/>
        </w:rPr>
      </w:pPr>
      <w:r>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26657539">
      <w:pPr>
        <w:spacing w:after="0" w:line="360" w:lineRule="auto"/>
        <w:rPr>
          <w:rFonts w:ascii="Arial" w:hAnsi="Arial" w:cs="Arial"/>
          <w:b/>
          <w:sz w:val="24"/>
          <w:szCs w:val="24"/>
        </w:rPr>
      </w:pPr>
    </w:p>
    <w:p w14:paraId="1D4ECDA5">
      <w:pPr>
        <w:pStyle w:val="40"/>
        <w:spacing w:after="120" w:line="360" w:lineRule="auto"/>
        <w:ind w:left="0" w:right="91"/>
        <w:jc w:val="both"/>
        <w:rPr>
          <w:rFonts w:ascii="Arial" w:hAnsi="Arial" w:cs="Arial"/>
          <w:b/>
          <w:sz w:val="26"/>
          <w:szCs w:val="26"/>
        </w:rPr>
      </w:pPr>
      <w:r>
        <w:rPr>
          <w:rFonts w:ascii="Arial" w:hAnsi="Arial" w:cs="Arial"/>
          <w:b/>
          <w:sz w:val="26"/>
          <w:szCs w:val="26"/>
        </w:rPr>
        <w:t>1. DESCRIÇÃO DA NECESSIDADE</w:t>
      </w:r>
    </w:p>
    <w:p w14:paraId="733406C9">
      <w:pPr>
        <w:spacing w:after="0" w:line="360" w:lineRule="auto"/>
        <w:ind w:left="61" w:right="92" w:firstLine="412"/>
        <w:jc w:val="both"/>
        <w:rPr>
          <w:rFonts w:ascii="Arial" w:hAnsi="Arial" w:cs="Arial"/>
          <w:sz w:val="24"/>
          <w:szCs w:val="24"/>
        </w:rPr>
      </w:pPr>
      <w:r>
        <w:rPr>
          <w:rFonts w:ascii="Arial" w:hAnsi="Arial" w:cs="Arial"/>
          <w:sz w:val="24"/>
          <w:szCs w:val="24"/>
        </w:rPr>
        <w:t>A aquisição e contratação de medicamentos desempenha um papel crucial no sistema de saúde e no atendimento às necessidades da população. Num cenário em que o acesso a cuidados de saúde de qualidade é um direito fundamental, a disponibilidade e a acessibilidade a medicamentos são elementos-chave para a promoção da saúde pública.</w:t>
      </w:r>
    </w:p>
    <w:p w14:paraId="2DF530AD">
      <w:pPr>
        <w:spacing w:after="0" w:line="360" w:lineRule="auto"/>
        <w:ind w:left="61" w:right="92" w:firstLine="412"/>
        <w:jc w:val="both"/>
        <w:rPr>
          <w:rFonts w:ascii="Arial" w:hAnsi="Arial" w:cs="Arial"/>
          <w:sz w:val="24"/>
          <w:szCs w:val="24"/>
        </w:rPr>
      </w:pPr>
      <w:r>
        <w:rPr>
          <w:rFonts w:ascii="Arial" w:hAnsi="Arial" w:cs="Arial"/>
          <w:sz w:val="24"/>
          <w:szCs w:val="24"/>
        </w:rPr>
        <w:t>Os medicamentos são tidos como a espinha dorsal da terapia médica e da gestão de doenças. Eles desempenham um papel vital no tratamento de condições agudas e crônicas, no controle de sintomas, na prevenção de enfermidades e, em muitos casos, na preservação da vida. A garantia de que a população tenha acesso a medicamentos essenciais é uma premissa básica e essencial de todo e qualquer Sistema de Saúde. A qualidade e a disponibilidade desses produtos impactam diretamente na segurança e na eficácia dos cuidados em saúde.</w:t>
      </w:r>
    </w:p>
    <w:p w14:paraId="325926CE">
      <w:pPr>
        <w:spacing w:after="0" w:line="360" w:lineRule="auto"/>
        <w:ind w:left="61" w:right="92" w:firstLine="412"/>
        <w:jc w:val="both"/>
        <w:rPr>
          <w:rFonts w:ascii="Arial" w:hAnsi="Arial" w:cs="Arial"/>
          <w:sz w:val="24"/>
          <w:szCs w:val="24"/>
        </w:rPr>
      </w:pPr>
      <w:r>
        <w:rPr>
          <w:rFonts w:ascii="Arial" w:hAnsi="Arial" w:cs="Arial"/>
          <w:sz w:val="24"/>
          <w:szCs w:val="24"/>
        </w:rPr>
        <w:t>Nesse contexto, a aquisição e a contratação criteriosa de medicamentos são determinantes para a garantia da melhoria da qualidade de vida e do bem-estar da sociedade como um todo. Processos de aquisição transparentes e eficientes desempenham um papel vital na gestão eficaz dos recursos públicos, fortalecendo a sustentabilidade do sistema de saúde e promovendo uma abordagem responsável na prestação de cuidados de saúde.</w:t>
      </w:r>
    </w:p>
    <w:p w14:paraId="21326B07">
      <w:pPr>
        <w:spacing w:after="0" w:line="360" w:lineRule="auto"/>
        <w:ind w:left="61" w:right="92" w:firstLine="412"/>
        <w:jc w:val="both"/>
        <w:rPr>
          <w:rFonts w:ascii="Arial" w:hAnsi="Arial" w:cs="Arial"/>
          <w:color w:val="FF0000"/>
          <w:sz w:val="24"/>
          <w:szCs w:val="24"/>
        </w:rPr>
      </w:pPr>
    </w:p>
    <w:p w14:paraId="2640BC3E">
      <w:pPr>
        <w:spacing w:after="0" w:line="360" w:lineRule="auto"/>
        <w:jc w:val="both"/>
        <w:rPr>
          <w:rFonts w:ascii="Arial" w:hAnsi="Arial" w:cs="Arial"/>
          <w:sz w:val="24"/>
          <w:szCs w:val="24"/>
        </w:rPr>
      </w:pPr>
      <w:r>
        <w:rPr>
          <w:rFonts w:ascii="Arial" w:hAnsi="Arial" w:cs="Arial"/>
          <w:color w:val="FF0000"/>
          <w:sz w:val="24"/>
          <w:szCs w:val="24"/>
        </w:rPr>
        <w:t xml:space="preserve">      </w:t>
      </w:r>
      <w:r>
        <w:rPr>
          <w:rFonts w:ascii="Arial" w:hAnsi="Arial" w:cs="Arial"/>
          <w:sz w:val="24"/>
          <w:szCs w:val="24"/>
        </w:rPr>
        <w:t>Os medicamentos cardiovasculares são fundamentais para o tratamento e controle de diversas doenças do coração e dos vasos sanguíneos, como hipertensão, insuficiência cardíaca, arritmias, angina e colesterol elevado. Os itens 02 e 03 ficaram desertos nos pregões eletrônico nº 209 e 224 / 2024 e nº 100/2025; e o item 09 ficou deserto no pregão eletrônico nº 224/2024.</w:t>
      </w:r>
    </w:p>
    <w:p w14:paraId="1C82620E">
      <w:pPr>
        <w:spacing w:after="0" w:line="360" w:lineRule="auto"/>
        <w:ind w:firstLine="426"/>
        <w:jc w:val="both"/>
        <w:rPr>
          <w:rFonts w:ascii="Arial" w:hAnsi="Arial" w:cs="Arial"/>
          <w:sz w:val="24"/>
          <w:szCs w:val="24"/>
        </w:rPr>
      </w:pPr>
      <w:r>
        <w:rPr>
          <w:rFonts w:ascii="Arial" w:hAnsi="Arial" w:cs="Arial"/>
          <w:sz w:val="24"/>
          <w:szCs w:val="24"/>
        </w:rPr>
        <w:t>Os medicamentos que agem no aparelho respiratório são essenciais no tratamento de uma série de condições que afetam os pulmões e as vias aéreas, como asma, doença pulmonar obstrutiva crônica (DPOC), bronquite, enfisema e infecções respiratórias. O item nº 11 ficou deserto nos pregões nº 224/24 e nº 100/2025.</w:t>
      </w:r>
    </w:p>
    <w:p w14:paraId="50F86A28">
      <w:pPr>
        <w:spacing w:after="0" w:line="360" w:lineRule="auto"/>
        <w:ind w:firstLine="426"/>
        <w:jc w:val="both"/>
        <w:rPr>
          <w:rFonts w:ascii="Arial" w:hAnsi="Arial" w:cs="Arial"/>
          <w:sz w:val="24"/>
          <w:szCs w:val="24"/>
        </w:rPr>
      </w:pPr>
      <w:r>
        <w:rPr>
          <w:rFonts w:ascii="Arial" w:hAnsi="Arial" w:cs="Arial"/>
          <w:sz w:val="24"/>
          <w:szCs w:val="24"/>
        </w:rPr>
        <w:t>Os medicamentos oncológicos são fármacos que agem a partir de diferentes mecanismos de ação, com objetivo de danificar ou mesmo destruir as células cancerosas de alta replicação. O item 04 ficou deserto nos pregões eletrônico nº 134 e 209 / 2024 e nº 100/2025.</w:t>
      </w:r>
    </w:p>
    <w:p w14:paraId="650D6DC6">
      <w:pPr>
        <w:spacing w:after="0" w:line="360" w:lineRule="auto"/>
        <w:ind w:firstLine="426"/>
        <w:jc w:val="both"/>
        <w:rPr>
          <w:rFonts w:ascii="Arial" w:hAnsi="Arial" w:cs="Arial"/>
          <w:color w:val="474747"/>
          <w:sz w:val="24"/>
          <w:szCs w:val="24"/>
          <w:shd w:val="clear" w:color="auto" w:fill="FFFFFF"/>
        </w:rPr>
      </w:pPr>
      <w:r>
        <w:rPr>
          <w:rFonts w:ascii="Arial" w:hAnsi="Arial" w:cs="Arial"/>
          <w:color w:val="474747"/>
          <w:sz w:val="24"/>
          <w:szCs w:val="24"/>
          <w:shd w:val="clear" w:color="auto" w:fill="FFFFFF"/>
        </w:rPr>
        <w:t>Os medicamentos hormonais são para atender as pacientes do programa da saúde da mulher, fazendo reposição hormonal, aliviando os sintomas comuns que acompanham o período da menopausa. O item 07 ficou deserto nos pregões eletrônico nº 183/2024, 01 e 100/2025.</w:t>
      </w:r>
    </w:p>
    <w:p w14:paraId="4F393EB0">
      <w:pPr>
        <w:spacing w:after="0" w:line="360" w:lineRule="auto"/>
        <w:ind w:firstLine="426"/>
        <w:jc w:val="both"/>
        <w:rPr>
          <w:rFonts w:ascii="Arial" w:hAnsi="Arial" w:cs="Arial"/>
          <w:sz w:val="24"/>
          <w:szCs w:val="24"/>
        </w:rPr>
      </w:pPr>
      <w:r>
        <w:rPr>
          <w:rFonts w:ascii="Arial" w:hAnsi="Arial" w:cs="Arial"/>
          <w:color w:val="474747"/>
          <w:sz w:val="24"/>
          <w:szCs w:val="24"/>
          <w:shd w:val="clear" w:color="auto" w:fill="FFFFFF"/>
        </w:rPr>
        <w:t xml:space="preserve">Os medicamentos oftalmológicos são medicamentos tópico utilizado para tratar uma série de condições oculares, como conjuntivite, olho seco, alergias oculares, infecções e glaucoma. </w:t>
      </w:r>
      <w:r>
        <w:rPr>
          <w:rFonts w:ascii="Arial" w:hAnsi="Arial" w:cs="Arial"/>
          <w:sz w:val="24"/>
          <w:szCs w:val="24"/>
        </w:rPr>
        <w:t>O item 10 ficou deserto nos pregões eletrônico nº 183/2024, 01 e 100/2025.</w:t>
      </w:r>
    </w:p>
    <w:p w14:paraId="6226C625">
      <w:pPr>
        <w:spacing w:after="0" w:line="360" w:lineRule="auto"/>
        <w:ind w:right="91"/>
        <w:jc w:val="both"/>
        <w:rPr>
          <w:rFonts w:ascii="Arial" w:hAnsi="Arial" w:cs="Arial"/>
          <w:b/>
          <w:sz w:val="24"/>
          <w:szCs w:val="24"/>
        </w:rPr>
      </w:pPr>
    </w:p>
    <w:p w14:paraId="048C5BFA">
      <w:pPr>
        <w:spacing w:after="120" w:line="360" w:lineRule="auto"/>
        <w:ind w:right="91"/>
        <w:jc w:val="both"/>
        <w:rPr>
          <w:rFonts w:ascii="Arial" w:hAnsi="Arial" w:cs="Arial"/>
          <w:b/>
          <w:sz w:val="26"/>
          <w:szCs w:val="26"/>
        </w:rPr>
      </w:pPr>
      <w:r>
        <w:rPr>
          <w:rFonts w:ascii="Arial" w:hAnsi="Arial" w:cs="Arial"/>
          <w:b/>
          <w:sz w:val="26"/>
          <w:szCs w:val="26"/>
        </w:rPr>
        <w:t>2. PREVISÃO NO PLANO DE CONTRATAÇÕES ANUAL</w:t>
      </w:r>
    </w:p>
    <w:p w14:paraId="17B133D4">
      <w:pPr>
        <w:spacing w:after="0" w:line="360" w:lineRule="auto"/>
        <w:ind w:left="61" w:right="92" w:firstLine="412"/>
        <w:jc w:val="both"/>
        <w:rPr>
          <w:rFonts w:ascii="Arial" w:hAnsi="Arial" w:cs="Arial"/>
          <w:sz w:val="24"/>
          <w:szCs w:val="24"/>
        </w:rPr>
      </w:pPr>
      <w:r>
        <w:rPr>
          <w:rFonts w:ascii="Arial" w:hAnsi="Arial" w:cs="Arial"/>
          <w:sz w:val="24"/>
          <w:szCs w:val="24"/>
        </w:rPr>
        <w:t>A presente aquisição/contratação foi prevista no Plano de Contratações Anual (PCA) de 2025, conforme edição de Diário Oficial do município nº 2.385 de 03 de outubro de 2024, disponível em:  https://www.paulinia.sp.gov.br/portal/diario-oficial/ver/1461.</w:t>
      </w:r>
    </w:p>
    <w:p w14:paraId="041E13BA">
      <w:pPr>
        <w:spacing w:after="0" w:line="360" w:lineRule="auto"/>
        <w:ind w:right="91"/>
        <w:jc w:val="both"/>
        <w:rPr>
          <w:rFonts w:ascii="Arial" w:hAnsi="Arial" w:cs="Arial"/>
          <w:b/>
          <w:sz w:val="24"/>
          <w:szCs w:val="24"/>
        </w:rPr>
      </w:pPr>
    </w:p>
    <w:p w14:paraId="10E77388">
      <w:pPr>
        <w:spacing w:after="120" w:line="360" w:lineRule="auto"/>
        <w:ind w:right="102"/>
        <w:jc w:val="both"/>
        <w:rPr>
          <w:rFonts w:ascii="Arial" w:hAnsi="Arial" w:cs="Arial"/>
          <w:b/>
          <w:sz w:val="26"/>
          <w:szCs w:val="26"/>
        </w:rPr>
      </w:pPr>
      <w:r>
        <w:rPr>
          <w:rFonts w:ascii="Arial" w:hAnsi="Arial" w:cs="Arial"/>
          <w:b/>
          <w:sz w:val="26"/>
          <w:szCs w:val="26"/>
        </w:rPr>
        <w:t>3. DEMONSTRATIVO DOS RESULTADOS PRETENDIDOS</w:t>
      </w:r>
    </w:p>
    <w:p w14:paraId="1A47DB49">
      <w:pPr>
        <w:ind w:firstLine="567"/>
        <w:rPr>
          <w:rFonts w:ascii="Arial" w:hAnsi="Arial" w:cs="Arial"/>
          <w:sz w:val="24"/>
          <w:szCs w:val="24"/>
        </w:rPr>
      </w:pPr>
      <w:r>
        <w:rPr>
          <w:rFonts w:ascii="Arial" w:hAnsi="Arial" w:cs="Arial"/>
          <w:sz w:val="24"/>
          <w:szCs w:val="24"/>
        </w:rPr>
        <w:t>Com a presente aquisição, objetiva-se a concretização dos seguintes resultados:</w:t>
      </w:r>
    </w:p>
    <w:p w14:paraId="51B43FCF">
      <w:pPr>
        <w:pStyle w:val="40"/>
        <w:numPr>
          <w:ilvl w:val="0"/>
          <w:numId w:val="22"/>
        </w:numPr>
        <w:spacing w:after="0" w:line="360" w:lineRule="auto"/>
        <w:ind w:left="714" w:hanging="357"/>
        <w:jc w:val="both"/>
        <w:rPr>
          <w:rFonts w:ascii="Arial" w:hAnsi="Arial" w:cs="Arial"/>
        </w:rPr>
      </w:pPr>
      <w:r>
        <w:rPr>
          <w:rFonts w:ascii="Arial" w:hAnsi="Arial" w:cs="Arial"/>
        </w:rPr>
        <w:t>Garantir o atendimento seguro e sustentável do arsenal terapêutico pela assistência farmacêutica.</w:t>
      </w:r>
    </w:p>
    <w:p w14:paraId="0B00BC33">
      <w:pPr>
        <w:pStyle w:val="40"/>
        <w:numPr>
          <w:ilvl w:val="0"/>
          <w:numId w:val="22"/>
        </w:numPr>
        <w:spacing w:after="0" w:line="360" w:lineRule="auto"/>
        <w:ind w:left="714" w:hanging="357"/>
        <w:jc w:val="both"/>
        <w:rPr>
          <w:rFonts w:ascii="Arial" w:hAnsi="Arial" w:cs="Arial"/>
        </w:rPr>
      </w:pPr>
      <w:r>
        <w:rPr>
          <w:rFonts w:ascii="Arial" w:hAnsi="Arial" w:cs="Arial"/>
        </w:rPr>
        <w:t>Garantir a sustentabilidade do Sistema de Saúde municipal através da aquisição criteriosa de medicamentos, permitindo que os recursos públicos sejam alocados de maneira eficaz e eficiente.</w:t>
      </w:r>
    </w:p>
    <w:p w14:paraId="36409565">
      <w:pPr>
        <w:pStyle w:val="40"/>
        <w:numPr>
          <w:ilvl w:val="0"/>
          <w:numId w:val="22"/>
        </w:numPr>
        <w:spacing w:after="0" w:line="360" w:lineRule="auto"/>
        <w:ind w:right="100"/>
        <w:jc w:val="both"/>
        <w:rPr>
          <w:rFonts w:ascii="Arial" w:hAnsi="Arial" w:cs="Arial"/>
        </w:rPr>
      </w:pPr>
      <w:r>
        <w:rPr>
          <w:rFonts w:ascii="Arial" w:hAnsi="Arial" w:cs="Arial"/>
        </w:rPr>
        <w:t>Viabilizar processos de aquisição eficientes e transparentes que resultem na melhor gestão dos recursos públicos destinados à saúde, fomentando a responsabilidade fiscal e o uso adequado dos investimentos.</w:t>
      </w:r>
    </w:p>
    <w:p w14:paraId="66B00540">
      <w:pPr>
        <w:spacing w:after="0" w:line="360" w:lineRule="auto"/>
        <w:ind w:right="102"/>
        <w:jc w:val="both"/>
        <w:rPr>
          <w:rFonts w:ascii="Arial" w:hAnsi="Arial" w:cs="Arial"/>
          <w:b/>
          <w:sz w:val="24"/>
        </w:rPr>
      </w:pPr>
    </w:p>
    <w:p w14:paraId="09C665FC">
      <w:pPr>
        <w:spacing w:after="120" w:line="360" w:lineRule="auto"/>
        <w:ind w:right="102"/>
        <w:jc w:val="both"/>
        <w:rPr>
          <w:rFonts w:ascii="Arial" w:hAnsi="Arial" w:cs="Arial"/>
          <w:b/>
          <w:sz w:val="26"/>
          <w:szCs w:val="26"/>
        </w:rPr>
      </w:pPr>
      <w:r>
        <w:rPr>
          <w:rFonts w:ascii="Arial" w:hAnsi="Arial" w:cs="Arial"/>
          <w:b/>
          <w:sz w:val="26"/>
          <w:szCs w:val="26"/>
        </w:rPr>
        <w:t>4. LEVANTAMENTO DE MERCADO</w:t>
      </w:r>
    </w:p>
    <w:p w14:paraId="1B432015">
      <w:pPr>
        <w:spacing w:after="0"/>
        <w:ind w:firstLine="567"/>
        <w:rPr>
          <w:rFonts w:ascii="Arial" w:hAnsi="Arial" w:cs="Arial"/>
          <w:sz w:val="24"/>
          <w:szCs w:val="24"/>
        </w:rPr>
      </w:pPr>
      <w:r>
        <w:rPr>
          <w:rFonts w:ascii="Arial" w:hAnsi="Arial" w:cs="Arial"/>
          <w:sz w:val="24"/>
          <w:szCs w:val="24"/>
        </w:rPr>
        <w:t>Não se aplica à presente contratação.</w:t>
      </w:r>
    </w:p>
    <w:p w14:paraId="79328D8F">
      <w:pPr>
        <w:spacing w:after="0" w:line="360" w:lineRule="auto"/>
        <w:ind w:right="102"/>
        <w:jc w:val="both"/>
        <w:rPr>
          <w:rFonts w:ascii="Arial" w:hAnsi="Arial" w:cs="Arial"/>
          <w:b/>
          <w:sz w:val="24"/>
        </w:rPr>
      </w:pPr>
    </w:p>
    <w:p w14:paraId="236D8F2D">
      <w:pPr>
        <w:spacing w:after="120" w:line="360" w:lineRule="auto"/>
        <w:ind w:right="102"/>
        <w:jc w:val="both"/>
        <w:rPr>
          <w:rFonts w:ascii="Arial" w:hAnsi="Arial" w:cs="Arial"/>
          <w:b/>
          <w:sz w:val="26"/>
          <w:szCs w:val="26"/>
        </w:rPr>
      </w:pPr>
      <w:r>
        <w:rPr>
          <w:rFonts w:ascii="Arial" w:hAnsi="Arial" w:cs="Arial"/>
          <w:b/>
          <w:sz w:val="26"/>
          <w:szCs w:val="26"/>
        </w:rPr>
        <w:t>5. DESCRIÇÃO DA SOLUÇÃO COMO UM TODO</w:t>
      </w:r>
    </w:p>
    <w:p w14:paraId="3D1A7E4D">
      <w:pPr>
        <w:spacing w:after="0" w:line="360" w:lineRule="auto"/>
        <w:ind w:right="102" w:firstLine="425"/>
        <w:jc w:val="both"/>
        <w:rPr>
          <w:rFonts w:ascii="Arial" w:hAnsi="Arial" w:cs="Arial"/>
          <w:sz w:val="24"/>
          <w:szCs w:val="24"/>
        </w:rPr>
      </w:pPr>
      <w:r>
        <w:rPr>
          <w:rFonts w:ascii="Arial" w:hAnsi="Arial" w:cs="Arial"/>
          <w:sz w:val="24"/>
          <w:szCs w:val="24"/>
        </w:rPr>
        <w:t>No contexto do presente objeto - bens comuns cujos atributos essenciais possuem forma objetiva e uniforme, com especificações e padrões de qualidade usuais encontrados no mercado e definidos no edital -, levando-se em conta aspectos de economicidade, eficácia, eficiência e padronização, a única solução viável a ser adotada é a aquisição dos produtos nos quantitativos e de acordo com os descritivos estabelecidos no Termo de Referência, e conforme os requisitos e critérios descritos no item 6 deste Estudo.</w:t>
      </w:r>
    </w:p>
    <w:p w14:paraId="3C6C185B">
      <w:pPr>
        <w:spacing w:after="0" w:line="360" w:lineRule="auto"/>
        <w:ind w:right="100" w:firstLine="426"/>
        <w:jc w:val="both"/>
        <w:rPr>
          <w:rFonts w:ascii="Arial" w:hAnsi="Arial" w:cs="Arial"/>
          <w:sz w:val="24"/>
          <w:szCs w:val="24"/>
        </w:rPr>
      </w:pPr>
      <w:r>
        <w:rPr>
          <w:rFonts w:ascii="Arial" w:hAnsi="Arial" w:cs="Arial"/>
          <w:sz w:val="24"/>
          <w:szCs w:val="24"/>
        </w:rPr>
        <w:t>Na aquisição em tela não foram identificadas situações específicas ou complexidades técnicas do objeto que ensejem outras providências.</w:t>
      </w:r>
    </w:p>
    <w:p w14:paraId="19EF205F">
      <w:pPr>
        <w:spacing w:after="0" w:line="360" w:lineRule="auto"/>
        <w:ind w:right="102"/>
        <w:jc w:val="both"/>
        <w:rPr>
          <w:rFonts w:ascii="Arial" w:hAnsi="Arial" w:cs="Arial"/>
          <w:b/>
          <w:sz w:val="24"/>
        </w:rPr>
      </w:pPr>
    </w:p>
    <w:p w14:paraId="05B990AA">
      <w:pPr>
        <w:spacing w:after="120" w:line="360" w:lineRule="auto"/>
        <w:ind w:right="102"/>
        <w:jc w:val="both"/>
        <w:rPr>
          <w:rFonts w:ascii="Arial" w:hAnsi="Arial" w:cs="Arial"/>
          <w:b/>
          <w:sz w:val="26"/>
          <w:szCs w:val="26"/>
        </w:rPr>
      </w:pPr>
      <w:r>
        <w:rPr>
          <w:rFonts w:ascii="Arial" w:hAnsi="Arial" w:cs="Arial"/>
          <w:b/>
          <w:sz w:val="26"/>
          <w:szCs w:val="26"/>
        </w:rPr>
        <w:t>6. REQUISITOS DA CONTRATAÇÃO E EXECUÇÃO DO OBJETO</w:t>
      </w:r>
    </w:p>
    <w:p w14:paraId="3AEF8D6B">
      <w:pPr>
        <w:spacing w:after="120" w:line="360" w:lineRule="auto"/>
        <w:ind w:right="102"/>
        <w:jc w:val="both"/>
        <w:rPr>
          <w:rFonts w:ascii="Arial" w:hAnsi="Arial" w:cs="Arial"/>
          <w:b/>
          <w:sz w:val="24"/>
          <w:szCs w:val="24"/>
        </w:rPr>
      </w:pPr>
      <w:r>
        <w:rPr>
          <w:rFonts w:ascii="Arial" w:hAnsi="Arial" w:cs="Arial"/>
          <w:b/>
          <w:sz w:val="24"/>
          <w:szCs w:val="24"/>
        </w:rPr>
        <w:t>6.1 OBJETO</w:t>
      </w:r>
    </w:p>
    <w:p w14:paraId="13111C8A">
      <w:pPr>
        <w:spacing w:after="0" w:line="360" w:lineRule="auto"/>
        <w:ind w:right="102" w:firstLine="425"/>
        <w:jc w:val="both"/>
        <w:rPr>
          <w:rFonts w:ascii="Arial" w:hAnsi="Arial" w:cs="Arial"/>
          <w:sz w:val="24"/>
          <w:szCs w:val="24"/>
        </w:rPr>
      </w:pPr>
      <w:r>
        <w:rPr>
          <w:rFonts w:ascii="Arial" w:hAnsi="Arial" w:cs="Arial"/>
          <w:sz w:val="24"/>
          <w:szCs w:val="24"/>
        </w:rPr>
        <w:t>6.1.1. Conforme apresentado no item “5” acima, a presente demanda terá por objeto o Registro de Preços de Medicamentos Padronizados.</w:t>
      </w:r>
    </w:p>
    <w:p w14:paraId="1280855F">
      <w:pPr>
        <w:spacing w:after="0" w:line="360" w:lineRule="auto"/>
        <w:ind w:right="102" w:firstLine="425"/>
        <w:jc w:val="both"/>
        <w:rPr>
          <w:rFonts w:ascii="Arial" w:hAnsi="Arial" w:cs="Arial"/>
          <w:sz w:val="24"/>
          <w:szCs w:val="24"/>
        </w:rPr>
      </w:pPr>
      <w:r>
        <w:rPr>
          <w:rFonts w:ascii="Arial" w:hAnsi="Arial" w:cs="Arial"/>
          <w:sz w:val="24"/>
          <w:szCs w:val="24"/>
        </w:rPr>
        <w:t>6.1.2. Todos os produtos ofertados deverão estar em conformidade com a Lei nº 6.360, de 23 de setembro de 1976.</w:t>
      </w:r>
    </w:p>
    <w:p w14:paraId="67893991">
      <w:pPr>
        <w:spacing w:after="0" w:line="360" w:lineRule="auto"/>
        <w:ind w:right="102" w:firstLine="425"/>
        <w:jc w:val="both"/>
        <w:rPr>
          <w:rFonts w:ascii="Arial" w:hAnsi="Arial" w:cs="Arial"/>
          <w:sz w:val="24"/>
          <w:szCs w:val="24"/>
        </w:rPr>
      </w:pPr>
      <w:r>
        <w:rPr>
          <w:rFonts w:ascii="Arial" w:hAnsi="Arial" w:cs="Arial"/>
          <w:sz w:val="24"/>
          <w:szCs w:val="24"/>
        </w:rPr>
        <w:t>6.1.3. Os medicamentos cotados deverão estar obrigatoriamente registrados no Ministério da Saúde/ANVISA, visto que nenhum medicamento, inclusive os importados, poderá ser industrializado, exposto à venda ou entregue ao consumo antes de registrado no Ministério da Saúde, conforme art. 12 da Lei 6.360, de 23 de setembro de 1976.</w:t>
      </w:r>
    </w:p>
    <w:p w14:paraId="16726863">
      <w:pPr>
        <w:spacing w:after="0" w:line="360" w:lineRule="auto"/>
        <w:ind w:right="102" w:firstLine="425"/>
        <w:jc w:val="both"/>
        <w:rPr>
          <w:rFonts w:ascii="Arial" w:hAnsi="Arial" w:cs="Arial"/>
          <w:sz w:val="24"/>
          <w:szCs w:val="24"/>
        </w:rPr>
      </w:pPr>
      <w:r>
        <w:rPr>
          <w:rFonts w:ascii="Arial" w:hAnsi="Arial" w:cs="Arial"/>
          <w:sz w:val="24"/>
          <w:szCs w:val="24"/>
        </w:rPr>
        <w:t>6.1.4. Os licitantes deverão oferecer os medicamentos e produtos em saúde com validade mínima de 70% (setenta por cento) a partir da data de fabricação.</w:t>
      </w:r>
    </w:p>
    <w:p w14:paraId="3E1B6958">
      <w:pPr>
        <w:spacing w:after="0" w:line="360" w:lineRule="auto"/>
        <w:ind w:right="102" w:firstLine="425"/>
        <w:jc w:val="both"/>
        <w:rPr>
          <w:rFonts w:ascii="Arial" w:hAnsi="Arial" w:cs="Arial"/>
          <w:sz w:val="24"/>
          <w:szCs w:val="24"/>
        </w:rPr>
      </w:pPr>
      <w:r>
        <w:rPr>
          <w:rFonts w:ascii="Arial" w:hAnsi="Arial" w:cs="Arial"/>
          <w:sz w:val="24"/>
          <w:szCs w:val="24"/>
        </w:rPr>
        <w:t>6.1.5. Com aplicação exclusiva ao prazo de validade estabelecido no subitem acima, na hipótese de absoluta impossibilidade do cumprimento de tal condição, devidamente justificada e previamente avaliada pela instância gestora, o município poderá, em caráter de extrema excepcionalidade, admitir a entrega. Na hipótese de admissão da entrega, após análise técnica criteriosa, a DETENTORA deverá emitir carta de compromisso de troca referente ao quantitativo entregue fora do prazo estabelecido em edital, e fica obrigada, quando acionada, a proceder à imediata substituição do produto, em vista da inviabilidade de utilização dos produtos dentro do período de validade oferecido.</w:t>
      </w:r>
    </w:p>
    <w:p w14:paraId="3CA52478">
      <w:pPr>
        <w:spacing w:after="0" w:line="360" w:lineRule="auto"/>
        <w:ind w:right="102" w:firstLine="425"/>
        <w:jc w:val="both"/>
        <w:rPr>
          <w:rFonts w:ascii="Arial" w:hAnsi="Arial" w:cs="Arial"/>
          <w:sz w:val="24"/>
          <w:szCs w:val="24"/>
        </w:rPr>
      </w:pPr>
      <w:r>
        <w:rPr>
          <w:rFonts w:ascii="Arial" w:hAnsi="Arial" w:cs="Arial"/>
          <w:sz w:val="24"/>
          <w:szCs w:val="24"/>
        </w:rPr>
        <w:t>6.1.6. Qualquer menção a marca/modelo que por ventura conste deste Edital e seus anexos consiste em simples referência para cotação dos produtos solicitados, sendo que serão aceitos similares ou de tecnologia superior.</w:t>
      </w:r>
    </w:p>
    <w:p w14:paraId="2674DEB8">
      <w:pPr>
        <w:spacing w:after="0" w:line="360" w:lineRule="auto"/>
        <w:ind w:right="102" w:firstLine="425"/>
        <w:jc w:val="both"/>
        <w:rPr>
          <w:rFonts w:ascii="Arial" w:hAnsi="Arial" w:cs="Arial"/>
          <w:sz w:val="24"/>
          <w:szCs w:val="24"/>
        </w:rPr>
      </w:pPr>
      <w:r>
        <w:rPr>
          <w:rFonts w:ascii="Arial" w:hAnsi="Arial" w:cs="Arial"/>
          <w:sz w:val="24"/>
          <w:szCs w:val="24"/>
        </w:rPr>
        <w:t xml:space="preserve">6.1.7. As medidas constantes do presente Edital e seus anexos são aproximadas, admitindo-se variações permitidas pela Legislação específica. </w:t>
      </w:r>
    </w:p>
    <w:p w14:paraId="6C910B7D">
      <w:pPr>
        <w:spacing w:after="0" w:line="360" w:lineRule="auto"/>
        <w:ind w:right="102" w:firstLine="425"/>
        <w:jc w:val="both"/>
        <w:rPr>
          <w:rFonts w:ascii="Arial" w:hAnsi="Arial" w:cs="Arial"/>
          <w:sz w:val="24"/>
          <w:szCs w:val="24"/>
        </w:rPr>
      </w:pPr>
      <w:r>
        <w:rPr>
          <w:rFonts w:ascii="Arial" w:hAnsi="Arial" w:cs="Arial"/>
          <w:sz w:val="24"/>
          <w:szCs w:val="24"/>
        </w:rPr>
        <w:t xml:space="preserve">6.1.8. Admitir-se-ão variações em até 5% (cinco por cento), conforme normas da ABNT e desde que não desnaturem a característica do objeto e sua funcionalidade. </w:t>
      </w:r>
    </w:p>
    <w:p w14:paraId="1372A1AA">
      <w:pPr>
        <w:spacing w:after="0" w:line="360" w:lineRule="auto"/>
        <w:ind w:right="102" w:firstLine="425"/>
        <w:jc w:val="both"/>
        <w:rPr>
          <w:rFonts w:ascii="Arial" w:hAnsi="Arial" w:cs="Arial"/>
          <w:sz w:val="24"/>
          <w:szCs w:val="24"/>
        </w:rPr>
      </w:pPr>
      <w:r>
        <w:rPr>
          <w:rFonts w:ascii="Arial" w:hAnsi="Arial" w:cs="Arial"/>
          <w:sz w:val="24"/>
          <w:szCs w:val="24"/>
        </w:rPr>
        <w:t>6.1.9. Caso se apliquem outras variações em razão de normas da ABNT aos produtos licitados, estas normas deverão prevalecer.</w:t>
      </w:r>
    </w:p>
    <w:p w14:paraId="2FB0B5EC">
      <w:pPr>
        <w:spacing w:after="0" w:line="360" w:lineRule="auto"/>
        <w:ind w:right="102" w:firstLine="425"/>
        <w:jc w:val="both"/>
        <w:rPr>
          <w:rFonts w:ascii="Arial" w:hAnsi="Arial" w:cs="Arial"/>
          <w:sz w:val="24"/>
          <w:szCs w:val="24"/>
        </w:rPr>
      </w:pPr>
    </w:p>
    <w:p w14:paraId="293FFD4C">
      <w:pPr>
        <w:spacing w:after="120" w:line="360" w:lineRule="auto"/>
        <w:ind w:right="102"/>
        <w:jc w:val="both"/>
        <w:rPr>
          <w:rFonts w:ascii="Arial" w:hAnsi="Arial" w:cs="Arial"/>
          <w:b/>
          <w:sz w:val="24"/>
          <w:szCs w:val="24"/>
        </w:rPr>
      </w:pPr>
      <w:r>
        <w:rPr>
          <w:rFonts w:ascii="Arial" w:hAnsi="Arial" w:cs="Arial"/>
          <w:b/>
          <w:sz w:val="24"/>
          <w:szCs w:val="24"/>
        </w:rPr>
        <w:t>6.2 CRITÉRIOS DE ACEITAÇÃO DA PROPOSTA</w:t>
      </w:r>
    </w:p>
    <w:p w14:paraId="16E508EE">
      <w:pPr>
        <w:spacing w:after="0" w:line="360" w:lineRule="auto"/>
        <w:ind w:right="102" w:firstLine="425"/>
        <w:jc w:val="both"/>
        <w:rPr>
          <w:rFonts w:ascii="Arial" w:hAnsi="Arial" w:cs="Arial"/>
          <w:sz w:val="24"/>
          <w:szCs w:val="24"/>
        </w:rPr>
      </w:pPr>
      <w:r>
        <w:rPr>
          <w:rFonts w:ascii="Arial" w:hAnsi="Arial" w:cs="Arial"/>
          <w:sz w:val="24"/>
          <w:szCs w:val="24"/>
        </w:rPr>
        <w:t>6.2.1. A proposta final deverá estar assinada pelo Representante Legal da licitante, citado nos documentos de habilitação, em papel timbrado, em linguagem concisa, sem rasuras ou ressalvas, emendas, borrões ou entrelinhas que prejudiquem sua análise, conforme modelo do Anexo VIII, contendo os valores unitários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6B944E67">
      <w:pPr>
        <w:spacing w:after="0" w:line="360" w:lineRule="auto"/>
        <w:ind w:right="102" w:firstLine="425"/>
        <w:jc w:val="both"/>
        <w:rPr>
          <w:rFonts w:ascii="Arial" w:hAnsi="Arial" w:cs="Arial"/>
          <w:sz w:val="24"/>
          <w:szCs w:val="24"/>
        </w:rPr>
      </w:pPr>
      <w:r>
        <w:rPr>
          <w:rFonts w:ascii="Arial" w:hAnsi="Arial" w:cs="Arial"/>
          <w:sz w:val="24"/>
          <w:szCs w:val="24"/>
        </w:rPr>
        <w:t>6.2.2. Sem prejuízo dos demais elementos exigidos no edital e seus anexos, a proposta final deverá conter:</w:t>
      </w:r>
    </w:p>
    <w:p w14:paraId="3390AB3F">
      <w:pPr>
        <w:spacing w:after="0" w:line="360" w:lineRule="auto"/>
        <w:ind w:right="102" w:firstLine="425"/>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Nome do produto farmacêutico de acordo com a Denominação Comum Brasileira (DCB) ou Denominação Comum Internacional (DCI);</w:t>
      </w:r>
    </w:p>
    <w:p w14:paraId="50066408">
      <w:pPr>
        <w:spacing w:after="0" w:line="360" w:lineRule="auto"/>
        <w:ind w:right="102" w:firstLine="425"/>
        <w:jc w:val="both"/>
        <w:rPr>
          <w:rFonts w:ascii="Arial" w:hAnsi="Arial" w:cs="Arial"/>
          <w:sz w:val="24"/>
          <w:szCs w:val="24"/>
        </w:rPr>
      </w:pPr>
      <w:r>
        <w:rPr>
          <w:rFonts w:ascii="Arial" w:hAnsi="Arial" w:cs="Arial"/>
          <w:sz w:val="24"/>
          <w:szCs w:val="24"/>
        </w:rPr>
        <w:t>b) Nome comercial (marca) e nome do laboratório fabricante dos medicamentos ofertados;</w:t>
      </w:r>
    </w:p>
    <w:p w14:paraId="20386013">
      <w:pPr>
        <w:spacing w:after="0" w:line="360" w:lineRule="auto"/>
        <w:ind w:right="102" w:firstLine="425"/>
        <w:jc w:val="both"/>
        <w:rPr>
          <w:rFonts w:ascii="Arial" w:hAnsi="Arial" w:cs="Arial"/>
          <w:sz w:val="24"/>
          <w:szCs w:val="24"/>
        </w:rPr>
      </w:pPr>
      <w:r>
        <w:rPr>
          <w:rFonts w:ascii="Arial" w:hAnsi="Arial" w:cs="Arial"/>
          <w:sz w:val="24"/>
          <w:szCs w:val="24"/>
        </w:rPr>
        <w:t>c)</w:t>
      </w:r>
      <w:r>
        <w:rPr>
          <w:rFonts w:ascii="Arial" w:hAnsi="Arial" w:cs="Arial"/>
          <w:sz w:val="24"/>
          <w:szCs w:val="24"/>
        </w:rPr>
        <w:tab/>
      </w:r>
      <w:r>
        <w:rPr>
          <w:rFonts w:ascii="Arial" w:hAnsi="Arial" w:cs="Arial"/>
          <w:sz w:val="24"/>
          <w:szCs w:val="24"/>
        </w:rPr>
        <w:t>Número do registro no Ministério da Saúde / ANVISA;</w:t>
      </w:r>
    </w:p>
    <w:p w14:paraId="2DCA7239">
      <w:pPr>
        <w:spacing w:after="0" w:line="360" w:lineRule="auto"/>
        <w:ind w:right="102" w:firstLine="425"/>
        <w:jc w:val="both"/>
        <w:rPr>
          <w:rFonts w:ascii="Arial" w:hAnsi="Arial" w:cs="Arial"/>
          <w:sz w:val="24"/>
          <w:szCs w:val="24"/>
        </w:rPr>
      </w:pPr>
      <w:r>
        <w:rPr>
          <w:rFonts w:ascii="Arial" w:hAnsi="Arial" w:cs="Arial"/>
          <w:sz w:val="24"/>
          <w:szCs w:val="24"/>
        </w:rPr>
        <w:t>d)</w:t>
      </w:r>
      <w:r>
        <w:rPr>
          <w:rFonts w:ascii="Arial" w:hAnsi="Arial" w:cs="Arial"/>
          <w:sz w:val="24"/>
          <w:szCs w:val="24"/>
        </w:rPr>
        <w:tab/>
      </w:r>
      <w:r>
        <w:rPr>
          <w:rFonts w:ascii="Arial" w:hAnsi="Arial" w:cs="Arial"/>
          <w:sz w:val="24"/>
          <w:szCs w:val="24"/>
        </w:rPr>
        <w:t>Composição, peso, volume, tamanho, forma farmacêutica, via de administração e demais características aplicáveis e necessárias para a identificação inequívoca dos produtos;</w:t>
      </w:r>
    </w:p>
    <w:p w14:paraId="169A8582">
      <w:pPr>
        <w:spacing w:after="0" w:line="360" w:lineRule="auto"/>
        <w:ind w:right="102" w:firstLine="425"/>
        <w:jc w:val="both"/>
        <w:rPr>
          <w:rFonts w:ascii="Arial" w:hAnsi="Arial" w:cs="Arial"/>
          <w:sz w:val="24"/>
          <w:szCs w:val="24"/>
        </w:rPr>
      </w:pPr>
      <w:r>
        <w:rPr>
          <w:rFonts w:ascii="Arial" w:hAnsi="Arial" w:cs="Arial"/>
          <w:sz w:val="24"/>
          <w:szCs w:val="24"/>
        </w:rPr>
        <w:t>e)</w:t>
      </w:r>
      <w:r>
        <w:rPr>
          <w:rFonts w:ascii="Arial" w:hAnsi="Arial" w:cs="Arial"/>
          <w:sz w:val="24"/>
          <w:szCs w:val="24"/>
        </w:rPr>
        <w:tab/>
      </w:r>
      <w:r>
        <w:rPr>
          <w:rFonts w:ascii="Arial" w:hAnsi="Arial" w:cs="Arial"/>
          <w:sz w:val="24"/>
          <w:szCs w:val="24"/>
        </w:rPr>
        <w:t>Quantidade de unidades por embalagem.</w:t>
      </w:r>
    </w:p>
    <w:p w14:paraId="41009150">
      <w:pPr>
        <w:spacing w:after="0" w:line="360" w:lineRule="auto"/>
        <w:ind w:right="102" w:firstLine="425"/>
        <w:jc w:val="both"/>
        <w:rPr>
          <w:rFonts w:ascii="Arial" w:hAnsi="Arial" w:cs="Arial"/>
          <w:sz w:val="24"/>
          <w:szCs w:val="24"/>
        </w:rPr>
      </w:pPr>
      <w:r>
        <w:rPr>
          <w:rFonts w:ascii="Arial" w:hAnsi="Arial" w:cs="Arial"/>
          <w:sz w:val="24"/>
          <w:szCs w:val="24"/>
        </w:rPr>
        <w:t>6.2.3. O prazo de validade da proposta final não poderá ser inferior a 60 (sessenta) dias, a contar da abertura da licitação.</w:t>
      </w:r>
    </w:p>
    <w:p w14:paraId="4DD36FAC">
      <w:pPr>
        <w:spacing w:after="0" w:line="360" w:lineRule="auto"/>
        <w:ind w:right="102" w:firstLine="425"/>
        <w:jc w:val="both"/>
        <w:rPr>
          <w:rFonts w:ascii="Arial" w:hAnsi="Arial" w:cs="Arial"/>
          <w:sz w:val="24"/>
          <w:szCs w:val="24"/>
        </w:rPr>
      </w:pPr>
      <w:r>
        <w:rPr>
          <w:rFonts w:ascii="Arial" w:hAnsi="Arial" w:cs="Arial"/>
          <w:sz w:val="24"/>
          <w:szCs w:val="24"/>
        </w:rPr>
        <w:t>6.2.4. Não sendo indicado na proposta o prazo de validade, fica subentendido como de 60 (sessenta) dias.</w:t>
      </w:r>
    </w:p>
    <w:p w14:paraId="436FE982">
      <w:pPr>
        <w:spacing w:after="0" w:line="360" w:lineRule="auto"/>
        <w:ind w:right="102" w:firstLine="425"/>
        <w:jc w:val="both"/>
        <w:rPr>
          <w:rFonts w:ascii="Arial" w:hAnsi="Arial" w:cs="Arial"/>
          <w:sz w:val="24"/>
          <w:szCs w:val="24"/>
        </w:rPr>
      </w:pPr>
      <w:r>
        <w:rPr>
          <w:rFonts w:ascii="Arial" w:hAnsi="Arial" w:cs="Arial"/>
          <w:sz w:val="24"/>
          <w:szCs w:val="24"/>
        </w:rPr>
        <w:t>6.2.5. A proposta final deverá atender a todas as outras disposições constantes do Edital.</w:t>
      </w:r>
    </w:p>
    <w:p w14:paraId="375DF9C4">
      <w:pPr>
        <w:spacing w:after="0" w:line="360" w:lineRule="auto"/>
        <w:ind w:right="102" w:firstLine="425"/>
        <w:jc w:val="both"/>
        <w:rPr>
          <w:rFonts w:ascii="Arial" w:hAnsi="Arial" w:cs="Arial"/>
          <w:sz w:val="24"/>
          <w:szCs w:val="24"/>
        </w:rPr>
      </w:pPr>
    </w:p>
    <w:p w14:paraId="2B43B05E">
      <w:pPr>
        <w:spacing w:after="120" w:line="360" w:lineRule="auto"/>
        <w:ind w:right="102"/>
        <w:jc w:val="both"/>
        <w:rPr>
          <w:rFonts w:ascii="Arial" w:hAnsi="Arial" w:cs="Arial"/>
          <w:b/>
          <w:sz w:val="24"/>
          <w:szCs w:val="24"/>
        </w:rPr>
      </w:pPr>
      <w:r>
        <w:rPr>
          <w:rFonts w:ascii="Arial" w:hAnsi="Arial" w:cs="Arial"/>
          <w:b/>
          <w:sz w:val="24"/>
          <w:szCs w:val="24"/>
        </w:rPr>
        <w:t>6.3 HABILITAÇÃO</w:t>
      </w:r>
    </w:p>
    <w:p w14:paraId="5ED1C9A8">
      <w:pPr>
        <w:spacing w:after="0" w:line="360" w:lineRule="auto"/>
        <w:ind w:right="102" w:firstLine="425"/>
        <w:jc w:val="both"/>
        <w:rPr>
          <w:rFonts w:ascii="Arial" w:hAnsi="Arial" w:cs="Arial"/>
          <w:sz w:val="24"/>
          <w:szCs w:val="24"/>
        </w:rPr>
      </w:pPr>
      <w:r>
        <w:rPr>
          <w:rFonts w:ascii="Arial" w:hAnsi="Arial" w:cs="Arial"/>
          <w:sz w:val="24"/>
          <w:szCs w:val="24"/>
        </w:rPr>
        <w:t>Os licitantes deverão atender a todos os critérios para a habilitação jurídica, provas de regularidade fiscal, social trabalhista, habilitação econômico financeira e outras comprovações dispostas em edital.</w:t>
      </w:r>
    </w:p>
    <w:p w14:paraId="3132251F">
      <w:pPr>
        <w:spacing w:after="0" w:line="360" w:lineRule="auto"/>
        <w:ind w:right="102" w:firstLine="425"/>
        <w:jc w:val="both"/>
        <w:rPr>
          <w:rFonts w:ascii="Arial" w:hAnsi="Arial" w:cs="Arial"/>
          <w:sz w:val="24"/>
          <w:szCs w:val="24"/>
        </w:rPr>
      </w:pPr>
    </w:p>
    <w:p w14:paraId="6BC6F019">
      <w:pPr>
        <w:spacing w:after="120" w:line="360" w:lineRule="auto"/>
        <w:ind w:right="102"/>
        <w:jc w:val="both"/>
        <w:rPr>
          <w:rFonts w:ascii="Arial" w:hAnsi="Arial" w:cs="Arial"/>
          <w:b/>
          <w:sz w:val="24"/>
          <w:szCs w:val="24"/>
        </w:rPr>
      </w:pPr>
      <w:r>
        <w:rPr>
          <w:rFonts w:ascii="Arial" w:hAnsi="Arial" w:cs="Arial"/>
          <w:b/>
          <w:sz w:val="24"/>
          <w:szCs w:val="24"/>
        </w:rPr>
        <w:t>6.4 QUALIFICAÇÃO TÉCNICA</w:t>
      </w:r>
    </w:p>
    <w:p w14:paraId="49F5E71E">
      <w:pPr>
        <w:spacing w:after="0" w:line="360" w:lineRule="auto"/>
        <w:ind w:left="61" w:right="92" w:firstLine="412"/>
        <w:jc w:val="both"/>
        <w:rPr>
          <w:rFonts w:ascii="Arial" w:hAnsi="Arial" w:cs="Arial"/>
          <w:sz w:val="24"/>
          <w:szCs w:val="24"/>
        </w:rPr>
      </w:pPr>
      <w:r>
        <w:rPr>
          <w:rFonts w:ascii="Arial" w:hAnsi="Arial" w:cs="Arial"/>
          <w:sz w:val="24"/>
          <w:szCs w:val="24"/>
        </w:rPr>
        <w:t>6.4.1. Os vencedores do certame deverão apresentar bulas, folders ou catálogos eletrônicos contendo informações detalhadas sobre suas características técnicas e demais informações relevantes a fim de que possa ser verificada a conformidade dos produtos ofertados em relação às especificações contidas no Termo de Referência.</w:t>
      </w:r>
    </w:p>
    <w:p w14:paraId="79B0436F">
      <w:pPr>
        <w:spacing w:after="0" w:line="360" w:lineRule="auto"/>
        <w:ind w:right="102" w:firstLine="425"/>
        <w:jc w:val="both"/>
        <w:rPr>
          <w:rFonts w:ascii="Arial" w:hAnsi="Arial" w:cs="Arial"/>
          <w:sz w:val="24"/>
          <w:szCs w:val="24"/>
        </w:rPr>
      </w:pPr>
    </w:p>
    <w:p w14:paraId="7A17FBD9">
      <w:pPr>
        <w:spacing w:after="120" w:line="360" w:lineRule="auto"/>
        <w:ind w:right="102"/>
        <w:jc w:val="both"/>
        <w:rPr>
          <w:rFonts w:ascii="Arial" w:hAnsi="Arial" w:cs="Arial"/>
          <w:b/>
          <w:sz w:val="24"/>
          <w:szCs w:val="24"/>
        </w:rPr>
      </w:pPr>
      <w:r>
        <w:rPr>
          <w:rFonts w:ascii="Arial" w:hAnsi="Arial" w:cs="Arial"/>
          <w:b/>
          <w:sz w:val="24"/>
          <w:szCs w:val="24"/>
        </w:rPr>
        <w:t>6.5 GARANTIA CONTRATUAL</w:t>
      </w:r>
    </w:p>
    <w:p w14:paraId="05259DDC">
      <w:pPr>
        <w:spacing w:after="0" w:line="360" w:lineRule="auto"/>
        <w:ind w:left="61" w:right="92" w:firstLine="412"/>
        <w:jc w:val="both"/>
        <w:rPr>
          <w:rFonts w:ascii="Arial" w:hAnsi="Arial" w:cs="Arial"/>
          <w:sz w:val="24"/>
          <w:szCs w:val="24"/>
        </w:rPr>
      </w:pPr>
      <w:r>
        <w:rPr>
          <w:rFonts w:ascii="Arial" w:hAnsi="Arial" w:cs="Arial"/>
          <w:sz w:val="24"/>
          <w:szCs w:val="24"/>
        </w:rPr>
        <w:t>6.5.1. Não será exigida a prestação de garantia para a contratação resultante desta licitação.</w:t>
      </w:r>
    </w:p>
    <w:p w14:paraId="367F3407">
      <w:pPr>
        <w:spacing w:after="0" w:line="360" w:lineRule="auto"/>
        <w:ind w:right="102" w:firstLine="425"/>
        <w:jc w:val="both"/>
        <w:rPr>
          <w:rFonts w:ascii="Arial" w:hAnsi="Arial" w:cs="Arial"/>
          <w:sz w:val="24"/>
          <w:szCs w:val="24"/>
        </w:rPr>
      </w:pPr>
    </w:p>
    <w:p w14:paraId="48FBB866">
      <w:pPr>
        <w:spacing w:after="120" w:line="360" w:lineRule="auto"/>
        <w:ind w:right="102"/>
        <w:jc w:val="both"/>
        <w:rPr>
          <w:rFonts w:ascii="Arial" w:hAnsi="Arial" w:cs="Arial"/>
          <w:b/>
          <w:sz w:val="24"/>
          <w:szCs w:val="24"/>
        </w:rPr>
      </w:pPr>
      <w:r>
        <w:rPr>
          <w:rFonts w:ascii="Arial" w:hAnsi="Arial" w:cs="Arial"/>
          <w:b/>
          <w:sz w:val="24"/>
          <w:szCs w:val="24"/>
        </w:rPr>
        <w:t>6.6 EXECUÇÃO DO OBJETO</w:t>
      </w:r>
    </w:p>
    <w:p w14:paraId="7BDE024F">
      <w:pPr>
        <w:spacing w:after="0" w:line="360" w:lineRule="auto"/>
        <w:ind w:left="61" w:right="92" w:firstLine="412"/>
        <w:jc w:val="both"/>
        <w:rPr>
          <w:rFonts w:ascii="Arial" w:hAnsi="Arial" w:cs="Arial"/>
          <w:sz w:val="24"/>
          <w:szCs w:val="24"/>
        </w:rPr>
      </w:pPr>
      <w:r>
        <w:rPr>
          <w:rFonts w:ascii="Arial" w:hAnsi="Arial" w:cs="Arial"/>
          <w:sz w:val="24"/>
          <w:szCs w:val="24"/>
        </w:rPr>
        <w:t>6.6.1. O objeto deverá ser entregue em conformidade com o descrito nas especificações do objeto, constantes do Termo de Referência, de responsabilidade da Secretaria Municipal de Saúde.</w:t>
      </w:r>
    </w:p>
    <w:p w14:paraId="0F0B8810">
      <w:pPr>
        <w:spacing w:after="0" w:line="360" w:lineRule="auto"/>
        <w:ind w:left="61" w:right="92" w:firstLine="412"/>
        <w:jc w:val="both"/>
        <w:rPr>
          <w:rFonts w:ascii="Arial" w:hAnsi="Arial" w:cs="Arial"/>
          <w:sz w:val="24"/>
          <w:szCs w:val="24"/>
        </w:rPr>
      </w:pPr>
      <w:r>
        <w:rPr>
          <w:rFonts w:ascii="Arial" w:hAnsi="Arial" w:cs="Arial"/>
          <w:sz w:val="24"/>
          <w:szCs w:val="24"/>
        </w:rPr>
        <w:t>6.6.2. Forma de entrega: parcelada, a critério e necessidade do Centro de Distribuição da Secretaria Municipal de Saúde de Paulínia.</w:t>
      </w:r>
    </w:p>
    <w:p w14:paraId="486F8EED">
      <w:pPr>
        <w:spacing w:after="0" w:line="360" w:lineRule="auto"/>
        <w:ind w:left="61" w:right="92" w:firstLine="412"/>
        <w:jc w:val="both"/>
        <w:rPr>
          <w:rFonts w:ascii="Arial" w:hAnsi="Arial" w:cs="Arial"/>
          <w:sz w:val="24"/>
          <w:szCs w:val="24"/>
        </w:rPr>
      </w:pPr>
      <w:r>
        <w:rPr>
          <w:rFonts w:ascii="Arial" w:hAnsi="Arial" w:cs="Arial"/>
          <w:sz w:val="24"/>
          <w:szCs w:val="24"/>
        </w:rPr>
        <w:t>6.6.3. Prazo de entrega: no máximo 15 (quinze) dias corridos, contados do envio da Autorização de Fornecimento por e-mail.</w:t>
      </w:r>
    </w:p>
    <w:p w14:paraId="7ACAEE04">
      <w:pPr>
        <w:spacing w:after="0" w:line="360" w:lineRule="auto"/>
        <w:ind w:left="61" w:right="92" w:firstLine="412"/>
        <w:jc w:val="both"/>
        <w:rPr>
          <w:rFonts w:ascii="Arial" w:hAnsi="Arial" w:cs="Arial"/>
          <w:sz w:val="24"/>
          <w:szCs w:val="24"/>
        </w:rPr>
      </w:pPr>
      <w:r>
        <w:rPr>
          <w:rFonts w:ascii="Arial" w:hAnsi="Arial" w:cs="Arial"/>
          <w:sz w:val="24"/>
          <w:szCs w:val="24"/>
        </w:rPr>
        <w:t>6.6.4. Horário para as entregas: de segunda a sexta-feira, exceto feriados, das 8:00 às 11:00 e das 13:00 às 16:00 horas.</w:t>
      </w:r>
    </w:p>
    <w:p w14:paraId="5619FA13">
      <w:pPr>
        <w:spacing w:after="0" w:line="360" w:lineRule="auto"/>
        <w:ind w:left="61" w:right="92" w:firstLine="412"/>
        <w:jc w:val="both"/>
        <w:rPr>
          <w:rFonts w:ascii="Arial" w:hAnsi="Arial" w:cs="Arial"/>
          <w:sz w:val="24"/>
          <w:szCs w:val="24"/>
        </w:rPr>
      </w:pPr>
      <w:r>
        <w:rPr>
          <w:rFonts w:ascii="Arial" w:hAnsi="Arial" w:cs="Arial"/>
          <w:sz w:val="24"/>
          <w:szCs w:val="24"/>
        </w:rPr>
        <w:t>6.6.5. Endereço de entrega:</w:t>
      </w:r>
    </w:p>
    <w:p w14:paraId="3D9B9706">
      <w:pPr>
        <w:spacing w:after="0" w:line="360" w:lineRule="auto"/>
        <w:ind w:left="61" w:right="92" w:firstLine="412"/>
        <w:jc w:val="both"/>
        <w:rPr>
          <w:rFonts w:ascii="Arial" w:hAnsi="Arial" w:cs="Arial"/>
          <w:sz w:val="24"/>
          <w:szCs w:val="24"/>
        </w:rPr>
      </w:pPr>
    </w:p>
    <w:p w14:paraId="14FD9F25">
      <w:pPr>
        <w:pStyle w:val="40"/>
        <w:numPr>
          <w:ilvl w:val="0"/>
          <w:numId w:val="23"/>
        </w:numPr>
        <w:spacing w:after="0" w:line="360" w:lineRule="auto"/>
        <w:ind w:right="92"/>
        <w:jc w:val="both"/>
        <w:rPr>
          <w:rFonts w:ascii="Arial" w:hAnsi="Arial" w:cs="Arial"/>
        </w:rPr>
      </w:pPr>
      <w:r>
        <w:rPr>
          <w:rFonts w:ascii="Arial" w:hAnsi="Arial" w:cs="Arial"/>
        </w:rPr>
        <w:t>CENTRO DE DISTRIBUIÇÃO DA SECRETARIA MUNICIPAL DE SAÚDE</w:t>
      </w:r>
    </w:p>
    <w:p w14:paraId="60CEF960">
      <w:pPr>
        <w:spacing w:after="0" w:line="360" w:lineRule="auto"/>
        <w:ind w:left="61" w:right="92" w:firstLine="412"/>
        <w:jc w:val="both"/>
        <w:rPr>
          <w:rFonts w:ascii="Arial" w:hAnsi="Arial" w:cs="Arial"/>
          <w:sz w:val="24"/>
          <w:szCs w:val="24"/>
        </w:rPr>
      </w:pPr>
      <w:r>
        <w:rPr>
          <w:rFonts w:ascii="Arial" w:hAnsi="Arial" w:cs="Arial"/>
          <w:sz w:val="24"/>
          <w:szCs w:val="24"/>
        </w:rPr>
        <w:t>Rua Deodato Soares, nº 262, Santa Terezinha – Paulínia (SP)</w:t>
      </w:r>
    </w:p>
    <w:p w14:paraId="7F41B4C8">
      <w:pPr>
        <w:spacing w:after="0" w:line="360" w:lineRule="auto"/>
        <w:ind w:left="61" w:right="92" w:firstLine="412"/>
        <w:jc w:val="both"/>
        <w:rPr>
          <w:rFonts w:ascii="Arial" w:hAnsi="Arial" w:cs="Arial"/>
          <w:sz w:val="24"/>
          <w:szCs w:val="24"/>
        </w:rPr>
      </w:pPr>
      <w:r>
        <w:rPr>
          <w:rFonts w:ascii="Arial" w:hAnsi="Arial" w:cs="Arial"/>
          <w:sz w:val="24"/>
          <w:szCs w:val="24"/>
        </w:rPr>
        <w:t>CEP: 13148-136</w:t>
      </w:r>
    </w:p>
    <w:p w14:paraId="16C165DA">
      <w:pPr>
        <w:spacing w:after="0" w:line="360" w:lineRule="auto"/>
        <w:ind w:left="61" w:right="92" w:firstLine="412"/>
        <w:jc w:val="both"/>
        <w:rPr>
          <w:rFonts w:ascii="Arial" w:hAnsi="Arial" w:cs="Arial"/>
          <w:sz w:val="24"/>
          <w:szCs w:val="24"/>
        </w:rPr>
      </w:pPr>
    </w:p>
    <w:p w14:paraId="146D2627">
      <w:pPr>
        <w:spacing w:after="0" w:line="360" w:lineRule="auto"/>
        <w:ind w:left="61" w:right="92" w:firstLine="412"/>
        <w:jc w:val="both"/>
        <w:rPr>
          <w:rFonts w:ascii="Arial" w:hAnsi="Arial" w:cs="Arial"/>
          <w:sz w:val="24"/>
          <w:szCs w:val="24"/>
        </w:rPr>
      </w:pPr>
      <w:r>
        <w:rPr>
          <w:rFonts w:ascii="Arial" w:hAnsi="Arial" w:cs="Arial"/>
          <w:sz w:val="24"/>
          <w:szCs w:val="24"/>
        </w:rPr>
        <w:t>6.6.6. O recebimento ocorrerá:</w:t>
      </w:r>
    </w:p>
    <w:p w14:paraId="3A5D645C">
      <w:pPr>
        <w:spacing w:after="0" w:line="360" w:lineRule="auto"/>
        <w:ind w:left="61" w:right="92" w:firstLine="412"/>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 xml:space="preserve"> Provisoriamente, de forma sumária, pelo responsável por seu acompanhamento e fiscalização, com verificação posterior da conformidade do material com as exigências contratuais e Termo de Referência do presente edital.</w:t>
      </w:r>
    </w:p>
    <w:p w14:paraId="2BDFEE1F">
      <w:pPr>
        <w:spacing w:after="0" w:line="360" w:lineRule="auto"/>
        <w:ind w:left="61" w:right="92" w:firstLine="412"/>
        <w:jc w:val="both"/>
        <w:rPr>
          <w:rFonts w:ascii="Arial" w:hAnsi="Arial" w:cs="Arial"/>
          <w:sz w:val="24"/>
          <w:szCs w:val="24"/>
        </w:rPr>
      </w:pPr>
      <w:r>
        <w:rPr>
          <w:rFonts w:ascii="Arial" w:hAnsi="Arial" w:cs="Arial"/>
          <w:sz w:val="24"/>
          <w:szCs w:val="24"/>
        </w:rPr>
        <w:t>b) Definitivamente, por servidor ou comissão designada pela autoridade competente, em prazo não superior a 30 (trinta) dias corridos a contar do recebimento provisório, mediante termo detalhado que comprove o atendimento das exigências contratuais.</w:t>
      </w:r>
    </w:p>
    <w:p w14:paraId="48BEE6CA">
      <w:pPr>
        <w:spacing w:after="0" w:line="360" w:lineRule="auto"/>
        <w:ind w:right="102" w:firstLine="425"/>
        <w:jc w:val="both"/>
        <w:rPr>
          <w:rFonts w:ascii="Arial" w:hAnsi="Arial" w:cs="Arial"/>
          <w:sz w:val="24"/>
          <w:szCs w:val="24"/>
        </w:rPr>
      </w:pPr>
    </w:p>
    <w:p w14:paraId="5EA8B0D1">
      <w:pPr>
        <w:spacing w:after="120" w:line="360" w:lineRule="auto"/>
        <w:ind w:right="102"/>
        <w:jc w:val="both"/>
        <w:rPr>
          <w:rFonts w:ascii="Arial" w:hAnsi="Arial" w:cs="Arial"/>
          <w:b/>
          <w:sz w:val="24"/>
          <w:szCs w:val="24"/>
        </w:rPr>
      </w:pPr>
      <w:r>
        <w:rPr>
          <w:rFonts w:ascii="Arial" w:hAnsi="Arial" w:cs="Arial"/>
          <w:b/>
          <w:sz w:val="24"/>
          <w:szCs w:val="24"/>
        </w:rPr>
        <w:t>6.7 GARANTIA DOS PRODUTOS</w:t>
      </w:r>
    </w:p>
    <w:p w14:paraId="08942F2D">
      <w:pPr>
        <w:spacing w:after="0" w:line="360" w:lineRule="auto"/>
        <w:ind w:right="102" w:firstLine="426"/>
        <w:jc w:val="both"/>
        <w:rPr>
          <w:rFonts w:ascii="Arial" w:hAnsi="Arial" w:cs="Arial"/>
          <w:sz w:val="24"/>
          <w:szCs w:val="24"/>
        </w:rPr>
      </w:pPr>
      <w:r>
        <w:rPr>
          <w:rFonts w:ascii="Arial" w:hAnsi="Arial" w:cs="Arial"/>
          <w:sz w:val="24"/>
          <w:szCs w:val="24"/>
        </w:rPr>
        <w:t>6.7.1. A empresa DETENTORA deverá cumprir todas as obrigações previstas na lei nº 8.078 de 11/09/1990 – Código de Defesa do Consumidor, e alterações subsequentes.</w:t>
      </w:r>
    </w:p>
    <w:p w14:paraId="37E27E61">
      <w:pPr>
        <w:spacing w:after="0" w:line="360" w:lineRule="auto"/>
        <w:ind w:right="100" w:firstLine="426"/>
        <w:jc w:val="both"/>
        <w:rPr>
          <w:rFonts w:ascii="Arial" w:hAnsi="Arial" w:cs="Arial"/>
          <w:sz w:val="24"/>
          <w:szCs w:val="24"/>
        </w:rPr>
      </w:pPr>
      <w:r>
        <w:rPr>
          <w:rFonts w:ascii="Arial" w:hAnsi="Arial" w:cs="Arial"/>
          <w:sz w:val="24"/>
          <w:szCs w:val="24"/>
        </w:rPr>
        <w:t>6.7.2. A empresa detentora será responsável pela substituição, troca ou reposição dos produtos entregues com danos, defeitos ou não compatíveis com as especificações deste Termo de Referência.</w:t>
      </w:r>
    </w:p>
    <w:p w14:paraId="07172F73">
      <w:pPr>
        <w:spacing w:after="0" w:line="360" w:lineRule="auto"/>
        <w:ind w:right="100" w:firstLine="426"/>
        <w:jc w:val="both"/>
        <w:rPr>
          <w:rFonts w:ascii="Arial" w:hAnsi="Arial" w:cs="Arial"/>
          <w:sz w:val="24"/>
          <w:szCs w:val="24"/>
        </w:rPr>
      </w:pPr>
      <w:r>
        <w:rPr>
          <w:rFonts w:ascii="Arial" w:hAnsi="Arial" w:cs="Arial"/>
          <w:sz w:val="24"/>
          <w:szCs w:val="24"/>
        </w:rPr>
        <w:t>6.7.3. Na hipótese do subitem acima, a reposição será por outro produto com especificações técnicas iguais ou superiores, mediante aprovação prévia da instância gestora do município, sem custo adicional, inclusive se envolver troca de marcas.</w:t>
      </w:r>
    </w:p>
    <w:p w14:paraId="1F840AF2">
      <w:pPr>
        <w:spacing w:after="0" w:line="360" w:lineRule="auto"/>
        <w:ind w:right="102" w:firstLine="425"/>
        <w:jc w:val="both"/>
        <w:rPr>
          <w:rFonts w:ascii="Arial" w:hAnsi="Arial" w:cs="Arial"/>
          <w:sz w:val="24"/>
          <w:szCs w:val="24"/>
        </w:rPr>
      </w:pPr>
    </w:p>
    <w:p w14:paraId="27A4BA49">
      <w:pPr>
        <w:spacing w:after="120" w:line="360" w:lineRule="auto"/>
        <w:ind w:right="102"/>
        <w:jc w:val="both"/>
        <w:rPr>
          <w:rFonts w:ascii="Arial" w:hAnsi="Arial" w:cs="Arial"/>
          <w:b/>
          <w:sz w:val="24"/>
          <w:szCs w:val="24"/>
        </w:rPr>
      </w:pPr>
      <w:r>
        <w:rPr>
          <w:rFonts w:ascii="Arial" w:hAnsi="Arial" w:cs="Arial"/>
          <w:b/>
          <w:sz w:val="24"/>
          <w:szCs w:val="24"/>
        </w:rPr>
        <w:t>6.8 CONDIÇÕES DE PAGAMENTO</w:t>
      </w:r>
    </w:p>
    <w:p w14:paraId="758B4A39">
      <w:pPr>
        <w:spacing w:after="0" w:line="360" w:lineRule="auto"/>
        <w:ind w:right="102" w:firstLine="425"/>
        <w:jc w:val="both"/>
        <w:rPr>
          <w:rFonts w:ascii="Arial" w:hAnsi="Arial" w:cs="Arial"/>
          <w:sz w:val="24"/>
          <w:szCs w:val="24"/>
        </w:rPr>
      </w:pPr>
      <w:r>
        <w:rPr>
          <w:rFonts w:ascii="Arial" w:hAnsi="Arial" w:cs="Arial"/>
          <w:sz w:val="24"/>
          <w:szCs w:val="24"/>
        </w:rPr>
        <w:t>6.8.1. O pagamento será efetuado em parcela única, em 30 (trinta) dias, de acordo com as quantidades efetivamente entregues e devidamente atestadas pela Secretaria Municipal de Saúde e com os preços unitários constantes da planilha de preços da(s) licitante(s) vencedora(s), sendo que a contagem do prazo de 30 (trinta) dias se iniciará a partir do ateste da nota fiscal, conforme Decreto nº 8595/2024 de 16 de fevereiro de 2024.</w:t>
      </w:r>
    </w:p>
    <w:p w14:paraId="7BAB6663">
      <w:pPr>
        <w:spacing w:after="0" w:line="360" w:lineRule="auto"/>
        <w:ind w:right="102" w:firstLine="425"/>
        <w:jc w:val="both"/>
        <w:rPr>
          <w:rFonts w:ascii="Arial" w:hAnsi="Arial" w:cs="Arial"/>
          <w:sz w:val="24"/>
          <w:szCs w:val="24"/>
        </w:rPr>
      </w:pPr>
      <w:r>
        <w:rPr>
          <w:rFonts w:ascii="Arial" w:hAnsi="Arial" w:cs="Arial"/>
          <w:sz w:val="24"/>
          <w:szCs w:val="24"/>
        </w:rPr>
        <w:t>6.8.2. O pagamento será efetuado pela PREFEITURA MUNICIPAL DE PAULÍNIA, seguindo todas as demais regras dispostas em Edital e obedecendo às normas da Lei nº 14.133/2021 e Portaria nº 001/2024/SMF, de 20/02/2024, publicada no Diário Oficial do Município na data de 22/02/2024.</w:t>
      </w:r>
    </w:p>
    <w:p w14:paraId="7983E391">
      <w:pPr>
        <w:spacing w:after="0" w:line="360" w:lineRule="auto"/>
        <w:ind w:right="102" w:firstLine="425"/>
        <w:jc w:val="both"/>
        <w:rPr>
          <w:rFonts w:ascii="Arial" w:hAnsi="Arial" w:cs="Arial"/>
          <w:sz w:val="24"/>
          <w:szCs w:val="24"/>
        </w:rPr>
      </w:pPr>
      <w:r>
        <w:rPr>
          <w:rFonts w:ascii="Arial" w:hAnsi="Arial" w:cs="Arial"/>
          <w:sz w:val="24"/>
          <w:szCs w:val="24"/>
        </w:rPr>
        <w:t>6.8.3. O pagamento será feito mediante crédito aberto em conta corrente em nome da DETENTORA.</w:t>
      </w:r>
    </w:p>
    <w:p w14:paraId="53BE1867">
      <w:pPr>
        <w:spacing w:after="0" w:line="360" w:lineRule="auto"/>
        <w:ind w:right="102" w:firstLine="425"/>
        <w:jc w:val="both"/>
        <w:rPr>
          <w:rFonts w:ascii="Arial" w:hAnsi="Arial" w:cs="Arial"/>
          <w:sz w:val="24"/>
        </w:rPr>
      </w:pPr>
    </w:p>
    <w:p w14:paraId="3EBB0275">
      <w:pPr>
        <w:spacing w:after="120" w:line="360" w:lineRule="auto"/>
        <w:ind w:right="102"/>
        <w:jc w:val="both"/>
        <w:rPr>
          <w:rFonts w:ascii="Arial" w:hAnsi="Arial" w:cs="Arial"/>
          <w:b/>
          <w:sz w:val="26"/>
          <w:szCs w:val="26"/>
        </w:rPr>
      </w:pPr>
      <w:r>
        <w:rPr>
          <w:rFonts w:ascii="Arial" w:hAnsi="Arial" w:cs="Arial"/>
          <w:b/>
          <w:sz w:val="26"/>
          <w:szCs w:val="26"/>
        </w:rPr>
        <w:t>7. ESTIMATIVA DAS QUANTIDADES</w:t>
      </w:r>
    </w:p>
    <w:p w14:paraId="275A1095">
      <w:pPr>
        <w:spacing w:after="120" w:line="360" w:lineRule="auto"/>
        <w:ind w:right="102" w:firstLine="426"/>
        <w:jc w:val="both"/>
      </w:pPr>
      <w:r>
        <w:rPr>
          <w:rFonts w:ascii="Arial" w:hAnsi="Arial" w:cs="Arial"/>
          <w:sz w:val="24"/>
          <w:szCs w:val="24"/>
        </w:rPr>
        <w:t>As quantidades estimadas para contratação foram cuidadosamente calculadas, projetando-se a utilização de tais produtos em um período de 12 meses. A projeção de consumo foi realizada com base na análise da série histórica de consumo dos últimos 12 meses de tais medicamentos na Rede de Atenção Básica, Rede de Atenção Especializada e Hospital Municipal de Paulínia. Para assegurar uma projeção confiável, a análise baseou-se na demanda real do último ano, desconsiderando os meses sem consumo. A este cálculo foi adicionada uma margem de segurança de 30%, medida essencial para mitigar a variabilidade da demanda e as incertezas no ressuprimento, garantindo assim a disponibilidade contínua dos itens.</w:t>
      </w:r>
      <w:r>
        <w:t xml:space="preserve"> </w:t>
      </w:r>
    </w:p>
    <w:p w14:paraId="453AE1F2">
      <w:pPr>
        <w:spacing w:after="0" w:line="360" w:lineRule="auto"/>
        <w:ind w:right="102" w:firstLine="426"/>
        <w:jc w:val="both"/>
        <w:rPr>
          <w:rFonts w:ascii="Arial" w:hAnsi="Arial" w:cs="Arial"/>
          <w:sz w:val="24"/>
          <w:szCs w:val="24"/>
        </w:rPr>
      </w:pPr>
      <w:r>
        <w:rPr>
          <w:rFonts w:ascii="Arial" w:hAnsi="Arial" w:cs="Arial"/>
          <w:sz w:val="24"/>
          <w:szCs w:val="24"/>
        </w:rPr>
        <w:t>Os dados de consumo histórico foram extraídos do sistema HÓRUS (Sistema Nacional de Gestão da Assistência Farmacêutica). Em seguida, foram organizados e processados em planilhas Excel para gerar os relatórios que subsidiaram as estimativas deste estudo.</w:t>
      </w:r>
    </w:p>
    <w:p w14:paraId="7EFAD521">
      <w:pPr>
        <w:spacing w:after="0" w:line="360" w:lineRule="auto"/>
        <w:ind w:right="102" w:firstLine="425"/>
        <w:jc w:val="both"/>
        <w:rPr>
          <w:rFonts w:ascii="Arial" w:hAnsi="Arial" w:cs="Arial"/>
          <w:sz w:val="24"/>
        </w:rPr>
      </w:pPr>
    </w:p>
    <w:p w14:paraId="77CF597B">
      <w:pPr>
        <w:spacing w:after="120" w:line="360" w:lineRule="auto"/>
        <w:ind w:right="102"/>
        <w:jc w:val="both"/>
        <w:rPr>
          <w:rFonts w:ascii="Arial" w:hAnsi="Arial" w:cs="Arial"/>
          <w:b/>
          <w:sz w:val="26"/>
          <w:szCs w:val="26"/>
        </w:rPr>
      </w:pPr>
      <w:r>
        <w:rPr>
          <w:rFonts w:ascii="Arial" w:hAnsi="Arial" w:cs="Arial"/>
          <w:b/>
          <w:sz w:val="26"/>
          <w:szCs w:val="26"/>
        </w:rPr>
        <w:t>8. JUSTIFICATIVA PARA PARCELAMENTO</w:t>
      </w:r>
    </w:p>
    <w:p w14:paraId="68A8C5AF">
      <w:pPr>
        <w:spacing w:after="0" w:line="360" w:lineRule="auto"/>
        <w:ind w:right="102" w:firstLine="426"/>
        <w:jc w:val="both"/>
        <w:rPr>
          <w:rFonts w:ascii="Arial" w:hAnsi="Arial" w:cs="Arial"/>
          <w:sz w:val="24"/>
          <w:szCs w:val="24"/>
        </w:rPr>
      </w:pPr>
      <w:r>
        <w:rPr>
          <w:rFonts w:ascii="Arial" w:hAnsi="Arial" w:cs="Arial"/>
          <w:sz w:val="24"/>
          <w:szCs w:val="24"/>
        </w:rPr>
        <w:t>Os itens solicitados são objetos divisíveis e comercializados por unidades individuais. Nesse contexto, é aconselhável que a adjudicação ocorra por item, a fim de estimular a ampla participação dos licitantes. Isso, por sua vez, favorece a obtenção de preços mais competitivos e de produtos de alta qualidade. Portanto, não se justifica o agrupamento, uma vez que a abordagem por item maximiza os benefícios para a administração pública.</w:t>
      </w:r>
    </w:p>
    <w:p w14:paraId="2DB4AA1C">
      <w:pPr>
        <w:spacing w:after="0" w:line="360" w:lineRule="auto"/>
        <w:ind w:right="102" w:firstLine="425"/>
        <w:jc w:val="both"/>
        <w:rPr>
          <w:rFonts w:ascii="Arial" w:hAnsi="Arial" w:cs="Arial"/>
          <w:sz w:val="24"/>
        </w:rPr>
      </w:pPr>
    </w:p>
    <w:p w14:paraId="06EEBE5B">
      <w:pPr>
        <w:spacing w:after="120" w:line="360" w:lineRule="auto"/>
        <w:ind w:right="102"/>
        <w:jc w:val="both"/>
        <w:rPr>
          <w:rFonts w:ascii="Arial" w:hAnsi="Arial" w:cs="Arial"/>
          <w:b/>
          <w:sz w:val="26"/>
          <w:szCs w:val="26"/>
        </w:rPr>
      </w:pPr>
      <w:r>
        <w:rPr>
          <w:rFonts w:ascii="Arial" w:hAnsi="Arial" w:cs="Arial"/>
          <w:b/>
          <w:sz w:val="26"/>
          <w:szCs w:val="26"/>
        </w:rPr>
        <w:t>9. PROVIDÊNCIAS PRÉVIAS AO CONTRATO</w:t>
      </w:r>
    </w:p>
    <w:p w14:paraId="100955CB">
      <w:pPr>
        <w:spacing w:after="0" w:line="360" w:lineRule="auto"/>
        <w:ind w:right="102" w:firstLine="426"/>
        <w:jc w:val="both"/>
        <w:rPr>
          <w:rFonts w:ascii="Arial" w:hAnsi="Arial" w:cs="Arial"/>
          <w:sz w:val="24"/>
          <w:szCs w:val="24"/>
        </w:rPr>
      </w:pPr>
      <w:r>
        <w:rPr>
          <w:rFonts w:ascii="Arial" w:hAnsi="Arial" w:cs="Arial"/>
          <w:sz w:val="24"/>
          <w:szCs w:val="24"/>
        </w:rPr>
        <w:t>A presente contratação não requer providências específicas ou quaisquer adequações logísticas.</w:t>
      </w:r>
    </w:p>
    <w:p w14:paraId="512D1114">
      <w:pPr>
        <w:spacing w:after="0" w:line="360" w:lineRule="auto"/>
        <w:ind w:right="102" w:firstLine="425"/>
        <w:jc w:val="both"/>
        <w:rPr>
          <w:rFonts w:ascii="Arial" w:hAnsi="Arial" w:cs="Arial"/>
          <w:sz w:val="24"/>
        </w:rPr>
      </w:pPr>
    </w:p>
    <w:p w14:paraId="48F51F48">
      <w:pPr>
        <w:spacing w:after="120" w:line="360" w:lineRule="auto"/>
        <w:ind w:right="102"/>
        <w:jc w:val="both"/>
        <w:rPr>
          <w:rFonts w:ascii="Arial" w:hAnsi="Arial" w:cs="Arial"/>
          <w:b/>
          <w:sz w:val="26"/>
          <w:szCs w:val="26"/>
        </w:rPr>
      </w:pPr>
      <w:r>
        <w:rPr>
          <w:rFonts w:ascii="Arial" w:hAnsi="Arial" w:cs="Arial"/>
          <w:b/>
          <w:sz w:val="26"/>
          <w:szCs w:val="26"/>
        </w:rPr>
        <w:t>10. CONTRATAÇÕES CORRELATAS / INTERDEPENDENTES</w:t>
      </w:r>
    </w:p>
    <w:p w14:paraId="7EBDE006">
      <w:pPr>
        <w:spacing w:after="0" w:line="360" w:lineRule="auto"/>
        <w:ind w:right="102" w:firstLine="426"/>
        <w:jc w:val="both"/>
        <w:rPr>
          <w:rFonts w:ascii="Arial" w:hAnsi="Arial" w:cs="Arial"/>
          <w:sz w:val="24"/>
          <w:szCs w:val="24"/>
        </w:rPr>
      </w:pPr>
      <w:r>
        <w:rPr>
          <w:rFonts w:ascii="Arial" w:hAnsi="Arial" w:cs="Arial"/>
          <w:sz w:val="24"/>
          <w:szCs w:val="24"/>
        </w:rPr>
        <w:t>A presente contratação contempla todos os elementos necessários para a efetividade da solução apresentada, sendo suficiente para a consecução dos objetivos pretendidos, e não requerendo qualquer tipo de contratação correlata ou interdependente.</w:t>
      </w:r>
    </w:p>
    <w:p w14:paraId="55484256">
      <w:pPr>
        <w:spacing w:after="0" w:line="360" w:lineRule="auto"/>
        <w:ind w:right="102" w:firstLine="425"/>
        <w:jc w:val="both"/>
        <w:rPr>
          <w:rFonts w:ascii="Arial" w:hAnsi="Arial" w:cs="Arial"/>
          <w:sz w:val="24"/>
        </w:rPr>
      </w:pPr>
    </w:p>
    <w:p w14:paraId="5025B655">
      <w:pPr>
        <w:spacing w:after="120" w:line="360" w:lineRule="auto"/>
        <w:ind w:right="102"/>
        <w:jc w:val="both"/>
        <w:rPr>
          <w:rFonts w:ascii="Arial" w:hAnsi="Arial" w:cs="Arial"/>
          <w:b/>
          <w:sz w:val="26"/>
          <w:szCs w:val="26"/>
        </w:rPr>
      </w:pPr>
      <w:r>
        <w:rPr>
          <w:rFonts w:ascii="Arial" w:hAnsi="Arial" w:cs="Arial"/>
          <w:b/>
          <w:sz w:val="26"/>
          <w:szCs w:val="26"/>
        </w:rPr>
        <w:t>11. IMPACTOS AMBIENTAIS</w:t>
      </w:r>
    </w:p>
    <w:p w14:paraId="51D0B398">
      <w:pPr>
        <w:spacing w:after="0" w:line="360" w:lineRule="auto"/>
        <w:ind w:right="102" w:firstLine="425"/>
        <w:jc w:val="both"/>
        <w:rPr>
          <w:rFonts w:ascii="Arial" w:hAnsi="Arial" w:cs="Arial"/>
          <w:sz w:val="24"/>
          <w:szCs w:val="24"/>
        </w:rPr>
      </w:pPr>
      <w:r>
        <w:rPr>
          <w:rFonts w:ascii="Arial" w:hAnsi="Arial" w:cs="Arial"/>
          <w:sz w:val="24"/>
          <w:szCs w:val="24"/>
        </w:rPr>
        <w:t>11.1. A presente aquisição não possui relevantes impactos ambientais, contudo deverão ser observados os requisitos abaixo.</w:t>
      </w:r>
    </w:p>
    <w:p w14:paraId="4E86AA74">
      <w:pPr>
        <w:spacing w:after="0" w:line="360" w:lineRule="auto"/>
        <w:ind w:right="102" w:firstLine="425"/>
        <w:jc w:val="both"/>
        <w:rPr>
          <w:rFonts w:ascii="Arial" w:hAnsi="Arial" w:cs="Arial"/>
          <w:sz w:val="24"/>
          <w:szCs w:val="24"/>
        </w:rPr>
      </w:pPr>
      <w:r>
        <w:rPr>
          <w:rFonts w:ascii="Arial" w:hAnsi="Arial" w:cs="Arial"/>
          <w:sz w:val="24"/>
          <w:szCs w:val="24"/>
        </w:rPr>
        <w:t>11.2. Com o objetivo de cumprir as diretrizes estabelecidas na Lei nº 12.305, de 2010 - Política Nacional de Resíduos Sólidos, as participantes deverão ofertar preferencialmente embalagens que sejam constituídas, no todo ou em parte, por material reciclado, atóxico, biodegradável e provenientes de fontes com regularidade ambiental nos recursos naturais utilizados nos bens, serviços e obras.</w:t>
      </w:r>
    </w:p>
    <w:p w14:paraId="1F4614FC">
      <w:pPr>
        <w:spacing w:after="0" w:line="360" w:lineRule="auto"/>
        <w:ind w:right="102" w:firstLine="425"/>
        <w:jc w:val="both"/>
        <w:rPr>
          <w:rFonts w:ascii="Arial" w:hAnsi="Arial" w:cs="Arial"/>
          <w:sz w:val="24"/>
          <w:szCs w:val="24"/>
        </w:rPr>
      </w:pPr>
      <w:r>
        <w:rPr>
          <w:rFonts w:ascii="Arial" w:hAnsi="Arial" w:cs="Arial"/>
          <w:sz w:val="24"/>
          <w:szCs w:val="24"/>
        </w:rPr>
        <w:t>11.3. Os medicamentos ofertados devem ser produzidos por fabricantes compromissados com o meio ambiente, que mantenham programa continuado de sustentabilidade ambiental.</w:t>
      </w:r>
    </w:p>
    <w:p w14:paraId="5E9FD027">
      <w:pPr>
        <w:spacing w:after="0" w:line="360" w:lineRule="auto"/>
        <w:ind w:right="102" w:firstLine="425"/>
        <w:jc w:val="both"/>
        <w:rPr>
          <w:rFonts w:ascii="Arial" w:hAnsi="Arial" w:cs="Arial"/>
          <w:sz w:val="24"/>
          <w:szCs w:val="24"/>
        </w:rPr>
      </w:pPr>
      <w:r>
        <w:rPr>
          <w:rFonts w:ascii="Arial" w:hAnsi="Arial" w:cs="Arial"/>
          <w:sz w:val="24"/>
          <w:szCs w:val="24"/>
        </w:rPr>
        <w:t>11.4. Os participantes devem oferecer produtos acondicionados, preferencialmente, em embalagem individual adequada, com o menor volume possível, que utilize materiais recicláveis, de forma a garantir a máxima proteção durante o transporte e o armazenamento.</w:t>
      </w:r>
    </w:p>
    <w:p w14:paraId="34014262">
      <w:pPr>
        <w:spacing w:after="0" w:line="360" w:lineRule="auto"/>
        <w:ind w:right="102" w:firstLine="425"/>
        <w:jc w:val="both"/>
        <w:rPr>
          <w:rFonts w:ascii="Arial" w:hAnsi="Arial" w:cs="Arial"/>
          <w:sz w:val="24"/>
          <w:szCs w:val="24"/>
        </w:rPr>
      </w:pPr>
      <w:r>
        <w:rPr>
          <w:rFonts w:ascii="Arial" w:hAnsi="Arial" w:cs="Arial"/>
          <w:sz w:val="24"/>
          <w:szCs w:val="24"/>
        </w:rPr>
        <w:t>11.5. De acordo com o art. 7º, XI, nº 12.305/2010 – Política Nacional de Resíduos Sólidos, as contratações governamentais devem priorizar bens, serviços e obras que considerem critérios compatíveis com padrões de consumo social e ambientalmente sustentáveis.</w:t>
      </w:r>
    </w:p>
    <w:p w14:paraId="2F5C77C1">
      <w:pPr>
        <w:spacing w:after="0" w:line="360" w:lineRule="auto"/>
        <w:ind w:right="102" w:firstLine="425"/>
        <w:jc w:val="both"/>
        <w:rPr>
          <w:rFonts w:ascii="Arial" w:hAnsi="Arial" w:cs="Arial"/>
          <w:sz w:val="24"/>
        </w:rPr>
      </w:pPr>
    </w:p>
    <w:p w14:paraId="096AEBE7">
      <w:pPr>
        <w:spacing w:after="120" w:line="360" w:lineRule="auto"/>
        <w:ind w:right="102"/>
        <w:jc w:val="both"/>
        <w:rPr>
          <w:rFonts w:ascii="Arial" w:hAnsi="Arial" w:cs="Arial"/>
          <w:b/>
          <w:sz w:val="26"/>
          <w:szCs w:val="26"/>
        </w:rPr>
      </w:pPr>
      <w:r>
        <w:rPr>
          <w:rFonts w:ascii="Arial" w:hAnsi="Arial" w:cs="Arial"/>
          <w:b/>
          <w:sz w:val="26"/>
          <w:szCs w:val="26"/>
        </w:rPr>
        <w:t>12. ESTIMATIVA DO VALOR DA CONTRATAÇÃO</w:t>
      </w:r>
    </w:p>
    <w:p w14:paraId="65E8A6A7">
      <w:pPr>
        <w:spacing w:after="0" w:line="360" w:lineRule="auto"/>
        <w:ind w:right="102" w:firstLine="425"/>
        <w:jc w:val="both"/>
        <w:rPr>
          <w:rFonts w:ascii="Arial" w:hAnsi="Arial" w:cs="Arial"/>
          <w:sz w:val="24"/>
          <w:szCs w:val="24"/>
        </w:rPr>
      </w:pPr>
      <w:r>
        <w:rPr>
          <w:rFonts w:ascii="Arial" w:hAnsi="Arial" w:cs="Arial"/>
          <w:sz w:val="24"/>
          <w:szCs w:val="24"/>
        </w:rPr>
        <w:t>O valor preliminarmente estimado da presente contratação é de R$ 230.332,13. A referida estimativa foi baseada nos preços registrados conforme pregões nº 134, 183, 209 e 224/2024, 01 e 100/2025</w:t>
      </w:r>
      <w:r>
        <w:rPr>
          <w:rFonts w:ascii="Arial" w:hAnsi="Arial" w:cs="Arial"/>
          <w:color w:val="FF0000"/>
          <w:sz w:val="24"/>
          <w:szCs w:val="24"/>
        </w:rPr>
        <w:t xml:space="preserve"> </w:t>
      </w:r>
      <w:r>
        <w:rPr>
          <w:rFonts w:ascii="Arial" w:hAnsi="Arial" w:cs="Arial"/>
          <w:sz w:val="24"/>
          <w:szCs w:val="24"/>
        </w:rPr>
        <w:t>acrescidos de correção monetária no percentual de 25%.</w:t>
      </w:r>
    </w:p>
    <w:p w14:paraId="294E352D">
      <w:pPr>
        <w:spacing w:after="0" w:line="360" w:lineRule="auto"/>
        <w:ind w:right="102" w:firstLine="425"/>
        <w:jc w:val="both"/>
        <w:rPr>
          <w:rFonts w:ascii="Arial" w:hAnsi="Arial" w:cs="Arial"/>
          <w:sz w:val="24"/>
          <w:szCs w:val="24"/>
        </w:rPr>
      </w:pPr>
      <w:r>
        <w:rPr>
          <w:rFonts w:ascii="Arial" w:hAnsi="Arial" w:cs="Arial"/>
          <w:sz w:val="24"/>
          <w:szCs w:val="24"/>
        </w:rPr>
        <w:t>O valor estimado acima é preliminar e não substitui a pesquisa de preços. A estimativa definitiva será elaborada pela Divisão de Compras, seguindo os critérios do art. 23 da Lei nº 14.133/2021 e arts. 47 e 48 do Decreto Municipal nº 8.388/2023.</w:t>
      </w:r>
    </w:p>
    <w:p w14:paraId="385AD764">
      <w:pPr>
        <w:spacing w:after="0" w:line="360" w:lineRule="auto"/>
        <w:ind w:right="102" w:firstLine="425"/>
        <w:jc w:val="both"/>
        <w:rPr>
          <w:rFonts w:ascii="Arial" w:hAnsi="Arial" w:cs="Arial"/>
          <w:sz w:val="24"/>
        </w:rPr>
      </w:pPr>
    </w:p>
    <w:p w14:paraId="1005DB37">
      <w:pPr>
        <w:spacing w:after="120" w:line="360" w:lineRule="auto"/>
        <w:ind w:right="102"/>
        <w:jc w:val="both"/>
        <w:rPr>
          <w:rFonts w:ascii="Arial" w:hAnsi="Arial" w:cs="Arial"/>
          <w:b/>
          <w:sz w:val="26"/>
          <w:szCs w:val="26"/>
        </w:rPr>
      </w:pPr>
      <w:r>
        <w:rPr>
          <w:rFonts w:ascii="Arial" w:hAnsi="Arial" w:cs="Arial"/>
          <w:b/>
          <w:sz w:val="26"/>
          <w:szCs w:val="26"/>
        </w:rPr>
        <w:t>13. POSICIONAMENTO CONCLUSIVO SOBRE A VIABILIDADE DA SOLUÇÃO</w:t>
      </w:r>
    </w:p>
    <w:p w14:paraId="4BB7962F">
      <w:pPr>
        <w:spacing w:after="120" w:line="360" w:lineRule="auto"/>
        <w:ind w:right="102" w:firstLine="426"/>
        <w:jc w:val="both"/>
        <w:rPr>
          <w:rFonts w:ascii="Arial" w:hAnsi="Arial" w:cs="Arial"/>
          <w:sz w:val="24"/>
          <w:szCs w:val="24"/>
        </w:rPr>
      </w:pPr>
      <w:r>
        <w:rPr>
          <w:rFonts w:ascii="Arial" w:hAnsi="Arial" w:cs="Arial"/>
          <w:sz w:val="24"/>
          <w:szCs w:val="24"/>
        </w:rPr>
        <w:t>Diante do exposto acima no presente Estudo Técnico, concluímos pela viabilidade da presente contratação.</w:t>
      </w:r>
    </w:p>
    <w:p w14:paraId="5D0974AB">
      <w:pPr>
        <w:spacing w:after="120" w:line="360" w:lineRule="auto"/>
        <w:ind w:right="102" w:firstLine="426"/>
        <w:jc w:val="both"/>
        <w:rPr>
          <w:rFonts w:ascii="Arial" w:hAnsi="Arial" w:cs="Arial"/>
          <w:sz w:val="24"/>
          <w:szCs w:val="24"/>
        </w:rPr>
      </w:pPr>
    </w:p>
    <w:p w14:paraId="40F19830">
      <w:pPr>
        <w:spacing w:after="120" w:line="360" w:lineRule="auto"/>
        <w:ind w:right="102" w:firstLine="426"/>
        <w:jc w:val="both"/>
        <w:rPr>
          <w:rFonts w:ascii="Arial" w:hAnsi="Arial" w:cs="Arial"/>
          <w:sz w:val="24"/>
          <w:szCs w:val="24"/>
        </w:rPr>
      </w:pPr>
      <w:r>
        <w:rPr>
          <w:rFonts w:ascii="Arial" w:hAnsi="Arial" w:cs="Arial"/>
          <w:sz w:val="24"/>
          <w:szCs w:val="24"/>
          <w:lang w:eastAsia="pt-BR"/>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349250</wp:posOffset>
                </wp:positionV>
                <wp:extent cx="3072765" cy="1158875"/>
                <wp:effectExtent l="0" t="0" r="0" b="3175"/>
                <wp:wrapSquare wrapText="bothSides"/>
                <wp:docPr id="9" name="Caixa de Texto 9"/>
                <wp:cNvGraphicFramePr/>
                <a:graphic xmlns:a="http://schemas.openxmlformats.org/drawingml/2006/main">
                  <a:graphicData uri="http://schemas.microsoft.com/office/word/2010/wordprocessingShape">
                    <wps:wsp>
                      <wps:cNvSpPr txBox="1">
                        <a:spLocks noChangeArrowheads="1"/>
                      </wps:cNvSpPr>
                      <wps:spPr bwMode="auto">
                        <a:xfrm>
                          <a:off x="0" y="0"/>
                          <a:ext cx="3072765" cy="1158875"/>
                        </a:xfrm>
                        <a:prstGeom prst="rect">
                          <a:avLst/>
                        </a:prstGeom>
                        <a:solidFill>
                          <a:srgbClr val="FFFFFF"/>
                        </a:solidFill>
                        <a:ln w="9525">
                          <a:noFill/>
                          <a:miter lim="800000"/>
                        </a:ln>
                      </wps:spPr>
                      <wps:txbx>
                        <w:txbxContent>
                          <w:p w14:paraId="203DCD6D">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7DFEA177">
                            <w:pPr>
                              <w:tabs>
                                <w:tab w:val="left" w:pos="900"/>
                              </w:tabs>
                              <w:spacing w:after="0" w:line="240" w:lineRule="auto"/>
                              <w:jc w:val="center"/>
                              <w:rPr>
                                <w:rFonts w:ascii="Arial" w:hAnsi="Arial" w:cs="Arial"/>
                                <w:b/>
                                <w:sz w:val="24"/>
                                <w:szCs w:val="24"/>
                              </w:rPr>
                            </w:pPr>
                            <w:r>
                              <w:rPr>
                                <w:rFonts w:ascii="Arial" w:hAnsi="Arial" w:cs="Arial"/>
                                <w:b/>
                                <w:sz w:val="24"/>
                                <w:szCs w:val="24"/>
                              </w:rPr>
                              <w:t>João Carlos da Fonseca Filho</w:t>
                            </w:r>
                          </w:p>
                          <w:p w14:paraId="2C854E63">
                            <w:pPr>
                              <w:tabs>
                                <w:tab w:val="left" w:pos="900"/>
                              </w:tabs>
                              <w:spacing w:after="0" w:line="240" w:lineRule="auto"/>
                              <w:jc w:val="center"/>
                              <w:rPr>
                                <w:rFonts w:ascii="Arial" w:hAnsi="Arial" w:cs="Arial"/>
                                <w:sz w:val="24"/>
                                <w:szCs w:val="24"/>
                              </w:rPr>
                            </w:pPr>
                            <w:r>
                              <w:rPr>
                                <w:rFonts w:ascii="Arial" w:hAnsi="Arial" w:cs="Arial"/>
                                <w:sz w:val="24"/>
                                <w:szCs w:val="24"/>
                              </w:rPr>
                              <w:t>Farmacêutico / Matr.: 12393-5</w:t>
                            </w:r>
                          </w:p>
                          <w:p w14:paraId="111D050F">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7.5pt;height:91.25pt;width:241.95pt;mso-position-horizontal:right;mso-position-horizontal-relative:margin;mso-wrap-distance-bottom:3.6pt;mso-wrap-distance-left:9pt;mso-wrap-distance-right:9pt;mso-wrap-distance-top:3.6pt;z-index:251662336;mso-width-relative:page;mso-height-relative:page;" fillcolor="#FFFFFF" filled="t" stroked="f" coordsize="21600,21600" o:gfxdata="UEsDBAoAAAAAAIdO4kAAAAAAAAAAAAAAAAAEAAAAZHJzL1BLAwQUAAAACACHTuJACFtnvdcAAAAH&#10;AQAADwAAAGRycy9kb3ducmV2LnhtbE2PzU7DMBCE70i8g7VIXBB1+pOmDdlUAgnEtaUPsIndJCJe&#10;R7HbtG/PcoLTajSjmW+L3dX16mLH0HlGmM8SUJZrbzpuEI5f788bUCESG+o9W4SbDbAr7+8Kyo2f&#10;eG8vh9goKeGQE0Ib45BrHerWOgozP1gW7+RHR1Hk2Ggz0iTlrteLJFlrRx3LQkuDfWtt/X04O4TT&#10;5/SUbqfqIx6z/Wr9Sl1W+Rvi48M8eQEV7TX+heEXX9ChFKbKn9kE1SPIIxEhTeWKu9ost6AqhMUy&#10;S0GXhf7PX/4AUEsDBBQAAAAIAIdO4kDWQAkULwIAAFgEAAAOAAAAZHJzL2Uyb0RvYy54bWytVE1v&#10;2zAMvQ/YfxB0X51kSZMadYouQYcB3QfQ7gcwshwLk0RNUmJ3v36U7GZZd+lhPgiiSD6ST0++vumN&#10;Zkfpg0Jb8enFhDNpBdbK7iv+/fHu3YqzEMHWoNHKij/JwG/Wb99cd66UM2xR19IzArGh7FzF2xhd&#10;WRRBtNJAuEAnLTkb9AYimX5f1B46Qje6mE0ml0WHvnYehQyBTreDk4+I/jWA2DRKyC2Kg5E2Dqhe&#10;aog0UmiVC3ydu20aKeLXpgkyMl1xmjTmlYrQfpfWYn0N5d6Da5UYW4DXtPBiJgPKUtET1BYisINX&#10;/0AZJTwGbOKFQFMMg2RGaIrp5AU3Dy04mWchqoM7kR7+H6z4cvzmmaorfsWZBUMXvgHVA6sle5R9&#10;RHaVOOpcKCn0wVFw7D9gT8rJ8wZ3j+JHYBY3Ldi9vPUeu1ZCTT1OU2ZxljrghASy6z5jTcXgEDED&#10;9Y03iUCihBE63c/T6X6oDybo8P1kOVteLjgT5JtOF6vVcpFrQPmc7nyIHyUaljYV9ySADA/H+xBT&#10;O1A+h6RqAbWq75TW2fD73UZ7dgQSy13+RvS/wrRlHdG1mC0yssWUn3VkVKSnoZWp+GqSvjFd25GH&#10;NPpAQux3/cjrDusnYsTjIE56mrRp0f/irCNhVjz8PICXnOlPlli9ms7nScnZmC+WMzL8uWd37gEr&#10;CKrikbNhu4lZ/Wlei7fEfqMyL+mahk7GXklwma7xcSRFn9s56s8P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tnvdcAAAAHAQAADwAAAAAAAAABACAAAAAiAAAAZHJzL2Rvd25yZXYueG1sUEsB&#10;AhQAFAAAAAgAh07iQNZACRQvAgAAWAQAAA4AAAAAAAAAAQAgAAAAJgEAAGRycy9lMm9Eb2MueG1s&#10;UEsFBgAAAAAGAAYAWQEAAMcFAAAAAA==&#10;">
                <v:fill on="t" focussize="0,0"/>
                <v:stroke on="f" miterlimit="8" joinstyle="miter"/>
                <v:imagedata o:title=""/>
                <o:lock v:ext="edit" aspectratio="f"/>
                <v:textbox>
                  <w:txbxContent>
                    <w:p w14:paraId="203DCD6D">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7DFEA177">
                      <w:pPr>
                        <w:tabs>
                          <w:tab w:val="left" w:pos="900"/>
                        </w:tabs>
                        <w:spacing w:after="0" w:line="240" w:lineRule="auto"/>
                        <w:jc w:val="center"/>
                        <w:rPr>
                          <w:rFonts w:ascii="Arial" w:hAnsi="Arial" w:cs="Arial"/>
                          <w:b/>
                          <w:sz w:val="24"/>
                          <w:szCs w:val="24"/>
                        </w:rPr>
                      </w:pPr>
                      <w:r>
                        <w:rPr>
                          <w:rFonts w:ascii="Arial" w:hAnsi="Arial" w:cs="Arial"/>
                          <w:b/>
                          <w:sz w:val="24"/>
                          <w:szCs w:val="24"/>
                        </w:rPr>
                        <w:t>João Carlos da Fonseca Filho</w:t>
                      </w:r>
                    </w:p>
                    <w:p w14:paraId="2C854E63">
                      <w:pPr>
                        <w:tabs>
                          <w:tab w:val="left" w:pos="900"/>
                        </w:tabs>
                        <w:spacing w:after="0" w:line="240" w:lineRule="auto"/>
                        <w:jc w:val="center"/>
                        <w:rPr>
                          <w:rFonts w:ascii="Arial" w:hAnsi="Arial" w:cs="Arial"/>
                          <w:sz w:val="24"/>
                          <w:szCs w:val="24"/>
                        </w:rPr>
                      </w:pPr>
                      <w:r>
                        <w:rPr>
                          <w:rFonts w:ascii="Arial" w:hAnsi="Arial" w:cs="Arial"/>
                          <w:sz w:val="24"/>
                          <w:szCs w:val="24"/>
                        </w:rPr>
                        <w:t>Farmacêutico / Matr.: 12393-5</w:t>
                      </w:r>
                    </w:p>
                    <w:p w14:paraId="111D050F">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v:textbox>
                <w10:wrap type="square"/>
              </v:shape>
            </w:pict>
          </mc:Fallback>
        </mc:AlternateContent>
      </w:r>
      <w:r>
        <w:rPr>
          <w:rFonts w:ascii="Arial" w:hAnsi="Arial" w:cs="Arial"/>
          <w:sz w:val="24"/>
          <w:szCs w:val="24"/>
          <w:lang w:eastAsia="pt-BR"/>
        </w:rPr>
        <mc:AlternateContent>
          <mc:Choice Requires="wps">
            <w:drawing>
              <wp:anchor distT="45720" distB="45720" distL="114300" distR="114300" simplePos="0" relativeHeight="251661312" behindDoc="0" locked="0" layoutInCell="1" allowOverlap="1">
                <wp:simplePos x="0" y="0"/>
                <wp:positionH relativeFrom="margin">
                  <wp:posOffset>-159385</wp:posOffset>
                </wp:positionH>
                <wp:positionV relativeFrom="paragraph">
                  <wp:posOffset>327025</wp:posOffset>
                </wp:positionV>
                <wp:extent cx="3019425" cy="1083945"/>
                <wp:effectExtent l="0" t="0" r="0" b="1905"/>
                <wp:wrapSquare wrapText="bothSides"/>
                <wp:docPr id="10"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019425" cy="1083945"/>
                        </a:xfrm>
                        <a:prstGeom prst="rect">
                          <a:avLst/>
                        </a:prstGeom>
                        <a:noFill/>
                        <a:ln w="9525">
                          <a:noFill/>
                          <a:miter lim="800000"/>
                        </a:ln>
                      </wps:spPr>
                      <wps:txbx>
                        <w:txbxContent>
                          <w:p w14:paraId="3ED90EB6">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28162699">
                            <w:pPr>
                              <w:tabs>
                                <w:tab w:val="left" w:pos="900"/>
                              </w:tabs>
                              <w:spacing w:after="0" w:line="240" w:lineRule="auto"/>
                              <w:jc w:val="center"/>
                              <w:rPr>
                                <w:rFonts w:ascii="Arial" w:hAnsi="Arial" w:cs="Arial"/>
                                <w:sz w:val="24"/>
                                <w:szCs w:val="24"/>
                              </w:rPr>
                            </w:pPr>
                            <w:r>
                              <w:rPr>
                                <w:rFonts w:ascii="Arial" w:hAnsi="Arial" w:cs="Arial"/>
                                <w:b/>
                                <w:sz w:val="24"/>
                                <w:szCs w:val="24"/>
                              </w:rPr>
                              <w:t xml:space="preserve">Orly Alves de Freitas Júnior </w:t>
                            </w:r>
                            <w:r>
                              <w:rPr>
                                <w:rFonts w:ascii="Arial" w:hAnsi="Arial" w:cs="Arial"/>
                                <w:sz w:val="24"/>
                                <w:szCs w:val="24"/>
                              </w:rPr>
                              <w:t>Farmacêutico / Matr.: 5560-3</w:t>
                            </w:r>
                          </w:p>
                          <w:p w14:paraId="74D3842F">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12.55pt;margin-top:25.75pt;height:85.35pt;width:237.75pt;mso-position-horizontal-relative:margin;mso-wrap-distance-bottom:3.6pt;mso-wrap-distance-left:9pt;mso-wrap-distance-right:9pt;mso-wrap-distance-top:3.6pt;z-index:251661312;mso-width-relative:page;mso-height-relative:page;" filled="f" stroked="f" coordsize="21600,21600" o:gfxdata="UEsDBAoAAAAAAIdO4kAAAAAAAAAAAAAAAAAEAAAAZHJzL1BLAwQUAAAACACHTuJA0DgdtNYAAAAK&#10;AQAADwAAAGRycy9kb3ducmV2LnhtbE2PwU7DMAyG70i8Q2QkblvSqkGsq7sDiCuIMZC4ZU3WVjRO&#10;1WRreXvMCXyz/On391e7xQ/i4qbYB0LI1gqEoybYnlqEw9vT6h5ETIasGQI5hG8XYVdfX1WmtGGm&#10;V3fZp1ZwCMXSIHQpjaWUsemcN3EdRkd8O4XJm8Tr1Eo7mZnD/SBzpe6kNz3xh86M7qFzzdf+7BHe&#10;n0+fH4V6aR+9HuewKEl+IxFvbzK1BZHckv5g+NVndajZ6RjOZKMYEFa5zhhF0JkGwUChVQHiiJDz&#10;gKwr+b9C/QNQSwMEFAAAAAgAh07iQD95bZsWAgAAMAQAAA4AAABkcnMvZTJvRG9jLnhtbK1TTY/b&#10;IBS8V+p/QNwbO9mkTaw4q22irSptP6Td/oAXjGNUw6NAYm9/fR/Ym0bpZQ/1AQEP5s2Mh/Vtr1t2&#10;ks4rNCWfTnLOpBFYKXMo+Y+n+3dLznwAU0GLRpb8WXp+u3n7Zt3ZQs6wwbaSjhGI8UVnS96EYIss&#10;86KRGvwErTRUrNFpCLR0h6xy0BG6brNZnr/POnSVdSik97S7G4p8RHSvAcS6VkLuUBy1NGFAdbKF&#10;QJJ8o6znm8S2rqUI3+ray8DakpPSkEZqQvN9HLPNGoqDA9soMVKA11C40qRBGWp6htpBAHZ06h8o&#10;rYRDj3WYCNTZICQ5Qiqm+ZU3jw1YmbSQ1d6eTff/D1Z8PX13TFWUBLLEgKY/vgXVA6ske5J9QDaL&#10;JnXWF3T20dLp0H/Eni4kwd4+oPjpmcFtA+Yg75zDrpFQEclpvJldXB1wfATZd1+womZwDJiA+trp&#10;6CB5wgid2DyffxDxYII2b/Lpaj5bcCaoNs2XN6v5IvWA4uW6dT58kqhZnJTcUQISPJwefIh0oHg5&#10;ErsZvFdtm1LQGtaVfLUg/KuKVoEi3ypd8mUev7Fna0Z5UdGgLfT7frRrj9UzCXU4hI6eHE0adL85&#10;6yhwJfe/juAkZ+1nQ2atpvN5TGhazBcfZrRwl5X9ZQWMIKiSB86G6TakVA/M78jUWiW50f2ByciV&#10;gpRcGEMfk3q5Tqf+PvT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A4HbTWAAAACgEAAA8AAAAA&#10;AAAAAQAgAAAAIgAAAGRycy9kb3ducmV2LnhtbFBLAQIUABQAAAAIAIdO4kA/eW2bFgIAADAEAAAO&#10;AAAAAAAAAAEAIAAAACUBAABkcnMvZTJvRG9jLnhtbFBLBQYAAAAABgAGAFkBAACtBQAAAAA=&#10;">
                <v:fill on="f" focussize="0,0"/>
                <v:stroke on="f" miterlimit="8" joinstyle="miter"/>
                <v:imagedata o:title=""/>
                <o:lock v:ext="edit" aspectratio="f"/>
                <v:textbox>
                  <w:txbxContent>
                    <w:p w14:paraId="3ED90EB6">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28162699">
                      <w:pPr>
                        <w:tabs>
                          <w:tab w:val="left" w:pos="900"/>
                        </w:tabs>
                        <w:spacing w:after="0" w:line="240" w:lineRule="auto"/>
                        <w:jc w:val="center"/>
                        <w:rPr>
                          <w:rFonts w:ascii="Arial" w:hAnsi="Arial" w:cs="Arial"/>
                          <w:sz w:val="24"/>
                          <w:szCs w:val="24"/>
                        </w:rPr>
                      </w:pPr>
                      <w:r>
                        <w:rPr>
                          <w:rFonts w:ascii="Arial" w:hAnsi="Arial" w:cs="Arial"/>
                          <w:b/>
                          <w:sz w:val="24"/>
                          <w:szCs w:val="24"/>
                        </w:rPr>
                        <w:t xml:space="preserve">Orly Alves de Freitas Júnior </w:t>
                      </w:r>
                      <w:r>
                        <w:rPr>
                          <w:rFonts w:ascii="Arial" w:hAnsi="Arial" w:cs="Arial"/>
                          <w:sz w:val="24"/>
                          <w:szCs w:val="24"/>
                        </w:rPr>
                        <w:t>Farmacêutico / Matr.: 5560-3</w:t>
                      </w:r>
                    </w:p>
                    <w:p w14:paraId="74D3842F">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v:textbox>
                <w10:wrap type="square"/>
              </v:shape>
            </w:pict>
          </mc:Fallback>
        </mc:AlternateContent>
      </w:r>
    </w:p>
    <w:p w14:paraId="0F685078">
      <w:pPr>
        <w:spacing w:after="120" w:line="360" w:lineRule="auto"/>
        <w:ind w:right="102" w:firstLine="426"/>
        <w:jc w:val="both"/>
        <w:rPr>
          <w:rFonts w:ascii="Arial" w:hAnsi="Arial" w:cs="Arial"/>
          <w:sz w:val="24"/>
          <w:szCs w:val="24"/>
        </w:rPr>
      </w:pPr>
    </w:p>
    <w:p w14:paraId="2FE3B5B4">
      <w:pPr>
        <w:spacing w:after="120" w:line="360" w:lineRule="auto"/>
        <w:ind w:right="102" w:firstLine="426"/>
        <w:jc w:val="both"/>
        <w:rPr>
          <w:rFonts w:ascii="Arial" w:hAnsi="Arial" w:cs="Arial"/>
          <w:sz w:val="24"/>
          <w:szCs w:val="24"/>
        </w:rPr>
      </w:pPr>
    </w:p>
    <w:p w14:paraId="6A78DD9B">
      <w:pPr>
        <w:spacing w:after="120" w:line="360" w:lineRule="auto"/>
        <w:ind w:right="102" w:firstLine="426"/>
        <w:jc w:val="both"/>
        <w:rPr>
          <w:rFonts w:ascii="Arial" w:hAnsi="Arial" w:cs="Arial"/>
          <w:sz w:val="24"/>
          <w:szCs w:val="24"/>
        </w:rPr>
      </w:pPr>
      <w:r>
        <w:rPr>
          <w:rFonts w:ascii="Arial" w:hAnsi="Arial" w:cs="Arial"/>
          <w:sz w:val="24"/>
          <w:szCs w:val="24"/>
          <w:lang w:eastAsia="pt-BR"/>
        </w:rPr>
        <mc:AlternateContent>
          <mc:Choice Requires="wps">
            <w:drawing>
              <wp:anchor distT="45720" distB="45720" distL="114300" distR="114300" simplePos="0" relativeHeight="251663360" behindDoc="0" locked="0" layoutInCell="1" allowOverlap="1">
                <wp:simplePos x="0" y="0"/>
                <wp:positionH relativeFrom="margin">
                  <wp:posOffset>1438910</wp:posOffset>
                </wp:positionH>
                <wp:positionV relativeFrom="paragraph">
                  <wp:posOffset>3175</wp:posOffset>
                </wp:positionV>
                <wp:extent cx="3019425" cy="1083945"/>
                <wp:effectExtent l="0" t="0" r="0" b="1905"/>
                <wp:wrapSquare wrapText="bothSides"/>
                <wp:docPr id="1"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019425" cy="1083945"/>
                        </a:xfrm>
                        <a:prstGeom prst="rect">
                          <a:avLst/>
                        </a:prstGeom>
                        <a:noFill/>
                        <a:ln w="9525">
                          <a:noFill/>
                          <a:miter lim="800000"/>
                        </a:ln>
                      </wps:spPr>
                      <wps:txbx>
                        <w:txbxContent>
                          <w:p w14:paraId="499677D1">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2C7F7826">
                            <w:pPr>
                              <w:tabs>
                                <w:tab w:val="left" w:pos="900"/>
                              </w:tabs>
                              <w:spacing w:after="0" w:line="240" w:lineRule="auto"/>
                              <w:jc w:val="center"/>
                              <w:rPr>
                                <w:rFonts w:ascii="Arial" w:hAnsi="Arial" w:cs="Arial"/>
                                <w:b/>
                                <w:sz w:val="24"/>
                                <w:szCs w:val="24"/>
                              </w:rPr>
                            </w:pPr>
                            <w:r>
                              <w:rPr>
                                <w:rFonts w:ascii="Arial" w:hAnsi="Arial" w:cs="Arial"/>
                                <w:b/>
                                <w:sz w:val="24"/>
                                <w:szCs w:val="24"/>
                              </w:rPr>
                              <w:t>Josi Pereira da Silva</w:t>
                            </w:r>
                          </w:p>
                          <w:p w14:paraId="313120DF">
                            <w:pPr>
                              <w:tabs>
                                <w:tab w:val="left" w:pos="900"/>
                              </w:tabs>
                              <w:spacing w:after="0" w:line="240" w:lineRule="auto"/>
                              <w:jc w:val="center"/>
                              <w:rPr>
                                <w:rFonts w:ascii="Arial" w:hAnsi="Arial" w:cs="Arial"/>
                                <w:sz w:val="24"/>
                                <w:szCs w:val="24"/>
                              </w:rPr>
                            </w:pPr>
                            <w:r>
                              <w:rPr>
                                <w:rFonts w:ascii="Arial" w:hAnsi="Arial" w:cs="Arial"/>
                                <w:sz w:val="24"/>
                                <w:szCs w:val="24"/>
                              </w:rPr>
                              <w:t>Superintendente Administrativa</w:t>
                            </w:r>
                          </w:p>
                          <w:p w14:paraId="44C6E766">
                            <w:pPr>
                              <w:tabs>
                                <w:tab w:val="left" w:pos="900"/>
                              </w:tabs>
                              <w:spacing w:after="0" w:line="240" w:lineRule="auto"/>
                              <w:jc w:val="center"/>
                              <w:rPr>
                                <w:rFonts w:ascii="Arial" w:hAnsi="Arial" w:cs="Arial"/>
                                <w:sz w:val="24"/>
                                <w:szCs w:val="24"/>
                              </w:rPr>
                            </w:pPr>
                            <w:r>
                              <w:rPr>
                                <w:rFonts w:ascii="Arial" w:hAnsi="Arial" w:cs="Arial"/>
                                <w:sz w:val="24"/>
                                <w:szCs w:val="24"/>
                              </w:rPr>
                              <w:t>Secretaria Municipal de Saúde</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113.3pt;margin-top:0.25pt;height:85.35pt;width:237.75pt;mso-position-horizontal-relative:margin;mso-wrap-distance-bottom:3.6pt;mso-wrap-distance-left:9pt;mso-wrap-distance-right:9pt;mso-wrap-distance-top:3.6pt;z-index:251663360;mso-width-relative:page;mso-height-relative:page;" filled="f" stroked="f" coordsize="21600,21600" o:gfxdata="UEsDBAoAAAAAAIdO4kAAAAAAAAAAAAAAAAAEAAAAZHJzL1BLAwQUAAAACACHTuJAu8UsXNYAAAAI&#10;AQAADwAAAGRycy9kb3ducmV2LnhtbE2Py07DMBBF90j9B2uQ2FE7Fk0hxOmiiC2o5SGxc+NpEhGP&#10;o9htwt8zXcFydI/uPVNuZt+LM46xC2QgWyoQSHVwHTUG3t+eb+9BxGTJ2T4QGvjBCJtqcVXawoWJ&#10;dnjep0ZwCcXCGmhTGgopY92it3EZBiTOjmH0NvE5NtKNduJy30utVC697YgXWjvgtsX6e3/yBj5e&#10;jl+fd+q1efKrYQqzkuQfpDE315l6BJFwTn8wXPRZHSp2OoQTuSh6A1rnOaMGViA4XiudgTgwt840&#10;yKqU/x+ofgFQSwMEFAAAAAgAh07iQFAUXAIWAgAALwQAAA4AAABkcnMvZTJvRG9jLnhtbK1Ty27b&#10;MBC8F+g/ELzXkh27tQXLQWojRYH0AST9gDVFWURFLkvSltKv75JSXMO95FAdBFK7nJ0Zjta3vW7Z&#10;STqv0JR8Osk5k0Zgpcyh5D+e7t8tOfMBTAUtGlnyZ+n57ebtm3VnCznDBttKOkYgxhedLXkTgi2y&#10;zItGavATtNJQsUanIdDWHbLKQUfous1mef4+69BV1qGQ3tPX3VDkI6J7DSDWtRJyh+KopQkDqpMt&#10;BJLkG2U93yS2dS1F+FbXXgbWlpyUhvSmIbTex3e2WUNxcGAbJUYK8BoKV5o0KENDz1A7CMCOTv0D&#10;pZVw6LEOE4E6G4QkR0jFNL/y5rEBK5MWstrbs+n+/8GKr6fvjqmKksCZAU0XvgXVA6ske5J9QDaL&#10;HnXWF9T6aKk59B+xj/1Rr7cPKH56ZnDbgDnIO+ewayRUxHEaT2YXRwccH0H23ResaBgcAyagvnY6&#10;ApIljNDpfp7P90M8mKCPN/l0NZ8tOBNUm+bLm9V8kWZA8XLcOh8+SdQsLkruKAAJHk4PPkQ6ULy0&#10;xGkG71XbphC0hnUlXy0I/6qiVaDEt0qXfJnHZ5zZmlFeVDRoC/2+H+3aY/VMQh0OmaM/jhYNut+c&#10;dZS3kvtfR3CSs/azIbNW0/k8BjRt5osPM9q4y8r+sgJGEFTJA2fDchtSqAfmd2RqrZLc6P7AZORK&#10;OUoujJmPQb3cp66///n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vFLFzWAAAACAEAAA8AAAAA&#10;AAAAAQAgAAAAIgAAAGRycy9kb3ducmV2LnhtbFBLAQIUABQAAAAIAIdO4kBQFFwCFgIAAC8EAAAO&#10;AAAAAAAAAAEAIAAAACUBAABkcnMvZTJvRG9jLnhtbFBLBQYAAAAABgAGAFkBAACtBQAAAAA=&#10;">
                <v:fill on="f" focussize="0,0"/>
                <v:stroke on="f" miterlimit="8" joinstyle="miter"/>
                <v:imagedata o:title=""/>
                <o:lock v:ext="edit" aspectratio="f"/>
                <v:textbox>
                  <w:txbxContent>
                    <w:p w14:paraId="499677D1">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2C7F7826">
                      <w:pPr>
                        <w:tabs>
                          <w:tab w:val="left" w:pos="900"/>
                        </w:tabs>
                        <w:spacing w:after="0" w:line="240" w:lineRule="auto"/>
                        <w:jc w:val="center"/>
                        <w:rPr>
                          <w:rFonts w:ascii="Arial" w:hAnsi="Arial" w:cs="Arial"/>
                          <w:b/>
                          <w:sz w:val="24"/>
                          <w:szCs w:val="24"/>
                        </w:rPr>
                      </w:pPr>
                      <w:r>
                        <w:rPr>
                          <w:rFonts w:ascii="Arial" w:hAnsi="Arial" w:cs="Arial"/>
                          <w:b/>
                          <w:sz w:val="24"/>
                          <w:szCs w:val="24"/>
                        </w:rPr>
                        <w:t>Josi Pereira da Silva</w:t>
                      </w:r>
                    </w:p>
                    <w:p w14:paraId="313120DF">
                      <w:pPr>
                        <w:tabs>
                          <w:tab w:val="left" w:pos="900"/>
                        </w:tabs>
                        <w:spacing w:after="0" w:line="240" w:lineRule="auto"/>
                        <w:jc w:val="center"/>
                        <w:rPr>
                          <w:rFonts w:ascii="Arial" w:hAnsi="Arial" w:cs="Arial"/>
                          <w:sz w:val="24"/>
                          <w:szCs w:val="24"/>
                        </w:rPr>
                      </w:pPr>
                      <w:r>
                        <w:rPr>
                          <w:rFonts w:ascii="Arial" w:hAnsi="Arial" w:cs="Arial"/>
                          <w:sz w:val="24"/>
                          <w:szCs w:val="24"/>
                        </w:rPr>
                        <w:t>Superintendente Administrativa</w:t>
                      </w:r>
                    </w:p>
                    <w:p w14:paraId="44C6E766">
                      <w:pPr>
                        <w:tabs>
                          <w:tab w:val="left" w:pos="900"/>
                        </w:tabs>
                        <w:spacing w:after="0" w:line="240" w:lineRule="auto"/>
                        <w:jc w:val="center"/>
                        <w:rPr>
                          <w:rFonts w:ascii="Arial" w:hAnsi="Arial" w:cs="Arial"/>
                          <w:sz w:val="24"/>
                          <w:szCs w:val="24"/>
                        </w:rPr>
                      </w:pPr>
                      <w:r>
                        <w:rPr>
                          <w:rFonts w:ascii="Arial" w:hAnsi="Arial" w:cs="Arial"/>
                          <w:sz w:val="24"/>
                          <w:szCs w:val="24"/>
                        </w:rPr>
                        <w:t>Secretaria Municipal de Saúde</w:t>
                      </w:r>
                    </w:p>
                  </w:txbxContent>
                </v:textbox>
                <w10:wrap type="square"/>
              </v:shape>
            </w:pict>
          </mc:Fallback>
        </mc:AlternateContent>
      </w:r>
    </w:p>
    <w:p w14:paraId="39DA6145">
      <w:pPr>
        <w:spacing w:after="120" w:line="360" w:lineRule="auto"/>
        <w:ind w:right="102" w:firstLine="426"/>
        <w:jc w:val="both"/>
        <w:rPr>
          <w:rFonts w:ascii="Arial" w:hAnsi="Arial" w:cs="Arial"/>
          <w:sz w:val="24"/>
          <w:szCs w:val="24"/>
        </w:rPr>
      </w:pPr>
    </w:p>
    <w:p w14:paraId="09D2655E">
      <w:pPr>
        <w:spacing w:after="120" w:line="360" w:lineRule="auto"/>
        <w:ind w:right="102" w:firstLine="426"/>
        <w:jc w:val="both"/>
        <w:rPr>
          <w:rFonts w:ascii="Arial" w:hAnsi="Arial" w:cs="Arial"/>
          <w:sz w:val="24"/>
          <w:szCs w:val="24"/>
        </w:rPr>
      </w:pPr>
    </w:p>
    <w:p w14:paraId="67877DB2">
      <w:pPr>
        <w:spacing w:after="120" w:line="360" w:lineRule="auto"/>
        <w:ind w:right="102" w:firstLine="426"/>
        <w:jc w:val="right"/>
        <w:rPr>
          <w:rFonts w:ascii="Arial" w:hAnsi="Arial" w:cs="Arial"/>
          <w:sz w:val="24"/>
          <w:szCs w:val="24"/>
        </w:rPr>
      </w:pPr>
    </w:p>
    <w:p w14:paraId="53EDF87E">
      <w:pPr>
        <w:spacing w:after="120" w:line="360" w:lineRule="auto"/>
        <w:ind w:right="102" w:firstLine="426"/>
        <w:jc w:val="right"/>
        <w:rPr>
          <w:rFonts w:ascii="Arial" w:hAnsi="Arial" w:cs="Arial"/>
          <w:sz w:val="24"/>
          <w:szCs w:val="24"/>
        </w:rPr>
      </w:pPr>
    </w:p>
    <w:p w14:paraId="7667D85C">
      <w:pPr>
        <w:rPr>
          <w:rFonts w:ascii="Arial" w:hAnsi="Arial" w:cs="Arial"/>
          <w:sz w:val="24"/>
          <w:szCs w:val="24"/>
        </w:rPr>
      </w:pPr>
      <w:r>
        <w:rPr>
          <w:rFonts w:ascii="Arial" w:hAnsi="Arial" w:cs="Arial"/>
          <w:sz w:val="24"/>
          <w:szCs w:val="24"/>
        </w:rPr>
        <w:t>Paulínia, 09 de setembro de 2025.</w:t>
      </w:r>
    </w:p>
    <w:p w14:paraId="675AE8DE">
      <w:pPr>
        <w:rPr>
          <w:rFonts w:ascii="Arial" w:hAnsi="Arial" w:cs="Arial"/>
          <w:sz w:val="24"/>
          <w:szCs w:val="24"/>
        </w:rPr>
      </w:pPr>
    </w:p>
    <w:p w14:paraId="2F69D62B">
      <w:pPr>
        <w:rPr>
          <w:rFonts w:ascii="Arial" w:hAnsi="Arial" w:cs="Arial"/>
          <w:sz w:val="24"/>
          <w:szCs w:val="24"/>
        </w:rPr>
      </w:pPr>
    </w:p>
    <w:p w14:paraId="54CFCBBF">
      <w:pPr>
        <w:rPr>
          <w:rFonts w:ascii="Arial" w:hAnsi="Arial" w:cs="Arial"/>
          <w:sz w:val="24"/>
          <w:szCs w:val="24"/>
        </w:rPr>
      </w:pPr>
    </w:p>
    <w:p w14:paraId="16F6912D">
      <w:pPr>
        <w:rPr>
          <w:rFonts w:ascii="Arial" w:hAnsi="Arial" w:cs="Arial"/>
          <w:sz w:val="24"/>
          <w:szCs w:val="24"/>
        </w:rPr>
      </w:pPr>
    </w:p>
    <w:p w14:paraId="13E0D3BE">
      <w:pPr>
        <w:rPr>
          <w:rFonts w:ascii="Arial" w:hAnsi="Arial" w:cs="Arial"/>
          <w:sz w:val="24"/>
          <w:szCs w:val="24"/>
        </w:rPr>
      </w:pPr>
    </w:p>
    <w:p w14:paraId="18FDF1C7">
      <w:pPr>
        <w:rPr>
          <w:rFonts w:ascii="Arial" w:hAnsi="Arial" w:cs="Arial"/>
          <w:sz w:val="24"/>
          <w:szCs w:val="24"/>
        </w:rPr>
      </w:pPr>
    </w:p>
    <w:p w14:paraId="161BB255">
      <w:pPr>
        <w:spacing w:after="0" w:line="360" w:lineRule="auto"/>
        <w:ind w:right="91"/>
        <w:jc w:val="center"/>
        <w:rPr>
          <w:rFonts w:ascii="Arial" w:hAnsi="Arial" w:cs="Arial"/>
          <w:b/>
          <w:sz w:val="26"/>
          <w:szCs w:val="26"/>
        </w:rPr>
      </w:pPr>
      <w:r>
        <w:rPr>
          <w:rFonts w:ascii="Arial" w:hAnsi="Arial" w:cs="Arial"/>
          <w:b/>
          <w:sz w:val="26"/>
          <w:szCs w:val="26"/>
        </w:rPr>
        <w:t>PROTOCOLO 29066/2025</w:t>
      </w:r>
    </w:p>
    <w:p w14:paraId="6465FCE4">
      <w:pPr>
        <w:spacing w:after="0"/>
        <w:rPr>
          <w:rFonts w:ascii="Arial" w:hAnsi="Arial" w:cs="Arial"/>
          <w:sz w:val="24"/>
          <w:szCs w:val="24"/>
        </w:rPr>
      </w:pPr>
    </w:p>
    <w:p w14:paraId="7A0D8712">
      <w:pPr>
        <w:spacing w:after="120" w:line="360" w:lineRule="auto"/>
        <w:ind w:right="91"/>
        <w:jc w:val="both"/>
        <w:rPr>
          <w:rFonts w:ascii="Arial" w:hAnsi="Arial" w:cs="Arial"/>
          <w:b/>
          <w:sz w:val="26"/>
          <w:szCs w:val="26"/>
        </w:rPr>
      </w:pPr>
      <w:r>
        <w:rPr>
          <w:rFonts w:ascii="Arial" w:hAnsi="Arial" w:cs="Arial"/>
          <w:b/>
          <w:sz w:val="26"/>
          <w:szCs w:val="26"/>
        </w:rPr>
        <w:t>INTRODUÇÃO</w:t>
      </w:r>
    </w:p>
    <w:p w14:paraId="7403A8C2">
      <w:pPr>
        <w:spacing w:after="0" w:line="360" w:lineRule="auto"/>
        <w:ind w:left="61" w:right="92" w:firstLine="412"/>
        <w:jc w:val="both"/>
        <w:rPr>
          <w:rFonts w:ascii="Arial" w:hAnsi="Arial" w:cs="Arial"/>
          <w:sz w:val="24"/>
          <w:szCs w:val="24"/>
        </w:rPr>
      </w:pPr>
      <w:r>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4B6E17FB">
      <w:pPr>
        <w:spacing w:after="0" w:line="360" w:lineRule="auto"/>
        <w:rPr>
          <w:rFonts w:ascii="Arial" w:hAnsi="Arial" w:cs="Arial"/>
          <w:b/>
          <w:sz w:val="24"/>
          <w:szCs w:val="24"/>
        </w:rPr>
      </w:pPr>
    </w:p>
    <w:p w14:paraId="599ADB9D">
      <w:pPr>
        <w:pStyle w:val="40"/>
        <w:spacing w:after="120" w:line="360" w:lineRule="auto"/>
        <w:ind w:left="0" w:right="91"/>
        <w:jc w:val="both"/>
        <w:rPr>
          <w:rFonts w:ascii="Arial" w:hAnsi="Arial" w:cs="Arial"/>
          <w:b/>
          <w:sz w:val="26"/>
          <w:szCs w:val="26"/>
        </w:rPr>
      </w:pPr>
      <w:r>
        <w:rPr>
          <w:rFonts w:ascii="Arial" w:hAnsi="Arial" w:cs="Arial"/>
          <w:b/>
          <w:sz w:val="26"/>
          <w:szCs w:val="26"/>
        </w:rPr>
        <w:t>1. DESCRIÇÃO DA NECESSIDADE</w:t>
      </w:r>
    </w:p>
    <w:p w14:paraId="24E7F14D">
      <w:pPr>
        <w:spacing w:after="0" w:line="360" w:lineRule="auto"/>
        <w:ind w:left="61" w:right="92" w:firstLine="412"/>
        <w:jc w:val="both"/>
        <w:rPr>
          <w:rFonts w:ascii="Arial" w:hAnsi="Arial" w:cs="Arial"/>
          <w:sz w:val="24"/>
          <w:szCs w:val="24"/>
        </w:rPr>
      </w:pPr>
      <w:r>
        <w:rPr>
          <w:rFonts w:ascii="Arial" w:hAnsi="Arial" w:cs="Arial"/>
          <w:sz w:val="24"/>
          <w:szCs w:val="24"/>
        </w:rPr>
        <w:t>A aquisição e contratação de medicamentos desempenha um papel crucial no sistema de saúde e no atendimento às necessidades da população. Num cenário em que o acesso a cuidados de saúde de qualidade é um direito fundamental, a disponibilidade e a acessibilidade a medicamentos são elementos-chave para a promoção da saúde pública.</w:t>
      </w:r>
    </w:p>
    <w:p w14:paraId="7120D396">
      <w:pPr>
        <w:spacing w:after="0" w:line="360" w:lineRule="auto"/>
        <w:ind w:left="61" w:right="92" w:firstLine="412"/>
        <w:jc w:val="both"/>
        <w:rPr>
          <w:rFonts w:ascii="Arial" w:hAnsi="Arial" w:cs="Arial"/>
          <w:sz w:val="24"/>
          <w:szCs w:val="24"/>
        </w:rPr>
      </w:pPr>
      <w:r>
        <w:rPr>
          <w:rFonts w:ascii="Arial" w:hAnsi="Arial" w:cs="Arial"/>
          <w:sz w:val="24"/>
          <w:szCs w:val="24"/>
        </w:rPr>
        <w:t>Os medicamentos são tidos como a espinha dorsal da terapia médica e da gestão de doenças. Eles desempenham um papel vital no tratamento de condições agudas e crônicas, no controle de sintomas, na prevenção de enfermidades e, em muitos casos, na preservação da vida. A garantia de que a população tenha acesso a medicamentos essenciais é uma premissa básica e essencial de todo e qualquer Sistema de Saúde. A qualidade e a disponibilidade desses produtos impactam diretamente na segurança e na eficácia dos cuidados em saúde.</w:t>
      </w:r>
    </w:p>
    <w:p w14:paraId="13621FAD">
      <w:pPr>
        <w:spacing w:after="0" w:line="360" w:lineRule="auto"/>
        <w:ind w:left="61" w:right="92" w:firstLine="412"/>
        <w:jc w:val="both"/>
        <w:rPr>
          <w:rFonts w:ascii="Arial" w:hAnsi="Arial" w:cs="Arial"/>
          <w:sz w:val="24"/>
          <w:szCs w:val="24"/>
        </w:rPr>
      </w:pPr>
      <w:r>
        <w:rPr>
          <w:rFonts w:ascii="Arial" w:hAnsi="Arial" w:cs="Arial"/>
          <w:sz w:val="24"/>
          <w:szCs w:val="24"/>
        </w:rPr>
        <w:t>Nesse contexto, a aquisição e a contratação criteriosa de medicamentos são determinantes para a garantia da melhoria da qualidade de vida e do bem-estar da sociedade como um todo. Processos de aquisição transparentes e eficientes desempenham um papel vital na gestão eficaz dos recursos públicos, fortalecendo a sustentabilidade do sistema de saúde e promovendo uma abordagem responsável na prestação de cuidados de saúde.</w:t>
      </w:r>
    </w:p>
    <w:p w14:paraId="7D224095">
      <w:pPr>
        <w:spacing w:after="0" w:line="360" w:lineRule="auto"/>
        <w:ind w:left="61" w:right="92" w:firstLine="412"/>
        <w:jc w:val="both"/>
        <w:rPr>
          <w:rFonts w:ascii="Arial" w:hAnsi="Arial" w:cs="Arial"/>
          <w:sz w:val="24"/>
          <w:szCs w:val="24"/>
        </w:rPr>
      </w:pPr>
    </w:p>
    <w:p w14:paraId="26147E9B">
      <w:pPr>
        <w:spacing w:after="0" w:line="360" w:lineRule="auto"/>
        <w:ind w:firstLine="426"/>
        <w:jc w:val="both"/>
        <w:rPr>
          <w:rFonts w:ascii="Arial" w:hAnsi="Arial" w:cs="Arial"/>
          <w:sz w:val="24"/>
          <w:szCs w:val="24"/>
        </w:rPr>
      </w:pPr>
      <w:r>
        <w:rPr>
          <w:rFonts w:ascii="Arial" w:hAnsi="Arial" w:cs="Arial"/>
          <w:sz w:val="24"/>
          <w:szCs w:val="24"/>
        </w:rPr>
        <w:t>Os antibióticos são medicamentos de origem natural ou sintética que inibem o crescimento ou causam a morte de bactérias, por isso são usados no tratamento de infecções bacterianas. Eles atacam somente as bactérias, sem causar danos as demais células do organismo.</w:t>
      </w:r>
    </w:p>
    <w:p w14:paraId="7B49B820">
      <w:pPr>
        <w:spacing w:after="0" w:line="360" w:lineRule="auto"/>
        <w:ind w:firstLine="426"/>
        <w:jc w:val="both"/>
        <w:rPr>
          <w:rFonts w:ascii="Arial" w:hAnsi="Arial" w:cs="Arial"/>
          <w:sz w:val="24"/>
          <w:szCs w:val="24"/>
        </w:rPr>
      </w:pPr>
      <w:r>
        <w:rPr>
          <w:rFonts w:ascii="Arial" w:hAnsi="Arial" w:cs="Arial"/>
          <w:sz w:val="24"/>
          <w:szCs w:val="24"/>
        </w:rPr>
        <w:t>Os antibióticos só agem contra infecções causadas pelas bactérias especificas que sejam sensíveis aquele determinado antibiótico. O uso em excesso faz com que as bactérias sofram alterações e os antibióticos perdem o poder de ação sobre elas.</w:t>
      </w:r>
    </w:p>
    <w:p w14:paraId="5629B030">
      <w:pPr>
        <w:spacing w:after="0" w:line="360" w:lineRule="auto"/>
        <w:ind w:firstLine="426"/>
        <w:jc w:val="both"/>
        <w:rPr>
          <w:rFonts w:ascii="Arial" w:hAnsi="Arial" w:cs="Arial"/>
          <w:sz w:val="24"/>
          <w:szCs w:val="24"/>
        </w:rPr>
      </w:pPr>
      <w:r>
        <w:rPr>
          <w:rFonts w:ascii="Arial" w:hAnsi="Arial" w:cs="Arial"/>
          <w:sz w:val="24"/>
          <w:szCs w:val="24"/>
        </w:rPr>
        <w:t>O uso indiscriminado de antibióticos pode alterar a resistência das bactérias que causam a doença e tornar o medicamento ineficaz no seu combate. Esses itens ficaram deserto no pregão nº 118/2025</w:t>
      </w:r>
    </w:p>
    <w:p w14:paraId="1859185A">
      <w:pPr>
        <w:spacing w:after="0" w:line="360" w:lineRule="auto"/>
        <w:ind w:right="91"/>
        <w:jc w:val="both"/>
        <w:rPr>
          <w:rFonts w:ascii="Arial" w:hAnsi="Arial" w:cs="Arial"/>
          <w:b/>
          <w:sz w:val="24"/>
          <w:szCs w:val="24"/>
        </w:rPr>
      </w:pPr>
    </w:p>
    <w:p w14:paraId="2D07F24A">
      <w:pPr>
        <w:spacing w:after="120" w:line="360" w:lineRule="auto"/>
        <w:ind w:right="91"/>
        <w:jc w:val="both"/>
        <w:rPr>
          <w:rFonts w:ascii="Arial" w:hAnsi="Arial" w:cs="Arial"/>
          <w:b/>
          <w:sz w:val="26"/>
          <w:szCs w:val="26"/>
        </w:rPr>
      </w:pPr>
      <w:r>
        <w:rPr>
          <w:rFonts w:ascii="Arial" w:hAnsi="Arial" w:cs="Arial"/>
          <w:b/>
          <w:sz w:val="26"/>
          <w:szCs w:val="26"/>
        </w:rPr>
        <w:t>2. PREVISÃO NO PLANO DE CONTRATAÇÕES ANUAL</w:t>
      </w:r>
    </w:p>
    <w:p w14:paraId="24E6C033">
      <w:pPr>
        <w:spacing w:after="0" w:line="360" w:lineRule="auto"/>
        <w:ind w:left="61" w:right="92" w:firstLine="412"/>
        <w:jc w:val="both"/>
        <w:rPr>
          <w:rFonts w:ascii="Arial" w:hAnsi="Arial" w:cs="Arial"/>
          <w:sz w:val="24"/>
          <w:szCs w:val="24"/>
        </w:rPr>
      </w:pPr>
      <w:r>
        <w:rPr>
          <w:rFonts w:ascii="Arial" w:hAnsi="Arial" w:cs="Arial"/>
          <w:sz w:val="24"/>
          <w:szCs w:val="24"/>
        </w:rPr>
        <w:t>A presente aquisição/contratação foi prevista no Plano de Contratações Anual (PCA) de 2025, conforme edição de Diário Oficial do município nº 2.385 de 03 de outubro de 2024, disponível em:  https://www.paulinia.sp.gov.br/portal/diario-oficial/ver/1461.</w:t>
      </w:r>
    </w:p>
    <w:p w14:paraId="43682AA9">
      <w:pPr>
        <w:spacing w:after="0" w:line="360" w:lineRule="auto"/>
        <w:ind w:right="91"/>
        <w:jc w:val="both"/>
        <w:rPr>
          <w:rFonts w:ascii="Arial" w:hAnsi="Arial" w:cs="Arial"/>
          <w:b/>
          <w:sz w:val="24"/>
          <w:szCs w:val="24"/>
        </w:rPr>
      </w:pPr>
    </w:p>
    <w:p w14:paraId="0E396FD6">
      <w:pPr>
        <w:spacing w:after="120" w:line="360" w:lineRule="auto"/>
        <w:ind w:right="102"/>
        <w:jc w:val="both"/>
        <w:rPr>
          <w:rFonts w:ascii="Arial" w:hAnsi="Arial" w:cs="Arial"/>
          <w:b/>
          <w:sz w:val="26"/>
          <w:szCs w:val="26"/>
        </w:rPr>
      </w:pPr>
      <w:r>
        <w:rPr>
          <w:rFonts w:ascii="Arial" w:hAnsi="Arial" w:cs="Arial"/>
          <w:b/>
          <w:sz w:val="26"/>
          <w:szCs w:val="26"/>
        </w:rPr>
        <w:t>3. DEMONSTRATIVO DOS RESULTADOS PRETENDIDOS</w:t>
      </w:r>
    </w:p>
    <w:p w14:paraId="4C84216F">
      <w:pPr>
        <w:ind w:firstLine="567"/>
        <w:rPr>
          <w:rFonts w:ascii="Arial" w:hAnsi="Arial" w:cs="Arial"/>
          <w:sz w:val="24"/>
          <w:szCs w:val="24"/>
        </w:rPr>
      </w:pPr>
      <w:r>
        <w:rPr>
          <w:rFonts w:ascii="Arial" w:hAnsi="Arial" w:cs="Arial"/>
          <w:sz w:val="24"/>
          <w:szCs w:val="24"/>
        </w:rPr>
        <w:t>Com a presente aquisição, objetiva-se a concretização dos seguintes resultados:</w:t>
      </w:r>
    </w:p>
    <w:p w14:paraId="04037E1D">
      <w:pPr>
        <w:pStyle w:val="40"/>
        <w:numPr>
          <w:ilvl w:val="0"/>
          <w:numId w:val="22"/>
        </w:numPr>
        <w:spacing w:after="0" w:line="360" w:lineRule="auto"/>
        <w:ind w:left="714" w:hanging="357"/>
        <w:jc w:val="both"/>
        <w:rPr>
          <w:rFonts w:ascii="Arial" w:hAnsi="Arial" w:cs="Arial"/>
        </w:rPr>
      </w:pPr>
      <w:r>
        <w:rPr>
          <w:rFonts w:ascii="Arial" w:hAnsi="Arial" w:cs="Arial"/>
        </w:rPr>
        <w:t>Garantir o acesso da população aos medicamentos essenciais para tratar e controlar doenças infecciosas.</w:t>
      </w:r>
    </w:p>
    <w:p w14:paraId="1509C966">
      <w:pPr>
        <w:pStyle w:val="40"/>
        <w:numPr>
          <w:ilvl w:val="0"/>
          <w:numId w:val="22"/>
        </w:numPr>
        <w:spacing w:after="0" w:line="360" w:lineRule="auto"/>
        <w:ind w:left="714" w:hanging="357"/>
        <w:jc w:val="both"/>
        <w:rPr>
          <w:rFonts w:ascii="Arial" w:hAnsi="Arial" w:cs="Arial"/>
        </w:rPr>
      </w:pPr>
      <w:r>
        <w:rPr>
          <w:rFonts w:ascii="Arial" w:hAnsi="Arial" w:cs="Arial"/>
        </w:rPr>
        <w:t>Garantir a sustentabilidade do Sistema de Saúde municipal através da aquisição criteriosa de medicamentos, permitindo que os recursos públicos sejam alocados de maneira eficaz e eficiente.</w:t>
      </w:r>
    </w:p>
    <w:p w14:paraId="337FFDA3">
      <w:pPr>
        <w:pStyle w:val="40"/>
        <w:numPr>
          <w:ilvl w:val="0"/>
          <w:numId w:val="22"/>
        </w:numPr>
        <w:spacing w:after="0" w:line="360" w:lineRule="auto"/>
        <w:ind w:right="100"/>
        <w:jc w:val="both"/>
        <w:rPr>
          <w:rFonts w:ascii="Arial" w:hAnsi="Arial" w:cs="Arial"/>
        </w:rPr>
      </w:pPr>
      <w:r>
        <w:rPr>
          <w:rFonts w:ascii="Arial" w:hAnsi="Arial" w:cs="Arial"/>
        </w:rPr>
        <w:t>Viabilizar processos de aquisição eficientes e transparentes que resultem na melhor gestão dos recursos públicos destinados à saúde, fomentando a responsabilidade fiscal e o uso adequado dos investimentos.</w:t>
      </w:r>
    </w:p>
    <w:p w14:paraId="503216CD">
      <w:pPr>
        <w:spacing w:after="0" w:line="360" w:lineRule="auto"/>
        <w:ind w:right="102"/>
        <w:jc w:val="both"/>
        <w:rPr>
          <w:rFonts w:ascii="Arial" w:hAnsi="Arial" w:cs="Arial"/>
          <w:b/>
          <w:sz w:val="24"/>
        </w:rPr>
      </w:pPr>
    </w:p>
    <w:p w14:paraId="2CA1A658">
      <w:pPr>
        <w:spacing w:after="120" w:line="360" w:lineRule="auto"/>
        <w:ind w:right="102"/>
        <w:jc w:val="both"/>
        <w:rPr>
          <w:rFonts w:ascii="Arial" w:hAnsi="Arial" w:cs="Arial"/>
          <w:b/>
          <w:sz w:val="26"/>
          <w:szCs w:val="26"/>
        </w:rPr>
      </w:pPr>
      <w:r>
        <w:rPr>
          <w:rFonts w:ascii="Arial" w:hAnsi="Arial" w:cs="Arial"/>
          <w:b/>
          <w:sz w:val="26"/>
          <w:szCs w:val="26"/>
        </w:rPr>
        <w:t>4. LEVANTAMENTO DE MERCADO</w:t>
      </w:r>
    </w:p>
    <w:p w14:paraId="507738B6">
      <w:pPr>
        <w:ind w:firstLine="567"/>
        <w:rPr>
          <w:rFonts w:ascii="Arial" w:hAnsi="Arial" w:cs="Arial"/>
          <w:sz w:val="24"/>
          <w:szCs w:val="24"/>
        </w:rPr>
      </w:pPr>
      <w:r>
        <w:rPr>
          <w:rFonts w:ascii="Arial" w:hAnsi="Arial" w:cs="Arial"/>
          <w:sz w:val="24"/>
          <w:szCs w:val="24"/>
        </w:rPr>
        <w:t>Não se aplica à presente contratação.</w:t>
      </w:r>
    </w:p>
    <w:p w14:paraId="08C7878C">
      <w:pPr>
        <w:spacing w:after="0" w:line="360" w:lineRule="auto"/>
        <w:ind w:right="102"/>
        <w:jc w:val="both"/>
        <w:rPr>
          <w:rFonts w:ascii="Arial" w:hAnsi="Arial" w:cs="Arial"/>
          <w:b/>
          <w:sz w:val="24"/>
        </w:rPr>
      </w:pPr>
    </w:p>
    <w:p w14:paraId="69A7A8C6">
      <w:pPr>
        <w:spacing w:after="120" w:line="360" w:lineRule="auto"/>
        <w:ind w:right="102"/>
        <w:jc w:val="both"/>
        <w:rPr>
          <w:rFonts w:ascii="Arial" w:hAnsi="Arial" w:cs="Arial"/>
          <w:b/>
          <w:sz w:val="26"/>
          <w:szCs w:val="26"/>
        </w:rPr>
      </w:pPr>
      <w:r>
        <w:rPr>
          <w:rFonts w:ascii="Arial" w:hAnsi="Arial" w:cs="Arial"/>
          <w:b/>
          <w:sz w:val="26"/>
          <w:szCs w:val="26"/>
        </w:rPr>
        <w:t>5. DESCRIÇÃO DA SOLUÇÃO COMO UM TODO</w:t>
      </w:r>
    </w:p>
    <w:p w14:paraId="6002A67E">
      <w:pPr>
        <w:spacing w:after="0" w:line="360" w:lineRule="auto"/>
        <w:ind w:right="102" w:firstLine="425"/>
        <w:jc w:val="both"/>
        <w:rPr>
          <w:rFonts w:ascii="Arial" w:hAnsi="Arial" w:cs="Arial"/>
          <w:sz w:val="24"/>
          <w:szCs w:val="24"/>
        </w:rPr>
      </w:pPr>
      <w:r>
        <w:rPr>
          <w:rFonts w:ascii="Arial" w:hAnsi="Arial" w:cs="Arial"/>
          <w:sz w:val="24"/>
          <w:szCs w:val="24"/>
        </w:rPr>
        <w:t>No contexto do presente objeto - bens comuns cujos atributos essenciais possuem forma objetiva e uniforme, com especificações e padrões de qualidade usuais encontrados no mercado e definidos no edital -, levando-se em conta aspectos de economicidade, eficácia, eficiência e padronização, a única solução viável a ser adotada é a aquisição dos produtos nos quantitativos e de acordo com os descritivos estabelecidos no Termo de Referência, e conforme os requisitos e critérios descritos no item 6 deste Estudo.</w:t>
      </w:r>
    </w:p>
    <w:p w14:paraId="60BA258F">
      <w:pPr>
        <w:spacing w:after="0" w:line="360" w:lineRule="auto"/>
        <w:ind w:right="100" w:firstLine="426"/>
        <w:jc w:val="both"/>
        <w:rPr>
          <w:rFonts w:ascii="Arial" w:hAnsi="Arial" w:cs="Arial"/>
          <w:sz w:val="24"/>
          <w:szCs w:val="24"/>
        </w:rPr>
      </w:pPr>
      <w:r>
        <w:rPr>
          <w:rFonts w:ascii="Arial" w:hAnsi="Arial" w:cs="Arial"/>
          <w:sz w:val="24"/>
          <w:szCs w:val="24"/>
        </w:rPr>
        <w:t>Na aquisição em tela não foram identificadas situações específicas ou complexidades técnicas do objeto que ensejem outras providências.</w:t>
      </w:r>
    </w:p>
    <w:p w14:paraId="603FCD78">
      <w:pPr>
        <w:spacing w:after="0" w:line="360" w:lineRule="auto"/>
        <w:ind w:right="102"/>
        <w:jc w:val="both"/>
        <w:rPr>
          <w:rFonts w:ascii="Arial" w:hAnsi="Arial" w:cs="Arial"/>
          <w:b/>
          <w:sz w:val="24"/>
        </w:rPr>
      </w:pPr>
    </w:p>
    <w:p w14:paraId="0ABA4B5D">
      <w:pPr>
        <w:spacing w:after="120" w:line="360" w:lineRule="auto"/>
        <w:ind w:right="102"/>
        <w:jc w:val="both"/>
        <w:rPr>
          <w:rFonts w:ascii="Arial" w:hAnsi="Arial" w:cs="Arial"/>
          <w:b/>
          <w:sz w:val="26"/>
          <w:szCs w:val="26"/>
        </w:rPr>
      </w:pPr>
      <w:r>
        <w:rPr>
          <w:rFonts w:ascii="Arial" w:hAnsi="Arial" w:cs="Arial"/>
          <w:b/>
          <w:sz w:val="26"/>
          <w:szCs w:val="26"/>
        </w:rPr>
        <w:t>6. REQUISITOS DA CONTRATAÇÃO E EXECUÇÃO DO OBJETO</w:t>
      </w:r>
    </w:p>
    <w:p w14:paraId="27E9EF4D">
      <w:pPr>
        <w:spacing w:after="120" w:line="360" w:lineRule="auto"/>
        <w:ind w:right="102"/>
        <w:jc w:val="both"/>
        <w:rPr>
          <w:rFonts w:ascii="Arial" w:hAnsi="Arial" w:cs="Arial"/>
          <w:b/>
          <w:sz w:val="24"/>
          <w:szCs w:val="24"/>
        </w:rPr>
      </w:pPr>
      <w:r>
        <w:rPr>
          <w:rFonts w:ascii="Arial" w:hAnsi="Arial" w:cs="Arial"/>
          <w:b/>
          <w:sz w:val="24"/>
          <w:szCs w:val="24"/>
        </w:rPr>
        <w:t>6.1 OBJETO</w:t>
      </w:r>
    </w:p>
    <w:p w14:paraId="548E1F82">
      <w:pPr>
        <w:spacing w:after="0" w:line="360" w:lineRule="auto"/>
        <w:ind w:right="102" w:firstLine="425"/>
        <w:jc w:val="both"/>
        <w:rPr>
          <w:rFonts w:ascii="Arial" w:hAnsi="Arial" w:cs="Arial"/>
          <w:sz w:val="24"/>
          <w:szCs w:val="24"/>
        </w:rPr>
      </w:pPr>
      <w:r>
        <w:rPr>
          <w:rFonts w:ascii="Arial" w:hAnsi="Arial" w:cs="Arial"/>
          <w:sz w:val="24"/>
          <w:szCs w:val="24"/>
        </w:rPr>
        <w:t>6.1.1. Conforme apresentado no item “5” acima, a presente demanda terá por objeto o Registro de Preços de Medicamentos Antibioticos.</w:t>
      </w:r>
    </w:p>
    <w:p w14:paraId="6B5BA374">
      <w:pPr>
        <w:spacing w:after="0" w:line="360" w:lineRule="auto"/>
        <w:ind w:right="102" w:firstLine="425"/>
        <w:jc w:val="both"/>
        <w:rPr>
          <w:rFonts w:ascii="Arial" w:hAnsi="Arial" w:cs="Arial"/>
          <w:sz w:val="24"/>
          <w:szCs w:val="24"/>
        </w:rPr>
      </w:pPr>
      <w:r>
        <w:rPr>
          <w:rFonts w:ascii="Arial" w:hAnsi="Arial" w:cs="Arial"/>
          <w:sz w:val="24"/>
          <w:szCs w:val="24"/>
        </w:rPr>
        <w:t>6.1.2. Todos os produtos ofertados deverão estar em conformidade com a Lei nº 6.360, de 23 de setembro de 1976.</w:t>
      </w:r>
    </w:p>
    <w:p w14:paraId="359A8231">
      <w:pPr>
        <w:spacing w:after="0" w:line="360" w:lineRule="auto"/>
        <w:ind w:right="102" w:firstLine="425"/>
        <w:jc w:val="both"/>
        <w:rPr>
          <w:rFonts w:ascii="Arial" w:hAnsi="Arial" w:cs="Arial"/>
          <w:sz w:val="24"/>
          <w:szCs w:val="24"/>
        </w:rPr>
      </w:pPr>
      <w:r>
        <w:rPr>
          <w:rFonts w:ascii="Arial" w:hAnsi="Arial" w:cs="Arial"/>
          <w:sz w:val="24"/>
          <w:szCs w:val="24"/>
        </w:rPr>
        <w:t>6.1.3. Os medicamentos cotados deverão estar obrigatoriamente registrados no Ministério da Saúde/ANVISA, visto que nenhum medicamento, inclusive os importados, poderá ser industrializado, exposto à venda ou entregue ao consumo antes de registrado no Ministério da Saúde, conforme art. 12 da Lei 6.360, de 23 de setembro de 1976.</w:t>
      </w:r>
    </w:p>
    <w:p w14:paraId="03815EC2">
      <w:pPr>
        <w:spacing w:after="0" w:line="360" w:lineRule="auto"/>
        <w:ind w:right="102" w:firstLine="425"/>
        <w:jc w:val="both"/>
        <w:rPr>
          <w:rFonts w:ascii="Arial" w:hAnsi="Arial" w:cs="Arial"/>
          <w:sz w:val="24"/>
          <w:szCs w:val="24"/>
        </w:rPr>
      </w:pPr>
      <w:r>
        <w:rPr>
          <w:rFonts w:ascii="Arial" w:hAnsi="Arial" w:cs="Arial"/>
          <w:sz w:val="24"/>
          <w:szCs w:val="24"/>
        </w:rPr>
        <w:t>6.1.4. Os licitantes deverão oferecer os medicamentos e produtos em saúde com validade mínima de 70% (setenta por cento) a partir da data de fabricação.</w:t>
      </w:r>
    </w:p>
    <w:p w14:paraId="151CDA7F">
      <w:pPr>
        <w:spacing w:after="0" w:line="360" w:lineRule="auto"/>
        <w:ind w:right="102" w:firstLine="425"/>
        <w:jc w:val="both"/>
        <w:rPr>
          <w:rFonts w:ascii="Arial" w:hAnsi="Arial" w:cs="Arial"/>
          <w:sz w:val="24"/>
          <w:szCs w:val="24"/>
        </w:rPr>
      </w:pPr>
      <w:r>
        <w:rPr>
          <w:rFonts w:ascii="Arial" w:hAnsi="Arial" w:cs="Arial"/>
          <w:sz w:val="24"/>
          <w:szCs w:val="24"/>
        </w:rPr>
        <w:t>6.1.5. Com aplicação exclusiva ao prazo de validade estabelecido no subitem acima, na hipótese de absoluta impossibilidade do cumprimento de tal condição, devidamente justificada e previamente avaliada pela instância gestora, o município poderá, em caráter de extrema excepcionalidade, admitir a entrega. Na hipótese de admissão da entrega, após análise técnica criteriosa, a DETENTORA deverá emitir carta de compromisso de troca referente ao quantitativo entregue fora do prazo estabelecido em edital, e fica obrigada, quando acionada, a proceder à imediata substituição do produto, em vista da inviabilidade de utilização dos produtos dentro do período de validade oferecido.</w:t>
      </w:r>
    </w:p>
    <w:p w14:paraId="0EF6FF73">
      <w:pPr>
        <w:spacing w:after="0" w:line="360" w:lineRule="auto"/>
        <w:ind w:right="102" w:firstLine="425"/>
        <w:jc w:val="both"/>
        <w:rPr>
          <w:rFonts w:ascii="Arial" w:hAnsi="Arial" w:cs="Arial"/>
          <w:sz w:val="24"/>
          <w:szCs w:val="24"/>
        </w:rPr>
      </w:pPr>
      <w:r>
        <w:rPr>
          <w:rFonts w:ascii="Arial" w:hAnsi="Arial" w:cs="Arial"/>
          <w:sz w:val="24"/>
          <w:szCs w:val="24"/>
        </w:rPr>
        <w:t>6.1.6. Qualquer menção a marca/modelo que por ventura conste deste Edital e seus anexos consiste em simples referência para cotação dos produtos solicitados, sendo que serão aceitos similares ou de tecnologia superior.</w:t>
      </w:r>
    </w:p>
    <w:p w14:paraId="34B292EE">
      <w:pPr>
        <w:spacing w:after="0" w:line="360" w:lineRule="auto"/>
        <w:ind w:right="102" w:firstLine="425"/>
        <w:jc w:val="both"/>
        <w:rPr>
          <w:rFonts w:ascii="Arial" w:hAnsi="Arial" w:cs="Arial"/>
          <w:sz w:val="24"/>
          <w:szCs w:val="24"/>
        </w:rPr>
      </w:pPr>
      <w:r>
        <w:rPr>
          <w:rFonts w:ascii="Arial" w:hAnsi="Arial" w:cs="Arial"/>
          <w:sz w:val="24"/>
          <w:szCs w:val="24"/>
        </w:rPr>
        <w:t xml:space="preserve">6.1.7. As medidas constantes do presente Edital e seus anexos são aproximadas, admitindo-se variações permitidas pela Legislação específica. </w:t>
      </w:r>
    </w:p>
    <w:p w14:paraId="41BB781F">
      <w:pPr>
        <w:spacing w:after="0" w:line="360" w:lineRule="auto"/>
        <w:ind w:right="102" w:firstLine="425"/>
        <w:jc w:val="both"/>
        <w:rPr>
          <w:rFonts w:ascii="Arial" w:hAnsi="Arial" w:cs="Arial"/>
          <w:sz w:val="24"/>
          <w:szCs w:val="24"/>
        </w:rPr>
      </w:pPr>
      <w:r>
        <w:rPr>
          <w:rFonts w:ascii="Arial" w:hAnsi="Arial" w:cs="Arial"/>
          <w:sz w:val="24"/>
          <w:szCs w:val="24"/>
        </w:rPr>
        <w:t xml:space="preserve">6.1.8. Admitir-se-ão variações em até 5% (cinco por cento), conforme normas da ABNT e desde que não desnaturem a característica do objeto e sua funcionalidade. </w:t>
      </w:r>
    </w:p>
    <w:p w14:paraId="4FFC17ED">
      <w:pPr>
        <w:spacing w:after="0" w:line="360" w:lineRule="auto"/>
        <w:ind w:right="102" w:firstLine="425"/>
        <w:jc w:val="both"/>
        <w:rPr>
          <w:rFonts w:ascii="Arial" w:hAnsi="Arial" w:cs="Arial"/>
          <w:sz w:val="24"/>
          <w:szCs w:val="24"/>
        </w:rPr>
      </w:pPr>
      <w:r>
        <w:rPr>
          <w:rFonts w:ascii="Arial" w:hAnsi="Arial" w:cs="Arial"/>
          <w:sz w:val="24"/>
          <w:szCs w:val="24"/>
        </w:rPr>
        <w:t>6.1.9. Caso se apliquem outras variações em razão de normas da ABNT aos produtos licitados, estas normas deverão prevalecer.</w:t>
      </w:r>
    </w:p>
    <w:p w14:paraId="152EB0B3">
      <w:pPr>
        <w:spacing w:after="0" w:line="360" w:lineRule="auto"/>
        <w:ind w:right="102" w:firstLine="425"/>
        <w:jc w:val="both"/>
        <w:rPr>
          <w:rFonts w:ascii="Arial" w:hAnsi="Arial" w:cs="Arial"/>
          <w:sz w:val="24"/>
          <w:szCs w:val="24"/>
        </w:rPr>
      </w:pPr>
    </w:p>
    <w:p w14:paraId="3B3D6F16">
      <w:pPr>
        <w:spacing w:after="120" w:line="360" w:lineRule="auto"/>
        <w:ind w:right="102"/>
        <w:jc w:val="both"/>
        <w:rPr>
          <w:rFonts w:ascii="Arial" w:hAnsi="Arial" w:cs="Arial"/>
          <w:b/>
          <w:sz w:val="24"/>
          <w:szCs w:val="24"/>
        </w:rPr>
      </w:pPr>
      <w:r>
        <w:rPr>
          <w:rFonts w:ascii="Arial" w:hAnsi="Arial" w:cs="Arial"/>
          <w:b/>
          <w:sz w:val="24"/>
          <w:szCs w:val="24"/>
        </w:rPr>
        <w:t>6.2 CRITÉRIOS DE ACEITAÇÃO DA PROPOSTA</w:t>
      </w:r>
    </w:p>
    <w:p w14:paraId="3EDB7157">
      <w:pPr>
        <w:spacing w:after="0" w:line="360" w:lineRule="auto"/>
        <w:ind w:right="102" w:firstLine="425"/>
        <w:jc w:val="both"/>
        <w:rPr>
          <w:rFonts w:ascii="Arial" w:hAnsi="Arial" w:cs="Arial"/>
          <w:sz w:val="24"/>
          <w:szCs w:val="24"/>
        </w:rPr>
      </w:pPr>
      <w:r>
        <w:rPr>
          <w:rFonts w:ascii="Arial" w:hAnsi="Arial" w:cs="Arial"/>
          <w:sz w:val="24"/>
          <w:szCs w:val="24"/>
        </w:rPr>
        <w:t>6.2.1. A proposta final deverá estar assinada pelo Representante Legal da licitante, citado nos documentos de habilitação, em papel timbrado, em linguagem concisa, sem rasuras ou ressalvas, emendas, borrões ou entrelinhas que prejudiquem sua análise, conforme modelo do Anexo VIII, contendo os valores unitários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0397E1FD">
      <w:pPr>
        <w:spacing w:after="0" w:line="360" w:lineRule="auto"/>
        <w:ind w:right="102" w:firstLine="425"/>
        <w:jc w:val="both"/>
        <w:rPr>
          <w:rFonts w:ascii="Arial" w:hAnsi="Arial" w:cs="Arial"/>
          <w:sz w:val="24"/>
          <w:szCs w:val="24"/>
        </w:rPr>
      </w:pPr>
      <w:r>
        <w:rPr>
          <w:rFonts w:ascii="Arial" w:hAnsi="Arial" w:cs="Arial"/>
          <w:sz w:val="24"/>
          <w:szCs w:val="24"/>
        </w:rPr>
        <w:t>6.2.2. Sem prejuízo dos demais elementos exigidos no edital e seus anexos, a proposta final deverá conter:</w:t>
      </w:r>
    </w:p>
    <w:p w14:paraId="74C5500B">
      <w:pPr>
        <w:spacing w:after="0" w:line="360" w:lineRule="auto"/>
        <w:ind w:right="102" w:firstLine="425"/>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Nome do produto farmacêutico de acordo com a Denominação Comum Brasileira (DCB) ou Denominação Comum Internacional (DCI);</w:t>
      </w:r>
    </w:p>
    <w:p w14:paraId="509CAB7C">
      <w:pPr>
        <w:spacing w:after="0" w:line="360" w:lineRule="auto"/>
        <w:ind w:right="102" w:firstLine="425"/>
        <w:jc w:val="both"/>
        <w:rPr>
          <w:rFonts w:ascii="Arial" w:hAnsi="Arial" w:cs="Arial"/>
          <w:sz w:val="24"/>
          <w:szCs w:val="24"/>
        </w:rPr>
      </w:pPr>
      <w:r>
        <w:rPr>
          <w:rFonts w:ascii="Arial" w:hAnsi="Arial" w:cs="Arial"/>
          <w:sz w:val="24"/>
          <w:szCs w:val="24"/>
        </w:rPr>
        <w:t>b) Nome comercial (marca) e nome do laboratório fabricante dos medicamentos ofertados;</w:t>
      </w:r>
    </w:p>
    <w:p w14:paraId="256B86B2">
      <w:pPr>
        <w:spacing w:after="0" w:line="360" w:lineRule="auto"/>
        <w:ind w:right="102" w:firstLine="425"/>
        <w:jc w:val="both"/>
        <w:rPr>
          <w:rFonts w:ascii="Arial" w:hAnsi="Arial" w:cs="Arial"/>
          <w:sz w:val="24"/>
          <w:szCs w:val="24"/>
        </w:rPr>
      </w:pPr>
      <w:r>
        <w:rPr>
          <w:rFonts w:ascii="Arial" w:hAnsi="Arial" w:cs="Arial"/>
          <w:sz w:val="24"/>
          <w:szCs w:val="24"/>
        </w:rPr>
        <w:t>c)</w:t>
      </w:r>
      <w:r>
        <w:rPr>
          <w:rFonts w:ascii="Arial" w:hAnsi="Arial" w:cs="Arial"/>
          <w:sz w:val="24"/>
          <w:szCs w:val="24"/>
        </w:rPr>
        <w:tab/>
      </w:r>
      <w:r>
        <w:rPr>
          <w:rFonts w:ascii="Arial" w:hAnsi="Arial" w:cs="Arial"/>
          <w:sz w:val="24"/>
          <w:szCs w:val="24"/>
        </w:rPr>
        <w:t>Número do registro no Ministério da Saúde / ANVISA;</w:t>
      </w:r>
    </w:p>
    <w:p w14:paraId="291B1B8E">
      <w:pPr>
        <w:spacing w:after="0" w:line="360" w:lineRule="auto"/>
        <w:ind w:right="102" w:firstLine="425"/>
        <w:jc w:val="both"/>
        <w:rPr>
          <w:rFonts w:ascii="Arial" w:hAnsi="Arial" w:cs="Arial"/>
          <w:sz w:val="24"/>
          <w:szCs w:val="24"/>
        </w:rPr>
      </w:pPr>
      <w:r>
        <w:rPr>
          <w:rFonts w:ascii="Arial" w:hAnsi="Arial" w:cs="Arial"/>
          <w:sz w:val="24"/>
          <w:szCs w:val="24"/>
        </w:rPr>
        <w:t>d)</w:t>
      </w:r>
      <w:r>
        <w:rPr>
          <w:rFonts w:ascii="Arial" w:hAnsi="Arial" w:cs="Arial"/>
          <w:sz w:val="24"/>
          <w:szCs w:val="24"/>
        </w:rPr>
        <w:tab/>
      </w:r>
      <w:r>
        <w:rPr>
          <w:rFonts w:ascii="Arial" w:hAnsi="Arial" w:cs="Arial"/>
          <w:sz w:val="24"/>
          <w:szCs w:val="24"/>
        </w:rPr>
        <w:t>Composição, peso, volume, tamanho, forma farmacêutica, via de administração e demais características aplicáveis e necessárias para a identificação inequívoca dos produtos;</w:t>
      </w:r>
    </w:p>
    <w:p w14:paraId="0FFCD59B">
      <w:pPr>
        <w:spacing w:after="0" w:line="360" w:lineRule="auto"/>
        <w:ind w:right="102" w:firstLine="425"/>
        <w:jc w:val="both"/>
        <w:rPr>
          <w:rFonts w:ascii="Arial" w:hAnsi="Arial" w:cs="Arial"/>
          <w:sz w:val="24"/>
          <w:szCs w:val="24"/>
        </w:rPr>
      </w:pPr>
      <w:r>
        <w:rPr>
          <w:rFonts w:ascii="Arial" w:hAnsi="Arial" w:cs="Arial"/>
          <w:sz w:val="24"/>
          <w:szCs w:val="24"/>
        </w:rPr>
        <w:t>e)</w:t>
      </w:r>
      <w:r>
        <w:rPr>
          <w:rFonts w:ascii="Arial" w:hAnsi="Arial" w:cs="Arial"/>
          <w:sz w:val="24"/>
          <w:szCs w:val="24"/>
        </w:rPr>
        <w:tab/>
      </w:r>
      <w:r>
        <w:rPr>
          <w:rFonts w:ascii="Arial" w:hAnsi="Arial" w:cs="Arial"/>
          <w:sz w:val="24"/>
          <w:szCs w:val="24"/>
        </w:rPr>
        <w:t>Quantidade de unidades por embalagem.</w:t>
      </w:r>
    </w:p>
    <w:p w14:paraId="719B4591">
      <w:pPr>
        <w:spacing w:after="0" w:line="360" w:lineRule="auto"/>
        <w:ind w:right="102" w:firstLine="425"/>
        <w:jc w:val="both"/>
        <w:rPr>
          <w:rFonts w:ascii="Arial" w:hAnsi="Arial" w:cs="Arial"/>
          <w:sz w:val="24"/>
          <w:szCs w:val="24"/>
        </w:rPr>
      </w:pPr>
      <w:r>
        <w:rPr>
          <w:rFonts w:ascii="Arial" w:hAnsi="Arial" w:cs="Arial"/>
          <w:sz w:val="24"/>
          <w:szCs w:val="24"/>
        </w:rPr>
        <w:t>6.2.3. O prazo de validade da proposta final não poderá ser inferior a 60 (sessenta) dias, a contar da abertura da licitação.</w:t>
      </w:r>
    </w:p>
    <w:p w14:paraId="6CC8B699">
      <w:pPr>
        <w:spacing w:after="0" w:line="360" w:lineRule="auto"/>
        <w:ind w:right="102" w:firstLine="425"/>
        <w:jc w:val="both"/>
        <w:rPr>
          <w:rFonts w:ascii="Arial" w:hAnsi="Arial" w:cs="Arial"/>
          <w:sz w:val="24"/>
          <w:szCs w:val="24"/>
        </w:rPr>
      </w:pPr>
      <w:r>
        <w:rPr>
          <w:rFonts w:ascii="Arial" w:hAnsi="Arial" w:cs="Arial"/>
          <w:sz w:val="24"/>
          <w:szCs w:val="24"/>
        </w:rPr>
        <w:t>6.2.4. Não sendo indicado na proposta o prazo de validade, fica subentendido como de 60 (sessenta) dias.</w:t>
      </w:r>
    </w:p>
    <w:p w14:paraId="6B11ED36">
      <w:pPr>
        <w:spacing w:after="0" w:line="360" w:lineRule="auto"/>
        <w:ind w:right="102" w:firstLine="425"/>
        <w:jc w:val="both"/>
        <w:rPr>
          <w:rFonts w:ascii="Arial" w:hAnsi="Arial" w:cs="Arial"/>
          <w:sz w:val="24"/>
          <w:szCs w:val="24"/>
        </w:rPr>
      </w:pPr>
      <w:r>
        <w:rPr>
          <w:rFonts w:ascii="Arial" w:hAnsi="Arial" w:cs="Arial"/>
          <w:sz w:val="24"/>
          <w:szCs w:val="24"/>
        </w:rPr>
        <w:t>6.2.5. A proposta final deverá atender a todas as outras disposições constantes do Edital.</w:t>
      </w:r>
    </w:p>
    <w:p w14:paraId="29C62488">
      <w:pPr>
        <w:spacing w:after="0" w:line="360" w:lineRule="auto"/>
        <w:ind w:right="102" w:firstLine="425"/>
        <w:jc w:val="both"/>
        <w:rPr>
          <w:rFonts w:ascii="Arial" w:hAnsi="Arial" w:cs="Arial"/>
          <w:sz w:val="24"/>
          <w:szCs w:val="24"/>
        </w:rPr>
      </w:pPr>
    </w:p>
    <w:p w14:paraId="31744F3F">
      <w:pPr>
        <w:spacing w:after="120" w:line="360" w:lineRule="auto"/>
        <w:ind w:right="102"/>
        <w:jc w:val="both"/>
        <w:rPr>
          <w:rFonts w:ascii="Arial" w:hAnsi="Arial" w:cs="Arial"/>
          <w:b/>
          <w:sz w:val="24"/>
          <w:szCs w:val="24"/>
        </w:rPr>
      </w:pPr>
      <w:r>
        <w:rPr>
          <w:rFonts w:ascii="Arial" w:hAnsi="Arial" w:cs="Arial"/>
          <w:b/>
          <w:sz w:val="24"/>
          <w:szCs w:val="24"/>
        </w:rPr>
        <w:t>6.3 HABILITAÇÃO</w:t>
      </w:r>
    </w:p>
    <w:p w14:paraId="5610F58F">
      <w:pPr>
        <w:spacing w:after="0" w:line="360" w:lineRule="auto"/>
        <w:ind w:right="102" w:firstLine="425"/>
        <w:jc w:val="both"/>
        <w:rPr>
          <w:rFonts w:ascii="Arial" w:hAnsi="Arial" w:cs="Arial"/>
          <w:sz w:val="24"/>
          <w:szCs w:val="24"/>
        </w:rPr>
      </w:pPr>
      <w:r>
        <w:rPr>
          <w:rFonts w:ascii="Arial" w:hAnsi="Arial" w:cs="Arial"/>
          <w:sz w:val="24"/>
          <w:szCs w:val="24"/>
        </w:rPr>
        <w:t>Os licitantes deverão atender a todos os critérios para a habilitação jurídica, provas de regularidade fiscal, social trabalhista, habilitação econômico financeira e outras comprovações dispostas em edital.</w:t>
      </w:r>
    </w:p>
    <w:p w14:paraId="63A94856">
      <w:pPr>
        <w:spacing w:after="0" w:line="360" w:lineRule="auto"/>
        <w:ind w:right="102" w:firstLine="425"/>
        <w:jc w:val="both"/>
        <w:rPr>
          <w:rFonts w:ascii="Arial" w:hAnsi="Arial" w:cs="Arial"/>
          <w:sz w:val="24"/>
          <w:szCs w:val="24"/>
        </w:rPr>
      </w:pPr>
    </w:p>
    <w:p w14:paraId="7048FFD4">
      <w:pPr>
        <w:spacing w:after="120" w:line="360" w:lineRule="auto"/>
        <w:ind w:right="102"/>
        <w:jc w:val="both"/>
        <w:rPr>
          <w:rFonts w:ascii="Arial" w:hAnsi="Arial" w:cs="Arial"/>
          <w:b/>
          <w:sz w:val="24"/>
          <w:szCs w:val="24"/>
        </w:rPr>
      </w:pPr>
      <w:r>
        <w:rPr>
          <w:rFonts w:ascii="Arial" w:hAnsi="Arial" w:cs="Arial"/>
          <w:b/>
          <w:sz w:val="24"/>
          <w:szCs w:val="24"/>
        </w:rPr>
        <w:t>6.4 QUALIFICAÇÃO TÉCNICA</w:t>
      </w:r>
    </w:p>
    <w:p w14:paraId="3B8B5A22">
      <w:pPr>
        <w:spacing w:after="0" w:line="360" w:lineRule="auto"/>
        <w:ind w:left="61" w:right="92" w:firstLine="412"/>
        <w:jc w:val="both"/>
        <w:rPr>
          <w:rFonts w:ascii="Arial" w:hAnsi="Arial" w:cs="Arial"/>
          <w:sz w:val="24"/>
          <w:szCs w:val="24"/>
        </w:rPr>
      </w:pPr>
      <w:r>
        <w:rPr>
          <w:rFonts w:ascii="Arial" w:hAnsi="Arial" w:cs="Arial"/>
          <w:sz w:val="24"/>
          <w:szCs w:val="24"/>
        </w:rPr>
        <w:t>6.4.1. Os vencedores do certame deverão apresentar bulas, folders ou catálogos eletrônicos contendo informações detalhadas sobre suas características técnicas e demais informações relevantes a fim de que possa ser verificada a conformidade dos produtos ofertados em relação às especificações contidas no Termo de Referência.</w:t>
      </w:r>
    </w:p>
    <w:p w14:paraId="6C0D9667">
      <w:pPr>
        <w:spacing w:after="0" w:line="360" w:lineRule="auto"/>
        <w:ind w:right="102" w:firstLine="425"/>
        <w:jc w:val="both"/>
        <w:rPr>
          <w:rFonts w:ascii="Arial" w:hAnsi="Arial" w:cs="Arial"/>
          <w:sz w:val="24"/>
          <w:szCs w:val="24"/>
        </w:rPr>
      </w:pPr>
    </w:p>
    <w:p w14:paraId="604FD544">
      <w:pPr>
        <w:spacing w:after="120" w:line="360" w:lineRule="auto"/>
        <w:ind w:right="102"/>
        <w:jc w:val="both"/>
        <w:rPr>
          <w:rFonts w:ascii="Arial" w:hAnsi="Arial" w:cs="Arial"/>
          <w:b/>
          <w:sz w:val="24"/>
          <w:szCs w:val="24"/>
        </w:rPr>
      </w:pPr>
      <w:r>
        <w:rPr>
          <w:rFonts w:ascii="Arial" w:hAnsi="Arial" w:cs="Arial"/>
          <w:b/>
          <w:sz w:val="24"/>
          <w:szCs w:val="24"/>
        </w:rPr>
        <w:t>6.5 GARANTIA CONTRATUAL</w:t>
      </w:r>
    </w:p>
    <w:p w14:paraId="71B5889D">
      <w:pPr>
        <w:spacing w:after="0" w:line="360" w:lineRule="auto"/>
        <w:ind w:left="61" w:right="92" w:firstLine="412"/>
        <w:jc w:val="both"/>
        <w:rPr>
          <w:rFonts w:ascii="Arial" w:hAnsi="Arial" w:cs="Arial"/>
          <w:sz w:val="24"/>
          <w:szCs w:val="24"/>
        </w:rPr>
      </w:pPr>
      <w:r>
        <w:rPr>
          <w:rFonts w:ascii="Arial" w:hAnsi="Arial" w:cs="Arial"/>
          <w:sz w:val="24"/>
          <w:szCs w:val="24"/>
        </w:rPr>
        <w:t>6.5.1. Não será exigida a prestação de garantia para a contratação resultante desta licitação.</w:t>
      </w:r>
    </w:p>
    <w:p w14:paraId="5C46D2FD">
      <w:pPr>
        <w:spacing w:after="0" w:line="360" w:lineRule="auto"/>
        <w:ind w:right="102" w:firstLine="425"/>
        <w:jc w:val="both"/>
        <w:rPr>
          <w:rFonts w:ascii="Arial" w:hAnsi="Arial" w:cs="Arial"/>
          <w:sz w:val="24"/>
          <w:szCs w:val="24"/>
        </w:rPr>
      </w:pPr>
    </w:p>
    <w:p w14:paraId="241919BD">
      <w:pPr>
        <w:spacing w:after="120" w:line="360" w:lineRule="auto"/>
        <w:ind w:right="102"/>
        <w:jc w:val="both"/>
        <w:rPr>
          <w:rFonts w:ascii="Arial" w:hAnsi="Arial" w:cs="Arial"/>
          <w:b/>
          <w:sz w:val="24"/>
          <w:szCs w:val="24"/>
        </w:rPr>
      </w:pPr>
      <w:r>
        <w:rPr>
          <w:rFonts w:ascii="Arial" w:hAnsi="Arial" w:cs="Arial"/>
          <w:b/>
          <w:sz w:val="24"/>
          <w:szCs w:val="24"/>
        </w:rPr>
        <w:t>6.6 EXECUÇÃO DO OBJETO</w:t>
      </w:r>
    </w:p>
    <w:p w14:paraId="71FD3BBA">
      <w:pPr>
        <w:spacing w:after="0" w:line="360" w:lineRule="auto"/>
        <w:ind w:left="61" w:right="92" w:firstLine="412"/>
        <w:jc w:val="both"/>
        <w:rPr>
          <w:rFonts w:ascii="Arial" w:hAnsi="Arial" w:cs="Arial"/>
          <w:sz w:val="24"/>
          <w:szCs w:val="24"/>
        </w:rPr>
      </w:pPr>
      <w:r>
        <w:rPr>
          <w:rFonts w:ascii="Arial" w:hAnsi="Arial" w:cs="Arial"/>
          <w:sz w:val="24"/>
          <w:szCs w:val="24"/>
        </w:rPr>
        <w:t>6.6.1. O objeto deverá ser entregue em conformidade com o descrito nas especificações do objeto, constantes do Termo de Referência, de responsabilidade da Secretaria Municipal de Saúde.</w:t>
      </w:r>
    </w:p>
    <w:p w14:paraId="1AE94722">
      <w:pPr>
        <w:spacing w:after="0" w:line="360" w:lineRule="auto"/>
        <w:ind w:left="61" w:right="92" w:firstLine="412"/>
        <w:jc w:val="both"/>
        <w:rPr>
          <w:rFonts w:ascii="Arial" w:hAnsi="Arial" w:cs="Arial"/>
          <w:sz w:val="24"/>
          <w:szCs w:val="24"/>
        </w:rPr>
      </w:pPr>
      <w:r>
        <w:rPr>
          <w:rFonts w:ascii="Arial" w:hAnsi="Arial" w:cs="Arial"/>
          <w:sz w:val="24"/>
          <w:szCs w:val="24"/>
        </w:rPr>
        <w:t>6.6.2. Forma de entrega: parcelada, a critério e necessidade do Centro de Distribuição da Secretaria Municipal de Saúde de Paulínia.</w:t>
      </w:r>
    </w:p>
    <w:p w14:paraId="025AA0DF">
      <w:pPr>
        <w:spacing w:after="0" w:line="360" w:lineRule="auto"/>
        <w:ind w:left="61" w:right="92" w:firstLine="412"/>
        <w:jc w:val="both"/>
        <w:rPr>
          <w:rFonts w:ascii="Arial" w:hAnsi="Arial" w:cs="Arial"/>
          <w:sz w:val="24"/>
          <w:szCs w:val="24"/>
        </w:rPr>
      </w:pPr>
      <w:r>
        <w:rPr>
          <w:rFonts w:ascii="Arial" w:hAnsi="Arial" w:cs="Arial"/>
          <w:sz w:val="24"/>
          <w:szCs w:val="24"/>
        </w:rPr>
        <w:t>6.6.3. Prazo de entrega: no máximo 15 (quinze) dias corridos, contados do envio da Autorização de Fornecimento por e-mail.</w:t>
      </w:r>
    </w:p>
    <w:p w14:paraId="69DA435B">
      <w:pPr>
        <w:spacing w:after="0" w:line="360" w:lineRule="auto"/>
        <w:ind w:left="61" w:right="92" w:firstLine="412"/>
        <w:jc w:val="both"/>
        <w:rPr>
          <w:rFonts w:ascii="Arial" w:hAnsi="Arial" w:cs="Arial"/>
          <w:sz w:val="24"/>
          <w:szCs w:val="24"/>
        </w:rPr>
      </w:pPr>
      <w:r>
        <w:rPr>
          <w:rFonts w:ascii="Arial" w:hAnsi="Arial" w:cs="Arial"/>
          <w:sz w:val="24"/>
          <w:szCs w:val="24"/>
        </w:rPr>
        <w:t>6.6.4. Horário para as entregas: de segunda a sexta-feira, exceto feriados, das 8:00 às 11:00 e das 13:00 às 16:00 horas.</w:t>
      </w:r>
    </w:p>
    <w:p w14:paraId="2275DFEB">
      <w:pPr>
        <w:spacing w:after="0" w:line="360" w:lineRule="auto"/>
        <w:ind w:left="61" w:right="92" w:firstLine="412"/>
        <w:jc w:val="both"/>
        <w:rPr>
          <w:rFonts w:ascii="Arial" w:hAnsi="Arial" w:cs="Arial"/>
          <w:sz w:val="24"/>
          <w:szCs w:val="24"/>
        </w:rPr>
      </w:pPr>
    </w:p>
    <w:p w14:paraId="1F1BF198">
      <w:pPr>
        <w:spacing w:after="0" w:line="360" w:lineRule="auto"/>
        <w:ind w:left="61" w:right="92" w:firstLine="412"/>
        <w:jc w:val="both"/>
        <w:rPr>
          <w:rFonts w:ascii="Arial" w:hAnsi="Arial" w:cs="Arial"/>
          <w:sz w:val="24"/>
          <w:szCs w:val="24"/>
        </w:rPr>
      </w:pPr>
      <w:r>
        <w:rPr>
          <w:rFonts w:ascii="Arial" w:hAnsi="Arial" w:cs="Arial"/>
          <w:sz w:val="24"/>
          <w:szCs w:val="24"/>
        </w:rPr>
        <w:t>6.6.5. Endereço de entrega:</w:t>
      </w:r>
    </w:p>
    <w:p w14:paraId="0E10290A">
      <w:pPr>
        <w:pStyle w:val="40"/>
        <w:numPr>
          <w:ilvl w:val="0"/>
          <w:numId w:val="23"/>
        </w:numPr>
        <w:spacing w:after="0" w:line="360" w:lineRule="auto"/>
        <w:ind w:right="92"/>
        <w:jc w:val="both"/>
        <w:rPr>
          <w:rFonts w:ascii="Arial" w:hAnsi="Arial" w:cs="Arial"/>
        </w:rPr>
      </w:pPr>
      <w:r>
        <w:rPr>
          <w:rFonts w:ascii="Arial" w:hAnsi="Arial" w:cs="Arial"/>
        </w:rPr>
        <w:t>CENTRO DE DISTRIBUIÇÃO DA SECRETARIA MUNICIPAL DE SAÚDE</w:t>
      </w:r>
    </w:p>
    <w:p w14:paraId="1D032FCA">
      <w:pPr>
        <w:spacing w:after="0" w:line="360" w:lineRule="auto"/>
        <w:ind w:left="61" w:right="92" w:firstLine="412"/>
        <w:jc w:val="both"/>
        <w:rPr>
          <w:rFonts w:ascii="Arial" w:hAnsi="Arial" w:cs="Arial"/>
          <w:sz w:val="24"/>
          <w:szCs w:val="24"/>
        </w:rPr>
      </w:pPr>
      <w:r>
        <w:rPr>
          <w:rFonts w:ascii="Arial" w:hAnsi="Arial" w:cs="Arial"/>
          <w:sz w:val="24"/>
          <w:szCs w:val="24"/>
        </w:rPr>
        <w:t>Rua Deodato Soares, nº 262, Santa Terezinha – Paulínia (SP)</w:t>
      </w:r>
    </w:p>
    <w:p w14:paraId="1E4D12FB">
      <w:pPr>
        <w:spacing w:after="0" w:line="360" w:lineRule="auto"/>
        <w:ind w:left="61" w:right="92" w:firstLine="412"/>
        <w:jc w:val="both"/>
        <w:rPr>
          <w:rFonts w:ascii="Arial" w:hAnsi="Arial" w:cs="Arial"/>
          <w:sz w:val="24"/>
          <w:szCs w:val="24"/>
        </w:rPr>
      </w:pPr>
      <w:r>
        <w:rPr>
          <w:rFonts w:ascii="Arial" w:hAnsi="Arial" w:cs="Arial"/>
          <w:sz w:val="24"/>
          <w:szCs w:val="24"/>
        </w:rPr>
        <w:t>CEP: 13148-136</w:t>
      </w:r>
    </w:p>
    <w:p w14:paraId="0DDDDC50">
      <w:pPr>
        <w:spacing w:after="0" w:line="360" w:lineRule="auto"/>
        <w:ind w:left="61" w:right="92" w:firstLine="412"/>
        <w:jc w:val="both"/>
        <w:rPr>
          <w:rFonts w:ascii="Arial" w:hAnsi="Arial" w:cs="Arial"/>
          <w:sz w:val="24"/>
          <w:szCs w:val="24"/>
        </w:rPr>
      </w:pPr>
    </w:p>
    <w:p w14:paraId="13599439">
      <w:pPr>
        <w:spacing w:after="0" w:line="360" w:lineRule="auto"/>
        <w:ind w:left="61" w:right="92" w:firstLine="412"/>
        <w:jc w:val="both"/>
        <w:rPr>
          <w:rFonts w:ascii="Arial" w:hAnsi="Arial" w:cs="Arial"/>
          <w:sz w:val="24"/>
          <w:szCs w:val="24"/>
        </w:rPr>
      </w:pPr>
      <w:r>
        <w:rPr>
          <w:rFonts w:ascii="Arial" w:hAnsi="Arial" w:cs="Arial"/>
          <w:sz w:val="24"/>
          <w:szCs w:val="24"/>
        </w:rPr>
        <w:t>6.6.6. O recebimento ocorrerá:</w:t>
      </w:r>
    </w:p>
    <w:p w14:paraId="6E981A28">
      <w:pPr>
        <w:spacing w:after="0" w:line="360" w:lineRule="auto"/>
        <w:ind w:left="61" w:right="92" w:firstLine="412"/>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 xml:space="preserve"> Provisoriamente, de forma sumária, pelo responsável por seu acompanhamento e fiscalização, com verificação posterior da conformidade do material com as exigências contratuais e Termo de Referência do presente edital.</w:t>
      </w:r>
    </w:p>
    <w:p w14:paraId="5C306D5C">
      <w:pPr>
        <w:spacing w:after="0" w:line="360" w:lineRule="auto"/>
        <w:ind w:left="61" w:right="92" w:firstLine="412"/>
        <w:jc w:val="both"/>
        <w:rPr>
          <w:rFonts w:ascii="Arial" w:hAnsi="Arial" w:cs="Arial"/>
          <w:sz w:val="24"/>
          <w:szCs w:val="24"/>
        </w:rPr>
      </w:pPr>
      <w:r>
        <w:rPr>
          <w:rFonts w:ascii="Arial" w:hAnsi="Arial" w:cs="Arial"/>
          <w:sz w:val="24"/>
          <w:szCs w:val="24"/>
        </w:rPr>
        <w:t>b) Definitivamente, por servidor ou comissão designada pela autoridade competente, em prazo não superior a 30 (trinta) dias corridos a contar do recebimento provisório, mediante termo detalhado que comprove o atendimento das exigências contratuais.</w:t>
      </w:r>
    </w:p>
    <w:p w14:paraId="48E053F0">
      <w:pPr>
        <w:spacing w:after="0" w:line="360" w:lineRule="auto"/>
        <w:ind w:right="102" w:firstLine="425"/>
        <w:jc w:val="both"/>
        <w:rPr>
          <w:rFonts w:ascii="Arial" w:hAnsi="Arial" w:cs="Arial"/>
          <w:sz w:val="24"/>
          <w:szCs w:val="24"/>
        </w:rPr>
      </w:pPr>
    </w:p>
    <w:p w14:paraId="6100FF25">
      <w:pPr>
        <w:spacing w:after="120" w:line="360" w:lineRule="auto"/>
        <w:ind w:right="102"/>
        <w:jc w:val="both"/>
        <w:rPr>
          <w:rFonts w:ascii="Arial" w:hAnsi="Arial" w:cs="Arial"/>
          <w:b/>
          <w:sz w:val="24"/>
          <w:szCs w:val="24"/>
        </w:rPr>
      </w:pPr>
      <w:r>
        <w:rPr>
          <w:rFonts w:ascii="Arial" w:hAnsi="Arial" w:cs="Arial"/>
          <w:b/>
          <w:sz w:val="24"/>
          <w:szCs w:val="24"/>
        </w:rPr>
        <w:t>6.7 GARANTIA DOS PRODUTOS</w:t>
      </w:r>
    </w:p>
    <w:p w14:paraId="7E4909ED">
      <w:pPr>
        <w:spacing w:after="0" w:line="360" w:lineRule="auto"/>
        <w:ind w:right="102" w:firstLine="426"/>
        <w:jc w:val="both"/>
        <w:rPr>
          <w:rFonts w:ascii="Arial" w:hAnsi="Arial" w:cs="Arial"/>
          <w:sz w:val="24"/>
          <w:szCs w:val="24"/>
        </w:rPr>
      </w:pPr>
      <w:r>
        <w:rPr>
          <w:rFonts w:ascii="Arial" w:hAnsi="Arial" w:cs="Arial"/>
          <w:sz w:val="24"/>
          <w:szCs w:val="24"/>
        </w:rPr>
        <w:t>6.7.1. A empresa DETENTORA deverá cumprir todas as obrigações previstas na lei nº 8.078 de 11/09/1990 – Código de Defesa do Consumidor, e alterações subsequentes.</w:t>
      </w:r>
    </w:p>
    <w:p w14:paraId="530EC0FB">
      <w:pPr>
        <w:spacing w:after="0" w:line="360" w:lineRule="auto"/>
        <w:ind w:right="100" w:firstLine="426"/>
        <w:jc w:val="both"/>
        <w:rPr>
          <w:rFonts w:ascii="Arial" w:hAnsi="Arial" w:cs="Arial"/>
          <w:sz w:val="24"/>
          <w:szCs w:val="24"/>
        </w:rPr>
      </w:pPr>
      <w:r>
        <w:rPr>
          <w:rFonts w:ascii="Arial" w:hAnsi="Arial" w:cs="Arial"/>
          <w:sz w:val="24"/>
          <w:szCs w:val="24"/>
        </w:rPr>
        <w:t>6.7.2. A empresa detentora será responsável pela substituição, troca ou reposição dos produtos entregues com danos, defeitos ou não compatíveis com as especificações deste Termo de Referência.</w:t>
      </w:r>
    </w:p>
    <w:p w14:paraId="780E4EFF">
      <w:pPr>
        <w:spacing w:after="0" w:line="360" w:lineRule="auto"/>
        <w:ind w:right="100" w:firstLine="426"/>
        <w:jc w:val="both"/>
        <w:rPr>
          <w:rFonts w:ascii="Arial" w:hAnsi="Arial" w:cs="Arial"/>
          <w:sz w:val="24"/>
          <w:szCs w:val="24"/>
        </w:rPr>
      </w:pPr>
      <w:r>
        <w:rPr>
          <w:rFonts w:ascii="Arial" w:hAnsi="Arial" w:cs="Arial"/>
          <w:sz w:val="24"/>
          <w:szCs w:val="24"/>
        </w:rPr>
        <w:t>6.7.3. Na hipótese do subitem acima, a reposição será por outro produto com especificações técnicas iguais ou superiores, mediante aprovação prévia da instância gestora do município, sem custo adicional, inclusive se envolver troca de marcas.</w:t>
      </w:r>
    </w:p>
    <w:p w14:paraId="57F98977">
      <w:pPr>
        <w:spacing w:after="0" w:line="360" w:lineRule="auto"/>
        <w:ind w:right="102" w:firstLine="425"/>
        <w:jc w:val="both"/>
        <w:rPr>
          <w:rFonts w:ascii="Arial" w:hAnsi="Arial" w:cs="Arial"/>
          <w:sz w:val="24"/>
          <w:szCs w:val="24"/>
        </w:rPr>
      </w:pPr>
    </w:p>
    <w:p w14:paraId="1B1B8BC0">
      <w:pPr>
        <w:spacing w:after="120" w:line="360" w:lineRule="auto"/>
        <w:ind w:right="102"/>
        <w:jc w:val="both"/>
        <w:rPr>
          <w:rFonts w:ascii="Arial" w:hAnsi="Arial" w:cs="Arial"/>
          <w:b/>
          <w:sz w:val="24"/>
          <w:szCs w:val="24"/>
        </w:rPr>
      </w:pPr>
      <w:r>
        <w:rPr>
          <w:rFonts w:ascii="Arial" w:hAnsi="Arial" w:cs="Arial"/>
          <w:b/>
          <w:sz w:val="24"/>
          <w:szCs w:val="24"/>
        </w:rPr>
        <w:t>6.8 CONDIÇÕES DE PAGAMENTO</w:t>
      </w:r>
    </w:p>
    <w:p w14:paraId="0ACCFF59">
      <w:pPr>
        <w:spacing w:after="0" w:line="360" w:lineRule="auto"/>
        <w:ind w:right="102" w:firstLine="425"/>
        <w:jc w:val="both"/>
        <w:rPr>
          <w:rFonts w:ascii="Arial" w:hAnsi="Arial" w:cs="Arial"/>
          <w:sz w:val="24"/>
          <w:szCs w:val="24"/>
        </w:rPr>
      </w:pPr>
      <w:r>
        <w:rPr>
          <w:rFonts w:ascii="Arial" w:hAnsi="Arial" w:cs="Arial"/>
          <w:sz w:val="24"/>
          <w:szCs w:val="24"/>
        </w:rPr>
        <w:t>6.8.1. O pagamento será efetuado em parcela única, em 30 (trinta) dias, de acordo com as quantidades efetivamente entregues e devidamente atestadas pela Secretaria Municipal de Saúde e com os preços unitários constantes da planilha de preços da(s) licitante(s) vencedora(s), sendo que a contagem do prazo de 30 (trinta) dias se iniciará a partir do ateste da nota fiscal, conforme Decreto nº 8595/2024 de 16 de fevereiro de 2024.</w:t>
      </w:r>
    </w:p>
    <w:p w14:paraId="756CAE74">
      <w:pPr>
        <w:spacing w:after="0" w:line="360" w:lineRule="auto"/>
        <w:ind w:right="102" w:firstLine="425"/>
        <w:jc w:val="both"/>
        <w:rPr>
          <w:rFonts w:ascii="Arial" w:hAnsi="Arial" w:cs="Arial"/>
          <w:sz w:val="24"/>
          <w:szCs w:val="24"/>
        </w:rPr>
      </w:pPr>
      <w:r>
        <w:rPr>
          <w:rFonts w:ascii="Arial" w:hAnsi="Arial" w:cs="Arial"/>
          <w:sz w:val="24"/>
          <w:szCs w:val="24"/>
        </w:rPr>
        <w:t>6.8.2. O pagamento será efetuado pela PREFEITURA MUNICIPAL DE PAULÍNIA, seguindo todas as demais regras dispostas em Edital e obedecendo às normas da Lei nº 14.133/2021 e Portaria nº 001/2024/SMF, de 20/02/2024, publicada no Diário Oficial do Município na data de 22/02/2024.</w:t>
      </w:r>
    </w:p>
    <w:p w14:paraId="656D9006">
      <w:pPr>
        <w:spacing w:after="0" w:line="360" w:lineRule="auto"/>
        <w:ind w:right="102" w:firstLine="425"/>
        <w:jc w:val="both"/>
        <w:rPr>
          <w:rFonts w:ascii="Arial" w:hAnsi="Arial" w:cs="Arial"/>
          <w:sz w:val="24"/>
          <w:szCs w:val="24"/>
        </w:rPr>
      </w:pPr>
      <w:r>
        <w:rPr>
          <w:rFonts w:ascii="Arial" w:hAnsi="Arial" w:cs="Arial"/>
          <w:sz w:val="24"/>
          <w:szCs w:val="24"/>
        </w:rPr>
        <w:t>6.8.3. O pagamento será feito mediante crédito aberto em conta corrente em nome da DETENTORA.</w:t>
      </w:r>
    </w:p>
    <w:p w14:paraId="373B27FF">
      <w:pPr>
        <w:spacing w:after="0" w:line="360" w:lineRule="auto"/>
        <w:ind w:right="102" w:firstLine="425"/>
        <w:jc w:val="both"/>
        <w:rPr>
          <w:rFonts w:ascii="Arial" w:hAnsi="Arial" w:cs="Arial"/>
          <w:sz w:val="24"/>
        </w:rPr>
      </w:pPr>
    </w:p>
    <w:p w14:paraId="737A381A">
      <w:pPr>
        <w:spacing w:after="120" w:line="360" w:lineRule="auto"/>
        <w:ind w:right="102"/>
        <w:jc w:val="both"/>
        <w:rPr>
          <w:rFonts w:ascii="Arial" w:hAnsi="Arial" w:cs="Arial"/>
          <w:b/>
          <w:sz w:val="26"/>
          <w:szCs w:val="26"/>
        </w:rPr>
      </w:pPr>
      <w:r>
        <w:rPr>
          <w:rFonts w:ascii="Arial" w:hAnsi="Arial" w:cs="Arial"/>
          <w:b/>
          <w:sz w:val="26"/>
          <w:szCs w:val="26"/>
        </w:rPr>
        <w:t>7. ESTIMATIVA DAS QUANTIDADES</w:t>
      </w:r>
    </w:p>
    <w:p w14:paraId="32C72ED0">
      <w:pPr>
        <w:spacing w:after="120" w:line="360" w:lineRule="auto"/>
        <w:ind w:right="102" w:firstLine="426"/>
        <w:jc w:val="both"/>
      </w:pPr>
      <w:r>
        <w:rPr>
          <w:rFonts w:ascii="Arial" w:hAnsi="Arial" w:cs="Arial"/>
          <w:sz w:val="24"/>
          <w:szCs w:val="24"/>
        </w:rPr>
        <w:t>As quantidades estimadas para contratação foram cuidadosamente calculadas, projetando-se a utilização de tais produtos em um período de 12 meses. A projeção de consumo foi realizada com base na análise da série histórica de consumo dos últimos 12 meses de tais medicamentos na Rede de Atenção Básica, Rede de Atenção Especializada e Hospital Municipal de Paulínia. Para assegurar uma projeção confiável, a análise baseou-se na demanda real do último ano, desconsiderando os meses sem consumo. A este cálculo foi adicionada uma margem de segurança de 30%, medida essencial para mitigar a variabilidade da demanda e as incertezas no ressuprimento, garantindo assim a disponibilidade contínua dos itens.</w:t>
      </w:r>
      <w:r>
        <w:t xml:space="preserve"> </w:t>
      </w:r>
    </w:p>
    <w:p w14:paraId="1E5BB4A9">
      <w:pPr>
        <w:spacing w:after="0" w:line="360" w:lineRule="auto"/>
        <w:ind w:right="102" w:firstLine="426"/>
        <w:jc w:val="both"/>
        <w:rPr>
          <w:rFonts w:ascii="Arial" w:hAnsi="Arial" w:cs="Arial"/>
          <w:sz w:val="24"/>
          <w:szCs w:val="24"/>
        </w:rPr>
      </w:pPr>
      <w:r>
        <w:rPr>
          <w:rFonts w:ascii="Arial" w:hAnsi="Arial" w:cs="Arial"/>
          <w:sz w:val="24"/>
          <w:szCs w:val="24"/>
        </w:rPr>
        <w:t>Os dados de consumo histórico foram extraídos do sistema HÓRUS (Sistema Nacional de Gestão da Assistência Farmacêutica). Em seguida, foram organizados e processados em planilhas Excel para gerar os relatórios que subsidiaram as estimativas deste estudo.</w:t>
      </w:r>
    </w:p>
    <w:p w14:paraId="3F2E7BBB">
      <w:pPr>
        <w:spacing w:after="0" w:line="360" w:lineRule="auto"/>
        <w:ind w:right="102" w:firstLine="425"/>
        <w:jc w:val="both"/>
        <w:rPr>
          <w:rFonts w:ascii="Arial" w:hAnsi="Arial" w:cs="Arial"/>
          <w:sz w:val="24"/>
        </w:rPr>
      </w:pPr>
    </w:p>
    <w:p w14:paraId="754D8195">
      <w:pPr>
        <w:spacing w:after="120" w:line="360" w:lineRule="auto"/>
        <w:ind w:right="102"/>
        <w:jc w:val="both"/>
        <w:rPr>
          <w:rFonts w:ascii="Arial" w:hAnsi="Arial" w:cs="Arial"/>
          <w:b/>
          <w:sz w:val="26"/>
          <w:szCs w:val="26"/>
        </w:rPr>
      </w:pPr>
      <w:r>
        <w:rPr>
          <w:rFonts w:ascii="Arial" w:hAnsi="Arial" w:cs="Arial"/>
          <w:b/>
          <w:sz w:val="26"/>
          <w:szCs w:val="26"/>
        </w:rPr>
        <w:t>8. JUSTIFICATIVA PARA PARCELAMENTO</w:t>
      </w:r>
    </w:p>
    <w:p w14:paraId="39712A5D">
      <w:pPr>
        <w:spacing w:after="0" w:line="360" w:lineRule="auto"/>
        <w:ind w:right="102" w:firstLine="426"/>
        <w:jc w:val="both"/>
        <w:rPr>
          <w:rFonts w:ascii="Arial" w:hAnsi="Arial" w:cs="Arial"/>
          <w:sz w:val="24"/>
          <w:szCs w:val="24"/>
        </w:rPr>
      </w:pPr>
      <w:r>
        <w:rPr>
          <w:rFonts w:ascii="Arial" w:hAnsi="Arial" w:cs="Arial"/>
          <w:sz w:val="24"/>
          <w:szCs w:val="24"/>
        </w:rPr>
        <w:t>Os itens solicitados são objetos divisíveis e comercializados por unidades individuais. Nesse contexto, é aconselhável que a adjudicação ocorra por item, a fim de estimular a ampla participação dos licitantes. Isso, por sua vez, favorece a obtenção de preços mais competitivos e de produtos de alta qualidade. Portanto, não se justifica o agrupamento, uma vez que a abordagem por item maximiza os benefícios para a administração pública.</w:t>
      </w:r>
    </w:p>
    <w:p w14:paraId="457307BA">
      <w:pPr>
        <w:spacing w:after="0" w:line="360" w:lineRule="auto"/>
        <w:ind w:right="102" w:firstLine="425"/>
        <w:jc w:val="both"/>
        <w:rPr>
          <w:rFonts w:ascii="Arial" w:hAnsi="Arial" w:cs="Arial"/>
          <w:sz w:val="24"/>
        </w:rPr>
      </w:pPr>
    </w:p>
    <w:p w14:paraId="68FC5185">
      <w:pPr>
        <w:spacing w:after="120" w:line="360" w:lineRule="auto"/>
        <w:ind w:right="102"/>
        <w:jc w:val="both"/>
        <w:rPr>
          <w:rFonts w:ascii="Arial" w:hAnsi="Arial" w:cs="Arial"/>
          <w:b/>
          <w:sz w:val="26"/>
          <w:szCs w:val="26"/>
        </w:rPr>
      </w:pPr>
      <w:r>
        <w:rPr>
          <w:rFonts w:ascii="Arial" w:hAnsi="Arial" w:cs="Arial"/>
          <w:b/>
          <w:sz w:val="26"/>
          <w:szCs w:val="26"/>
        </w:rPr>
        <w:t>9. PROVIDÊNCIAS PRÉVIAS AO CONTRATO</w:t>
      </w:r>
    </w:p>
    <w:p w14:paraId="32D04B2F">
      <w:pPr>
        <w:spacing w:after="120" w:line="360" w:lineRule="auto"/>
        <w:ind w:right="102" w:firstLine="426"/>
        <w:jc w:val="both"/>
        <w:rPr>
          <w:rFonts w:ascii="Arial" w:hAnsi="Arial" w:cs="Arial"/>
          <w:sz w:val="24"/>
          <w:szCs w:val="24"/>
        </w:rPr>
      </w:pPr>
      <w:r>
        <w:rPr>
          <w:rFonts w:ascii="Arial" w:hAnsi="Arial" w:cs="Arial"/>
          <w:sz w:val="24"/>
          <w:szCs w:val="24"/>
        </w:rPr>
        <w:t>A presente contratação não requer providências específicas ou quaisquer adequações logísticas.</w:t>
      </w:r>
    </w:p>
    <w:p w14:paraId="7BE12B2E">
      <w:pPr>
        <w:spacing w:after="120" w:line="360" w:lineRule="auto"/>
        <w:ind w:right="102"/>
        <w:jc w:val="both"/>
        <w:rPr>
          <w:rFonts w:ascii="Arial" w:hAnsi="Arial" w:cs="Arial"/>
          <w:b/>
          <w:sz w:val="26"/>
          <w:szCs w:val="26"/>
        </w:rPr>
      </w:pPr>
      <w:r>
        <w:rPr>
          <w:rFonts w:ascii="Arial" w:hAnsi="Arial" w:cs="Arial"/>
          <w:b/>
          <w:sz w:val="26"/>
          <w:szCs w:val="26"/>
        </w:rPr>
        <w:t>10. CONTRATAÇÕES CORRELATAS / INTERDEPENDENTES</w:t>
      </w:r>
    </w:p>
    <w:p w14:paraId="08426D24">
      <w:pPr>
        <w:spacing w:after="0" w:line="360" w:lineRule="auto"/>
        <w:ind w:right="102" w:firstLine="426"/>
        <w:jc w:val="both"/>
        <w:rPr>
          <w:rFonts w:ascii="Arial" w:hAnsi="Arial" w:cs="Arial"/>
          <w:sz w:val="24"/>
          <w:szCs w:val="24"/>
        </w:rPr>
      </w:pPr>
      <w:r>
        <w:rPr>
          <w:rFonts w:ascii="Arial" w:hAnsi="Arial" w:cs="Arial"/>
          <w:sz w:val="24"/>
          <w:szCs w:val="24"/>
        </w:rPr>
        <w:t>A presente contratação contempla todos os elementos necessários para a efetividade da solução apresentada, sendo suficiente para a consecução dos objetivos pretendidos, e não requerendo qualquer tipo de contratação correlata ou interdependente.</w:t>
      </w:r>
    </w:p>
    <w:p w14:paraId="7761A111">
      <w:pPr>
        <w:spacing w:after="0" w:line="360" w:lineRule="auto"/>
        <w:ind w:right="102" w:firstLine="425"/>
        <w:jc w:val="both"/>
        <w:rPr>
          <w:rFonts w:ascii="Arial" w:hAnsi="Arial" w:cs="Arial"/>
          <w:sz w:val="24"/>
        </w:rPr>
      </w:pPr>
    </w:p>
    <w:p w14:paraId="776D02B5">
      <w:pPr>
        <w:spacing w:after="120" w:line="360" w:lineRule="auto"/>
        <w:ind w:right="102"/>
        <w:jc w:val="both"/>
        <w:rPr>
          <w:rFonts w:ascii="Arial" w:hAnsi="Arial" w:cs="Arial"/>
          <w:b/>
          <w:sz w:val="26"/>
          <w:szCs w:val="26"/>
        </w:rPr>
      </w:pPr>
      <w:r>
        <w:rPr>
          <w:rFonts w:ascii="Arial" w:hAnsi="Arial" w:cs="Arial"/>
          <w:b/>
          <w:sz w:val="26"/>
          <w:szCs w:val="26"/>
        </w:rPr>
        <w:t>11. IMPACTOS AMBIENTAIS</w:t>
      </w:r>
    </w:p>
    <w:p w14:paraId="2C0DCB92">
      <w:pPr>
        <w:spacing w:after="0" w:line="360" w:lineRule="auto"/>
        <w:ind w:right="102" w:firstLine="425"/>
        <w:jc w:val="both"/>
        <w:rPr>
          <w:rFonts w:ascii="Arial" w:hAnsi="Arial" w:cs="Arial"/>
          <w:sz w:val="24"/>
          <w:szCs w:val="24"/>
        </w:rPr>
      </w:pPr>
      <w:r>
        <w:rPr>
          <w:rFonts w:ascii="Arial" w:hAnsi="Arial" w:cs="Arial"/>
          <w:sz w:val="24"/>
          <w:szCs w:val="24"/>
        </w:rPr>
        <w:t>11.1. A presente aquisição não possui relevantes impactos ambientais, contudo deverão ser observados os requisitos abaixo.</w:t>
      </w:r>
    </w:p>
    <w:p w14:paraId="28477695">
      <w:pPr>
        <w:spacing w:after="0" w:line="360" w:lineRule="auto"/>
        <w:ind w:right="102" w:firstLine="425"/>
        <w:jc w:val="both"/>
        <w:rPr>
          <w:rFonts w:ascii="Arial" w:hAnsi="Arial" w:cs="Arial"/>
          <w:sz w:val="24"/>
          <w:szCs w:val="24"/>
        </w:rPr>
      </w:pPr>
      <w:r>
        <w:rPr>
          <w:rFonts w:ascii="Arial" w:hAnsi="Arial" w:cs="Arial"/>
          <w:sz w:val="24"/>
          <w:szCs w:val="24"/>
        </w:rPr>
        <w:t>11.2. Com o objetivo de cumprir as diretrizes estabelecidas na Lei nº 12.305, de 2010 - Política Nacional de Resíduos Sólidos, as participantes deverão ofertar preferencialmente embalagens que sejam constituídas, no todo ou em parte, por material reciclado, atóxico, biodegradável e provenientes de fontes com regularidade ambiental nos recursos naturais utilizados nos bens, serviços e obras.</w:t>
      </w:r>
    </w:p>
    <w:p w14:paraId="589D0419">
      <w:pPr>
        <w:spacing w:after="0" w:line="360" w:lineRule="auto"/>
        <w:ind w:right="102" w:firstLine="425"/>
        <w:jc w:val="both"/>
        <w:rPr>
          <w:rFonts w:ascii="Arial" w:hAnsi="Arial" w:cs="Arial"/>
          <w:sz w:val="24"/>
          <w:szCs w:val="24"/>
        </w:rPr>
      </w:pPr>
      <w:r>
        <w:rPr>
          <w:rFonts w:ascii="Arial" w:hAnsi="Arial" w:cs="Arial"/>
          <w:sz w:val="24"/>
          <w:szCs w:val="24"/>
        </w:rPr>
        <w:t>11.3. Os medicamentos ofertados devem ser produzidos por fabricantes compromissados com o meio ambiente, que mantenham programa continuado de sustentabilidade ambiental.</w:t>
      </w:r>
    </w:p>
    <w:p w14:paraId="1AB32859">
      <w:pPr>
        <w:spacing w:after="0" w:line="360" w:lineRule="auto"/>
        <w:ind w:right="102" w:firstLine="425"/>
        <w:jc w:val="both"/>
        <w:rPr>
          <w:rFonts w:ascii="Arial" w:hAnsi="Arial" w:cs="Arial"/>
          <w:sz w:val="24"/>
          <w:szCs w:val="24"/>
        </w:rPr>
      </w:pPr>
      <w:r>
        <w:rPr>
          <w:rFonts w:ascii="Arial" w:hAnsi="Arial" w:cs="Arial"/>
          <w:sz w:val="24"/>
          <w:szCs w:val="24"/>
        </w:rPr>
        <w:t>11.4. Os participantes devem oferecer produtos acondicionados, preferencialmente, em embalagem individual adequada, com o menor volume possível, que utilize materiais recicláveis, de forma a garantir a máxima proteção durante o transporte e o armazenamento.</w:t>
      </w:r>
    </w:p>
    <w:p w14:paraId="661F9C12">
      <w:pPr>
        <w:spacing w:after="0" w:line="360" w:lineRule="auto"/>
        <w:ind w:right="102" w:firstLine="425"/>
        <w:jc w:val="both"/>
        <w:rPr>
          <w:rFonts w:ascii="Arial" w:hAnsi="Arial" w:cs="Arial"/>
          <w:sz w:val="24"/>
          <w:szCs w:val="24"/>
        </w:rPr>
      </w:pPr>
      <w:r>
        <w:rPr>
          <w:rFonts w:ascii="Arial" w:hAnsi="Arial" w:cs="Arial"/>
          <w:sz w:val="24"/>
          <w:szCs w:val="24"/>
        </w:rPr>
        <w:t>11.5. De acordo com o art. 7º, XI, nº 12.305/2010 – Política Nacional de Resíduos Sólidos, as contratações governamentais devem priorizar bens, serviços e obras que considerem critérios compatíveis com padrões de consumo social e ambientalmente sustentáveis.</w:t>
      </w:r>
    </w:p>
    <w:p w14:paraId="65B35227">
      <w:pPr>
        <w:spacing w:after="0" w:line="360" w:lineRule="auto"/>
        <w:ind w:right="102" w:firstLine="425"/>
        <w:jc w:val="both"/>
        <w:rPr>
          <w:rFonts w:ascii="Arial" w:hAnsi="Arial" w:cs="Arial"/>
          <w:sz w:val="24"/>
        </w:rPr>
      </w:pPr>
    </w:p>
    <w:p w14:paraId="2B63866C">
      <w:pPr>
        <w:spacing w:after="120" w:line="360" w:lineRule="auto"/>
        <w:ind w:right="102"/>
        <w:jc w:val="both"/>
        <w:rPr>
          <w:rFonts w:ascii="Arial" w:hAnsi="Arial" w:cs="Arial"/>
          <w:b/>
          <w:sz w:val="26"/>
          <w:szCs w:val="26"/>
        </w:rPr>
      </w:pPr>
      <w:r>
        <w:rPr>
          <w:rFonts w:ascii="Arial" w:hAnsi="Arial" w:cs="Arial"/>
          <w:b/>
          <w:sz w:val="26"/>
          <w:szCs w:val="26"/>
        </w:rPr>
        <w:t>12. ESTIMATIVA DO VALOR DA CONTRATAÇÃO</w:t>
      </w:r>
    </w:p>
    <w:p w14:paraId="2428B86D">
      <w:pPr>
        <w:spacing w:after="0" w:line="360" w:lineRule="auto"/>
        <w:ind w:right="102" w:firstLine="425"/>
        <w:jc w:val="both"/>
        <w:rPr>
          <w:rFonts w:ascii="Arial" w:hAnsi="Arial" w:cs="Arial"/>
          <w:sz w:val="24"/>
          <w:szCs w:val="24"/>
        </w:rPr>
      </w:pPr>
      <w:r>
        <w:rPr>
          <w:rFonts w:ascii="Arial" w:hAnsi="Arial" w:cs="Arial"/>
          <w:sz w:val="24"/>
          <w:szCs w:val="24"/>
        </w:rPr>
        <w:t>O valor preliminarmente estimado da presente contratação é de R$ 272.000,00. A referida estimativa foi baseada nos preços registrados conforme pregões nº 137/2024 acrescidos de correção monetária no percentual de 25%.</w:t>
      </w:r>
    </w:p>
    <w:p w14:paraId="4937E33F">
      <w:pPr>
        <w:spacing w:after="0" w:line="360" w:lineRule="auto"/>
        <w:ind w:right="102" w:firstLine="425"/>
        <w:jc w:val="both"/>
        <w:rPr>
          <w:rFonts w:ascii="Arial" w:hAnsi="Arial" w:cs="Arial"/>
          <w:sz w:val="24"/>
          <w:szCs w:val="24"/>
        </w:rPr>
      </w:pPr>
      <w:r>
        <w:rPr>
          <w:rFonts w:ascii="Arial" w:hAnsi="Arial" w:cs="Arial"/>
          <w:sz w:val="24"/>
          <w:szCs w:val="24"/>
        </w:rPr>
        <w:t>O valor estimado acima é preliminar e não substitui a pesquisa de preços. A estimativa definitiva será elaborada pela Divisão de Compras, seguindo os critérios do art. 23 da Lei nº 14.133/2021 e arts. 47 e 48 do Decreto Municipal nº 8.388/2023.</w:t>
      </w:r>
    </w:p>
    <w:p w14:paraId="0015C3D4">
      <w:pPr>
        <w:spacing w:after="0" w:line="360" w:lineRule="auto"/>
        <w:ind w:right="102" w:firstLine="425"/>
        <w:jc w:val="both"/>
        <w:rPr>
          <w:rFonts w:ascii="Arial" w:hAnsi="Arial" w:cs="Arial"/>
          <w:sz w:val="24"/>
        </w:rPr>
      </w:pPr>
    </w:p>
    <w:p w14:paraId="5E064A9F">
      <w:pPr>
        <w:spacing w:after="120" w:line="360" w:lineRule="auto"/>
        <w:ind w:right="102"/>
        <w:jc w:val="both"/>
        <w:rPr>
          <w:rFonts w:ascii="Arial" w:hAnsi="Arial" w:cs="Arial"/>
          <w:b/>
          <w:sz w:val="26"/>
          <w:szCs w:val="26"/>
        </w:rPr>
      </w:pPr>
      <w:r>
        <w:rPr>
          <w:rFonts w:ascii="Arial" w:hAnsi="Arial" w:cs="Arial"/>
          <w:b/>
          <w:sz w:val="26"/>
          <w:szCs w:val="26"/>
        </w:rPr>
        <w:t>13. POSICIONAMENTO CONCLUSIVO SOBRE A VIABILIDADE DA SOLUÇÃO</w:t>
      </w:r>
    </w:p>
    <w:p w14:paraId="32698EDB">
      <w:pPr>
        <w:spacing w:after="120" w:line="360" w:lineRule="auto"/>
        <w:ind w:right="102" w:firstLine="426"/>
        <w:jc w:val="both"/>
        <w:rPr>
          <w:rFonts w:ascii="Arial" w:hAnsi="Arial" w:cs="Arial"/>
          <w:sz w:val="24"/>
          <w:szCs w:val="24"/>
        </w:rPr>
      </w:pPr>
      <w:r>
        <w:rPr>
          <w:rFonts w:ascii="Arial" w:hAnsi="Arial" w:cs="Arial"/>
          <w:sz w:val="24"/>
          <w:szCs w:val="24"/>
        </w:rPr>
        <w:t>Diante do exposto acima no presente Estudo Técnico, concluímos pela viabilidade da presente contratação.</w:t>
      </w:r>
    </w:p>
    <w:p w14:paraId="236F7FAF">
      <w:pPr>
        <w:spacing w:after="120" w:line="360" w:lineRule="auto"/>
        <w:ind w:right="102" w:firstLine="426"/>
        <w:jc w:val="both"/>
        <w:rPr>
          <w:rFonts w:ascii="Arial" w:hAnsi="Arial" w:cs="Arial"/>
          <w:sz w:val="24"/>
          <w:szCs w:val="24"/>
        </w:rPr>
      </w:pPr>
    </w:p>
    <w:p w14:paraId="07821CA4">
      <w:pPr>
        <w:spacing w:after="120" w:line="360" w:lineRule="auto"/>
        <w:ind w:right="102" w:firstLine="426"/>
        <w:jc w:val="both"/>
        <w:rPr>
          <w:rFonts w:ascii="Arial" w:hAnsi="Arial" w:cs="Arial"/>
          <w:sz w:val="24"/>
          <w:szCs w:val="24"/>
        </w:rPr>
      </w:pPr>
    </w:p>
    <w:p w14:paraId="2D04D759">
      <w:pPr>
        <w:spacing w:after="120" w:line="360" w:lineRule="auto"/>
        <w:ind w:right="102" w:firstLine="426"/>
        <w:jc w:val="both"/>
        <w:rPr>
          <w:rFonts w:ascii="Arial" w:hAnsi="Arial" w:cs="Arial"/>
          <w:sz w:val="24"/>
          <w:szCs w:val="24"/>
        </w:rPr>
      </w:pPr>
    </w:p>
    <w:p w14:paraId="28C924FB">
      <w:pPr>
        <w:spacing w:after="120" w:line="360" w:lineRule="auto"/>
        <w:ind w:right="102" w:firstLine="426"/>
        <w:jc w:val="both"/>
        <w:rPr>
          <w:rFonts w:ascii="Arial" w:hAnsi="Arial" w:cs="Arial"/>
          <w:sz w:val="24"/>
          <w:szCs w:val="24"/>
        </w:rPr>
      </w:pPr>
    </w:p>
    <w:p w14:paraId="58C2770D">
      <w:pPr>
        <w:spacing w:after="120" w:line="360" w:lineRule="auto"/>
        <w:ind w:right="102" w:firstLine="426"/>
        <w:jc w:val="both"/>
        <w:rPr>
          <w:rFonts w:ascii="Arial" w:hAnsi="Arial" w:cs="Arial"/>
          <w:sz w:val="24"/>
          <w:szCs w:val="24"/>
        </w:rPr>
      </w:pPr>
    </w:p>
    <w:p w14:paraId="3722C97D">
      <w:pPr>
        <w:spacing w:after="120" w:line="360" w:lineRule="auto"/>
        <w:ind w:right="102" w:firstLine="426"/>
        <w:jc w:val="both"/>
        <w:rPr>
          <w:rFonts w:ascii="Arial" w:hAnsi="Arial" w:cs="Arial"/>
          <w:sz w:val="24"/>
          <w:szCs w:val="24"/>
        </w:rPr>
      </w:pPr>
    </w:p>
    <w:p w14:paraId="1493643C">
      <w:pPr>
        <w:spacing w:after="120" w:line="360" w:lineRule="auto"/>
        <w:ind w:right="102" w:firstLine="426"/>
        <w:jc w:val="both"/>
        <w:rPr>
          <w:rFonts w:ascii="Arial" w:hAnsi="Arial" w:cs="Arial"/>
          <w:sz w:val="24"/>
          <w:szCs w:val="24"/>
        </w:rPr>
      </w:pPr>
    </w:p>
    <w:p w14:paraId="25917EAB">
      <w:pPr>
        <w:spacing w:after="120" w:line="360" w:lineRule="auto"/>
        <w:ind w:right="102" w:firstLine="426"/>
        <w:jc w:val="both"/>
        <w:rPr>
          <w:rFonts w:ascii="Arial" w:hAnsi="Arial" w:cs="Arial"/>
          <w:sz w:val="24"/>
          <w:szCs w:val="24"/>
        </w:rPr>
      </w:pPr>
      <w:r>
        <w:rPr>
          <w:rFonts w:ascii="Arial" w:hAnsi="Arial" w:cs="Arial"/>
          <w:sz w:val="24"/>
          <w:szCs w:val="24"/>
          <w:lang w:eastAsia="pt-BR"/>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349250</wp:posOffset>
                </wp:positionV>
                <wp:extent cx="3072765" cy="1158875"/>
                <wp:effectExtent l="0" t="0" r="0" b="3175"/>
                <wp:wrapSquare wrapText="bothSides"/>
                <wp:docPr id="315199780" name="Caixa de Texto 315199780"/>
                <wp:cNvGraphicFramePr/>
                <a:graphic xmlns:a="http://schemas.openxmlformats.org/drawingml/2006/main">
                  <a:graphicData uri="http://schemas.microsoft.com/office/word/2010/wordprocessingShape">
                    <wps:wsp>
                      <wps:cNvSpPr txBox="1">
                        <a:spLocks noChangeArrowheads="1"/>
                      </wps:cNvSpPr>
                      <wps:spPr bwMode="auto">
                        <a:xfrm>
                          <a:off x="0" y="0"/>
                          <a:ext cx="3072765" cy="1158875"/>
                        </a:xfrm>
                        <a:prstGeom prst="rect">
                          <a:avLst/>
                        </a:prstGeom>
                        <a:solidFill>
                          <a:srgbClr val="FFFFFF"/>
                        </a:solidFill>
                        <a:ln w="9525">
                          <a:noFill/>
                          <a:miter lim="800000"/>
                        </a:ln>
                      </wps:spPr>
                      <wps:txbx>
                        <w:txbxContent>
                          <w:p w14:paraId="507EB83B">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286E91E4">
                            <w:pPr>
                              <w:tabs>
                                <w:tab w:val="left" w:pos="900"/>
                              </w:tabs>
                              <w:spacing w:after="0" w:line="240" w:lineRule="auto"/>
                              <w:jc w:val="center"/>
                              <w:rPr>
                                <w:rFonts w:ascii="Arial" w:hAnsi="Arial" w:cs="Arial"/>
                                <w:b/>
                                <w:sz w:val="24"/>
                                <w:szCs w:val="24"/>
                              </w:rPr>
                            </w:pPr>
                            <w:r>
                              <w:rPr>
                                <w:rFonts w:ascii="Arial" w:hAnsi="Arial" w:cs="Arial"/>
                                <w:b/>
                                <w:sz w:val="24"/>
                                <w:szCs w:val="24"/>
                              </w:rPr>
                              <w:t>João Carlos da Fonseca Filho</w:t>
                            </w:r>
                          </w:p>
                          <w:p w14:paraId="34DFA53B">
                            <w:pPr>
                              <w:tabs>
                                <w:tab w:val="left" w:pos="900"/>
                              </w:tabs>
                              <w:spacing w:after="0" w:line="240" w:lineRule="auto"/>
                              <w:jc w:val="center"/>
                              <w:rPr>
                                <w:rFonts w:ascii="Arial" w:hAnsi="Arial" w:cs="Arial"/>
                                <w:sz w:val="24"/>
                                <w:szCs w:val="24"/>
                              </w:rPr>
                            </w:pPr>
                            <w:r>
                              <w:rPr>
                                <w:rFonts w:ascii="Arial" w:hAnsi="Arial" w:cs="Arial"/>
                                <w:sz w:val="24"/>
                                <w:szCs w:val="24"/>
                              </w:rPr>
                              <w:t>Farmacêutico / Matr.: 12393-5</w:t>
                            </w:r>
                          </w:p>
                          <w:p w14:paraId="02D29444">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7.5pt;height:91.25pt;width:241.95pt;mso-position-horizontal:right;mso-position-horizontal-relative:margin;mso-wrap-distance-bottom:3.6pt;mso-wrap-distance-left:9pt;mso-wrap-distance-right:9pt;mso-wrap-distance-top:3.6pt;z-index:251665408;mso-width-relative:page;mso-height-relative:page;" fillcolor="#FFFFFF" filled="t" stroked="f" coordsize="21600,21600" o:gfxdata="UEsDBAoAAAAAAIdO4kAAAAAAAAAAAAAAAAAEAAAAZHJzL1BLAwQUAAAACACHTuJACFtnvdcAAAAH&#10;AQAADwAAAGRycy9kb3ducmV2LnhtbE2PzU7DMBCE70i8g7VIXBB1+pOmDdlUAgnEtaUPsIndJCJe&#10;R7HbtG/PcoLTajSjmW+L3dX16mLH0HlGmM8SUJZrbzpuEI5f788bUCESG+o9W4SbDbAr7+8Kyo2f&#10;eG8vh9goKeGQE0Ib45BrHerWOgozP1gW7+RHR1Hk2Ggz0iTlrteLJFlrRx3LQkuDfWtt/X04O4TT&#10;5/SUbqfqIx6z/Wr9Sl1W+Rvi48M8eQEV7TX+heEXX9ChFKbKn9kE1SPIIxEhTeWKu9ost6AqhMUy&#10;S0GXhf7PX/4AUEsDBBQAAAAIAIdO4kB8MuWTNwIAAGgEAAAOAAAAZHJzL2Uyb0RvYy54bWytVMtu&#10;2zAQvBfoPxC8N5KcKLaFyEFqw0WB9AEk/QCaoiyiJJclaUvp13dJKY6bXnKoDgJXy52dGS51czto&#10;RY7CeQmmpsVFTokwHBpp9jX98bj9sKDEB2YapsCImj4JT29X79/d9LYSM+hANcIRBDG+6m1NuxBs&#10;lWWed0IzfwFWGEy24DQLGLp91jjWI7pW2SzPr7MeXGMdcOE9ft2MSTohurcAQttKLjbAD1qYMKI6&#10;oVhASb6T1tNVYtu2godvbetFIKqmqDSkNzbB9S6+s9UNq/aO2U7yiQJ7C4VXmjSTBpueoDYsMHJw&#10;8h8oLbkDD2244KCzUUhyBFUU+StvHjpmRdKCVnt7Mt3/P1j+9fjdEdnU9LIoi+VyvkBnDNN48Gsm&#10;B0YaQR7FEIC85NGz3voKSx8sFofhIww4SUm/t/fAf3piYN0xsxd3zkHfCdYg5yK6nZ2Vjjg+guz6&#10;L9BgU3YIkICG1uloKFpEEB1ZPZ3OC/kQjh8v8/lsfl1SwjFXFOViMS9TD1Y9l1vnwycBmsRFTR0O&#10;RIJnx3sfIh1WPW+J3Two2WylUilw+91aOXJkODzb9Ezof21ThvQ1XZazMiEbiPVprrQMeFWU1DVd&#10;5PGZypWZfIjSRxPCsBsmX3fQPKEjDsZhxauKiw7cb0p6HNSa+l8H5gQl6rNBV5fF1VWc7BRclfMZ&#10;Bu48szvPMMMRqqaBknG5Duk2RL0G7tD9ViZf4jGNTCauOIDJrumyxAk/j9Oulx/E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IW2e91wAAAAcBAAAPAAAAAAAAAAEAIAAAACIAAABkcnMvZG93bnJl&#10;di54bWxQSwECFAAUAAAACACHTuJAfDLlkzcCAABoBAAADgAAAAAAAAABACAAAAAmAQAAZHJzL2Uy&#10;b0RvYy54bWxQSwUGAAAAAAYABgBZAQAAzwUAAAAA&#10;">
                <v:fill on="t" focussize="0,0"/>
                <v:stroke on="f" miterlimit="8" joinstyle="miter"/>
                <v:imagedata o:title=""/>
                <o:lock v:ext="edit" aspectratio="f"/>
                <v:textbox>
                  <w:txbxContent>
                    <w:p w14:paraId="507EB83B">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286E91E4">
                      <w:pPr>
                        <w:tabs>
                          <w:tab w:val="left" w:pos="900"/>
                        </w:tabs>
                        <w:spacing w:after="0" w:line="240" w:lineRule="auto"/>
                        <w:jc w:val="center"/>
                        <w:rPr>
                          <w:rFonts w:ascii="Arial" w:hAnsi="Arial" w:cs="Arial"/>
                          <w:b/>
                          <w:sz w:val="24"/>
                          <w:szCs w:val="24"/>
                        </w:rPr>
                      </w:pPr>
                      <w:r>
                        <w:rPr>
                          <w:rFonts w:ascii="Arial" w:hAnsi="Arial" w:cs="Arial"/>
                          <w:b/>
                          <w:sz w:val="24"/>
                          <w:szCs w:val="24"/>
                        </w:rPr>
                        <w:t>João Carlos da Fonseca Filho</w:t>
                      </w:r>
                    </w:p>
                    <w:p w14:paraId="34DFA53B">
                      <w:pPr>
                        <w:tabs>
                          <w:tab w:val="left" w:pos="900"/>
                        </w:tabs>
                        <w:spacing w:after="0" w:line="240" w:lineRule="auto"/>
                        <w:jc w:val="center"/>
                        <w:rPr>
                          <w:rFonts w:ascii="Arial" w:hAnsi="Arial" w:cs="Arial"/>
                          <w:sz w:val="24"/>
                          <w:szCs w:val="24"/>
                        </w:rPr>
                      </w:pPr>
                      <w:r>
                        <w:rPr>
                          <w:rFonts w:ascii="Arial" w:hAnsi="Arial" w:cs="Arial"/>
                          <w:sz w:val="24"/>
                          <w:szCs w:val="24"/>
                        </w:rPr>
                        <w:t>Farmacêutico / Matr.: 12393-5</w:t>
                      </w:r>
                    </w:p>
                    <w:p w14:paraId="02D29444">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v:textbox>
                <w10:wrap type="square"/>
              </v:shape>
            </w:pict>
          </mc:Fallback>
        </mc:AlternateContent>
      </w:r>
      <w:r>
        <w:rPr>
          <w:rFonts w:ascii="Arial" w:hAnsi="Arial" w:cs="Arial"/>
          <w:sz w:val="24"/>
          <w:szCs w:val="24"/>
          <w:lang w:eastAsia="pt-BR"/>
        </w:rPr>
        <mc:AlternateContent>
          <mc:Choice Requires="wps">
            <w:drawing>
              <wp:anchor distT="45720" distB="45720" distL="114300" distR="114300" simplePos="0" relativeHeight="251664384" behindDoc="0" locked="0" layoutInCell="1" allowOverlap="1">
                <wp:simplePos x="0" y="0"/>
                <wp:positionH relativeFrom="margin">
                  <wp:posOffset>-159385</wp:posOffset>
                </wp:positionH>
                <wp:positionV relativeFrom="paragraph">
                  <wp:posOffset>327025</wp:posOffset>
                </wp:positionV>
                <wp:extent cx="3019425" cy="1083945"/>
                <wp:effectExtent l="0" t="0" r="0" b="1905"/>
                <wp:wrapSquare wrapText="bothSides"/>
                <wp:docPr id="1919067968"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019425" cy="1083945"/>
                        </a:xfrm>
                        <a:prstGeom prst="rect">
                          <a:avLst/>
                        </a:prstGeom>
                        <a:noFill/>
                        <a:ln w="9525">
                          <a:noFill/>
                          <a:miter lim="800000"/>
                        </a:ln>
                      </wps:spPr>
                      <wps:txbx>
                        <w:txbxContent>
                          <w:p w14:paraId="71CE4A48">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1204980E">
                            <w:pPr>
                              <w:tabs>
                                <w:tab w:val="left" w:pos="900"/>
                              </w:tabs>
                              <w:spacing w:after="0" w:line="240" w:lineRule="auto"/>
                              <w:jc w:val="center"/>
                              <w:rPr>
                                <w:rFonts w:ascii="Arial" w:hAnsi="Arial" w:cs="Arial"/>
                                <w:sz w:val="24"/>
                                <w:szCs w:val="24"/>
                              </w:rPr>
                            </w:pPr>
                            <w:r>
                              <w:rPr>
                                <w:rFonts w:ascii="Arial" w:hAnsi="Arial" w:cs="Arial"/>
                                <w:b/>
                                <w:sz w:val="24"/>
                                <w:szCs w:val="24"/>
                              </w:rPr>
                              <w:t xml:space="preserve">Orly Alves de Freitas Júnior </w:t>
                            </w:r>
                            <w:r>
                              <w:rPr>
                                <w:rFonts w:ascii="Arial" w:hAnsi="Arial" w:cs="Arial"/>
                                <w:sz w:val="24"/>
                                <w:szCs w:val="24"/>
                              </w:rPr>
                              <w:t>Farmacêutico / Matr.: 5560-3</w:t>
                            </w:r>
                          </w:p>
                          <w:p w14:paraId="554A1A24">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12.55pt;margin-top:25.75pt;height:85.35pt;width:237.75pt;mso-position-horizontal-relative:margin;mso-wrap-distance-bottom:3.6pt;mso-wrap-distance-left:9pt;mso-wrap-distance-right:9pt;mso-wrap-distance-top:3.6pt;z-index:251664384;mso-width-relative:page;mso-height-relative:page;" filled="f" stroked="f" coordsize="21600,21600" o:gfxdata="UEsDBAoAAAAAAIdO4kAAAAAAAAAAAAAAAAAEAAAAZHJzL1BLAwQUAAAACACHTuJA0DgdtNYAAAAK&#10;AQAADwAAAGRycy9kb3ducmV2LnhtbE2PwU7DMAyG70i8Q2QkblvSqkGsq7sDiCuIMZC4ZU3WVjRO&#10;1WRreXvMCXyz/On391e7xQ/i4qbYB0LI1gqEoybYnlqEw9vT6h5ETIasGQI5hG8XYVdfX1WmtGGm&#10;V3fZp1ZwCMXSIHQpjaWUsemcN3EdRkd8O4XJm8Tr1Eo7mZnD/SBzpe6kNz3xh86M7qFzzdf+7BHe&#10;n0+fH4V6aR+9HuewKEl+IxFvbzK1BZHckv5g+NVndajZ6RjOZKMYEFa5zhhF0JkGwUChVQHiiJDz&#10;gKwr+b9C/QNQSwMEFAAAAAgAh07iQDAbVNMeAgAAOAQAAA4AAABkcnMvZTJvRG9jLnhtbK1Ty27b&#10;MBC8F+g/ELzXkhw7sQTLQWojRYH0AST9AJqiLKIklyVpS+nXd0kprpFecqgOAqnVzs4Mh+vbQSty&#10;Es5LMDUtZjklwnBopDnU9MfT/YcVJT4w0zAFRtT0WXh6u3n/bt3bSsyhA9UIRxDE+Kq3Ne1CsFWW&#10;ed4JzfwMrDBYbMFpFnDrDlnjWI/oWmXzPL/OenCNdcCF9/h1NxbphOjeAghtK7nYAT9qYcKI6oRi&#10;ASX5TlpPN4lt2woevrWtF4GomqLSkN44BNf7+M42a1YdHLOd5BMF9hYKrzRpJg0OPUPtWGDk6OQ/&#10;UFpyBx7aMOOgs1FIcgRVFPkrbx47ZkXSglZ7ezbd/z9Y/vX03RHZYBLKosyvb8prPH/DNJ78lsmB&#10;kUaQJzEEIPNoVm99hT2PFrvC8BEGbEzCvX0A/tMTA9uOmYO4cw76TrAGyRaxM7toHXF8BNn3X6DB&#10;YewYIAENrdPRSfSGIDoe1PP5oJAH4fjxKi/KxXxJCcdaka+uysUyzWDVS7t1PnwSoElc1NRhEhI8&#10;Oz34EOmw6uWXOM3AvVQqpUEZ0te0XCL+q4qWAaOvpK7pKo/PNFOZSV5UNGoLw36Y7NpD84xCHYzh&#10;w6uHiw7cb0p6DF5N/a8jc4IS9dmgWWWxWMSkps1ieTPHjbus7C8rzHCEqmmgZFxuQ0r3yPwOTW1l&#10;khvdH5lMXDFQyYUp/DGxl/v0198L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DgdtNYAAAAK&#10;AQAADwAAAAAAAAABACAAAAAiAAAAZHJzL2Rvd25yZXYueG1sUEsBAhQAFAAAAAgAh07iQDAbVNMe&#10;AgAAOAQAAA4AAAAAAAAAAQAgAAAAJQEAAGRycy9lMm9Eb2MueG1sUEsFBgAAAAAGAAYAWQEAALUF&#10;AAAAAA==&#10;">
                <v:fill on="f" focussize="0,0"/>
                <v:stroke on="f" miterlimit="8" joinstyle="miter"/>
                <v:imagedata o:title=""/>
                <o:lock v:ext="edit" aspectratio="f"/>
                <v:textbox>
                  <w:txbxContent>
                    <w:p w14:paraId="71CE4A48">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1204980E">
                      <w:pPr>
                        <w:tabs>
                          <w:tab w:val="left" w:pos="900"/>
                        </w:tabs>
                        <w:spacing w:after="0" w:line="240" w:lineRule="auto"/>
                        <w:jc w:val="center"/>
                        <w:rPr>
                          <w:rFonts w:ascii="Arial" w:hAnsi="Arial" w:cs="Arial"/>
                          <w:sz w:val="24"/>
                          <w:szCs w:val="24"/>
                        </w:rPr>
                      </w:pPr>
                      <w:r>
                        <w:rPr>
                          <w:rFonts w:ascii="Arial" w:hAnsi="Arial" w:cs="Arial"/>
                          <w:b/>
                          <w:sz w:val="24"/>
                          <w:szCs w:val="24"/>
                        </w:rPr>
                        <w:t xml:space="preserve">Orly Alves de Freitas Júnior </w:t>
                      </w:r>
                      <w:r>
                        <w:rPr>
                          <w:rFonts w:ascii="Arial" w:hAnsi="Arial" w:cs="Arial"/>
                          <w:sz w:val="24"/>
                          <w:szCs w:val="24"/>
                        </w:rPr>
                        <w:t>Farmacêutico / Matr.: 5560-3</w:t>
                      </w:r>
                    </w:p>
                    <w:p w14:paraId="554A1A24">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v:textbox>
                <w10:wrap type="square"/>
              </v:shape>
            </w:pict>
          </mc:Fallback>
        </mc:AlternateContent>
      </w:r>
    </w:p>
    <w:p w14:paraId="59B53DB6">
      <w:pPr>
        <w:spacing w:after="120" w:line="360" w:lineRule="auto"/>
        <w:ind w:right="102" w:firstLine="426"/>
        <w:jc w:val="both"/>
        <w:rPr>
          <w:rFonts w:ascii="Arial" w:hAnsi="Arial" w:cs="Arial"/>
          <w:sz w:val="24"/>
          <w:szCs w:val="24"/>
        </w:rPr>
      </w:pPr>
    </w:p>
    <w:p w14:paraId="190D55EC">
      <w:pPr>
        <w:spacing w:after="120" w:line="360" w:lineRule="auto"/>
        <w:ind w:right="102" w:firstLine="426"/>
        <w:jc w:val="both"/>
        <w:rPr>
          <w:rFonts w:ascii="Arial" w:hAnsi="Arial" w:cs="Arial"/>
          <w:sz w:val="24"/>
          <w:szCs w:val="24"/>
        </w:rPr>
      </w:pPr>
    </w:p>
    <w:p w14:paraId="2FA5FA4E">
      <w:pPr>
        <w:spacing w:after="120" w:line="360" w:lineRule="auto"/>
        <w:ind w:right="102" w:firstLine="426"/>
        <w:jc w:val="both"/>
        <w:rPr>
          <w:rFonts w:ascii="Arial" w:hAnsi="Arial" w:cs="Arial"/>
          <w:sz w:val="24"/>
          <w:szCs w:val="24"/>
        </w:rPr>
      </w:pPr>
    </w:p>
    <w:p w14:paraId="0D804553">
      <w:pPr>
        <w:spacing w:after="120" w:line="360" w:lineRule="auto"/>
        <w:ind w:right="102" w:firstLine="426"/>
        <w:jc w:val="both"/>
        <w:rPr>
          <w:rFonts w:ascii="Arial" w:hAnsi="Arial" w:cs="Arial"/>
          <w:sz w:val="24"/>
          <w:szCs w:val="24"/>
        </w:rPr>
      </w:pPr>
    </w:p>
    <w:p w14:paraId="0CF04378">
      <w:pPr>
        <w:spacing w:after="120" w:line="360" w:lineRule="auto"/>
        <w:ind w:right="102" w:firstLine="426"/>
        <w:jc w:val="both"/>
        <w:rPr>
          <w:rFonts w:ascii="Arial" w:hAnsi="Arial" w:cs="Arial"/>
          <w:sz w:val="24"/>
          <w:szCs w:val="24"/>
        </w:rPr>
      </w:pPr>
      <w:r>
        <w:rPr>
          <w:rFonts w:ascii="Arial" w:hAnsi="Arial" w:cs="Arial"/>
          <w:sz w:val="24"/>
          <w:szCs w:val="24"/>
          <w:lang w:eastAsia="pt-BR"/>
        </w:rPr>
        <mc:AlternateContent>
          <mc:Choice Requires="wps">
            <w:drawing>
              <wp:anchor distT="45720" distB="45720" distL="114300" distR="114300" simplePos="0" relativeHeight="251666432" behindDoc="0" locked="0" layoutInCell="1" allowOverlap="1">
                <wp:simplePos x="0" y="0"/>
                <wp:positionH relativeFrom="margin">
                  <wp:posOffset>1438910</wp:posOffset>
                </wp:positionH>
                <wp:positionV relativeFrom="paragraph">
                  <wp:posOffset>3175</wp:posOffset>
                </wp:positionV>
                <wp:extent cx="3019425" cy="1083945"/>
                <wp:effectExtent l="0" t="0" r="0" b="1905"/>
                <wp:wrapSquare wrapText="bothSides"/>
                <wp:docPr id="567304151"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019425" cy="1083945"/>
                        </a:xfrm>
                        <a:prstGeom prst="rect">
                          <a:avLst/>
                        </a:prstGeom>
                        <a:noFill/>
                        <a:ln w="9525">
                          <a:noFill/>
                          <a:miter lim="800000"/>
                        </a:ln>
                      </wps:spPr>
                      <wps:txbx>
                        <w:txbxContent>
                          <w:p w14:paraId="38F79273">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0CBA0CD0">
                            <w:pPr>
                              <w:tabs>
                                <w:tab w:val="left" w:pos="900"/>
                              </w:tabs>
                              <w:spacing w:after="0" w:line="240" w:lineRule="auto"/>
                              <w:jc w:val="center"/>
                              <w:rPr>
                                <w:rFonts w:ascii="Arial" w:hAnsi="Arial" w:cs="Arial"/>
                                <w:b/>
                                <w:sz w:val="24"/>
                                <w:szCs w:val="24"/>
                              </w:rPr>
                            </w:pPr>
                            <w:r>
                              <w:rPr>
                                <w:rFonts w:ascii="Arial" w:hAnsi="Arial" w:cs="Arial"/>
                                <w:b/>
                                <w:sz w:val="24"/>
                                <w:szCs w:val="24"/>
                              </w:rPr>
                              <w:t>Josi Pereira da Silva</w:t>
                            </w:r>
                          </w:p>
                          <w:p w14:paraId="588A4288">
                            <w:pPr>
                              <w:tabs>
                                <w:tab w:val="left" w:pos="900"/>
                              </w:tabs>
                              <w:spacing w:after="0" w:line="240" w:lineRule="auto"/>
                              <w:jc w:val="center"/>
                              <w:rPr>
                                <w:rFonts w:ascii="Arial" w:hAnsi="Arial" w:cs="Arial"/>
                                <w:sz w:val="24"/>
                                <w:szCs w:val="24"/>
                              </w:rPr>
                            </w:pPr>
                            <w:r>
                              <w:rPr>
                                <w:rFonts w:ascii="Arial" w:hAnsi="Arial" w:cs="Arial"/>
                                <w:sz w:val="24"/>
                                <w:szCs w:val="24"/>
                              </w:rPr>
                              <w:t>Superintendente Administrativa</w:t>
                            </w:r>
                          </w:p>
                          <w:p w14:paraId="4B27335F">
                            <w:pPr>
                              <w:tabs>
                                <w:tab w:val="left" w:pos="900"/>
                              </w:tabs>
                              <w:spacing w:after="0" w:line="240" w:lineRule="auto"/>
                              <w:jc w:val="center"/>
                              <w:rPr>
                                <w:rFonts w:ascii="Arial" w:hAnsi="Arial" w:cs="Arial"/>
                                <w:sz w:val="24"/>
                                <w:szCs w:val="24"/>
                              </w:rPr>
                            </w:pPr>
                            <w:r>
                              <w:rPr>
                                <w:rFonts w:ascii="Arial" w:hAnsi="Arial" w:cs="Arial"/>
                                <w:sz w:val="24"/>
                                <w:szCs w:val="24"/>
                              </w:rPr>
                              <w:t>Secretaria Municipal de Saúde</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113.3pt;margin-top:0.25pt;height:85.35pt;width:237.75pt;mso-position-horizontal-relative:margin;mso-wrap-distance-bottom:3.6pt;mso-wrap-distance-left:9pt;mso-wrap-distance-right:9pt;mso-wrap-distance-top:3.6pt;z-index:251666432;mso-width-relative:page;mso-height-relative:page;" filled="f" stroked="f" coordsize="21600,21600" o:gfxdata="UEsDBAoAAAAAAIdO4kAAAAAAAAAAAAAAAAAEAAAAZHJzL1BLAwQUAAAACACHTuJAu8UsXNYAAAAI&#10;AQAADwAAAGRycy9kb3ducmV2LnhtbE2Py07DMBBF90j9B2uQ2FE7Fk0hxOmiiC2o5SGxc+NpEhGP&#10;o9htwt8zXcFydI/uPVNuZt+LM46xC2QgWyoQSHVwHTUG3t+eb+9BxGTJ2T4QGvjBCJtqcVXawoWJ&#10;dnjep0ZwCcXCGmhTGgopY92it3EZBiTOjmH0NvE5NtKNduJy30utVC697YgXWjvgtsX6e3/yBj5e&#10;jl+fd+q1efKrYQqzkuQfpDE315l6BJFwTn8wXPRZHSp2OoQTuSh6A1rnOaMGViA4XiudgTgwt840&#10;yKqU/x+ofgFQSwMEFAAAAAgAh07iQNy6rPAeAgAANwQAAA4AAABkcnMvZTJvRG9jLnhtbK1Ty27b&#10;MBC8F+g/ELzXkmwpsQXLQWojRYH0AST9AJqiLKIilyVpS+7Xd0kprpFecqgOAqnVzs4Mh+u7QXXk&#10;JKyToCuazVJKhOZQS32o6I/nhw9LSpxnumYdaFHRs3D0bvP+3bo3pZhDC10tLEEQ7creVLT13pRJ&#10;4ngrFHMzMEJjsQGrmMetPSS1ZT2iqy6Zp+lN0oOtjQUunMOvu7FIJ0T7FkBoGsnFDvhRCe1HVCs6&#10;5lGSa6VxdBPZNo3g/lvTOOFJV1FU6uMbh+B6H97JZs3Kg2WmlXyiwN5C4ZUmxaTGoReoHfOMHK38&#10;B0pJbsFB42ccVDIKiY6giix95c1Ty4yIWtBqZy6mu/8Hy7+evlsi64oWN7eLNM+KjBLNFB78lsmB&#10;kVqQZzF4IPPgVW9ciS1PBpv88BEGTFDU7cwj8J+OaNi2TB/EvbXQt4LVyDULnclV64jjAsi+/wI1&#10;DmNHDxFoaKwKRqI1BNHxnM6Xc0IehOPHRZqt8nlBCcdali4Xq7yIM1j50m6s858EKBIWFbUYhAjP&#10;To/OBzqsfPklTNPwILsuhqHTpK/oqkD8VxUlPSa/k6qiyzQ808xOT/KColGbH/bDZNce6jMKtTBm&#10;D28eLlqwvynpMXcVdb+OzApKus8azVpleR6CGjd5cTvHjb2u7K8rTHOEqqinZFxufQz3yPweTW1k&#10;lBvcH5lMXDFP0YUp+yGw1/v419/7v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8UsXNYAAAAI&#10;AQAADwAAAAAAAAABACAAAAAiAAAAZHJzL2Rvd25yZXYueG1sUEsBAhQAFAAAAAgAh07iQNy6rPAe&#10;AgAANwQAAA4AAAAAAAAAAQAgAAAAJQEAAGRycy9lMm9Eb2MueG1sUEsFBgAAAAAGAAYAWQEAALUF&#10;AAAAAA==&#10;">
                <v:fill on="f" focussize="0,0"/>
                <v:stroke on="f" miterlimit="8" joinstyle="miter"/>
                <v:imagedata o:title=""/>
                <o:lock v:ext="edit" aspectratio="f"/>
                <v:textbox>
                  <w:txbxContent>
                    <w:p w14:paraId="38F79273">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0CBA0CD0">
                      <w:pPr>
                        <w:tabs>
                          <w:tab w:val="left" w:pos="900"/>
                        </w:tabs>
                        <w:spacing w:after="0" w:line="240" w:lineRule="auto"/>
                        <w:jc w:val="center"/>
                        <w:rPr>
                          <w:rFonts w:ascii="Arial" w:hAnsi="Arial" w:cs="Arial"/>
                          <w:b/>
                          <w:sz w:val="24"/>
                          <w:szCs w:val="24"/>
                        </w:rPr>
                      </w:pPr>
                      <w:r>
                        <w:rPr>
                          <w:rFonts w:ascii="Arial" w:hAnsi="Arial" w:cs="Arial"/>
                          <w:b/>
                          <w:sz w:val="24"/>
                          <w:szCs w:val="24"/>
                        </w:rPr>
                        <w:t>Josi Pereira da Silva</w:t>
                      </w:r>
                    </w:p>
                    <w:p w14:paraId="588A4288">
                      <w:pPr>
                        <w:tabs>
                          <w:tab w:val="left" w:pos="900"/>
                        </w:tabs>
                        <w:spacing w:after="0" w:line="240" w:lineRule="auto"/>
                        <w:jc w:val="center"/>
                        <w:rPr>
                          <w:rFonts w:ascii="Arial" w:hAnsi="Arial" w:cs="Arial"/>
                          <w:sz w:val="24"/>
                          <w:szCs w:val="24"/>
                        </w:rPr>
                      </w:pPr>
                      <w:r>
                        <w:rPr>
                          <w:rFonts w:ascii="Arial" w:hAnsi="Arial" w:cs="Arial"/>
                          <w:sz w:val="24"/>
                          <w:szCs w:val="24"/>
                        </w:rPr>
                        <w:t>Superintendente Administrativa</w:t>
                      </w:r>
                    </w:p>
                    <w:p w14:paraId="4B27335F">
                      <w:pPr>
                        <w:tabs>
                          <w:tab w:val="left" w:pos="900"/>
                        </w:tabs>
                        <w:spacing w:after="0" w:line="240" w:lineRule="auto"/>
                        <w:jc w:val="center"/>
                        <w:rPr>
                          <w:rFonts w:ascii="Arial" w:hAnsi="Arial" w:cs="Arial"/>
                          <w:sz w:val="24"/>
                          <w:szCs w:val="24"/>
                        </w:rPr>
                      </w:pPr>
                      <w:r>
                        <w:rPr>
                          <w:rFonts w:ascii="Arial" w:hAnsi="Arial" w:cs="Arial"/>
                          <w:sz w:val="24"/>
                          <w:szCs w:val="24"/>
                        </w:rPr>
                        <w:t>Secretaria Municipal de Saúde</w:t>
                      </w:r>
                    </w:p>
                  </w:txbxContent>
                </v:textbox>
                <w10:wrap type="square"/>
              </v:shape>
            </w:pict>
          </mc:Fallback>
        </mc:AlternateContent>
      </w:r>
    </w:p>
    <w:p w14:paraId="7858FC8D">
      <w:pPr>
        <w:spacing w:after="120" w:line="360" w:lineRule="auto"/>
        <w:ind w:right="102" w:firstLine="426"/>
        <w:jc w:val="both"/>
        <w:rPr>
          <w:rFonts w:ascii="Arial" w:hAnsi="Arial" w:cs="Arial"/>
          <w:sz w:val="24"/>
          <w:szCs w:val="24"/>
        </w:rPr>
      </w:pPr>
    </w:p>
    <w:p w14:paraId="08DDA2A4">
      <w:pPr>
        <w:spacing w:after="120" w:line="360" w:lineRule="auto"/>
        <w:ind w:right="102" w:firstLine="426"/>
        <w:jc w:val="both"/>
        <w:rPr>
          <w:rFonts w:ascii="Arial" w:hAnsi="Arial" w:cs="Arial"/>
          <w:sz w:val="24"/>
          <w:szCs w:val="24"/>
        </w:rPr>
      </w:pPr>
    </w:p>
    <w:p w14:paraId="39B512F8">
      <w:pPr>
        <w:spacing w:after="120" w:line="360" w:lineRule="auto"/>
        <w:ind w:right="102" w:firstLine="426"/>
        <w:jc w:val="right"/>
        <w:rPr>
          <w:rFonts w:ascii="Arial" w:hAnsi="Arial" w:cs="Arial"/>
          <w:sz w:val="24"/>
          <w:szCs w:val="24"/>
        </w:rPr>
      </w:pPr>
    </w:p>
    <w:p w14:paraId="72A58011">
      <w:pPr>
        <w:spacing w:after="120" w:line="360" w:lineRule="auto"/>
        <w:ind w:right="102" w:firstLine="426"/>
        <w:jc w:val="right"/>
        <w:rPr>
          <w:rFonts w:ascii="Arial" w:hAnsi="Arial" w:cs="Arial"/>
          <w:sz w:val="24"/>
          <w:szCs w:val="24"/>
        </w:rPr>
      </w:pPr>
    </w:p>
    <w:p w14:paraId="198CFAD0">
      <w:r>
        <w:rPr>
          <w:rFonts w:ascii="Arial" w:hAnsi="Arial" w:cs="Arial"/>
          <w:sz w:val="24"/>
          <w:szCs w:val="24"/>
        </w:rPr>
        <w:t>Paulínia, 09 de setembro de 2025.</w:t>
      </w:r>
    </w:p>
    <w:sectPr>
      <w:headerReference r:id="rId7" w:type="first"/>
      <w:headerReference r:id="rId5" w:type="default"/>
      <w:footerReference r:id="rId8" w:type="default"/>
      <w:headerReference r:id="rId6" w:type="even"/>
      <w:pgSz w:w="11906" w:h="16838"/>
      <w:pgMar w:top="1758" w:right="1701" w:bottom="164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836993"/>
      <w:docPartObj>
        <w:docPartGallery w:val="AutoText"/>
      </w:docPartObj>
    </w:sdtPr>
    <w:sdtContent>
      <w:sdt>
        <w:sdtPr>
          <w:id w:val="1728636285"/>
          <w:docPartObj>
            <w:docPartGallery w:val="AutoText"/>
          </w:docPartObj>
        </w:sdtPr>
        <w:sdtContent>
          <w:p w14:paraId="0C176191">
            <w:pPr>
              <w:pStyle w:val="19"/>
              <w:jc w:val="center"/>
            </w:pPr>
            <w:r>
              <w:t xml:space="preserve">Página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146A">
    <w:pPr>
      <w:pStyle w:val="17"/>
      <w:jc w:val="center"/>
      <w:rPr>
        <w:rFonts w:ascii="Book Antiqua" w:hAnsi="Book Antiqua"/>
        <w:sz w:val="20"/>
        <w:szCs w:val="20"/>
      </w:rPr>
    </w:pPr>
    <w:r>
      <w:drawing>
        <wp:anchor distT="0" distB="0" distL="114300" distR="114300" simplePos="0" relativeHeight="251661312" behindDoc="0" locked="0" layoutInCell="1" allowOverlap="1">
          <wp:simplePos x="0" y="0"/>
          <wp:positionH relativeFrom="column">
            <wp:posOffset>539115</wp:posOffset>
          </wp:positionH>
          <wp:positionV relativeFrom="paragraph">
            <wp:posOffset>-86995</wp:posOffset>
          </wp:positionV>
          <wp:extent cx="476250" cy="447675"/>
          <wp:effectExtent l="0" t="0" r="0" b="9525"/>
          <wp:wrapNone/>
          <wp:docPr id="6167085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08525"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447675"/>
                  </a:xfrm>
                  <a:prstGeom prst="rect">
                    <a:avLst/>
                  </a:prstGeom>
                  <a:noFill/>
                  <a:ln>
                    <a:noFill/>
                  </a:ln>
                </pic:spPr>
              </pic:pic>
            </a:graphicData>
          </a:graphic>
        </wp:anchor>
      </w:drawing>
    </w:r>
    <w:r>
      <w:rPr>
        <w:rFonts w:ascii="Book Antiqua" w:hAnsi="Book Antiqua"/>
        <w:sz w:val="20"/>
        <w:szCs w:val="20"/>
      </w:rPr>
      <w:t>PREFEITURA MUNICIPAL DE PAULÍNIA</w:t>
    </w:r>
  </w:p>
  <w:p w14:paraId="6F591B18">
    <w:pPr>
      <w:pStyle w:val="17"/>
      <w:jc w:val="center"/>
      <w:rPr>
        <w:rFonts w:ascii="Book Antiqua" w:hAnsi="Book Antiqua"/>
        <w:sz w:val="20"/>
        <w:szCs w:val="20"/>
      </w:rPr>
    </w:pPr>
    <w:r>
      <w:rPr>
        <w:rFonts w:ascii="Book Antiqua" w:hAnsi="Book Antiqua"/>
        <w:sz w:val="20"/>
        <w:szCs w:val="20"/>
      </w:rPr>
      <w:t>Departamento de Suprimentos e Serviços</w:t>
    </w:r>
  </w:p>
  <w:p w14:paraId="487159D6">
    <w:pPr>
      <w:pStyle w:val="17"/>
      <w:jc w:val="center"/>
      <w:rPr>
        <w:rFonts w:ascii="Book Antiqua" w:hAnsi="Book Antiqua"/>
        <w:sz w:val="20"/>
        <w:szCs w:val="20"/>
      </w:rPr>
    </w:pPr>
    <w:r>
      <w:rPr>
        <w:rFonts w:ascii="Book Antiqua" w:hAnsi="Book Antiqua"/>
        <w:sz w:val="20"/>
        <w:szCs w:val="20"/>
      </w:rPr>
      <w:t>Divisão de Licitações</w:t>
    </w:r>
  </w:p>
  <w:p w14:paraId="44EAEDA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041F">
    <w:pPr>
      <w:pStyle w:val="17"/>
    </w:pPr>
    <w:r>
      <w:rPr>
        <w:lang w:eastAsia="pt-BR"/>
      </w:rPr>
      <w:pict>
        <v:shape id="WordPictureWatermark382325204" o:spid="_x0000_s2053" o:spt="75" type="#_x0000_t75" style="position:absolute;left:0pt;height:841.9pt;width:595.4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PMP_timbrado A4"/>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E81D">
    <w:pPr>
      <w:pStyle w:val="17"/>
    </w:pPr>
    <w:r>
      <w:rPr>
        <w:lang w:eastAsia="pt-BR"/>
      </w:rPr>
      <w:pict>
        <v:shape id="WordPictureWatermark382325203" o:spid="_x0000_s2052" o:spt="75" type="#_x0000_t75" style="position:absolute;left:0pt;height:841.9pt;width:595.4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PMP_timbrado A4"/>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7.%1."/>
      <w:lvlJc w:val="left"/>
      <w:pPr>
        <w:ind w:left="1365" w:hanging="360"/>
      </w:pPr>
      <w:rPr>
        <w:rFonts w:hint="default"/>
        <w:b/>
        <w:i w:val="0"/>
        <w:color w:val="auto"/>
      </w:rPr>
    </w:lvl>
    <w:lvl w:ilvl="1" w:tentative="0">
      <w:start w:val="1"/>
      <w:numFmt w:val="lowerLetter"/>
      <w:lvlText w:val="%2."/>
      <w:lvlJc w:val="left"/>
      <w:pPr>
        <w:ind w:left="2085" w:hanging="360"/>
      </w:pPr>
    </w:lvl>
    <w:lvl w:ilvl="2" w:tentative="0">
      <w:start w:val="1"/>
      <w:numFmt w:val="lowerRoman"/>
      <w:lvlText w:val="%3."/>
      <w:lvlJc w:val="right"/>
      <w:pPr>
        <w:ind w:left="2805" w:hanging="180"/>
      </w:pPr>
    </w:lvl>
    <w:lvl w:ilvl="3" w:tentative="0">
      <w:start w:val="1"/>
      <w:numFmt w:val="decimal"/>
      <w:lvlText w:val="%4."/>
      <w:lvlJc w:val="left"/>
      <w:pPr>
        <w:ind w:left="3525" w:hanging="360"/>
      </w:pPr>
    </w:lvl>
    <w:lvl w:ilvl="4" w:tentative="0">
      <w:start w:val="1"/>
      <w:numFmt w:val="lowerLetter"/>
      <w:lvlText w:val="%5."/>
      <w:lvlJc w:val="left"/>
      <w:pPr>
        <w:ind w:left="4245" w:hanging="360"/>
      </w:pPr>
    </w:lvl>
    <w:lvl w:ilvl="5" w:tentative="0">
      <w:start w:val="1"/>
      <w:numFmt w:val="lowerRoman"/>
      <w:lvlText w:val="%6."/>
      <w:lvlJc w:val="right"/>
      <w:pPr>
        <w:ind w:left="4965" w:hanging="180"/>
      </w:pPr>
    </w:lvl>
    <w:lvl w:ilvl="6" w:tentative="0">
      <w:start w:val="1"/>
      <w:numFmt w:val="decimal"/>
      <w:lvlText w:val="%7."/>
      <w:lvlJc w:val="left"/>
      <w:pPr>
        <w:ind w:left="5685" w:hanging="360"/>
      </w:pPr>
    </w:lvl>
    <w:lvl w:ilvl="7" w:tentative="0">
      <w:start w:val="1"/>
      <w:numFmt w:val="lowerLetter"/>
      <w:lvlText w:val="%8."/>
      <w:lvlJc w:val="left"/>
      <w:pPr>
        <w:ind w:left="6405" w:hanging="360"/>
      </w:pPr>
    </w:lvl>
    <w:lvl w:ilvl="8" w:tentative="0">
      <w:start w:val="1"/>
      <w:numFmt w:val="lowerRoman"/>
      <w:lvlText w:val="%9."/>
      <w:lvlJc w:val="right"/>
      <w:pPr>
        <w:ind w:left="7125" w:hanging="180"/>
      </w:pPr>
    </w:lvl>
  </w:abstractNum>
  <w:abstractNum w:abstractNumId="1">
    <w:nsid w:val="03D06C8E"/>
    <w:multiLevelType w:val="multilevel"/>
    <w:tmpl w:val="03D06C8E"/>
    <w:lvl w:ilvl="0" w:tentative="0">
      <w:start w:val="1"/>
      <w:numFmt w:val="decimal"/>
      <w:lvlText w:val="5.%1."/>
      <w:lvlJc w:val="left"/>
      <w:pPr>
        <w:ind w:left="720" w:hanging="360"/>
      </w:pPr>
      <w:rPr>
        <w:rFonts w:hint="default" w:asciiTheme="minorHAnsi" w:hAnsiTheme="minorHAnsi" w:cstheme="minorHAnsi"/>
        <w:b/>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1D0411"/>
    <w:multiLevelType w:val="multilevel"/>
    <w:tmpl w:val="0F1D0411"/>
    <w:lvl w:ilvl="0" w:tentative="0">
      <w:start w:val="1"/>
      <w:numFmt w:val="decimal"/>
      <w:lvlText w:val="6.%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18F7788A"/>
    <w:multiLevelType w:val="multilevel"/>
    <w:tmpl w:val="18F7788A"/>
    <w:lvl w:ilvl="0" w:tentative="0">
      <w:start w:val="1"/>
      <w:numFmt w:val="decimal"/>
      <w:lvlText w:val="1.2.%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1D5C100D"/>
    <w:multiLevelType w:val="multilevel"/>
    <w:tmpl w:val="1D5C100D"/>
    <w:lvl w:ilvl="0" w:tentative="0">
      <w:start w:val="1"/>
      <w:numFmt w:val="decimal"/>
      <w:pStyle w:val="52"/>
      <w:lvlText w:val="%1."/>
      <w:lvlJc w:val="left"/>
      <w:pPr>
        <w:ind w:left="360" w:hanging="360"/>
      </w:pPr>
      <w:rPr>
        <w:b/>
      </w:rPr>
    </w:lvl>
    <w:lvl w:ilvl="1" w:tentative="0">
      <w:start w:val="1"/>
      <w:numFmt w:val="decimal"/>
      <w:pStyle w:val="53"/>
      <w:lvlText w:val="%1.%2."/>
      <w:lvlJc w:val="left"/>
      <w:pPr>
        <w:ind w:left="4969" w:hanging="432"/>
      </w:pPr>
      <w:rPr>
        <w:b w:val="0"/>
        <w:i w:val="0"/>
        <w:strike w:val="0"/>
        <w:color w:val="auto"/>
        <w:sz w:val="20"/>
        <w:szCs w:val="20"/>
        <w:u w:val="none"/>
      </w:rPr>
    </w:lvl>
    <w:lvl w:ilvl="2" w:tentative="0">
      <w:start w:val="1"/>
      <w:numFmt w:val="decimal"/>
      <w:pStyle w:val="54"/>
      <w:lvlText w:val="%1.%2.%3."/>
      <w:lvlJc w:val="left"/>
      <w:pPr>
        <w:ind w:left="3198" w:hanging="504"/>
      </w:pPr>
      <w:rPr>
        <w:rFonts w:hint="default" w:ascii="Arial" w:hAnsi="Arial" w:cs="Arial"/>
        <w:b w:val="0"/>
        <w:i w:val="0"/>
        <w:strike w:val="0"/>
        <w:color w:val="auto"/>
        <w:sz w:val="20"/>
        <w:szCs w:val="20"/>
      </w:rPr>
    </w:lvl>
    <w:lvl w:ilvl="3" w:tentative="0">
      <w:start w:val="1"/>
      <w:numFmt w:val="decimal"/>
      <w:pStyle w:val="55"/>
      <w:lvlText w:val="%1.%2.%3.%4."/>
      <w:lvlJc w:val="left"/>
      <w:pPr>
        <w:ind w:left="2491" w:hanging="648"/>
      </w:pPr>
    </w:lvl>
    <w:lvl w:ilvl="4" w:tentative="0">
      <w:start w:val="1"/>
      <w:numFmt w:val="decimal"/>
      <w:pStyle w:val="56"/>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0621685"/>
    <w:multiLevelType w:val="multilevel"/>
    <w:tmpl w:val="20621685"/>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6">
    <w:nsid w:val="2A4E2C66"/>
    <w:multiLevelType w:val="multilevel"/>
    <w:tmpl w:val="2A4E2C66"/>
    <w:lvl w:ilvl="0" w:tentative="0">
      <w:start w:val="1"/>
      <w:numFmt w:val="bullet"/>
      <w:lvlText w:val=""/>
      <w:lvlJc w:val="left"/>
      <w:pPr>
        <w:ind w:left="833" w:hanging="360"/>
      </w:pPr>
      <w:rPr>
        <w:rFonts w:hint="default" w:ascii="Wingdings" w:hAnsi="Wingdings"/>
      </w:rPr>
    </w:lvl>
    <w:lvl w:ilvl="1" w:tentative="0">
      <w:start w:val="1"/>
      <w:numFmt w:val="bullet"/>
      <w:lvlText w:val="o"/>
      <w:lvlJc w:val="left"/>
      <w:pPr>
        <w:ind w:left="1553" w:hanging="360"/>
      </w:pPr>
      <w:rPr>
        <w:rFonts w:hint="default" w:ascii="Courier New" w:hAnsi="Courier New" w:cs="Courier New"/>
      </w:rPr>
    </w:lvl>
    <w:lvl w:ilvl="2" w:tentative="0">
      <w:start w:val="1"/>
      <w:numFmt w:val="bullet"/>
      <w:lvlText w:val=""/>
      <w:lvlJc w:val="left"/>
      <w:pPr>
        <w:ind w:left="2273" w:hanging="360"/>
      </w:pPr>
      <w:rPr>
        <w:rFonts w:hint="default" w:ascii="Wingdings" w:hAnsi="Wingdings"/>
      </w:rPr>
    </w:lvl>
    <w:lvl w:ilvl="3" w:tentative="0">
      <w:start w:val="1"/>
      <w:numFmt w:val="bullet"/>
      <w:lvlText w:val=""/>
      <w:lvlJc w:val="left"/>
      <w:pPr>
        <w:ind w:left="2993" w:hanging="360"/>
      </w:pPr>
      <w:rPr>
        <w:rFonts w:hint="default" w:ascii="Symbol" w:hAnsi="Symbol"/>
      </w:rPr>
    </w:lvl>
    <w:lvl w:ilvl="4" w:tentative="0">
      <w:start w:val="1"/>
      <w:numFmt w:val="bullet"/>
      <w:lvlText w:val="o"/>
      <w:lvlJc w:val="left"/>
      <w:pPr>
        <w:ind w:left="3713" w:hanging="360"/>
      </w:pPr>
      <w:rPr>
        <w:rFonts w:hint="default" w:ascii="Courier New" w:hAnsi="Courier New" w:cs="Courier New"/>
      </w:rPr>
    </w:lvl>
    <w:lvl w:ilvl="5" w:tentative="0">
      <w:start w:val="1"/>
      <w:numFmt w:val="bullet"/>
      <w:lvlText w:val=""/>
      <w:lvlJc w:val="left"/>
      <w:pPr>
        <w:ind w:left="4433" w:hanging="360"/>
      </w:pPr>
      <w:rPr>
        <w:rFonts w:hint="default" w:ascii="Wingdings" w:hAnsi="Wingdings"/>
      </w:rPr>
    </w:lvl>
    <w:lvl w:ilvl="6" w:tentative="0">
      <w:start w:val="1"/>
      <w:numFmt w:val="bullet"/>
      <w:lvlText w:val=""/>
      <w:lvlJc w:val="left"/>
      <w:pPr>
        <w:ind w:left="5153" w:hanging="360"/>
      </w:pPr>
      <w:rPr>
        <w:rFonts w:hint="default" w:ascii="Symbol" w:hAnsi="Symbol"/>
      </w:rPr>
    </w:lvl>
    <w:lvl w:ilvl="7" w:tentative="0">
      <w:start w:val="1"/>
      <w:numFmt w:val="bullet"/>
      <w:lvlText w:val="o"/>
      <w:lvlJc w:val="left"/>
      <w:pPr>
        <w:ind w:left="5873" w:hanging="360"/>
      </w:pPr>
      <w:rPr>
        <w:rFonts w:hint="default" w:ascii="Courier New" w:hAnsi="Courier New" w:cs="Courier New"/>
      </w:rPr>
    </w:lvl>
    <w:lvl w:ilvl="8" w:tentative="0">
      <w:start w:val="1"/>
      <w:numFmt w:val="bullet"/>
      <w:lvlText w:val=""/>
      <w:lvlJc w:val="left"/>
      <w:pPr>
        <w:ind w:left="6593" w:hanging="360"/>
      </w:pPr>
      <w:rPr>
        <w:rFonts w:hint="default" w:ascii="Wingdings" w:hAnsi="Wingdings"/>
      </w:rPr>
    </w:lvl>
  </w:abstractNum>
  <w:abstractNum w:abstractNumId="7">
    <w:nsid w:val="2B9B1D72"/>
    <w:multiLevelType w:val="multilevel"/>
    <w:tmpl w:val="2B9B1D72"/>
    <w:lvl w:ilvl="0" w:tentative="0">
      <w:start w:val="1"/>
      <w:numFmt w:val="decimal"/>
      <w:lvlText w:val="4.1.%1."/>
      <w:lvlJc w:val="left"/>
      <w:pPr>
        <w:ind w:left="1571" w:hanging="360"/>
      </w:pPr>
      <w:rPr>
        <w:rFonts w:hint="default"/>
        <w:b/>
        <w:i w:val="0"/>
        <w:color w:val="auto"/>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8">
    <w:nsid w:val="2D7521D5"/>
    <w:multiLevelType w:val="multilevel"/>
    <w:tmpl w:val="2D7521D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8C21767"/>
    <w:multiLevelType w:val="multilevel"/>
    <w:tmpl w:val="38C21767"/>
    <w:lvl w:ilvl="0" w:tentative="0">
      <w:start w:val="1"/>
      <w:numFmt w:val="lowerLetter"/>
      <w:lvlText w:val="%1)"/>
      <w:lvlJc w:val="left"/>
      <w:pPr>
        <w:ind w:left="2226" w:hanging="708"/>
      </w:pPr>
      <w:rPr>
        <w:rFonts w:hint="default" w:ascii="Arial" w:hAnsi="Arial" w:eastAsia="Arial" w:cs="Arial"/>
        <w:w w:val="99"/>
        <w:sz w:val="24"/>
        <w:szCs w:val="24"/>
      </w:rPr>
    </w:lvl>
    <w:lvl w:ilvl="1" w:tentative="0">
      <w:start w:val="0"/>
      <w:numFmt w:val="bullet"/>
      <w:lvlText w:val="•"/>
      <w:lvlJc w:val="left"/>
      <w:pPr>
        <w:ind w:left="3085" w:hanging="708"/>
      </w:pPr>
    </w:lvl>
    <w:lvl w:ilvl="2" w:tentative="0">
      <w:start w:val="0"/>
      <w:numFmt w:val="bullet"/>
      <w:lvlText w:val="•"/>
      <w:lvlJc w:val="left"/>
      <w:pPr>
        <w:ind w:left="3947" w:hanging="708"/>
      </w:pPr>
    </w:lvl>
    <w:lvl w:ilvl="3" w:tentative="0">
      <w:start w:val="0"/>
      <w:numFmt w:val="bullet"/>
      <w:lvlText w:val="•"/>
      <w:lvlJc w:val="left"/>
      <w:pPr>
        <w:ind w:left="4809" w:hanging="708"/>
      </w:pPr>
    </w:lvl>
    <w:lvl w:ilvl="4" w:tentative="0">
      <w:start w:val="0"/>
      <w:numFmt w:val="bullet"/>
      <w:lvlText w:val="•"/>
      <w:lvlJc w:val="left"/>
      <w:pPr>
        <w:ind w:left="5671" w:hanging="708"/>
      </w:pPr>
    </w:lvl>
    <w:lvl w:ilvl="5" w:tentative="0">
      <w:start w:val="0"/>
      <w:numFmt w:val="bullet"/>
      <w:lvlText w:val="•"/>
      <w:lvlJc w:val="left"/>
      <w:pPr>
        <w:ind w:left="6533" w:hanging="708"/>
      </w:pPr>
    </w:lvl>
    <w:lvl w:ilvl="6" w:tentative="0">
      <w:start w:val="0"/>
      <w:numFmt w:val="bullet"/>
      <w:lvlText w:val="•"/>
      <w:lvlJc w:val="left"/>
      <w:pPr>
        <w:ind w:left="7395" w:hanging="708"/>
      </w:pPr>
    </w:lvl>
    <w:lvl w:ilvl="7" w:tentative="0">
      <w:start w:val="0"/>
      <w:numFmt w:val="bullet"/>
      <w:lvlText w:val="•"/>
      <w:lvlJc w:val="left"/>
      <w:pPr>
        <w:ind w:left="8257" w:hanging="708"/>
      </w:pPr>
    </w:lvl>
    <w:lvl w:ilvl="8" w:tentative="0">
      <w:start w:val="0"/>
      <w:numFmt w:val="bullet"/>
      <w:lvlText w:val="•"/>
      <w:lvlJc w:val="left"/>
      <w:pPr>
        <w:ind w:left="9119" w:hanging="708"/>
      </w:pPr>
    </w:lvl>
  </w:abstractNum>
  <w:abstractNum w:abstractNumId="10">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lvl>
    <w:lvl w:ilvl="2" w:tentative="0">
      <w:start w:val="0"/>
      <w:numFmt w:val="bullet"/>
      <w:lvlText w:val="•"/>
      <w:lvlJc w:val="left"/>
      <w:pPr>
        <w:ind w:left="1823" w:hanging="708"/>
      </w:pPr>
    </w:lvl>
    <w:lvl w:ilvl="3" w:tentative="0">
      <w:start w:val="0"/>
      <w:numFmt w:val="bullet"/>
      <w:lvlText w:val="•"/>
      <w:lvlJc w:val="left"/>
      <w:pPr>
        <w:ind w:left="2685" w:hanging="708"/>
      </w:pPr>
    </w:lvl>
    <w:lvl w:ilvl="4" w:tentative="0">
      <w:start w:val="0"/>
      <w:numFmt w:val="bullet"/>
      <w:lvlText w:val="•"/>
      <w:lvlJc w:val="left"/>
      <w:pPr>
        <w:ind w:left="3547" w:hanging="708"/>
      </w:pPr>
    </w:lvl>
    <w:lvl w:ilvl="5" w:tentative="0">
      <w:start w:val="0"/>
      <w:numFmt w:val="bullet"/>
      <w:lvlText w:val="•"/>
      <w:lvlJc w:val="left"/>
      <w:pPr>
        <w:ind w:left="4409" w:hanging="708"/>
      </w:pPr>
    </w:lvl>
    <w:lvl w:ilvl="6" w:tentative="0">
      <w:start w:val="0"/>
      <w:numFmt w:val="bullet"/>
      <w:lvlText w:val="•"/>
      <w:lvlJc w:val="left"/>
      <w:pPr>
        <w:ind w:left="5271" w:hanging="708"/>
      </w:pPr>
    </w:lvl>
    <w:lvl w:ilvl="7" w:tentative="0">
      <w:start w:val="0"/>
      <w:numFmt w:val="bullet"/>
      <w:lvlText w:val="•"/>
      <w:lvlJc w:val="left"/>
      <w:pPr>
        <w:ind w:left="6133" w:hanging="708"/>
      </w:pPr>
    </w:lvl>
    <w:lvl w:ilvl="8" w:tentative="0">
      <w:start w:val="0"/>
      <w:numFmt w:val="bullet"/>
      <w:lvlText w:val="•"/>
      <w:lvlJc w:val="left"/>
      <w:pPr>
        <w:ind w:left="6995" w:hanging="708"/>
      </w:pPr>
    </w:lvl>
  </w:abstractNum>
  <w:abstractNum w:abstractNumId="11">
    <w:nsid w:val="536F13C8"/>
    <w:multiLevelType w:val="multilevel"/>
    <w:tmpl w:val="536F13C8"/>
    <w:lvl w:ilvl="0" w:tentative="0">
      <w:start w:val="1"/>
      <w:numFmt w:val="decimal"/>
      <w:lvlText w:val="1.3.%1."/>
      <w:lvlJc w:val="left"/>
      <w:pPr>
        <w:ind w:left="1146" w:hanging="360"/>
      </w:pPr>
      <w:rPr>
        <w:rFonts w:hint="default"/>
        <w:b/>
        <w:i w:val="0"/>
        <w:color w:val="auto"/>
        <w:sz w:val="24"/>
        <w:szCs w:val="24"/>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2">
    <w:nsid w:val="5F4D69C1"/>
    <w:multiLevelType w:val="multilevel"/>
    <w:tmpl w:val="5F4D69C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0F01FB1"/>
    <w:multiLevelType w:val="multilevel"/>
    <w:tmpl w:val="60F01FB1"/>
    <w:lvl w:ilvl="0" w:tentative="0">
      <w:start w:val="1"/>
      <w:numFmt w:val="decimal"/>
      <w:lvlText w:val="1.5.%1."/>
      <w:lvlJc w:val="left"/>
      <w:pPr>
        <w:ind w:left="1287" w:hanging="360"/>
      </w:pPr>
      <w:rPr>
        <w:rFonts w:hint="default" w:asciiTheme="minorHAnsi" w:hAnsiTheme="minorHAnsi" w:cstheme="minorHAnsi"/>
        <w:b/>
        <w:i w:val="0"/>
        <w:color w:val="auto"/>
        <w:sz w:val="24"/>
        <w:szCs w:val="24"/>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61DD361E"/>
    <w:multiLevelType w:val="multilevel"/>
    <w:tmpl w:val="61DD361E"/>
    <w:lvl w:ilvl="0" w:tentative="0">
      <w:start w:val="1"/>
      <w:numFmt w:val="decimal"/>
      <w:pStyle w:val="49"/>
      <w:lvlText w:val="%1."/>
      <w:lvlJc w:val="left"/>
      <w:pPr>
        <w:ind w:left="360" w:hanging="360"/>
      </w:pPr>
      <w:rPr>
        <w:rFonts w:hint="default"/>
        <w:b/>
        <w:i w:val="0"/>
      </w:rPr>
    </w:lvl>
    <w:lvl w:ilvl="1" w:tentative="0">
      <w:start w:val="1"/>
      <w:numFmt w:val="decimal"/>
      <w:pStyle w:val="50"/>
      <w:suff w:val="space"/>
      <w:lvlText w:val="%1.%2."/>
      <w:lvlJc w:val="left"/>
      <w:pPr>
        <w:ind w:left="2127" w:firstLine="0"/>
      </w:pPr>
      <w:rPr>
        <w:rFonts w:hint="default"/>
        <w:b w:val="0"/>
        <w:i w:val="0"/>
        <w:color w:val="auto"/>
      </w:rPr>
    </w:lvl>
    <w:lvl w:ilvl="2" w:tentative="0">
      <w:start w:val="1"/>
      <w:numFmt w:val="decimal"/>
      <w:suff w:val="space"/>
      <w:lvlText w:val="%1.%2.%3."/>
      <w:lvlJc w:val="left"/>
      <w:pPr>
        <w:ind w:left="1135" w:firstLine="0"/>
      </w:pPr>
      <w:rPr>
        <w:rFonts w:hint="default"/>
        <w:b w:val="0"/>
        <w:i w:val="0"/>
        <w:color w:val="auto"/>
      </w:rPr>
    </w:lvl>
    <w:lvl w:ilvl="3" w:tentative="0">
      <w:start w:val="1"/>
      <w:numFmt w:val="decimal"/>
      <w:suff w:val="space"/>
      <w:lvlText w:val="%1.%2.%3.%4."/>
      <w:lvlJc w:val="left"/>
      <w:pPr>
        <w:ind w:left="1702" w:firstLine="0"/>
      </w:pPr>
      <w:rPr>
        <w:rFonts w:hint="default"/>
        <w:b w:val="0"/>
        <w:bCs/>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5">
    <w:nsid w:val="6AE827B6"/>
    <w:multiLevelType w:val="multilevel"/>
    <w:tmpl w:val="6AE827B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B1609AB"/>
    <w:multiLevelType w:val="multilevel"/>
    <w:tmpl w:val="6B1609AB"/>
    <w:lvl w:ilvl="0" w:tentative="0">
      <w:start w:val="1"/>
      <w:numFmt w:val="decimal"/>
      <w:lvlText w:val="1.%1."/>
      <w:lvlJc w:val="left"/>
      <w:pPr>
        <w:ind w:left="720" w:hanging="360"/>
      </w:pPr>
      <w:rPr>
        <w:rFonts w:hint="default" w:asciiTheme="minorHAnsi" w:hAnsiTheme="minorHAnsi" w:cstheme="minorHAnsi"/>
        <w:b/>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D8A04A4"/>
    <w:multiLevelType w:val="multilevel"/>
    <w:tmpl w:val="6D8A04A4"/>
    <w:lvl w:ilvl="0" w:tentative="0">
      <w:start w:val="1"/>
      <w:numFmt w:val="decimal"/>
      <w:lvlText w:val="4.%1."/>
      <w:lvlJc w:val="left"/>
      <w:pPr>
        <w:ind w:left="153" w:hanging="360"/>
      </w:pPr>
      <w:rPr>
        <w:rFonts w:hint="default"/>
        <w:b/>
        <w:sz w:val="24"/>
        <w:szCs w:val="24"/>
      </w:rPr>
    </w:lvl>
    <w:lvl w:ilvl="1" w:tentative="0">
      <w:start w:val="1"/>
      <w:numFmt w:val="lowerLetter"/>
      <w:lvlText w:val="%2."/>
      <w:lvlJc w:val="left"/>
      <w:pPr>
        <w:ind w:left="873" w:hanging="360"/>
      </w:pPr>
    </w:lvl>
    <w:lvl w:ilvl="2" w:tentative="0">
      <w:start w:val="1"/>
      <w:numFmt w:val="lowerRoman"/>
      <w:lvlText w:val="%3."/>
      <w:lvlJc w:val="right"/>
      <w:pPr>
        <w:ind w:left="1593" w:hanging="180"/>
      </w:pPr>
    </w:lvl>
    <w:lvl w:ilvl="3" w:tentative="0">
      <w:start w:val="1"/>
      <w:numFmt w:val="decimal"/>
      <w:lvlText w:val="%4."/>
      <w:lvlJc w:val="left"/>
      <w:pPr>
        <w:ind w:left="2313" w:hanging="360"/>
      </w:pPr>
    </w:lvl>
    <w:lvl w:ilvl="4" w:tentative="0">
      <w:start w:val="1"/>
      <w:numFmt w:val="lowerLetter"/>
      <w:lvlText w:val="%5."/>
      <w:lvlJc w:val="left"/>
      <w:pPr>
        <w:ind w:left="3033" w:hanging="360"/>
      </w:pPr>
    </w:lvl>
    <w:lvl w:ilvl="5" w:tentative="0">
      <w:start w:val="1"/>
      <w:numFmt w:val="lowerRoman"/>
      <w:lvlText w:val="%6."/>
      <w:lvlJc w:val="right"/>
      <w:pPr>
        <w:ind w:left="3753" w:hanging="180"/>
      </w:pPr>
    </w:lvl>
    <w:lvl w:ilvl="6" w:tentative="0">
      <w:start w:val="1"/>
      <w:numFmt w:val="decimal"/>
      <w:lvlText w:val="%7."/>
      <w:lvlJc w:val="left"/>
      <w:pPr>
        <w:ind w:left="4473" w:hanging="360"/>
      </w:pPr>
    </w:lvl>
    <w:lvl w:ilvl="7" w:tentative="0">
      <w:start w:val="1"/>
      <w:numFmt w:val="lowerLetter"/>
      <w:lvlText w:val="%8."/>
      <w:lvlJc w:val="left"/>
      <w:pPr>
        <w:ind w:left="5193" w:hanging="360"/>
      </w:pPr>
    </w:lvl>
    <w:lvl w:ilvl="8" w:tentative="0">
      <w:start w:val="1"/>
      <w:numFmt w:val="lowerRoman"/>
      <w:lvlText w:val="%9."/>
      <w:lvlJc w:val="right"/>
      <w:pPr>
        <w:ind w:left="5913" w:hanging="180"/>
      </w:pPr>
    </w:lvl>
  </w:abstractNum>
  <w:abstractNum w:abstractNumId="18">
    <w:nsid w:val="6F0D1276"/>
    <w:multiLevelType w:val="multilevel"/>
    <w:tmpl w:val="6F0D1276"/>
    <w:lvl w:ilvl="0" w:tentative="0">
      <w:start w:val="1"/>
      <w:numFmt w:val="bullet"/>
      <w:lvlText w:val=""/>
      <w:lvlJc w:val="left"/>
      <w:pPr>
        <w:ind w:left="1713" w:hanging="360"/>
      </w:pPr>
      <w:rPr>
        <w:rFonts w:hint="default" w:ascii="Wingdings" w:hAnsi="Wingdings"/>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19">
    <w:nsid w:val="731404B5"/>
    <w:multiLevelType w:val="multilevel"/>
    <w:tmpl w:val="731404B5"/>
    <w:lvl w:ilvl="0" w:tentative="0">
      <w:start w:val="1"/>
      <w:numFmt w:val="upp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0">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lvl>
    <w:lvl w:ilvl="2" w:tentative="0">
      <w:start w:val="0"/>
      <w:numFmt w:val="bullet"/>
      <w:lvlText w:val="•"/>
      <w:lvlJc w:val="left"/>
      <w:pPr>
        <w:ind w:left="2399" w:hanging="708"/>
      </w:pPr>
    </w:lvl>
    <w:lvl w:ilvl="3" w:tentative="0">
      <w:start w:val="0"/>
      <w:numFmt w:val="bullet"/>
      <w:lvlText w:val="•"/>
      <w:lvlJc w:val="left"/>
      <w:pPr>
        <w:ind w:left="3189" w:hanging="708"/>
      </w:pPr>
    </w:lvl>
    <w:lvl w:ilvl="4" w:tentative="0">
      <w:start w:val="0"/>
      <w:numFmt w:val="bullet"/>
      <w:lvlText w:val="•"/>
      <w:lvlJc w:val="left"/>
      <w:pPr>
        <w:ind w:left="3979" w:hanging="708"/>
      </w:pPr>
    </w:lvl>
    <w:lvl w:ilvl="5" w:tentative="0">
      <w:start w:val="0"/>
      <w:numFmt w:val="bullet"/>
      <w:lvlText w:val="•"/>
      <w:lvlJc w:val="left"/>
      <w:pPr>
        <w:ind w:left="4769" w:hanging="708"/>
      </w:pPr>
    </w:lvl>
    <w:lvl w:ilvl="6" w:tentative="0">
      <w:start w:val="0"/>
      <w:numFmt w:val="bullet"/>
      <w:lvlText w:val="•"/>
      <w:lvlJc w:val="left"/>
      <w:pPr>
        <w:ind w:left="5559" w:hanging="708"/>
      </w:pPr>
    </w:lvl>
    <w:lvl w:ilvl="7" w:tentative="0">
      <w:start w:val="0"/>
      <w:numFmt w:val="bullet"/>
      <w:lvlText w:val="•"/>
      <w:lvlJc w:val="left"/>
      <w:pPr>
        <w:ind w:left="6349" w:hanging="708"/>
      </w:pPr>
    </w:lvl>
    <w:lvl w:ilvl="8" w:tentative="0">
      <w:start w:val="0"/>
      <w:numFmt w:val="bullet"/>
      <w:lvlText w:val="•"/>
      <w:lvlJc w:val="left"/>
      <w:pPr>
        <w:ind w:left="7139" w:hanging="708"/>
      </w:pPr>
    </w:lvl>
  </w:abstractNum>
  <w:abstractNum w:abstractNumId="21">
    <w:nsid w:val="7C20328C"/>
    <w:multiLevelType w:val="multilevel"/>
    <w:tmpl w:val="7C20328C"/>
    <w:lvl w:ilvl="0" w:tentative="0">
      <w:start w:val="1"/>
      <w:numFmt w:val="lowerLetter"/>
      <w:lvlText w:val="%1)"/>
      <w:lvlJc w:val="left"/>
      <w:pPr>
        <w:ind w:left="1571" w:hanging="360"/>
      </w:pPr>
      <w:rPr>
        <w:b/>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22">
    <w:nsid w:val="7DB5562A"/>
    <w:multiLevelType w:val="multilevel"/>
    <w:tmpl w:val="7DB5562A"/>
    <w:lvl w:ilvl="0" w:tentative="0">
      <w:start w:val="1"/>
      <w:numFmt w:val="decimal"/>
      <w:lvlText w:val="%1."/>
      <w:lvlJc w:val="left"/>
      <w:pPr>
        <w:ind w:left="360" w:hanging="360"/>
      </w:pPr>
      <w:rPr>
        <w:b/>
        <w:color w:val="auto"/>
        <w:sz w:val="24"/>
        <w:szCs w:val="24"/>
      </w:rPr>
    </w:lvl>
    <w:lvl w:ilvl="1" w:tentative="0">
      <w:start w:val="1"/>
      <w:numFmt w:val="decimal"/>
      <w:lvlText w:val="%1.%2."/>
      <w:lvlJc w:val="left"/>
      <w:pPr>
        <w:ind w:left="792" w:hanging="432"/>
      </w:pPr>
      <w:rPr>
        <w:b/>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4"/>
  </w:num>
  <w:num w:numId="2">
    <w:abstractNumId w:val="4"/>
  </w:num>
  <w:num w:numId="3">
    <w:abstractNumId w:val="15"/>
  </w:num>
  <w:num w:numId="4">
    <w:abstractNumId w:val="22"/>
  </w:num>
  <w:num w:numId="5">
    <w:abstractNumId w:val="16"/>
  </w:num>
  <w:num w:numId="6">
    <w:abstractNumId w:val="3"/>
  </w:num>
  <w:num w:numId="7">
    <w:abstractNumId w:val="11"/>
  </w:num>
  <w:num w:numId="8">
    <w:abstractNumId w:val="13"/>
  </w:num>
  <w:num w:numId="9">
    <w:abstractNumId w:val="17"/>
  </w:num>
  <w:num w:numId="10">
    <w:abstractNumId w:val="7"/>
  </w:num>
  <w:num w:numId="11">
    <w:abstractNumId w:val="5"/>
  </w:num>
  <w:num w:numId="12">
    <w:abstractNumId w:val="1"/>
  </w:num>
  <w:num w:numId="13">
    <w:abstractNumId w:val="18"/>
  </w:num>
  <w:num w:numId="14">
    <w:abstractNumId w:val="21"/>
  </w:num>
  <w:num w:numId="15">
    <w:abstractNumId w:val="19"/>
  </w:num>
  <w:num w:numId="16">
    <w:abstractNumId w:val="2"/>
  </w:num>
  <w:num w:numId="17">
    <w:abstractNumId w:val="0"/>
  </w:num>
  <w:num w:numId="18">
    <w:abstractNumId w:val="20"/>
    <w:lvlOverride w:ilvl="0">
      <w:startOverride w:val="1"/>
    </w:lvlOverride>
  </w:num>
  <w:num w:numId="19">
    <w:abstractNumId w:val="10"/>
    <w:lvlOverride w:ilvl="0">
      <w:startOverride w:val="1"/>
    </w:lvlOverride>
  </w:num>
  <w:num w:numId="20">
    <w:abstractNumId w:val="9"/>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2B"/>
    <w:rsid w:val="00027A22"/>
    <w:rsid w:val="00046DC0"/>
    <w:rsid w:val="000879A2"/>
    <w:rsid w:val="000F5FA5"/>
    <w:rsid w:val="001326A7"/>
    <w:rsid w:val="001458F8"/>
    <w:rsid w:val="00175806"/>
    <w:rsid w:val="001B0FC3"/>
    <w:rsid w:val="0020387B"/>
    <w:rsid w:val="00220D83"/>
    <w:rsid w:val="00225E53"/>
    <w:rsid w:val="00310796"/>
    <w:rsid w:val="00341DFF"/>
    <w:rsid w:val="00363B96"/>
    <w:rsid w:val="00381EC8"/>
    <w:rsid w:val="003979EA"/>
    <w:rsid w:val="003A795B"/>
    <w:rsid w:val="003E4C84"/>
    <w:rsid w:val="00421063"/>
    <w:rsid w:val="00471CF5"/>
    <w:rsid w:val="00482808"/>
    <w:rsid w:val="00521756"/>
    <w:rsid w:val="00522601"/>
    <w:rsid w:val="00565743"/>
    <w:rsid w:val="0058198F"/>
    <w:rsid w:val="005D0398"/>
    <w:rsid w:val="005F12AF"/>
    <w:rsid w:val="006C2D89"/>
    <w:rsid w:val="006D3474"/>
    <w:rsid w:val="006D693D"/>
    <w:rsid w:val="006E282B"/>
    <w:rsid w:val="007B1582"/>
    <w:rsid w:val="007C3EEC"/>
    <w:rsid w:val="007D0354"/>
    <w:rsid w:val="00810EE0"/>
    <w:rsid w:val="008311A1"/>
    <w:rsid w:val="00854B44"/>
    <w:rsid w:val="00861DE4"/>
    <w:rsid w:val="008958DE"/>
    <w:rsid w:val="008B667C"/>
    <w:rsid w:val="00910CB8"/>
    <w:rsid w:val="00914FAB"/>
    <w:rsid w:val="00956261"/>
    <w:rsid w:val="00976D4E"/>
    <w:rsid w:val="00981C64"/>
    <w:rsid w:val="009C651F"/>
    <w:rsid w:val="009C6D49"/>
    <w:rsid w:val="00A10336"/>
    <w:rsid w:val="00A31853"/>
    <w:rsid w:val="00A9639C"/>
    <w:rsid w:val="00A971BB"/>
    <w:rsid w:val="00AA1D7A"/>
    <w:rsid w:val="00AB78BD"/>
    <w:rsid w:val="00B45EDC"/>
    <w:rsid w:val="00B94027"/>
    <w:rsid w:val="00BA4A25"/>
    <w:rsid w:val="00BB1191"/>
    <w:rsid w:val="00BD7710"/>
    <w:rsid w:val="00C17865"/>
    <w:rsid w:val="00C20FA7"/>
    <w:rsid w:val="00C63D70"/>
    <w:rsid w:val="00C86213"/>
    <w:rsid w:val="00CA39C5"/>
    <w:rsid w:val="00CD2DB4"/>
    <w:rsid w:val="00CD6562"/>
    <w:rsid w:val="00D058FA"/>
    <w:rsid w:val="00DA367B"/>
    <w:rsid w:val="00DC2BF1"/>
    <w:rsid w:val="00E30EBD"/>
    <w:rsid w:val="00E510D0"/>
    <w:rsid w:val="00E8317F"/>
    <w:rsid w:val="00E8758E"/>
    <w:rsid w:val="00E95D0F"/>
    <w:rsid w:val="00EC4451"/>
    <w:rsid w:val="00ED5FC9"/>
    <w:rsid w:val="00EF1450"/>
    <w:rsid w:val="00F0048C"/>
    <w:rsid w:val="00F06E9B"/>
    <w:rsid w:val="00F975B7"/>
    <w:rsid w:val="00FB7FBC"/>
    <w:rsid w:val="1CCF664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nhideWhenUsed="0" w:uiPriority="0" w:semiHidden="0" w:name="Body Text Indent 3"/>
    <w:lsdException w:uiPriority="99" w:name="Block Text"/>
    <w:lsdException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qFormat="1" w:unhideWhenUsed="0" w:uiPriority="34" w:semiHidden="0" w:name="List Paragraph"/>
    <w:lsdException w:qFormat="1" w:uiPriority="34" w:name="Colorful List Accent 1"/>
  </w:latentStyles>
  <w:style w:type="paragraph" w:default="1" w:styleId="1">
    <w:name w:val="Normal"/>
    <w:qFormat/>
    <w:uiPriority w:val="0"/>
    <w:pPr>
      <w:spacing w:after="200" w:line="276" w:lineRule="auto"/>
    </w:pPr>
    <w:rPr>
      <w:rFonts w:ascii="Calibri" w:hAnsi="Calibri" w:eastAsia="Calibri" w:cs="Times New Roman"/>
      <w:sz w:val="22"/>
      <w:szCs w:val="22"/>
      <w:lang w:val="pt-BR" w:eastAsia="en-US" w:bidi="ar-SA"/>
    </w:rPr>
  </w:style>
  <w:style w:type="paragraph" w:styleId="2">
    <w:name w:val="heading 1"/>
    <w:basedOn w:val="1"/>
    <w:next w:val="1"/>
    <w:link w:val="28"/>
    <w:qFormat/>
    <w:uiPriority w:val="0"/>
    <w:pPr>
      <w:keepNext/>
      <w:spacing w:after="0" w:line="240" w:lineRule="auto"/>
      <w:outlineLvl w:val="0"/>
    </w:pPr>
    <w:rPr>
      <w:rFonts w:ascii="Times New Roman" w:hAnsi="Times New Roman" w:eastAsia="Times New Roman"/>
      <w:b/>
      <w:sz w:val="24"/>
      <w:szCs w:val="24"/>
      <w:lang w:eastAsia="pt-B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character" w:styleId="6">
    <w:name w:val="annotation reference"/>
    <w:uiPriority w:val="0"/>
    <w:rPr>
      <w:sz w:val="16"/>
      <w:szCs w:val="16"/>
    </w:rPr>
  </w:style>
  <w:style w:type="character" w:styleId="7">
    <w:name w:val="footnote reference"/>
    <w:uiPriority w:val="0"/>
    <w:rPr>
      <w:vertAlign w:val="superscript"/>
    </w:rPr>
  </w:style>
  <w:style w:type="character" w:styleId="8">
    <w:name w:val="Hyperlink"/>
    <w:unhideWhenUsed/>
    <w:uiPriority w:val="0"/>
    <w:rPr>
      <w:color w:val="0000FF"/>
      <w:u w:val="single"/>
    </w:rPr>
  </w:style>
  <w:style w:type="character" w:styleId="9">
    <w:name w:val="page number"/>
    <w:basedOn w:val="3"/>
    <w:uiPriority w:val="0"/>
  </w:style>
  <w:style w:type="paragraph" w:styleId="10">
    <w:name w:val="Body Text"/>
    <w:basedOn w:val="1"/>
    <w:link w:val="41"/>
    <w:uiPriority w:val="0"/>
    <w:pPr>
      <w:spacing w:after="120"/>
    </w:pPr>
  </w:style>
  <w:style w:type="paragraph" w:styleId="11">
    <w:name w:val="annotation text"/>
    <w:basedOn w:val="1"/>
    <w:link w:val="42"/>
    <w:uiPriority w:val="0"/>
    <w:rPr>
      <w:sz w:val="20"/>
      <w:szCs w:val="20"/>
    </w:rPr>
  </w:style>
  <w:style w:type="paragraph" w:styleId="12">
    <w:name w:val="Normal (Web)"/>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pt-BR"/>
    </w:rPr>
  </w:style>
  <w:style w:type="paragraph" w:styleId="13">
    <w:name w:val="Plain Text"/>
    <w:basedOn w:val="1"/>
    <w:link w:val="30"/>
    <w:uiPriority w:val="0"/>
    <w:pPr>
      <w:spacing w:after="0" w:line="240" w:lineRule="auto"/>
    </w:pPr>
    <w:rPr>
      <w:rFonts w:ascii="Courier New" w:hAnsi="Courier New" w:eastAsia="Times New Roman"/>
      <w:sz w:val="20"/>
      <w:szCs w:val="20"/>
      <w:lang w:eastAsia="pt-BR"/>
    </w:rPr>
  </w:style>
  <w:style w:type="paragraph" w:styleId="14">
    <w:name w:val="Body Text 3"/>
    <w:basedOn w:val="1"/>
    <w:link w:val="31"/>
    <w:uiPriority w:val="0"/>
    <w:pPr>
      <w:spacing w:after="0" w:line="360" w:lineRule="auto"/>
      <w:jc w:val="both"/>
    </w:pPr>
    <w:rPr>
      <w:rFonts w:ascii="Times New Roman" w:hAnsi="Times New Roman" w:eastAsia="Times New Roman"/>
      <w:sz w:val="24"/>
      <w:szCs w:val="28"/>
      <w:lang w:eastAsia="pt-BR"/>
    </w:rPr>
  </w:style>
  <w:style w:type="paragraph" w:styleId="15">
    <w:name w:val="HTML Preformatted"/>
    <w:basedOn w:val="1"/>
    <w:link w:val="2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pt-BR"/>
    </w:rPr>
  </w:style>
  <w:style w:type="paragraph" w:styleId="16">
    <w:name w:val="Body Text 2"/>
    <w:basedOn w:val="1"/>
    <w:link w:val="32"/>
    <w:uiPriority w:val="0"/>
    <w:pPr>
      <w:spacing w:after="0" w:line="360" w:lineRule="auto"/>
      <w:jc w:val="both"/>
    </w:pPr>
    <w:rPr>
      <w:rFonts w:ascii="Times New Roman" w:hAnsi="Times New Roman" w:eastAsia="Times New Roman"/>
      <w:sz w:val="28"/>
      <w:szCs w:val="20"/>
      <w:lang w:eastAsia="pt-BR"/>
    </w:rPr>
  </w:style>
  <w:style w:type="paragraph" w:styleId="17">
    <w:name w:val="header"/>
    <w:basedOn w:val="1"/>
    <w:link w:val="23"/>
    <w:unhideWhenUsed/>
    <w:uiPriority w:val="99"/>
    <w:pPr>
      <w:tabs>
        <w:tab w:val="center" w:pos="4252"/>
        <w:tab w:val="right" w:pos="8504"/>
      </w:tabs>
      <w:spacing w:after="0" w:line="240" w:lineRule="auto"/>
    </w:pPr>
  </w:style>
  <w:style w:type="paragraph" w:styleId="18">
    <w:name w:val="annotation subject"/>
    <w:basedOn w:val="11"/>
    <w:next w:val="11"/>
    <w:link w:val="43"/>
    <w:uiPriority w:val="0"/>
    <w:rPr>
      <w:b/>
      <w:bCs/>
    </w:rPr>
  </w:style>
  <w:style w:type="paragraph" w:styleId="19">
    <w:name w:val="footer"/>
    <w:basedOn w:val="1"/>
    <w:link w:val="24"/>
    <w:unhideWhenUsed/>
    <w:qFormat/>
    <w:uiPriority w:val="99"/>
    <w:pPr>
      <w:tabs>
        <w:tab w:val="center" w:pos="4252"/>
        <w:tab w:val="right" w:pos="8504"/>
      </w:tabs>
      <w:spacing w:after="0" w:line="240" w:lineRule="auto"/>
    </w:pPr>
  </w:style>
  <w:style w:type="paragraph" w:styleId="20">
    <w:name w:val="Body Text Indent 3"/>
    <w:basedOn w:val="1"/>
    <w:link w:val="33"/>
    <w:uiPriority w:val="0"/>
    <w:pPr>
      <w:spacing w:after="120"/>
      <w:ind w:left="283"/>
    </w:pPr>
    <w:rPr>
      <w:sz w:val="16"/>
      <w:szCs w:val="16"/>
    </w:rPr>
  </w:style>
  <w:style w:type="paragraph" w:styleId="21">
    <w:name w:val="Balloon Text"/>
    <w:basedOn w:val="1"/>
    <w:link w:val="27"/>
    <w:semiHidden/>
    <w:unhideWhenUsed/>
    <w:uiPriority w:val="0"/>
    <w:pPr>
      <w:spacing w:after="0" w:line="240" w:lineRule="auto"/>
    </w:pPr>
    <w:rPr>
      <w:rFonts w:ascii="Segoe UI" w:hAnsi="Segoe UI" w:cs="Segoe UI"/>
      <w:sz w:val="18"/>
      <w:szCs w:val="18"/>
    </w:rPr>
  </w:style>
  <w:style w:type="paragraph" w:styleId="22">
    <w:name w:val="footnote text"/>
    <w:basedOn w:val="1"/>
    <w:link w:val="34"/>
    <w:uiPriority w:val="0"/>
    <w:rPr>
      <w:sz w:val="20"/>
      <w:szCs w:val="20"/>
    </w:rPr>
  </w:style>
  <w:style w:type="character" w:customStyle="1" w:styleId="23">
    <w:name w:val="Cabeçalho Char"/>
    <w:basedOn w:val="3"/>
    <w:link w:val="17"/>
    <w:uiPriority w:val="99"/>
  </w:style>
  <w:style w:type="character" w:customStyle="1" w:styleId="24">
    <w:name w:val="Rodapé Char"/>
    <w:basedOn w:val="3"/>
    <w:link w:val="19"/>
    <w:uiPriority w:val="99"/>
  </w:style>
  <w:style w:type="character" w:customStyle="1" w:styleId="25">
    <w:name w:val="Pré-formatação HTML Char"/>
    <w:basedOn w:val="3"/>
    <w:link w:val="15"/>
    <w:semiHidden/>
    <w:uiPriority w:val="99"/>
    <w:rPr>
      <w:rFonts w:ascii="Courier New" w:hAnsi="Courier New" w:eastAsia="Times New Roman" w:cs="Courier New"/>
      <w:sz w:val="20"/>
      <w:szCs w:val="20"/>
      <w:lang w:eastAsia="pt-BR"/>
    </w:rPr>
  </w:style>
  <w:style w:type="character" w:customStyle="1" w:styleId="26">
    <w:name w:val="y2iqfc"/>
    <w:basedOn w:val="3"/>
    <w:uiPriority w:val="0"/>
  </w:style>
  <w:style w:type="character" w:customStyle="1" w:styleId="27">
    <w:name w:val="Texto de balão Char"/>
    <w:basedOn w:val="3"/>
    <w:link w:val="21"/>
    <w:semiHidden/>
    <w:uiPriority w:val="99"/>
    <w:rPr>
      <w:rFonts w:ascii="Segoe UI" w:hAnsi="Segoe UI" w:cs="Segoe UI"/>
      <w:sz w:val="18"/>
      <w:szCs w:val="18"/>
    </w:rPr>
  </w:style>
  <w:style w:type="character" w:customStyle="1" w:styleId="28">
    <w:name w:val="Título 1 Char"/>
    <w:basedOn w:val="3"/>
    <w:link w:val="2"/>
    <w:uiPriority w:val="0"/>
    <w:rPr>
      <w:rFonts w:ascii="Times New Roman" w:hAnsi="Times New Roman" w:eastAsia="Times New Roman" w:cs="Times New Roman"/>
      <w:b/>
      <w:sz w:val="24"/>
      <w:szCs w:val="24"/>
      <w:lang w:eastAsia="pt-BR"/>
    </w:rPr>
  </w:style>
  <w:style w:type="paragraph" w:customStyle="1" w:styleId="29">
    <w:name w:val="texto1"/>
    <w:basedOn w:val="1"/>
    <w:link w:val="36"/>
    <w:uiPriority w:val="0"/>
    <w:pPr>
      <w:spacing w:before="100" w:beforeAutospacing="1" w:after="100" w:afterAutospacing="1" w:line="343" w:lineRule="atLeast"/>
      <w:jc w:val="both"/>
    </w:pPr>
    <w:rPr>
      <w:rFonts w:ascii="Arial" w:hAnsi="Arial" w:eastAsia="Arial Unicode MS" w:cs="Arial"/>
      <w:sz w:val="19"/>
      <w:szCs w:val="19"/>
      <w:lang w:eastAsia="pt-BR"/>
    </w:rPr>
  </w:style>
  <w:style w:type="character" w:customStyle="1" w:styleId="30">
    <w:name w:val="Texto sem Formatação Char"/>
    <w:basedOn w:val="3"/>
    <w:link w:val="13"/>
    <w:uiPriority w:val="0"/>
    <w:rPr>
      <w:rFonts w:ascii="Courier New" w:hAnsi="Courier New" w:eastAsia="Times New Roman" w:cs="Times New Roman"/>
      <w:sz w:val="20"/>
      <w:szCs w:val="20"/>
      <w:lang w:eastAsia="pt-BR"/>
    </w:rPr>
  </w:style>
  <w:style w:type="character" w:customStyle="1" w:styleId="31">
    <w:name w:val="Corpo de texto 3 Char"/>
    <w:basedOn w:val="3"/>
    <w:link w:val="14"/>
    <w:uiPriority w:val="0"/>
    <w:rPr>
      <w:rFonts w:ascii="Times New Roman" w:hAnsi="Times New Roman" w:eastAsia="Times New Roman" w:cs="Times New Roman"/>
      <w:sz w:val="24"/>
      <w:szCs w:val="28"/>
      <w:lang w:eastAsia="pt-BR"/>
    </w:rPr>
  </w:style>
  <w:style w:type="character" w:customStyle="1" w:styleId="32">
    <w:name w:val="Corpo de texto 2 Char"/>
    <w:basedOn w:val="3"/>
    <w:link w:val="16"/>
    <w:uiPriority w:val="0"/>
    <w:rPr>
      <w:rFonts w:ascii="Times New Roman" w:hAnsi="Times New Roman" w:eastAsia="Times New Roman" w:cs="Times New Roman"/>
      <w:sz w:val="28"/>
      <w:szCs w:val="20"/>
      <w:lang w:eastAsia="pt-BR"/>
    </w:rPr>
  </w:style>
  <w:style w:type="character" w:customStyle="1" w:styleId="33">
    <w:name w:val="Recuo de corpo de texto 3 Char"/>
    <w:basedOn w:val="3"/>
    <w:link w:val="20"/>
    <w:uiPriority w:val="0"/>
    <w:rPr>
      <w:rFonts w:ascii="Calibri" w:hAnsi="Calibri" w:eastAsia="Calibri" w:cs="Times New Roman"/>
      <w:sz w:val="16"/>
      <w:szCs w:val="16"/>
    </w:rPr>
  </w:style>
  <w:style w:type="character" w:customStyle="1" w:styleId="34">
    <w:name w:val="Texto de nota de rodapé Char"/>
    <w:basedOn w:val="3"/>
    <w:link w:val="22"/>
    <w:uiPriority w:val="0"/>
    <w:rPr>
      <w:rFonts w:ascii="Calibri" w:hAnsi="Calibri" w:eastAsia="Calibri" w:cs="Times New Roman"/>
      <w:sz w:val="20"/>
      <w:szCs w:val="20"/>
    </w:rPr>
  </w:style>
  <w:style w:type="paragraph" w:customStyle="1" w:styleId="35">
    <w:name w:val="Default"/>
    <w:uiPriority w:val="0"/>
    <w:pPr>
      <w:autoSpaceDE w:val="0"/>
      <w:autoSpaceDN w:val="0"/>
      <w:adjustRightInd w:val="0"/>
      <w:spacing w:after="0" w:line="240" w:lineRule="auto"/>
    </w:pPr>
    <w:rPr>
      <w:rFonts w:ascii="Book Antiqua" w:hAnsi="Book Antiqua" w:eastAsia="Times New Roman" w:cs="Times New Roman"/>
      <w:color w:val="000000"/>
      <w:sz w:val="24"/>
      <w:szCs w:val="24"/>
      <w:lang w:val="pt-BR" w:eastAsia="pt-BR" w:bidi="ar-SA"/>
    </w:rPr>
  </w:style>
  <w:style w:type="character" w:customStyle="1" w:styleId="36">
    <w:name w:val="texto1 Char"/>
    <w:link w:val="29"/>
    <w:locked/>
    <w:uiPriority w:val="0"/>
    <w:rPr>
      <w:rFonts w:ascii="Arial" w:hAnsi="Arial" w:eastAsia="Arial Unicode MS" w:cs="Arial"/>
      <w:sz w:val="19"/>
      <w:szCs w:val="19"/>
      <w:lang w:eastAsia="pt-BR"/>
    </w:rPr>
  </w:style>
  <w:style w:type="character" w:customStyle="1" w:styleId="37">
    <w:name w:val="Lista Colorida - Ênfase 1 Char"/>
    <w:uiPriority w:val="34"/>
    <w:rPr>
      <w:rFonts w:ascii="Calibri" w:hAnsi="Calibri" w:eastAsia="Calibri"/>
      <w:sz w:val="22"/>
      <w:szCs w:val="22"/>
      <w:lang w:eastAsia="en-US"/>
    </w:rPr>
  </w:style>
  <w:style w:type="paragraph" w:customStyle="1" w:styleId="38">
    <w:name w:val="edital tahoma"/>
    <w:basedOn w:val="1"/>
    <w:link w:val="39"/>
    <w:qFormat/>
    <w:uiPriority w:val="0"/>
    <w:pPr>
      <w:jc w:val="both"/>
    </w:pPr>
    <w:rPr>
      <w:rFonts w:ascii="Tahoma" w:hAnsi="Tahoma" w:cs="Tahoma"/>
      <w:sz w:val="24"/>
      <w:szCs w:val="24"/>
    </w:rPr>
  </w:style>
  <w:style w:type="character" w:customStyle="1" w:styleId="39">
    <w:name w:val="edital tahoma Char"/>
    <w:link w:val="38"/>
    <w:uiPriority w:val="0"/>
    <w:rPr>
      <w:rFonts w:ascii="Tahoma" w:hAnsi="Tahoma" w:eastAsia="Calibri" w:cs="Tahoma"/>
      <w:sz w:val="24"/>
      <w:szCs w:val="24"/>
    </w:rPr>
  </w:style>
  <w:style w:type="paragraph" w:styleId="40">
    <w:name w:val="List Paragraph"/>
    <w:basedOn w:val="1"/>
    <w:link w:val="44"/>
    <w:qFormat/>
    <w:uiPriority w:val="34"/>
    <w:pPr>
      <w:spacing w:after="160" w:line="259" w:lineRule="auto"/>
      <w:ind w:left="720"/>
      <w:contextualSpacing/>
    </w:pPr>
  </w:style>
  <w:style w:type="character" w:customStyle="1" w:styleId="41">
    <w:name w:val="Corpo de texto Char"/>
    <w:basedOn w:val="3"/>
    <w:link w:val="10"/>
    <w:uiPriority w:val="0"/>
    <w:rPr>
      <w:rFonts w:ascii="Calibri" w:hAnsi="Calibri" w:eastAsia="Calibri" w:cs="Times New Roman"/>
    </w:rPr>
  </w:style>
  <w:style w:type="character" w:customStyle="1" w:styleId="42">
    <w:name w:val="Texto de comentário Char"/>
    <w:basedOn w:val="3"/>
    <w:link w:val="11"/>
    <w:uiPriority w:val="0"/>
    <w:rPr>
      <w:rFonts w:ascii="Calibri" w:hAnsi="Calibri" w:eastAsia="Calibri" w:cs="Times New Roman"/>
      <w:sz w:val="20"/>
      <w:szCs w:val="20"/>
    </w:rPr>
  </w:style>
  <w:style w:type="character" w:customStyle="1" w:styleId="43">
    <w:name w:val="Assunto do comentário Char"/>
    <w:basedOn w:val="42"/>
    <w:link w:val="18"/>
    <w:uiPriority w:val="0"/>
    <w:rPr>
      <w:rFonts w:ascii="Calibri" w:hAnsi="Calibri" w:eastAsia="Calibri" w:cs="Times New Roman"/>
      <w:b/>
      <w:bCs/>
      <w:sz w:val="20"/>
      <w:szCs w:val="20"/>
    </w:rPr>
  </w:style>
  <w:style w:type="character" w:customStyle="1" w:styleId="44">
    <w:name w:val="Parágrafo da Lista Char"/>
    <w:link w:val="40"/>
    <w:qFormat/>
    <w:locked/>
    <w:uiPriority w:val="34"/>
    <w:rPr>
      <w:rFonts w:ascii="Calibri" w:hAnsi="Calibri" w:eastAsia="Calibri" w:cs="Times New Roman"/>
    </w:rPr>
  </w:style>
  <w:style w:type="paragraph" w:customStyle="1" w:styleId="45">
    <w:name w:val="Revision"/>
    <w:hidden/>
    <w:uiPriority w:val="71"/>
    <w:pPr>
      <w:spacing w:after="0" w:line="240" w:lineRule="auto"/>
    </w:pPr>
    <w:rPr>
      <w:rFonts w:ascii="Calibri" w:hAnsi="Calibri" w:eastAsia="Calibri" w:cs="Times New Roman"/>
      <w:sz w:val="22"/>
      <w:szCs w:val="22"/>
      <w:lang w:val="pt-BR" w:eastAsia="en-US" w:bidi="ar-SA"/>
    </w:rPr>
  </w:style>
  <w:style w:type="character" w:customStyle="1" w:styleId="46">
    <w:name w:val="Body text|1_"/>
    <w:link w:val="47"/>
    <w:uiPriority w:val="0"/>
    <w:rPr>
      <w:rFonts w:ascii="Arial" w:hAnsi="Arial" w:eastAsia="Arial" w:cs="Arial"/>
      <w:shd w:val="clear" w:color="auto" w:fill="FFFFFF"/>
    </w:rPr>
  </w:style>
  <w:style w:type="paragraph" w:customStyle="1" w:styleId="47">
    <w:name w:val="Body text|1"/>
    <w:basedOn w:val="1"/>
    <w:link w:val="46"/>
    <w:uiPriority w:val="0"/>
    <w:pPr>
      <w:widowControl w:val="0"/>
      <w:shd w:val="clear" w:color="auto" w:fill="FFFFFF"/>
      <w:spacing w:after="0" w:line="322" w:lineRule="auto"/>
    </w:pPr>
    <w:rPr>
      <w:rFonts w:ascii="Arial" w:hAnsi="Arial" w:eastAsia="Arial" w:cs="Arial"/>
    </w:rPr>
  </w:style>
  <w:style w:type="character" w:customStyle="1" w:styleId="48">
    <w:name w:val="label"/>
    <w:uiPriority w:val="0"/>
  </w:style>
  <w:style w:type="paragraph" w:customStyle="1" w:styleId="49">
    <w:name w:val="Nivel_01_Titulo"/>
    <w:basedOn w:val="2"/>
    <w:next w:val="1"/>
    <w:link w:val="51"/>
    <w:qFormat/>
    <w:uiPriority w:val="0"/>
    <w:pPr>
      <w:keepLines/>
      <w:numPr>
        <w:ilvl w:val="0"/>
        <w:numId w:val="1"/>
      </w:numPr>
      <w:tabs>
        <w:tab w:val="left" w:pos="567"/>
      </w:tabs>
      <w:spacing w:before="240"/>
      <w:ind w:left="390" w:hanging="390"/>
      <w:jc w:val="both"/>
    </w:pPr>
    <w:rPr>
      <w:rFonts w:ascii="Arial" w:hAnsi="Arial"/>
      <w:bCs/>
      <w:color w:val="365F91"/>
      <w:sz w:val="20"/>
      <w:szCs w:val="20"/>
    </w:rPr>
  </w:style>
  <w:style w:type="paragraph" w:customStyle="1" w:styleId="50">
    <w:name w:val="Nível 2 -Red"/>
    <w:basedOn w:val="1"/>
    <w:link w:val="58"/>
    <w:qFormat/>
    <w:uiPriority w:val="0"/>
    <w:pPr>
      <w:numPr>
        <w:ilvl w:val="1"/>
        <w:numId w:val="1"/>
      </w:numPr>
      <w:spacing w:before="120" w:after="120"/>
      <w:ind w:left="0" w:hanging="720"/>
      <w:jc w:val="both"/>
    </w:pPr>
    <w:rPr>
      <w:rFonts w:ascii="Arial" w:hAnsi="Arial" w:eastAsia="Times New Roman" w:cs="Arial"/>
      <w:i/>
      <w:iCs/>
      <w:color w:val="FF0000"/>
      <w:sz w:val="20"/>
      <w:szCs w:val="20"/>
      <w:lang w:eastAsia="pt-BR"/>
    </w:rPr>
  </w:style>
  <w:style w:type="character" w:customStyle="1" w:styleId="51">
    <w:name w:val="Nivel_01_Titulo Char"/>
    <w:link w:val="49"/>
    <w:uiPriority w:val="0"/>
    <w:rPr>
      <w:rFonts w:ascii="Arial" w:hAnsi="Arial" w:eastAsia="Times New Roman" w:cs="Times New Roman"/>
      <w:b/>
      <w:bCs/>
      <w:color w:val="365F91"/>
      <w:sz w:val="20"/>
      <w:szCs w:val="20"/>
      <w:lang w:eastAsia="pt-BR"/>
    </w:rPr>
  </w:style>
  <w:style w:type="paragraph" w:customStyle="1" w:styleId="52">
    <w:name w:val="Nivel 01"/>
    <w:basedOn w:val="2"/>
    <w:next w:val="1"/>
    <w:qFormat/>
    <w:uiPriority w:val="0"/>
    <w:pPr>
      <w:keepLines/>
      <w:numPr>
        <w:ilvl w:val="0"/>
        <w:numId w:val="2"/>
      </w:numPr>
      <w:tabs>
        <w:tab w:val="left" w:pos="0"/>
      </w:tabs>
      <w:spacing w:before="240" w:line="312" w:lineRule="auto"/>
      <w:ind w:left="-567" w:firstLine="0"/>
      <w:jc w:val="both"/>
    </w:pPr>
    <w:rPr>
      <w:rFonts w:ascii="Arial" w:hAnsi="Arial" w:cs="Arial"/>
      <w:bCs/>
      <w:sz w:val="20"/>
      <w:szCs w:val="20"/>
    </w:rPr>
  </w:style>
  <w:style w:type="paragraph" w:customStyle="1" w:styleId="53">
    <w:name w:val="Nivel 2"/>
    <w:basedOn w:val="1"/>
    <w:link w:val="57"/>
    <w:qFormat/>
    <w:uiPriority w:val="0"/>
    <w:pPr>
      <w:numPr>
        <w:ilvl w:val="1"/>
        <w:numId w:val="2"/>
      </w:numPr>
      <w:spacing w:before="120" w:after="120"/>
      <w:ind w:left="0" w:firstLine="0"/>
      <w:jc w:val="both"/>
    </w:pPr>
    <w:rPr>
      <w:rFonts w:ascii="Arial" w:hAnsi="Arial" w:eastAsia="Times New Roman" w:cs="Arial"/>
      <w:color w:val="000000"/>
      <w:sz w:val="20"/>
      <w:szCs w:val="20"/>
      <w:lang w:eastAsia="pt-BR"/>
    </w:rPr>
  </w:style>
  <w:style w:type="paragraph" w:customStyle="1" w:styleId="54">
    <w:name w:val="Nivel 3"/>
    <w:basedOn w:val="1"/>
    <w:qFormat/>
    <w:uiPriority w:val="0"/>
    <w:pPr>
      <w:numPr>
        <w:ilvl w:val="2"/>
        <w:numId w:val="2"/>
      </w:numPr>
      <w:spacing w:before="120" w:after="120"/>
      <w:ind w:left="425" w:firstLine="0"/>
      <w:jc w:val="both"/>
    </w:pPr>
    <w:rPr>
      <w:rFonts w:ascii="Arial" w:hAnsi="Arial" w:eastAsia="Times New Roman" w:cs="Arial"/>
      <w:color w:val="000000"/>
      <w:sz w:val="20"/>
      <w:szCs w:val="20"/>
      <w:lang w:eastAsia="pt-BR"/>
    </w:rPr>
  </w:style>
  <w:style w:type="paragraph" w:customStyle="1" w:styleId="55">
    <w:name w:val="Nivel 4"/>
    <w:basedOn w:val="54"/>
    <w:qFormat/>
    <w:uiPriority w:val="0"/>
    <w:pPr>
      <w:numPr>
        <w:ilvl w:val="3"/>
      </w:numPr>
      <w:ind w:left="851" w:firstLine="0"/>
    </w:pPr>
    <w:rPr>
      <w:color w:val="auto"/>
    </w:rPr>
  </w:style>
  <w:style w:type="paragraph" w:customStyle="1" w:styleId="56">
    <w:name w:val="Nivel 5"/>
    <w:basedOn w:val="55"/>
    <w:qFormat/>
    <w:uiPriority w:val="0"/>
    <w:pPr>
      <w:numPr>
        <w:ilvl w:val="4"/>
      </w:numPr>
      <w:ind w:left="1276" w:firstLine="0"/>
    </w:pPr>
  </w:style>
  <w:style w:type="character" w:customStyle="1" w:styleId="57">
    <w:name w:val="Nivel 2 Char"/>
    <w:link w:val="53"/>
    <w:locked/>
    <w:uiPriority w:val="0"/>
    <w:rPr>
      <w:rFonts w:ascii="Arial" w:hAnsi="Arial" w:eastAsia="Times New Roman" w:cs="Arial"/>
      <w:color w:val="000000"/>
      <w:sz w:val="20"/>
      <w:szCs w:val="20"/>
      <w:lang w:eastAsia="pt-BR"/>
    </w:rPr>
  </w:style>
  <w:style w:type="character" w:customStyle="1" w:styleId="58">
    <w:name w:val="Nível 2 -Red Char"/>
    <w:link w:val="50"/>
    <w:qFormat/>
    <w:uiPriority w:val="0"/>
    <w:rPr>
      <w:rFonts w:ascii="Arial" w:hAnsi="Arial" w:eastAsia="Times New Roman" w:cs="Arial"/>
      <w:i/>
      <w:iCs/>
      <w:color w:val="FF0000"/>
      <w:sz w:val="20"/>
      <w:szCs w:val="20"/>
      <w:lang w:eastAsia="pt-BR"/>
    </w:rPr>
  </w:style>
  <w:style w:type="table" w:styleId="59">
    <w:name w:val="Colorful List Accent 1"/>
    <w:basedOn w:val="4"/>
    <w:semiHidden/>
    <w:unhideWhenUsed/>
    <w:qFormat/>
    <w:uiPriority w:val="34"/>
    <w:pPr>
      <w:spacing w:after="0" w:line="240" w:lineRule="auto"/>
    </w:pPr>
    <w:rPr>
      <w:rFonts w:ascii="Calibri" w:hAnsi="Calibri" w:eastAsia="Calibri"/>
    </w:rPr>
    <w:tcPr>
      <w:shd w:val="clear" w:color="auto" w:fill="EEF5FA" w:themeFill="accent1" w:themeFillTint="19"/>
    </w:tcPr>
    <w:tblStylePr w:type="firstRow">
      <w:tcPr>
        <w:tcBorders>
          <w:bottom w:val="single" w:color="FFFFFF" w:themeColor="background1" w:sz="12" w:space="0"/>
        </w:tcBorders>
        <w:shd w:val="clear" w:color="auto" w:fill="D26012" w:themeFill="accent2" w:themeFillShade="CC"/>
      </w:tcPr>
    </w:tblStylePr>
    <w:tblStylePr w:type="lastRow">
      <w:tcPr>
        <w:tcBorders>
          <w:top w:val="single" w:color="000000" w:themeColor="text1" w:sz="12" w:space="0"/>
        </w:tcBorders>
        <w:shd w:val="clear" w:color="auto" w:fill="FFFFFF" w:themeFill="background1"/>
      </w:tcPr>
    </w:tblStylePr>
    <w:tblStylePr w:type="band1Vert">
      <w:tcPr>
        <w:tcBorders>
          <w:top w:val="nil"/>
          <w:left w:val="nil"/>
          <w:bottom w:val="nil"/>
          <w:right w:val="nil"/>
          <w:insideH w:val="nil"/>
          <w:insideV w:val="nil"/>
        </w:tcBorders>
        <w:shd w:val="clear" w:color="auto" w:fill="D6E6F4" w:themeFill="accent1" w:themeFillTint="3F"/>
      </w:tcPr>
    </w:tblStylePr>
    <w:tblStylePr w:type="band1Horz">
      <w:tcPr>
        <w:shd w:val="clear" w:color="auto" w:fill="DEEAF6" w:themeFill="accent1" w:themeFillTint="33"/>
      </w:tcPr>
    </w:tblStylePr>
  </w:style>
  <w:style w:type="table" w:customStyle="1" w:styleId="6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61">
    <w:name w:val="Table Paragraph"/>
    <w:basedOn w:val="1"/>
    <w:qFormat/>
    <w:uiPriority w:val="1"/>
    <w:pPr>
      <w:widowControl w:val="0"/>
      <w:autoSpaceDE w:val="0"/>
      <w:autoSpaceDN w:val="0"/>
      <w:spacing w:after="0" w:line="240" w:lineRule="auto"/>
      <w:ind w:left="80"/>
    </w:pPr>
    <w:rPr>
      <w:rFonts w:ascii="Arial MT" w:hAnsi="Arial MT" w:eastAsia="Arial MT" w:cs="Arial MT"/>
      <w:lang w:val="pt-PT"/>
    </w:rPr>
  </w:style>
  <w:style w:type="character" w:customStyle="1" w:styleId="62">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74FD5-C23F-495A-846A-9FC3181C2138}">
  <ds:schemaRefs/>
</ds:datastoreItem>
</file>

<file path=docProps/app.xml><?xml version="1.0" encoding="utf-8"?>
<Properties xmlns="http://schemas.openxmlformats.org/officeDocument/2006/extended-properties" xmlns:vt="http://schemas.openxmlformats.org/officeDocument/2006/docPropsVTypes">
  <Template>Normal</Template>
  <Pages>84</Pages>
  <Words>23046</Words>
  <Characters>124449</Characters>
  <Lines>1037</Lines>
  <Paragraphs>294</Paragraphs>
  <TotalTime>176</TotalTime>
  <ScaleCrop>false</ScaleCrop>
  <LinksUpToDate>false</LinksUpToDate>
  <CharactersWithSpaces>147201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2025-05-06T18:13:00Z</dcterms:created>
  <dc:creator>Usuario</dc:creator>
  <cp:lastModifiedBy>jessyca.ferreira</cp:lastModifiedBy>
  <cp:lastPrinted>2025-05-02T15:04:00Z</cp:lastPrinted>
  <dcterms:modified xsi:type="dcterms:W3CDTF">2025-11-12T19:45:09Z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C851012C125D4FFFA454CC647C7E56E9_13</vt:lpwstr>
  </property>
</Properties>
</file>