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7E526FD8" w:rsidR="00355887" w:rsidRPr="004C6741" w:rsidRDefault="00206842"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90255</w:t>
      </w:r>
      <w:r w:rsidR="00355887" w:rsidRPr="004C6741">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8B0FDE6" w:rsidR="00355887" w:rsidRPr="004C6741" w:rsidRDefault="00355887" w:rsidP="00355887">
      <w:pPr>
        <w:spacing w:after="0" w:line="240" w:lineRule="auto"/>
        <w:jc w:val="both"/>
        <w:rPr>
          <w:rFonts w:eastAsia="Times New Roman" w:cstheme="minorHAnsi"/>
          <w:b/>
          <w:color w:val="000000" w:themeColor="text1"/>
          <w:sz w:val="20"/>
          <w:szCs w:val="20"/>
          <w:u w:val="single"/>
          <w:lang w:eastAsia="pt-BR"/>
        </w:rPr>
      </w:pPr>
      <w:r w:rsidRPr="004C6741">
        <w:rPr>
          <w:rFonts w:eastAsia="Times New Roman" w:cstheme="minorHAnsi"/>
          <w:b/>
          <w:bCs/>
          <w:color w:val="000000" w:themeColor="text1"/>
          <w:sz w:val="20"/>
          <w:szCs w:val="20"/>
          <w:u w:val="single"/>
          <w:lang w:eastAsia="pt-BR"/>
        </w:rPr>
        <w:t>Regi</w:t>
      </w:r>
      <w:r w:rsidR="000F5055" w:rsidRPr="004C6741">
        <w:rPr>
          <w:rFonts w:eastAsia="Times New Roman" w:cstheme="minorHAnsi"/>
          <w:b/>
          <w:bCs/>
          <w:color w:val="000000" w:themeColor="text1"/>
          <w:sz w:val="20"/>
          <w:szCs w:val="20"/>
          <w:u w:val="single"/>
          <w:lang w:eastAsia="pt-BR"/>
        </w:rPr>
        <w:t>stro de preços para contrataç</w:t>
      </w:r>
      <w:r w:rsidRPr="004C6741">
        <w:rPr>
          <w:rFonts w:eastAsia="Times New Roman" w:cstheme="minorHAnsi"/>
          <w:b/>
          <w:bCs/>
          <w:color w:val="000000" w:themeColor="text1"/>
          <w:sz w:val="20"/>
          <w:szCs w:val="20"/>
          <w:u w:val="single"/>
          <w:lang w:eastAsia="pt-BR"/>
        </w:rPr>
        <w:t>ões</w:t>
      </w:r>
      <w:r w:rsidR="000F5055" w:rsidRPr="004C6741">
        <w:rPr>
          <w:rFonts w:eastAsia="Times New Roman" w:cstheme="minorHAnsi"/>
          <w:b/>
          <w:bCs/>
          <w:color w:val="000000" w:themeColor="text1"/>
          <w:sz w:val="20"/>
          <w:szCs w:val="20"/>
          <w:u w:val="single"/>
          <w:lang w:eastAsia="pt-BR"/>
        </w:rPr>
        <w:t xml:space="preserve"> futura</w:t>
      </w:r>
      <w:r w:rsidRPr="004C6741">
        <w:rPr>
          <w:rFonts w:eastAsia="Times New Roman" w:cstheme="minorHAnsi"/>
          <w:b/>
          <w:bCs/>
          <w:color w:val="000000" w:themeColor="text1"/>
          <w:sz w:val="20"/>
          <w:szCs w:val="20"/>
          <w:u w:val="single"/>
          <w:lang w:eastAsia="pt-BR"/>
        </w:rPr>
        <w:t>s de</w:t>
      </w:r>
      <w:r w:rsidR="00F74221" w:rsidRPr="004C6741">
        <w:rPr>
          <w:rFonts w:eastAsia="Times New Roman" w:cstheme="minorHAnsi"/>
          <w:b/>
          <w:bCs/>
          <w:color w:val="000000" w:themeColor="text1"/>
          <w:sz w:val="20"/>
          <w:szCs w:val="20"/>
          <w:u w:val="single"/>
          <w:lang w:eastAsia="pt-BR"/>
        </w:rPr>
        <w:t xml:space="preserve"> </w:t>
      </w:r>
      <w:r w:rsidR="004C6741" w:rsidRPr="004C6741">
        <w:rPr>
          <w:rFonts w:eastAsia="Times New Roman" w:cstheme="minorHAnsi"/>
          <w:b/>
          <w:sz w:val="20"/>
          <w:szCs w:val="20"/>
          <w:u w:val="single"/>
          <w:lang w:eastAsia="pt-BR"/>
        </w:rPr>
        <w:t>HALOPERIDOL 5 MG COMPRIMIDO, SULFATO DE MAGNESIO 10% SOLUCAO INJETAVEL AMPOLA 10 ML, TRAMADOL 100MG/ML SOLUCAO ORAL FRASCO 10 ML, SORBITOL 3 % SOLUCAO IRRIGACAO ESTERIL BOLSA 3000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BB69A49" w:rsidR="00355887" w:rsidRPr="004C6741" w:rsidRDefault="00355887" w:rsidP="00355887">
      <w:pPr>
        <w:spacing w:after="0" w:line="240" w:lineRule="auto"/>
        <w:jc w:val="both"/>
        <w:rPr>
          <w:rFonts w:eastAsia="Times New Roman" w:cstheme="minorHAnsi"/>
          <w:b/>
          <w:color w:val="000000" w:themeColor="text1"/>
          <w:sz w:val="20"/>
          <w:szCs w:val="20"/>
          <w:lang w:eastAsia="pt-BR"/>
        </w:rPr>
      </w:pPr>
      <w:r w:rsidRPr="004C6741">
        <w:rPr>
          <w:rFonts w:eastAsia="Times New Roman" w:cstheme="minorHAnsi"/>
          <w:b/>
          <w:color w:val="000000" w:themeColor="text1"/>
          <w:sz w:val="20"/>
          <w:szCs w:val="20"/>
          <w:lang w:eastAsia="pt-BR"/>
        </w:rPr>
        <w:t xml:space="preserve">Dia </w:t>
      </w:r>
      <w:r w:rsidR="004C6741" w:rsidRPr="004C6741">
        <w:rPr>
          <w:rFonts w:eastAsia="Times New Roman" w:cstheme="minorHAnsi"/>
          <w:b/>
          <w:bCs/>
          <w:color w:val="000000" w:themeColor="text1"/>
          <w:sz w:val="20"/>
          <w:szCs w:val="20"/>
          <w:lang w:eastAsia="pt-BR"/>
        </w:rPr>
        <w:t>20</w:t>
      </w:r>
      <w:r w:rsidRPr="004C6741">
        <w:rPr>
          <w:rFonts w:eastAsia="Times New Roman" w:cstheme="minorHAnsi"/>
          <w:b/>
          <w:bCs/>
          <w:color w:val="000000" w:themeColor="text1"/>
          <w:sz w:val="20"/>
          <w:szCs w:val="20"/>
          <w:lang w:eastAsia="pt-BR"/>
        </w:rPr>
        <w:t>/</w:t>
      </w:r>
      <w:r w:rsidR="00640EB7" w:rsidRPr="004C6741">
        <w:rPr>
          <w:rFonts w:eastAsia="Times New Roman" w:cstheme="minorHAnsi"/>
          <w:b/>
          <w:bCs/>
          <w:color w:val="000000" w:themeColor="text1"/>
          <w:sz w:val="20"/>
          <w:szCs w:val="20"/>
          <w:lang w:eastAsia="pt-BR"/>
        </w:rPr>
        <w:t>0</w:t>
      </w:r>
      <w:r w:rsidR="004C6741" w:rsidRPr="004C6741">
        <w:rPr>
          <w:rFonts w:eastAsia="Times New Roman" w:cstheme="minorHAnsi"/>
          <w:b/>
          <w:bCs/>
          <w:color w:val="000000" w:themeColor="text1"/>
          <w:sz w:val="20"/>
          <w:szCs w:val="20"/>
          <w:lang w:eastAsia="pt-BR"/>
        </w:rPr>
        <w:t>8</w:t>
      </w:r>
      <w:r w:rsidRPr="004C6741">
        <w:rPr>
          <w:rFonts w:eastAsia="Times New Roman" w:cstheme="minorHAnsi"/>
          <w:b/>
          <w:bCs/>
          <w:color w:val="000000" w:themeColor="text1"/>
          <w:sz w:val="20"/>
          <w:szCs w:val="20"/>
          <w:lang w:eastAsia="pt-BR"/>
        </w:rPr>
        <w:t>/</w:t>
      </w:r>
      <w:r w:rsidR="00640EB7" w:rsidRPr="004C6741">
        <w:rPr>
          <w:rFonts w:eastAsia="Times New Roman" w:cstheme="minorHAnsi"/>
          <w:b/>
          <w:bCs/>
          <w:color w:val="000000" w:themeColor="text1"/>
          <w:sz w:val="20"/>
          <w:szCs w:val="20"/>
          <w:lang w:eastAsia="pt-BR"/>
        </w:rPr>
        <w:t>2024</w:t>
      </w:r>
      <w:r w:rsidRPr="004C6741">
        <w:rPr>
          <w:rFonts w:eastAsia="Times New Roman" w:cstheme="minorHAnsi"/>
          <w:b/>
          <w:bCs/>
          <w:color w:val="000000" w:themeColor="text1"/>
          <w:sz w:val="20"/>
          <w:szCs w:val="20"/>
          <w:lang w:eastAsia="pt-BR"/>
        </w:rPr>
        <w:t xml:space="preserve"> </w:t>
      </w:r>
      <w:r w:rsidRPr="004C6741">
        <w:rPr>
          <w:rFonts w:eastAsia="Times New Roman" w:cstheme="minorHAnsi"/>
          <w:b/>
          <w:color w:val="000000" w:themeColor="text1"/>
          <w:sz w:val="20"/>
          <w:szCs w:val="20"/>
          <w:lang w:eastAsia="pt-BR"/>
        </w:rPr>
        <w:t>às 09:00</w:t>
      </w:r>
      <w:r w:rsidRPr="004C6741">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206842"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427AF4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206842">
        <w:rPr>
          <w:rFonts w:eastAsia="Times New Roman" w:cstheme="minorHAnsi"/>
          <w:b/>
          <w:bCs/>
          <w:sz w:val="20"/>
          <w:szCs w:val="20"/>
          <w:lang w:eastAsia="pt-BR"/>
        </w:rPr>
        <w:t>90255</w:t>
      </w:r>
      <w:bookmarkStart w:id="0" w:name="_GoBack"/>
      <w:bookmarkEnd w:id="0"/>
      <w:r w:rsidRPr="002D78C0">
        <w:rPr>
          <w:rFonts w:eastAsia="Times New Roman" w:cstheme="minorHAnsi"/>
          <w:b/>
          <w:bCs/>
          <w:sz w:val="20"/>
          <w:szCs w:val="20"/>
          <w:lang w:eastAsia="pt-BR"/>
        </w:rPr>
        <w:t>/2024</w:t>
      </w:r>
    </w:p>
    <w:p w14:paraId="4B036843" w14:textId="7FC8042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4C6741" w:rsidRPr="002D78C0">
        <w:rPr>
          <w:rFonts w:eastAsia="Times New Roman" w:cstheme="minorHAnsi"/>
          <w:sz w:val="20"/>
          <w:szCs w:val="20"/>
          <w:u w:val="single"/>
          <w:lang w:eastAsia="pt-BR"/>
        </w:rPr>
        <w:t>145.00014839/2024-84</w:t>
      </w:r>
      <w:r w:rsidRPr="002D78C0">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36816FA"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4C6741" w:rsidRPr="002D78C0">
        <w:rPr>
          <w:rFonts w:eastAsia="Times New Roman" w:cstheme="minorHAnsi"/>
          <w:sz w:val="20"/>
          <w:szCs w:val="20"/>
          <w:lang w:eastAsia="pt-BR"/>
        </w:rPr>
        <w:t>HALOPERIDOL 5 MG COMPRIMIDO, SULFATO DE MAGNESIO 10% SOLUCAO INJETAVEL AMPOLA 10 ML, TRAMADOL 100MG/ML SOLUCAO ORAL FRASCO 10 ML, SORBITOL 3 % SOLUCAO IRRIGACAO ESTERIL BOLSA 3000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7B9FE91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2D78C0">
        <w:rPr>
          <w:rFonts w:eastAsia="Times New Roman" w:cstheme="minorHAnsi"/>
          <w:iCs/>
          <w:sz w:val="20"/>
          <w:szCs w:val="20"/>
          <w:lang w:eastAsia="pt-BR"/>
        </w:rPr>
        <w:t xml:space="preserve"> quatro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53C758E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F30646" w:rsidRPr="00F30646">
        <w:rPr>
          <w:rFonts w:eastAsia="Times New Roman" w:cstheme="minorHAnsi"/>
          <w:iCs/>
          <w:sz w:val="20"/>
          <w:szCs w:val="20"/>
          <w:lang w:eastAsia="pt-BR"/>
        </w:rPr>
        <w:t>Nesta licitação, </w:t>
      </w:r>
      <w:bookmarkStart w:id="6" w:name="TextoLic"/>
      <w:bookmarkEnd w:id="6"/>
      <w:r w:rsidR="00F30646" w:rsidRPr="00F30646">
        <w:rPr>
          <w:rFonts w:eastAsia="Times New Roman" w:cstheme="minorHAnsi"/>
          <w:iCs/>
          <w:sz w:val="20"/>
          <w:szCs w:val="20"/>
          <w:lang w:eastAsia="pt-BR"/>
        </w:rPr>
        <w:t>Para os item(ns) ou grupo(s) 1, 2, 3,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1F4816F2" w:rsidR="00355887" w:rsidRDefault="00D21DE4"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4C6A2631" w14:textId="2BA50008" w:rsidR="00D21DE4" w:rsidRDefault="00D21DE4"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D21DE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134"/>
        <w:gridCol w:w="992"/>
        <w:gridCol w:w="3261"/>
        <w:gridCol w:w="992"/>
        <w:gridCol w:w="992"/>
      </w:tblGrid>
      <w:tr w:rsidR="00D21DE4" w:rsidRPr="0023346A" w14:paraId="2A3F70DD" w14:textId="77777777" w:rsidTr="00D21DE4">
        <w:tc>
          <w:tcPr>
            <w:tcW w:w="704" w:type="dxa"/>
            <w:shd w:val="clear" w:color="auto" w:fill="auto"/>
          </w:tcPr>
          <w:p w14:paraId="3003D78D" w14:textId="77777777" w:rsidR="00D21DE4" w:rsidRPr="0023346A" w:rsidRDefault="00D21DE4" w:rsidP="00ED3E54">
            <w:pPr>
              <w:spacing w:after="0"/>
              <w:rPr>
                <w:rFonts w:cs="Arial"/>
                <w:b/>
              </w:rPr>
            </w:pPr>
            <w:r w:rsidRPr="0023346A">
              <w:rPr>
                <w:rFonts w:cs="Arial"/>
                <w:b/>
              </w:rPr>
              <w:t>Item</w:t>
            </w:r>
          </w:p>
        </w:tc>
        <w:tc>
          <w:tcPr>
            <w:tcW w:w="1134" w:type="dxa"/>
            <w:shd w:val="clear" w:color="auto" w:fill="auto"/>
          </w:tcPr>
          <w:p w14:paraId="1E7106DB" w14:textId="77777777" w:rsidR="00D21DE4" w:rsidRPr="0023346A" w:rsidRDefault="00D21DE4" w:rsidP="00ED3E54">
            <w:pPr>
              <w:spacing w:after="0"/>
              <w:rPr>
                <w:rFonts w:cs="Arial"/>
                <w:b/>
              </w:rPr>
            </w:pPr>
            <w:r w:rsidRPr="0023346A">
              <w:rPr>
                <w:rFonts w:cs="Arial"/>
                <w:b/>
              </w:rPr>
              <w:t>Código</w:t>
            </w:r>
          </w:p>
        </w:tc>
        <w:tc>
          <w:tcPr>
            <w:tcW w:w="1134" w:type="dxa"/>
            <w:shd w:val="clear" w:color="auto" w:fill="auto"/>
          </w:tcPr>
          <w:p w14:paraId="7120AFBC" w14:textId="77777777" w:rsidR="00D21DE4" w:rsidRPr="0023346A" w:rsidRDefault="00D21DE4" w:rsidP="00ED3E54">
            <w:pPr>
              <w:spacing w:after="0"/>
              <w:rPr>
                <w:rFonts w:cs="Arial"/>
                <w:b/>
              </w:rPr>
            </w:pPr>
            <w:r w:rsidRPr="0023346A">
              <w:rPr>
                <w:rFonts w:cs="Arial"/>
                <w:b/>
              </w:rPr>
              <w:t>Código Siafísico</w:t>
            </w:r>
          </w:p>
        </w:tc>
        <w:tc>
          <w:tcPr>
            <w:tcW w:w="992" w:type="dxa"/>
            <w:shd w:val="clear" w:color="auto" w:fill="auto"/>
          </w:tcPr>
          <w:p w14:paraId="0E02B7A3" w14:textId="77777777" w:rsidR="00D21DE4" w:rsidRPr="0023346A" w:rsidRDefault="00D21DE4" w:rsidP="00ED3E54">
            <w:pPr>
              <w:spacing w:after="0"/>
              <w:rPr>
                <w:rFonts w:cs="Arial"/>
                <w:b/>
              </w:rPr>
            </w:pPr>
            <w:r w:rsidRPr="0023346A">
              <w:rPr>
                <w:rFonts w:cs="Arial"/>
                <w:b/>
              </w:rPr>
              <w:t>Cód. GOV</w:t>
            </w:r>
          </w:p>
        </w:tc>
        <w:tc>
          <w:tcPr>
            <w:tcW w:w="3261" w:type="dxa"/>
            <w:shd w:val="clear" w:color="auto" w:fill="auto"/>
          </w:tcPr>
          <w:p w14:paraId="194B90E7" w14:textId="77777777" w:rsidR="00D21DE4" w:rsidRPr="0023346A" w:rsidRDefault="00D21DE4" w:rsidP="00ED3E54">
            <w:pPr>
              <w:spacing w:after="0"/>
              <w:rPr>
                <w:rFonts w:cs="Arial"/>
                <w:b/>
              </w:rPr>
            </w:pPr>
            <w:r w:rsidRPr="0023346A">
              <w:rPr>
                <w:rFonts w:cs="Arial"/>
                <w:b/>
              </w:rPr>
              <w:t>Descrição do Material</w:t>
            </w:r>
          </w:p>
        </w:tc>
        <w:tc>
          <w:tcPr>
            <w:tcW w:w="992" w:type="dxa"/>
            <w:shd w:val="clear" w:color="auto" w:fill="auto"/>
          </w:tcPr>
          <w:p w14:paraId="0302B999" w14:textId="77777777" w:rsidR="00D21DE4" w:rsidRPr="0023346A" w:rsidRDefault="00D21DE4" w:rsidP="00ED3E54">
            <w:pPr>
              <w:spacing w:after="0"/>
              <w:rPr>
                <w:rFonts w:cs="Arial"/>
                <w:b/>
              </w:rPr>
            </w:pPr>
            <w:r w:rsidRPr="0023346A">
              <w:rPr>
                <w:rFonts w:cs="Arial"/>
                <w:b/>
              </w:rPr>
              <w:t>Qtde HC</w:t>
            </w:r>
          </w:p>
        </w:tc>
        <w:tc>
          <w:tcPr>
            <w:tcW w:w="992" w:type="dxa"/>
            <w:shd w:val="clear" w:color="auto" w:fill="auto"/>
          </w:tcPr>
          <w:p w14:paraId="1A96E798" w14:textId="77777777" w:rsidR="00D21DE4" w:rsidRPr="0023346A" w:rsidRDefault="00D21DE4" w:rsidP="00ED3E54">
            <w:pPr>
              <w:spacing w:after="0"/>
              <w:rPr>
                <w:rFonts w:cs="Arial"/>
                <w:b/>
              </w:rPr>
            </w:pPr>
            <w:r w:rsidRPr="0023346A">
              <w:rPr>
                <w:rFonts w:cs="Arial"/>
                <w:b/>
              </w:rPr>
              <w:t>Unid HC</w:t>
            </w:r>
          </w:p>
        </w:tc>
      </w:tr>
      <w:tr w:rsidR="00D21DE4" w:rsidRPr="0023346A" w14:paraId="187AE896" w14:textId="77777777" w:rsidTr="00D21DE4">
        <w:tc>
          <w:tcPr>
            <w:tcW w:w="704" w:type="dxa"/>
            <w:shd w:val="clear" w:color="auto" w:fill="auto"/>
          </w:tcPr>
          <w:p w14:paraId="5ED99311" w14:textId="77777777" w:rsidR="00D21DE4" w:rsidRPr="0023346A" w:rsidRDefault="00D21DE4" w:rsidP="00ED3E54">
            <w:pPr>
              <w:spacing w:after="0"/>
              <w:rPr>
                <w:rFonts w:cs="Arial"/>
              </w:rPr>
            </w:pPr>
            <w:r w:rsidRPr="0023346A">
              <w:rPr>
                <w:rFonts w:cs="Arial"/>
              </w:rPr>
              <w:t>1</w:t>
            </w:r>
          </w:p>
        </w:tc>
        <w:tc>
          <w:tcPr>
            <w:tcW w:w="1134" w:type="dxa"/>
            <w:shd w:val="clear" w:color="auto" w:fill="auto"/>
          </w:tcPr>
          <w:p w14:paraId="5BEBE9A3" w14:textId="77777777" w:rsidR="00D21DE4" w:rsidRPr="0023346A" w:rsidRDefault="00D21DE4" w:rsidP="00ED3E54">
            <w:pPr>
              <w:spacing w:after="0"/>
              <w:rPr>
                <w:rFonts w:cs="Arial"/>
              </w:rPr>
            </w:pPr>
            <w:r w:rsidRPr="0023346A">
              <w:rPr>
                <w:rFonts w:cs="Arial"/>
              </w:rPr>
              <w:t>11100001</w:t>
            </w:r>
          </w:p>
        </w:tc>
        <w:tc>
          <w:tcPr>
            <w:tcW w:w="1134" w:type="dxa"/>
            <w:shd w:val="clear" w:color="auto" w:fill="auto"/>
          </w:tcPr>
          <w:p w14:paraId="046EF2BA" w14:textId="77777777" w:rsidR="00D21DE4" w:rsidRPr="0023346A" w:rsidRDefault="00D21DE4" w:rsidP="00ED3E54">
            <w:pPr>
              <w:spacing w:after="0"/>
              <w:rPr>
                <w:rFonts w:cs="Arial"/>
              </w:rPr>
            </w:pPr>
            <w:r w:rsidRPr="0023346A">
              <w:rPr>
                <w:rFonts w:cs="Arial"/>
              </w:rPr>
              <w:t>110353</w:t>
            </w:r>
          </w:p>
        </w:tc>
        <w:tc>
          <w:tcPr>
            <w:tcW w:w="992" w:type="dxa"/>
            <w:shd w:val="clear" w:color="auto" w:fill="auto"/>
          </w:tcPr>
          <w:p w14:paraId="2F627B40" w14:textId="77777777" w:rsidR="00D21DE4" w:rsidRPr="0023346A" w:rsidRDefault="00D21DE4" w:rsidP="00ED3E54">
            <w:pPr>
              <w:spacing w:after="0"/>
              <w:rPr>
                <w:rFonts w:cs="Arial"/>
              </w:rPr>
            </w:pPr>
            <w:r w:rsidRPr="0023346A">
              <w:rPr>
                <w:rFonts w:cs="Arial"/>
              </w:rPr>
              <w:t>267669</w:t>
            </w:r>
          </w:p>
        </w:tc>
        <w:tc>
          <w:tcPr>
            <w:tcW w:w="3261" w:type="dxa"/>
            <w:shd w:val="clear" w:color="auto" w:fill="auto"/>
          </w:tcPr>
          <w:p w14:paraId="701F0A22" w14:textId="77777777" w:rsidR="00D21DE4" w:rsidRPr="0023346A" w:rsidRDefault="00D21DE4" w:rsidP="00ED3E54">
            <w:pPr>
              <w:spacing w:after="0"/>
              <w:rPr>
                <w:rFonts w:cs="Arial"/>
              </w:rPr>
            </w:pPr>
            <w:r w:rsidRPr="0023346A">
              <w:rPr>
                <w:rFonts w:cs="Arial"/>
              </w:rPr>
              <w:t>HALOPERIDOL 5 MG COMPRIMIDO</w:t>
            </w:r>
          </w:p>
        </w:tc>
        <w:tc>
          <w:tcPr>
            <w:tcW w:w="992" w:type="dxa"/>
            <w:shd w:val="clear" w:color="auto" w:fill="auto"/>
          </w:tcPr>
          <w:p w14:paraId="71D4A9EB" w14:textId="160B28C6" w:rsidR="00D21DE4" w:rsidRPr="0023346A" w:rsidRDefault="00D21DE4" w:rsidP="00D21DE4">
            <w:pPr>
              <w:spacing w:after="0"/>
              <w:rPr>
                <w:rFonts w:cs="Arial"/>
              </w:rPr>
            </w:pPr>
            <w:r w:rsidRPr="0023346A">
              <w:rPr>
                <w:rFonts w:cs="Arial"/>
              </w:rPr>
              <w:t>148.384</w:t>
            </w:r>
          </w:p>
        </w:tc>
        <w:tc>
          <w:tcPr>
            <w:tcW w:w="992" w:type="dxa"/>
            <w:shd w:val="clear" w:color="auto" w:fill="auto"/>
          </w:tcPr>
          <w:p w14:paraId="0687880C" w14:textId="77777777" w:rsidR="00D21DE4" w:rsidRPr="0023346A" w:rsidRDefault="00D21DE4" w:rsidP="00ED3E54">
            <w:pPr>
              <w:spacing w:after="0"/>
              <w:rPr>
                <w:rFonts w:cs="Arial"/>
              </w:rPr>
            </w:pPr>
            <w:r w:rsidRPr="0023346A">
              <w:rPr>
                <w:rFonts w:cs="Arial"/>
              </w:rPr>
              <w:t>COM</w:t>
            </w:r>
          </w:p>
        </w:tc>
      </w:tr>
      <w:tr w:rsidR="00D21DE4" w:rsidRPr="0023346A" w14:paraId="7DFA1BFC" w14:textId="77777777" w:rsidTr="00D21DE4">
        <w:tc>
          <w:tcPr>
            <w:tcW w:w="704" w:type="dxa"/>
            <w:shd w:val="clear" w:color="auto" w:fill="auto"/>
          </w:tcPr>
          <w:p w14:paraId="3E398D1F" w14:textId="77777777" w:rsidR="00D21DE4" w:rsidRPr="0023346A" w:rsidRDefault="00D21DE4" w:rsidP="00ED3E54">
            <w:pPr>
              <w:spacing w:after="0"/>
              <w:rPr>
                <w:rFonts w:cs="Arial"/>
              </w:rPr>
            </w:pPr>
            <w:r w:rsidRPr="0023346A">
              <w:rPr>
                <w:rFonts w:cs="Arial"/>
              </w:rPr>
              <w:t>2</w:t>
            </w:r>
          </w:p>
        </w:tc>
        <w:tc>
          <w:tcPr>
            <w:tcW w:w="1134" w:type="dxa"/>
            <w:shd w:val="clear" w:color="auto" w:fill="auto"/>
          </w:tcPr>
          <w:p w14:paraId="40E7B4CE" w14:textId="77777777" w:rsidR="00D21DE4" w:rsidRPr="0023346A" w:rsidRDefault="00D21DE4" w:rsidP="00ED3E54">
            <w:pPr>
              <w:spacing w:after="0"/>
              <w:rPr>
                <w:rFonts w:cs="Arial"/>
              </w:rPr>
            </w:pPr>
            <w:r w:rsidRPr="0023346A">
              <w:rPr>
                <w:rFonts w:cs="Arial"/>
              </w:rPr>
              <w:t>11020002</w:t>
            </w:r>
          </w:p>
        </w:tc>
        <w:tc>
          <w:tcPr>
            <w:tcW w:w="1134" w:type="dxa"/>
            <w:shd w:val="clear" w:color="auto" w:fill="auto"/>
          </w:tcPr>
          <w:p w14:paraId="141014CF" w14:textId="77777777" w:rsidR="00D21DE4" w:rsidRPr="0023346A" w:rsidRDefault="00D21DE4" w:rsidP="00ED3E54">
            <w:pPr>
              <w:spacing w:after="0"/>
              <w:rPr>
                <w:rFonts w:cs="Arial"/>
              </w:rPr>
            </w:pPr>
            <w:r w:rsidRPr="0023346A">
              <w:rPr>
                <w:rFonts w:cs="Arial"/>
              </w:rPr>
              <w:t>486450</w:t>
            </w:r>
          </w:p>
        </w:tc>
        <w:tc>
          <w:tcPr>
            <w:tcW w:w="992" w:type="dxa"/>
            <w:shd w:val="clear" w:color="auto" w:fill="auto"/>
          </w:tcPr>
          <w:p w14:paraId="47FB1819" w14:textId="77777777" w:rsidR="00D21DE4" w:rsidRPr="0023346A" w:rsidRDefault="00D21DE4" w:rsidP="00ED3E54">
            <w:pPr>
              <w:spacing w:after="0"/>
              <w:rPr>
                <w:rFonts w:cs="Arial"/>
              </w:rPr>
            </w:pPr>
            <w:r w:rsidRPr="0023346A">
              <w:rPr>
                <w:rFonts w:cs="Arial"/>
              </w:rPr>
              <w:t>268076</w:t>
            </w:r>
          </w:p>
        </w:tc>
        <w:tc>
          <w:tcPr>
            <w:tcW w:w="3261" w:type="dxa"/>
            <w:shd w:val="clear" w:color="auto" w:fill="auto"/>
          </w:tcPr>
          <w:p w14:paraId="06D85B31" w14:textId="77777777" w:rsidR="00D21DE4" w:rsidRPr="0023346A" w:rsidRDefault="00D21DE4" w:rsidP="00ED3E54">
            <w:pPr>
              <w:spacing w:after="0"/>
              <w:rPr>
                <w:rFonts w:cs="Arial"/>
              </w:rPr>
            </w:pPr>
            <w:r w:rsidRPr="0023346A">
              <w:rPr>
                <w:rFonts w:cs="Arial"/>
              </w:rPr>
              <w:t>SULFATO DE MAGNESIO HEPTAIDRATADO 10% SOLUCAO INJETAVEL AMPOLA 10 ML</w:t>
            </w:r>
          </w:p>
        </w:tc>
        <w:tc>
          <w:tcPr>
            <w:tcW w:w="992" w:type="dxa"/>
            <w:shd w:val="clear" w:color="auto" w:fill="auto"/>
          </w:tcPr>
          <w:p w14:paraId="352F0DB1" w14:textId="7FB49D70" w:rsidR="00D21DE4" w:rsidRPr="0023346A" w:rsidRDefault="00D21DE4" w:rsidP="00D21DE4">
            <w:pPr>
              <w:spacing w:after="0"/>
              <w:rPr>
                <w:rFonts w:cs="Arial"/>
              </w:rPr>
            </w:pPr>
            <w:r w:rsidRPr="0023346A">
              <w:rPr>
                <w:rFonts w:cs="Arial"/>
              </w:rPr>
              <w:t xml:space="preserve"> 69.706</w:t>
            </w:r>
          </w:p>
        </w:tc>
        <w:tc>
          <w:tcPr>
            <w:tcW w:w="992" w:type="dxa"/>
            <w:shd w:val="clear" w:color="auto" w:fill="auto"/>
          </w:tcPr>
          <w:p w14:paraId="692CFD30" w14:textId="77777777" w:rsidR="00D21DE4" w:rsidRPr="0023346A" w:rsidRDefault="00D21DE4" w:rsidP="00ED3E54">
            <w:pPr>
              <w:spacing w:after="0"/>
              <w:rPr>
                <w:rFonts w:cs="Arial"/>
              </w:rPr>
            </w:pPr>
            <w:r w:rsidRPr="0023346A">
              <w:rPr>
                <w:rFonts w:cs="Arial"/>
              </w:rPr>
              <w:t>AMP</w:t>
            </w:r>
          </w:p>
        </w:tc>
      </w:tr>
      <w:tr w:rsidR="00D21DE4" w:rsidRPr="0023346A" w14:paraId="4CC250D5" w14:textId="77777777" w:rsidTr="00D21DE4">
        <w:tc>
          <w:tcPr>
            <w:tcW w:w="704" w:type="dxa"/>
            <w:shd w:val="clear" w:color="auto" w:fill="auto"/>
          </w:tcPr>
          <w:p w14:paraId="7F1094EB" w14:textId="77777777" w:rsidR="00D21DE4" w:rsidRPr="0023346A" w:rsidRDefault="00D21DE4" w:rsidP="00ED3E54">
            <w:pPr>
              <w:spacing w:after="0"/>
              <w:rPr>
                <w:rFonts w:cs="Arial"/>
              </w:rPr>
            </w:pPr>
            <w:r w:rsidRPr="0023346A">
              <w:rPr>
                <w:rFonts w:cs="Arial"/>
              </w:rPr>
              <w:t>3</w:t>
            </w:r>
          </w:p>
        </w:tc>
        <w:tc>
          <w:tcPr>
            <w:tcW w:w="1134" w:type="dxa"/>
            <w:shd w:val="clear" w:color="auto" w:fill="auto"/>
          </w:tcPr>
          <w:p w14:paraId="3A2DFDAC" w14:textId="77777777" w:rsidR="00D21DE4" w:rsidRPr="0023346A" w:rsidRDefault="00D21DE4" w:rsidP="00ED3E54">
            <w:pPr>
              <w:spacing w:after="0"/>
              <w:rPr>
                <w:rFonts w:cs="Arial"/>
              </w:rPr>
            </w:pPr>
            <w:r w:rsidRPr="0023346A">
              <w:rPr>
                <w:rFonts w:cs="Arial"/>
              </w:rPr>
              <w:t>11100059</w:t>
            </w:r>
          </w:p>
        </w:tc>
        <w:tc>
          <w:tcPr>
            <w:tcW w:w="1134" w:type="dxa"/>
            <w:shd w:val="clear" w:color="auto" w:fill="auto"/>
          </w:tcPr>
          <w:p w14:paraId="11698488" w14:textId="77777777" w:rsidR="00D21DE4" w:rsidRPr="0023346A" w:rsidRDefault="00D21DE4" w:rsidP="00ED3E54">
            <w:pPr>
              <w:spacing w:after="0"/>
              <w:rPr>
                <w:rFonts w:cs="Arial"/>
              </w:rPr>
            </w:pPr>
            <w:r w:rsidRPr="0023346A">
              <w:rPr>
                <w:rFonts w:cs="Arial"/>
              </w:rPr>
              <w:t>615242</w:t>
            </w:r>
          </w:p>
        </w:tc>
        <w:tc>
          <w:tcPr>
            <w:tcW w:w="992" w:type="dxa"/>
            <w:shd w:val="clear" w:color="auto" w:fill="auto"/>
          </w:tcPr>
          <w:p w14:paraId="180E0F1B" w14:textId="77777777" w:rsidR="00D21DE4" w:rsidRPr="0023346A" w:rsidRDefault="00D21DE4" w:rsidP="00ED3E54">
            <w:pPr>
              <w:spacing w:after="0"/>
              <w:rPr>
                <w:rFonts w:cs="Arial"/>
              </w:rPr>
            </w:pPr>
            <w:r w:rsidRPr="0023346A">
              <w:rPr>
                <w:rFonts w:cs="Arial"/>
              </w:rPr>
              <w:t>292380</w:t>
            </w:r>
          </w:p>
        </w:tc>
        <w:tc>
          <w:tcPr>
            <w:tcW w:w="3261" w:type="dxa"/>
            <w:shd w:val="clear" w:color="auto" w:fill="auto"/>
          </w:tcPr>
          <w:p w14:paraId="6E662D09" w14:textId="77777777" w:rsidR="00D21DE4" w:rsidRPr="0023346A" w:rsidRDefault="00D21DE4" w:rsidP="00ED3E54">
            <w:pPr>
              <w:spacing w:after="0"/>
              <w:rPr>
                <w:rFonts w:cs="Arial"/>
              </w:rPr>
            </w:pPr>
            <w:r w:rsidRPr="0023346A">
              <w:rPr>
                <w:rFonts w:cs="Arial"/>
              </w:rPr>
              <w:t>TRAMADOL (CLORIDRATO) 100MG/ML SOLUCAO ORAL FRASCO 10 ML</w:t>
            </w:r>
          </w:p>
        </w:tc>
        <w:tc>
          <w:tcPr>
            <w:tcW w:w="992" w:type="dxa"/>
            <w:shd w:val="clear" w:color="auto" w:fill="auto"/>
          </w:tcPr>
          <w:p w14:paraId="60DAB53E" w14:textId="0A4D90FC" w:rsidR="00D21DE4" w:rsidRPr="0023346A" w:rsidRDefault="00D21DE4" w:rsidP="00D21DE4">
            <w:pPr>
              <w:spacing w:after="0"/>
              <w:rPr>
                <w:rFonts w:cs="Arial"/>
              </w:rPr>
            </w:pPr>
            <w:r w:rsidRPr="0023346A">
              <w:rPr>
                <w:rFonts w:cs="Arial"/>
              </w:rPr>
              <w:t xml:space="preserve">    564</w:t>
            </w:r>
          </w:p>
        </w:tc>
        <w:tc>
          <w:tcPr>
            <w:tcW w:w="992" w:type="dxa"/>
            <w:shd w:val="clear" w:color="auto" w:fill="auto"/>
          </w:tcPr>
          <w:p w14:paraId="4167F8D8" w14:textId="77777777" w:rsidR="00D21DE4" w:rsidRPr="0023346A" w:rsidRDefault="00D21DE4" w:rsidP="00ED3E54">
            <w:pPr>
              <w:spacing w:after="0"/>
              <w:rPr>
                <w:rFonts w:cs="Arial"/>
              </w:rPr>
            </w:pPr>
            <w:r w:rsidRPr="0023346A">
              <w:rPr>
                <w:rFonts w:cs="Arial"/>
              </w:rPr>
              <w:t>FR</w:t>
            </w:r>
          </w:p>
        </w:tc>
      </w:tr>
      <w:tr w:rsidR="00D21DE4" w:rsidRPr="0023346A" w14:paraId="4F0336B1" w14:textId="77777777" w:rsidTr="00D21DE4">
        <w:tc>
          <w:tcPr>
            <w:tcW w:w="704" w:type="dxa"/>
            <w:shd w:val="clear" w:color="auto" w:fill="auto"/>
          </w:tcPr>
          <w:p w14:paraId="55A3D777" w14:textId="77777777" w:rsidR="00D21DE4" w:rsidRPr="0023346A" w:rsidRDefault="00D21DE4" w:rsidP="00ED3E54">
            <w:pPr>
              <w:spacing w:after="0"/>
              <w:rPr>
                <w:rFonts w:cs="Arial"/>
              </w:rPr>
            </w:pPr>
            <w:r w:rsidRPr="0023346A">
              <w:rPr>
                <w:rFonts w:cs="Arial"/>
              </w:rPr>
              <w:t>4</w:t>
            </w:r>
          </w:p>
        </w:tc>
        <w:tc>
          <w:tcPr>
            <w:tcW w:w="1134" w:type="dxa"/>
            <w:shd w:val="clear" w:color="auto" w:fill="auto"/>
          </w:tcPr>
          <w:p w14:paraId="098DD324" w14:textId="77777777" w:rsidR="00D21DE4" w:rsidRPr="0023346A" w:rsidRDefault="00D21DE4" w:rsidP="00ED3E54">
            <w:pPr>
              <w:spacing w:after="0"/>
              <w:rPr>
                <w:rFonts w:cs="Arial"/>
              </w:rPr>
            </w:pPr>
            <w:r w:rsidRPr="0023346A">
              <w:rPr>
                <w:rFonts w:cs="Arial"/>
              </w:rPr>
              <w:t>11022235</w:t>
            </w:r>
          </w:p>
        </w:tc>
        <w:tc>
          <w:tcPr>
            <w:tcW w:w="1134" w:type="dxa"/>
            <w:shd w:val="clear" w:color="auto" w:fill="auto"/>
          </w:tcPr>
          <w:p w14:paraId="20E9B691" w14:textId="77777777" w:rsidR="00D21DE4" w:rsidRPr="0023346A" w:rsidRDefault="00D21DE4" w:rsidP="00ED3E54">
            <w:pPr>
              <w:spacing w:after="0"/>
              <w:rPr>
                <w:rFonts w:cs="Arial"/>
              </w:rPr>
            </w:pPr>
            <w:r w:rsidRPr="0023346A">
              <w:rPr>
                <w:rFonts w:cs="Arial"/>
              </w:rPr>
              <w:t>3745180</w:t>
            </w:r>
          </w:p>
        </w:tc>
        <w:tc>
          <w:tcPr>
            <w:tcW w:w="992" w:type="dxa"/>
            <w:shd w:val="clear" w:color="auto" w:fill="auto"/>
          </w:tcPr>
          <w:p w14:paraId="410D8BC7" w14:textId="77777777" w:rsidR="00D21DE4" w:rsidRPr="0023346A" w:rsidRDefault="00D21DE4" w:rsidP="00ED3E54">
            <w:pPr>
              <w:spacing w:after="0"/>
              <w:rPr>
                <w:rFonts w:cs="Arial"/>
              </w:rPr>
            </w:pPr>
            <w:r w:rsidRPr="0023346A">
              <w:rPr>
                <w:rFonts w:cs="Arial"/>
              </w:rPr>
              <w:t>371998</w:t>
            </w:r>
          </w:p>
        </w:tc>
        <w:tc>
          <w:tcPr>
            <w:tcW w:w="3261" w:type="dxa"/>
            <w:shd w:val="clear" w:color="auto" w:fill="auto"/>
          </w:tcPr>
          <w:p w14:paraId="3FB8267D" w14:textId="77777777" w:rsidR="00D21DE4" w:rsidRPr="0023346A" w:rsidRDefault="00D21DE4" w:rsidP="00ED3E54">
            <w:pPr>
              <w:spacing w:after="0"/>
              <w:rPr>
                <w:rFonts w:cs="Arial"/>
              </w:rPr>
            </w:pPr>
            <w:r w:rsidRPr="0023346A">
              <w:rPr>
                <w:rFonts w:cs="Arial"/>
              </w:rPr>
              <w:t>SORBITOL 3 % SOLUCAO IRRIGACAO ESTERIL BOLSA 3000 ML</w:t>
            </w:r>
          </w:p>
        </w:tc>
        <w:tc>
          <w:tcPr>
            <w:tcW w:w="992" w:type="dxa"/>
            <w:shd w:val="clear" w:color="auto" w:fill="auto"/>
          </w:tcPr>
          <w:p w14:paraId="16A9510B" w14:textId="6AF8553F" w:rsidR="00D21DE4" w:rsidRPr="0023346A" w:rsidRDefault="00D21DE4" w:rsidP="00D21DE4">
            <w:pPr>
              <w:spacing w:after="0"/>
              <w:rPr>
                <w:rFonts w:cs="Arial"/>
              </w:rPr>
            </w:pPr>
            <w:r w:rsidRPr="0023346A">
              <w:rPr>
                <w:rFonts w:cs="Arial"/>
              </w:rPr>
              <w:t xml:space="preserve">  1.740</w:t>
            </w:r>
          </w:p>
        </w:tc>
        <w:tc>
          <w:tcPr>
            <w:tcW w:w="992" w:type="dxa"/>
            <w:shd w:val="clear" w:color="auto" w:fill="auto"/>
          </w:tcPr>
          <w:p w14:paraId="7896DF58" w14:textId="77777777" w:rsidR="00D21DE4" w:rsidRPr="0023346A" w:rsidRDefault="00D21DE4" w:rsidP="00ED3E54">
            <w:pPr>
              <w:spacing w:after="0"/>
              <w:rPr>
                <w:rFonts w:cs="Arial"/>
              </w:rPr>
            </w:pPr>
            <w:r w:rsidRPr="0023346A">
              <w:rPr>
                <w:rFonts w:cs="Arial"/>
              </w:rPr>
              <w:t>BOLS</w:t>
            </w:r>
          </w:p>
        </w:tc>
      </w:tr>
    </w:tbl>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lastRenderedPageBreak/>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lastRenderedPageBreak/>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lastRenderedPageBreak/>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lastRenderedPageBreak/>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lastRenderedPageBreak/>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69387BC2" w14:textId="3EE9CC57" w:rsidR="005370DB" w:rsidRDefault="005370DB" w:rsidP="005370DB">
      <w:pPr>
        <w:rPr>
          <w:rFonts w:cstheme="minorHAnsi"/>
          <w:sz w:val="20"/>
          <w:szCs w:val="20"/>
        </w:rPr>
      </w:pPr>
      <w:r w:rsidRPr="005370DB">
        <w:rPr>
          <w:rFonts w:cstheme="minorHAnsi"/>
          <w:sz w:val="20"/>
          <w:szCs w:val="20"/>
        </w:rPr>
        <w:t>Tatiane Fonseca Pereira</w:t>
      </w:r>
      <w:r w:rsidRPr="005370DB">
        <w:rPr>
          <w:rFonts w:cstheme="minorHAnsi"/>
          <w:sz w:val="20"/>
          <w:szCs w:val="20"/>
        </w:rPr>
        <w:br/>
        <w:t>Oficial Administrativo</w:t>
      </w:r>
    </w:p>
    <w:p w14:paraId="62E4B556" w14:textId="77777777" w:rsidR="005370DB" w:rsidRPr="005370DB" w:rsidRDefault="005370DB" w:rsidP="005370DB">
      <w:pPr>
        <w:rPr>
          <w:rFonts w:cstheme="minorHAnsi"/>
          <w:sz w:val="20"/>
          <w:szCs w:val="20"/>
        </w:rPr>
      </w:pPr>
    </w:p>
    <w:p w14:paraId="5EED1E7A" w14:textId="2A50EEBD" w:rsidR="005370DB" w:rsidRDefault="005370DB" w:rsidP="005370DB">
      <w:pPr>
        <w:rPr>
          <w:rFonts w:asciiTheme="majorHAnsi" w:hAnsiTheme="majorHAnsi" w:cstheme="majorHAnsi"/>
          <w:b/>
          <w:sz w:val="19"/>
          <w:szCs w:val="19"/>
        </w:rPr>
      </w:pPr>
      <w:r w:rsidRPr="005370DB">
        <w:rPr>
          <w:rFonts w:cstheme="minorHAnsi"/>
          <w:sz w:val="20"/>
          <w:szCs w:val="20"/>
        </w:rPr>
        <w:t>Marcelo Girotto Martins</w:t>
      </w:r>
      <w:r w:rsidRPr="005370DB">
        <w:rPr>
          <w:rFonts w:cstheme="minorHAnsi"/>
          <w:sz w:val="20"/>
          <w:szCs w:val="20"/>
        </w:rPr>
        <w:br/>
        <w:t>Equipe Técnica</w:t>
      </w:r>
    </w:p>
    <w:p w14:paraId="04C433DA" w14:textId="77777777" w:rsidR="005370DB" w:rsidRPr="002011D5" w:rsidRDefault="005370DB" w:rsidP="002011D5">
      <w:pPr>
        <w:jc w:val="center"/>
        <w:rPr>
          <w:rFonts w:asciiTheme="majorHAnsi" w:hAnsiTheme="majorHAnsi" w:cstheme="majorHAnsi"/>
          <w:b/>
          <w:sz w:val="19"/>
          <w:szCs w:val="19"/>
        </w:rPr>
      </w:pP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64D6E7F"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4C6741" w:rsidRPr="009D27B3">
        <w:rPr>
          <w:rFonts w:eastAsia="Calibri" w:cstheme="minorHAnsi"/>
          <w:sz w:val="20"/>
          <w:szCs w:val="20"/>
        </w:rPr>
        <w:t>145.00014839/2024-84</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9D27B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875B878" w14:textId="77777777" w:rsidR="009D27B3" w:rsidRDefault="009D27B3"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134"/>
        <w:gridCol w:w="992"/>
        <w:gridCol w:w="3261"/>
        <w:gridCol w:w="992"/>
        <w:gridCol w:w="992"/>
      </w:tblGrid>
      <w:tr w:rsidR="009D27B3" w:rsidRPr="0023346A" w14:paraId="7FDA2883" w14:textId="77777777" w:rsidTr="00ED3E54">
        <w:tc>
          <w:tcPr>
            <w:tcW w:w="704" w:type="dxa"/>
            <w:shd w:val="clear" w:color="auto" w:fill="auto"/>
          </w:tcPr>
          <w:p w14:paraId="3732BD05" w14:textId="77777777" w:rsidR="009D27B3" w:rsidRPr="0023346A" w:rsidRDefault="009D27B3" w:rsidP="00ED3E54">
            <w:pPr>
              <w:spacing w:after="0"/>
              <w:rPr>
                <w:rFonts w:cs="Arial"/>
                <w:b/>
              </w:rPr>
            </w:pPr>
            <w:r w:rsidRPr="0023346A">
              <w:rPr>
                <w:rFonts w:cs="Arial"/>
                <w:b/>
              </w:rPr>
              <w:t>Item</w:t>
            </w:r>
          </w:p>
        </w:tc>
        <w:tc>
          <w:tcPr>
            <w:tcW w:w="1134" w:type="dxa"/>
            <w:shd w:val="clear" w:color="auto" w:fill="auto"/>
          </w:tcPr>
          <w:p w14:paraId="308A3219" w14:textId="77777777" w:rsidR="009D27B3" w:rsidRPr="0023346A" w:rsidRDefault="009D27B3" w:rsidP="00ED3E54">
            <w:pPr>
              <w:spacing w:after="0"/>
              <w:rPr>
                <w:rFonts w:cs="Arial"/>
                <w:b/>
              </w:rPr>
            </w:pPr>
            <w:r w:rsidRPr="0023346A">
              <w:rPr>
                <w:rFonts w:cs="Arial"/>
                <w:b/>
              </w:rPr>
              <w:t>Código</w:t>
            </w:r>
          </w:p>
        </w:tc>
        <w:tc>
          <w:tcPr>
            <w:tcW w:w="1134" w:type="dxa"/>
            <w:shd w:val="clear" w:color="auto" w:fill="auto"/>
          </w:tcPr>
          <w:p w14:paraId="40B0B549" w14:textId="77777777" w:rsidR="009D27B3" w:rsidRPr="0023346A" w:rsidRDefault="009D27B3" w:rsidP="00ED3E54">
            <w:pPr>
              <w:spacing w:after="0"/>
              <w:rPr>
                <w:rFonts w:cs="Arial"/>
                <w:b/>
              </w:rPr>
            </w:pPr>
            <w:r w:rsidRPr="0023346A">
              <w:rPr>
                <w:rFonts w:cs="Arial"/>
                <w:b/>
              </w:rPr>
              <w:t>Código Siafísico</w:t>
            </w:r>
          </w:p>
        </w:tc>
        <w:tc>
          <w:tcPr>
            <w:tcW w:w="992" w:type="dxa"/>
            <w:shd w:val="clear" w:color="auto" w:fill="auto"/>
          </w:tcPr>
          <w:p w14:paraId="562780F1" w14:textId="77777777" w:rsidR="009D27B3" w:rsidRPr="0023346A" w:rsidRDefault="009D27B3" w:rsidP="00ED3E54">
            <w:pPr>
              <w:spacing w:after="0"/>
              <w:rPr>
                <w:rFonts w:cs="Arial"/>
                <w:b/>
              </w:rPr>
            </w:pPr>
            <w:r w:rsidRPr="0023346A">
              <w:rPr>
                <w:rFonts w:cs="Arial"/>
                <w:b/>
              </w:rPr>
              <w:t>Cód. GOV</w:t>
            </w:r>
          </w:p>
        </w:tc>
        <w:tc>
          <w:tcPr>
            <w:tcW w:w="3261" w:type="dxa"/>
            <w:shd w:val="clear" w:color="auto" w:fill="auto"/>
          </w:tcPr>
          <w:p w14:paraId="448A8C12" w14:textId="77777777" w:rsidR="009D27B3" w:rsidRPr="0023346A" w:rsidRDefault="009D27B3" w:rsidP="00ED3E54">
            <w:pPr>
              <w:spacing w:after="0"/>
              <w:rPr>
                <w:rFonts w:cs="Arial"/>
                <w:b/>
              </w:rPr>
            </w:pPr>
            <w:r w:rsidRPr="0023346A">
              <w:rPr>
                <w:rFonts w:cs="Arial"/>
                <w:b/>
              </w:rPr>
              <w:t>Descrição do Material</w:t>
            </w:r>
          </w:p>
        </w:tc>
        <w:tc>
          <w:tcPr>
            <w:tcW w:w="992" w:type="dxa"/>
            <w:shd w:val="clear" w:color="auto" w:fill="auto"/>
          </w:tcPr>
          <w:p w14:paraId="122C654F" w14:textId="77777777" w:rsidR="009D27B3" w:rsidRPr="0023346A" w:rsidRDefault="009D27B3" w:rsidP="00ED3E54">
            <w:pPr>
              <w:spacing w:after="0"/>
              <w:rPr>
                <w:rFonts w:cs="Arial"/>
                <w:b/>
              </w:rPr>
            </w:pPr>
            <w:r w:rsidRPr="0023346A">
              <w:rPr>
                <w:rFonts w:cs="Arial"/>
                <w:b/>
              </w:rPr>
              <w:t>Qtde HC</w:t>
            </w:r>
          </w:p>
        </w:tc>
        <w:tc>
          <w:tcPr>
            <w:tcW w:w="992" w:type="dxa"/>
            <w:shd w:val="clear" w:color="auto" w:fill="auto"/>
          </w:tcPr>
          <w:p w14:paraId="4C374836" w14:textId="77777777" w:rsidR="009D27B3" w:rsidRPr="0023346A" w:rsidRDefault="009D27B3" w:rsidP="00ED3E54">
            <w:pPr>
              <w:spacing w:after="0"/>
              <w:rPr>
                <w:rFonts w:cs="Arial"/>
                <w:b/>
              </w:rPr>
            </w:pPr>
            <w:r w:rsidRPr="0023346A">
              <w:rPr>
                <w:rFonts w:cs="Arial"/>
                <w:b/>
              </w:rPr>
              <w:t>Unid HC</w:t>
            </w:r>
          </w:p>
        </w:tc>
      </w:tr>
      <w:tr w:rsidR="009D27B3" w:rsidRPr="0023346A" w14:paraId="44C7EF81" w14:textId="77777777" w:rsidTr="00ED3E54">
        <w:tc>
          <w:tcPr>
            <w:tcW w:w="704" w:type="dxa"/>
            <w:shd w:val="clear" w:color="auto" w:fill="auto"/>
          </w:tcPr>
          <w:p w14:paraId="6F51352E" w14:textId="77777777" w:rsidR="009D27B3" w:rsidRPr="0023346A" w:rsidRDefault="009D27B3" w:rsidP="00ED3E54">
            <w:pPr>
              <w:spacing w:after="0"/>
              <w:rPr>
                <w:rFonts w:cs="Arial"/>
              </w:rPr>
            </w:pPr>
            <w:r w:rsidRPr="0023346A">
              <w:rPr>
                <w:rFonts w:cs="Arial"/>
              </w:rPr>
              <w:t>1</w:t>
            </w:r>
          </w:p>
        </w:tc>
        <w:tc>
          <w:tcPr>
            <w:tcW w:w="1134" w:type="dxa"/>
            <w:shd w:val="clear" w:color="auto" w:fill="auto"/>
          </w:tcPr>
          <w:p w14:paraId="19720ED7" w14:textId="77777777" w:rsidR="009D27B3" w:rsidRPr="0023346A" w:rsidRDefault="009D27B3" w:rsidP="00ED3E54">
            <w:pPr>
              <w:spacing w:after="0"/>
              <w:rPr>
                <w:rFonts w:cs="Arial"/>
              </w:rPr>
            </w:pPr>
            <w:r w:rsidRPr="0023346A">
              <w:rPr>
                <w:rFonts w:cs="Arial"/>
              </w:rPr>
              <w:t>11100001</w:t>
            </w:r>
          </w:p>
        </w:tc>
        <w:tc>
          <w:tcPr>
            <w:tcW w:w="1134" w:type="dxa"/>
            <w:shd w:val="clear" w:color="auto" w:fill="auto"/>
          </w:tcPr>
          <w:p w14:paraId="47AFFB96" w14:textId="77777777" w:rsidR="009D27B3" w:rsidRPr="0023346A" w:rsidRDefault="009D27B3" w:rsidP="00ED3E54">
            <w:pPr>
              <w:spacing w:after="0"/>
              <w:rPr>
                <w:rFonts w:cs="Arial"/>
              </w:rPr>
            </w:pPr>
            <w:r w:rsidRPr="0023346A">
              <w:rPr>
                <w:rFonts w:cs="Arial"/>
              </w:rPr>
              <w:t>110353</w:t>
            </w:r>
          </w:p>
        </w:tc>
        <w:tc>
          <w:tcPr>
            <w:tcW w:w="992" w:type="dxa"/>
            <w:shd w:val="clear" w:color="auto" w:fill="auto"/>
          </w:tcPr>
          <w:p w14:paraId="45538D26" w14:textId="77777777" w:rsidR="009D27B3" w:rsidRPr="0023346A" w:rsidRDefault="009D27B3" w:rsidP="00ED3E54">
            <w:pPr>
              <w:spacing w:after="0"/>
              <w:rPr>
                <w:rFonts w:cs="Arial"/>
              </w:rPr>
            </w:pPr>
            <w:r w:rsidRPr="0023346A">
              <w:rPr>
                <w:rFonts w:cs="Arial"/>
              </w:rPr>
              <w:t>267669</w:t>
            </w:r>
          </w:p>
        </w:tc>
        <w:tc>
          <w:tcPr>
            <w:tcW w:w="3261" w:type="dxa"/>
            <w:shd w:val="clear" w:color="auto" w:fill="auto"/>
          </w:tcPr>
          <w:p w14:paraId="315AB49C" w14:textId="77777777" w:rsidR="009D27B3" w:rsidRPr="0023346A" w:rsidRDefault="009D27B3" w:rsidP="00ED3E54">
            <w:pPr>
              <w:spacing w:after="0"/>
              <w:rPr>
                <w:rFonts w:cs="Arial"/>
              </w:rPr>
            </w:pPr>
            <w:r w:rsidRPr="0023346A">
              <w:rPr>
                <w:rFonts w:cs="Arial"/>
              </w:rPr>
              <w:t>HALOPERIDOL 5 MG COMPRIMIDO</w:t>
            </w:r>
          </w:p>
        </w:tc>
        <w:tc>
          <w:tcPr>
            <w:tcW w:w="992" w:type="dxa"/>
            <w:shd w:val="clear" w:color="auto" w:fill="auto"/>
          </w:tcPr>
          <w:p w14:paraId="7FCF9B49" w14:textId="77777777" w:rsidR="009D27B3" w:rsidRPr="0023346A" w:rsidRDefault="009D27B3" w:rsidP="00ED3E54">
            <w:pPr>
              <w:spacing w:after="0"/>
              <w:rPr>
                <w:rFonts w:cs="Arial"/>
              </w:rPr>
            </w:pPr>
            <w:r w:rsidRPr="0023346A">
              <w:rPr>
                <w:rFonts w:cs="Arial"/>
              </w:rPr>
              <w:t>148.384</w:t>
            </w:r>
          </w:p>
        </w:tc>
        <w:tc>
          <w:tcPr>
            <w:tcW w:w="992" w:type="dxa"/>
            <w:shd w:val="clear" w:color="auto" w:fill="auto"/>
          </w:tcPr>
          <w:p w14:paraId="5A853ED2" w14:textId="77777777" w:rsidR="009D27B3" w:rsidRPr="0023346A" w:rsidRDefault="009D27B3" w:rsidP="00ED3E54">
            <w:pPr>
              <w:spacing w:after="0"/>
              <w:rPr>
                <w:rFonts w:cs="Arial"/>
              </w:rPr>
            </w:pPr>
            <w:r w:rsidRPr="0023346A">
              <w:rPr>
                <w:rFonts w:cs="Arial"/>
              </w:rPr>
              <w:t>COM</w:t>
            </w:r>
          </w:p>
        </w:tc>
      </w:tr>
      <w:tr w:rsidR="009D27B3" w:rsidRPr="0023346A" w14:paraId="4E7E006D" w14:textId="77777777" w:rsidTr="00ED3E54">
        <w:tc>
          <w:tcPr>
            <w:tcW w:w="704" w:type="dxa"/>
            <w:shd w:val="clear" w:color="auto" w:fill="auto"/>
          </w:tcPr>
          <w:p w14:paraId="453C134F" w14:textId="77777777" w:rsidR="009D27B3" w:rsidRPr="0023346A" w:rsidRDefault="009D27B3" w:rsidP="00ED3E54">
            <w:pPr>
              <w:spacing w:after="0"/>
              <w:rPr>
                <w:rFonts w:cs="Arial"/>
              </w:rPr>
            </w:pPr>
            <w:r w:rsidRPr="0023346A">
              <w:rPr>
                <w:rFonts w:cs="Arial"/>
              </w:rPr>
              <w:t>2</w:t>
            </w:r>
          </w:p>
        </w:tc>
        <w:tc>
          <w:tcPr>
            <w:tcW w:w="1134" w:type="dxa"/>
            <w:shd w:val="clear" w:color="auto" w:fill="auto"/>
          </w:tcPr>
          <w:p w14:paraId="2CBDA9AC" w14:textId="77777777" w:rsidR="009D27B3" w:rsidRPr="0023346A" w:rsidRDefault="009D27B3" w:rsidP="00ED3E54">
            <w:pPr>
              <w:spacing w:after="0"/>
              <w:rPr>
                <w:rFonts w:cs="Arial"/>
              </w:rPr>
            </w:pPr>
            <w:r w:rsidRPr="0023346A">
              <w:rPr>
                <w:rFonts w:cs="Arial"/>
              </w:rPr>
              <w:t>11020002</w:t>
            </w:r>
          </w:p>
        </w:tc>
        <w:tc>
          <w:tcPr>
            <w:tcW w:w="1134" w:type="dxa"/>
            <w:shd w:val="clear" w:color="auto" w:fill="auto"/>
          </w:tcPr>
          <w:p w14:paraId="0322FB83" w14:textId="77777777" w:rsidR="009D27B3" w:rsidRPr="0023346A" w:rsidRDefault="009D27B3" w:rsidP="00ED3E54">
            <w:pPr>
              <w:spacing w:after="0"/>
              <w:rPr>
                <w:rFonts w:cs="Arial"/>
              </w:rPr>
            </w:pPr>
            <w:r w:rsidRPr="0023346A">
              <w:rPr>
                <w:rFonts w:cs="Arial"/>
              </w:rPr>
              <w:t>486450</w:t>
            </w:r>
          </w:p>
        </w:tc>
        <w:tc>
          <w:tcPr>
            <w:tcW w:w="992" w:type="dxa"/>
            <w:shd w:val="clear" w:color="auto" w:fill="auto"/>
          </w:tcPr>
          <w:p w14:paraId="701783C3" w14:textId="77777777" w:rsidR="009D27B3" w:rsidRPr="0023346A" w:rsidRDefault="009D27B3" w:rsidP="00ED3E54">
            <w:pPr>
              <w:spacing w:after="0"/>
              <w:rPr>
                <w:rFonts w:cs="Arial"/>
              </w:rPr>
            </w:pPr>
            <w:r w:rsidRPr="0023346A">
              <w:rPr>
                <w:rFonts w:cs="Arial"/>
              </w:rPr>
              <w:t>268076</w:t>
            </w:r>
          </w:p>
        </w:tc>
        <w:tc>
          <w:tcPr>
            <w:tcW w:w="3261" w:type="dxa"/>
            <w:shd w:val="clear" w:color="auto" w:fill="auto"/>
          </w:tcPr>
          <w:p w14:paraId="5126D25E" w14:textId="77777777" w:rsidR="009D27B3" w:rsidRPr="0023346A" w:rsidRDefault="009D27B3" w:rsidP="00ED3E54">
            <w:pPr>
              <w:spacing w:after="0"/>
              <w:rPr>
                <w:rFonts w:cs="Arial"/>
              </w:rPr>
            </w:pPr>
            <w:r w:rsidRPr="0023346A">
              <w:rPr>
                <w:rFonts w:cs="Arial"/>
              </w:rPr>
              <w:t>SULFATO DE MAGNESIO HEPTAIDRATADO 10% SOLUCAO INJETAVEL AMPOLA 10 ML</w:t>
            </w:r>
          </w:p>
        </w:tc>
        <w:tc>
          <w:tcPr>
            <w:tcW w:w="992" w:type="dxa"/>
            <w:shd w:val="clear" w:color="auto" w:fill="auto"/>
          </w:tcPr>
          <w:p w14:paraId="59613ABC" w14:textId="77777777" w:rsidR="009D27B3" w:rsidRPr="0023346A" w:rsidRDefault="009D27B3" w:rsidP="00ED3E54">
            <w:pPr>
              <w:spacing w:after="0"/>
              <w:rPr>
                <w:rFonts w:cs="Arial"/>
              </w:rPr>
            </w:pPr>
            <w:r w:rsidRPr="0023346A">
              <w:rPr>
                <w:rFonts w:cs="Arial"/>
              </w:rPr>
              <w:t xml:space="preserve"> 69.706</w:t>
            </w:r>
          </w:p>
        </w:tc>
        <w:tc>
          <w:tcPr>
            <w:tcW w:w="992" w:type="dxa"/>
            <w:shd w:val="clear" w:color="auto" w:fill="auto"/>
          </w:tcPr>
          <w:p w14:paraId="02172F4B" w14:textId="77777777" w:rsidR="009D27B3" w:rsidRPr="0023346A" w:rsidRDefault="009D27B3" w:rsidP="00ED3E54">
            <w:pPr>
              <w:spacing w:after="0"/>
              <w:rPr>
                <w:rFonts w:cs="Arial"/>
              </w:rPr>
            </w:pPr>
            <w:r w:rsidRPr="0023346A">
              <w:rPr>
                <w:rFonts w:cs="Arial"/>
              </w:rPr>
              <w:t>AMP</w:t>
            </w:r>
          </w:p>
        </w:tc>
      </w:tr>
      <w:tr w:rsidR="009D27B3" w:rsidRPr="0023346A" w14:paraId="608479A2" w14:textId="77777777" w:rsidTr="00ED3E54">
        <w:tc>
          <w:tcPr>
            <w:tcW w:w="704" w:type="dxa"/>
            <w:shd w:val="clear" w:color="auto" w:fill="auto"/>
          </w:tcPr>
          <w:p w14:paraId="52E32792" w14:textId="77777777" w:rsidR="009D27B3" w:rsidRPr="0023346A" w:rsidRDefault="009D27B3" w:rsidP="00ED3E54">
            <w:pPr>
              <w:spacing w:after="0"/>
              <w:rPr>
                <w:rFonts w:cs="Arial"/>
              </w:rPr>
            </w:pPr>
            <w:r w:rsidRPr="0023346A">
              <w:rPr>
                <w:rFonts w:cs="Arial"/>
              </w:rPr>
              <w:t>3</w:t>
            </w:r>
          </w:p>
        </w:tc>
        <w:tc>
          <w:tcPr>
            <w:tcW w:w="1134" w:type="dxa"/>
            <w:shd w:val="clear" w:color="auto" w:fill="auto"/>
          </w:tcPr>
          <w:p w14:paraId="6F71F1F0" w14:textId="77777777" w:rsidR="009D27B3" w:rsidRPr="0023346A" w:rsidRDefault="009D27B3" w:rsidP="00ED3E54">
            <w:pPr>
              <w:spacing w:after="0"/>
              <w:rPr>
                <w:rFonts w:cs="Arial"/>
              </w:rPr>
            </w:pPr>
            <w:r w:rsidRPr="0023346A">
              <w:rPr>
                <w:rFonts w:cs="Arial"/>
              </w:rPr>
              <w:t>11100059</w:t>
            </w:r>
          </w:p>
        </w:tc>
        <w:tc>
          <w:tcPr>
            <w:tcW w:w="1134" w:type="dxa"/>
            <w:shd w:val="clear" w:color="auto" w:fill="auto"/>
          </w:tcPr>
          <w:p w14:paraId="015B8598" w14:textId="77777777" w:rsidR="009D27B3" w:rsidRPr="0023346A" w:rsidRDefault="009D27B3" w:rsidP="00ED3E54">
            <w:pPr>
              <w:spacing w:after="0"/>
              <w:rPr>
                <w:rFonts w:cs="Arial"/>
              </w:rPr>
            </w:pPr>
            <w:r w:rsidRPr="0023346A">
              <w:rPr>
                <w:rFonts w:cs="Arial"/>
              </w:rPr>
              <w:t>615242</w:t>
            </w:r>
          </w:p>
        </w:tc>
        <w:tc>
          <w:tcPr>
            <w:tcW w:w="992" w:type="dxa"/>
            <w:shd w:val="clear" w:color="auto" w:fill="auto"/>
          </w:tcPr>
          <w:p w14:paraId="2F20C002" w14:textId="77777777" w:rsidR="009D27B3" w:rsidRPr="0023346A" w:rsidRDefault="009D27B3" w:rsidP="00ED3E54">
            <w:pPr>
              <w:spacing w:after="0"/>
              <w:rPr>
                <w:rFonts w:cs="Arial"/>
              </w:rPr>
            </w:pPr>
            <w:r w:rsidRPr="0023346A">
              <w:rPr>
                <w:rFonts w:cs="Arial"/>
              </w:rPr>
              <w:t>292380</w:t>
            </w:r>
          </w:p>
        </w:tc>
        <w:tc>
          <w:tcPr>
            <w:tcW w:w="3261" w:type="dxa"/>
            <w:shd w:val="clear" w:color="auto" w:fill="auto"/>
          </w:tcPr>
          <w:p w14:paraId="1672D184" w14:textId="77777777" w:rsidR="009D27B3" w:rsidRPr="0023346A" w:rsidRDefault="009D27B3" w:rsidP="00ED3E54">
            <w:pPr>
              <w:spacing w:after="0"/>
              <w:rPr>
                <w:rFonts w:cs="Arial"/>
              </w:rPr>
            </w:pPr>
            <w:r w:rsidRPr="0023346A">
              <w:rPr>
                <w:rFonts w:cs="Arial"/>
              </w:rPr>
              <w:t>TRAMADOL (CLORIDRATO) 100MG/ML SOLUCAO ORAL FRASCO 10 ML</w:t>
            </w:r>
          </w:p>
        </w:tc>
        <w:tc>
          <w:tcPr>
            <w:tcW w:w="992" w:type="dxa"/>
            <w:shd w:val="clear" w:color="auto" w:fill="auto"/>
          </w:tcPr>
          <w:p w14:paraId="4DDC6A30" w14:textId="77777777" w:rsidR="009D27B3" w:rsidRPr="0023346A" w:rsidRDefault="009D27B3" w:rsidP="00ED3E54">
            <w:pPr>
              <w:spacing w:after="0"/>
              <w:rPr>
                <w:rFonts w:cs="Arial"/>
              </w:rPr>
            </w:pPr>
            <w:r w:rsidRPr="0023346A">
              <w:rPr>
                <w:rFonts w:cs="Arial"/>
              </w:rPr>
              <w:t xml:space="preserve">    564</w:t>
            </w:r>
          </w:p>
        </w:tc>
        <w:tc>
          <w:tcPr>
            <w:tcW w:w="992" w:type="dxa"/>
            <w:shd w:val="clear" w:color="auto" w:fill="auto"/>
          </w:tcPr>
          <w:p w14:paraId="1BE2A299" w14:textId="77777777" w:rsidR="009D27B3" w:rsidRPr="0023346A" w:rsidRDefault="009D27B3" w:rsidP="00ED3E54">
            <w:pPr>
              <w:spacing w:after="0"/>
              <w:rPr>
                <w:rFonts w:cs="Arial"/>
              </w:rPr>
            </w:pPr>
            <w:r w:rsidRPr="0023346A">
              <w:rPr>
                <w:rFonts w:cs="Arial"/>
              </w:rPr>
              <w:t>FR</w:t>
            </w:r>
          </w:p>
        </w:tc>
      </w:tr>
      <w:tr w:rsidR="009D27B3" w:rsidRPr="0023346A" w14:paraId="3382C2C6" w14:textId="77777777" w:rsidTr="00ED3E54">
        <w:tc>
          <w:tcPr>
            <w:tcW w:w="704" w:type="dxa"/>
            <w:shd w:val="clear" w:color="auto" w:fill="auto"/>
          </w:tcPr>
          <w:p w14:paraId="553B2294" w14:textId="77777777" w:rsidR="009D27B3" w:rsidRPr="0023346A" w:rsidRDefault="009D27B3" w:rsidP="00ED3E54">
            <w:pPr>
              <w:spacing w:after="0"/>
              <w:rPr>
                <w:rFonts w:cs="Arial"/>
              </w:rPr>
            </w:pPr>
            <w:r w:rsidRPr="0023346A">
              <w:rPr>
                <w:rFonts w:cs="Arial"/>
              </w:rPr>
              <w:t>4</w:t>
            </w:r>
          </w:p>
        </w:tc>
        <w:tc>
          <w:tcPr>
            <w:tcW w:w="1134" w:type="dxa"/>
            <w:shd w:val="clear" w:color="auto" w:fill="auto"/>
          </w:tcPr>
          <w:p w14:paraId="58AA62BA" w14:textId="77777777" w:rsidR="009D27B3" w:rsidRPr="0023346A" w:rsidRDefault="009D27B3" w:rsidP="00ED3E54">
            <w:pPr>
              <w:spacing w:after="0"/>
              <w:rPr>
                <w:rFonts w:cs="Arial"/>
              </w:rPr>
            </w:pPr>
            <w:r w:rsidRPr="0023346A">
              <w:rPr>
                <w:rFonts w:cs="Arial"/>
              </w:rPr>
              <w:t>11022235</w:t>
            </w:r>
          </w:p>
        </w:tc>
        <w:tc>
          <w:tcPr>
            <w:tcW w:w="1134" w:type="dxa"/>
            <w:shd w:val="clear" w:color="auto" w:fill="auto"/>
          </w:tcPr>
          <w:p w14:paraId="1B9A670B" w14:textId="77777777" w:rsidR="009D27B3" w:rsidRPr="0023346A" w:rsidRDefault="009D27B3" w:rsidP="00ED3E54">
            <w:pPr>
              <w:spacing w:after="0"/>
              <w:rPr>
                <w:rFonts w:cs="Arial"/>
              </w:rPr>
            </w:pPr>
            <w:r w:rsidRPr="0023346A">
              <w:rPr>
                <w:rFonts w:cs="Arial"/>
              </w:rPr>
              <w:t>3745180</w:t>
            </w:r>
          </w:p>
        </w:tc>
        <w:tc>
          <w:tcPr>
            <w:tcW w:w="992" w:type="dxa"/>
            <w:shd w:val="clear" w:color="auto" w:fill="auto"/>
          </w:tcPr>
          <w:p w14:paraId="0D6FD2F0" w14:textId="77777777" w:rsidR="009D27B3" w:rsidRPr="0023346A" w:rsidRDefault="009D27B3" w:rsidP="00ED3E54">
            <w:pPr>
              <w:spacing w:after="0"/>
              <w:rPr>
                <w:rFonts w:cs="Arial"/>
              </w:rPr>
            </w:pPr>
            <w:r w:rsidRPr="0023346A">
              <w:rPr>
                <w:rFonts w:cs="Arial"/>
              </w:rPr>
              <w:t>371998</w:t>
            </w:r>
          </w:p>
        </w:tc>
        <w:tc>
          <w:tcPr>
            <w:tcW w:w="3261" w:type="dxa"/>
            <w:shd w:val="clear" w:color="auto" w:fill="auto"/>
          </w:tcPr>
          <w:p w14:paraId="15FBEEAC" w14:textId="77777777" w:rsidR="009D27B3" w:rsidRPr="0023346A" w:rsidRDefault="009D27B3" w:rsidP="00ED3E54">
            <w:pPr>
              <w:spacing w:after="0"/>
              <w:rPr>
                <w:rFonts w:cs="Arial"/>
              </w:rPr>
            </w:pPr>
            <w:r w:rsidRPr="0023346A">
              <w:rPr>
                <w:rFonts w:cs="Arial"/>
              </w:rPr>
              <w:t>SORBITOL 3 % SOLUCAO IRRIGACAO ESTERIL BOLSA 3000 ML</w:t>
            </w:r>
          </w:p>
        </w:tc>
        <w:tc>
          <w:tcPr>
            <w:tcW w:w="992" w:type="dxa"/>
            <w:shd w:val="clear" w:color="auto" w:fill="auto"/>
          </w:tcPr>
          <w:p w14:paraId="7CFFF9C6" w14:textId="77777777" w:rsidR="009D27B3" w:rsidRPr="0023346A" w:rsidRDefault="009D27B3" w:rsidP="00ED3E54">
            <w:pPr>
              <w:spacing w:after="0"/>
              <w:rPr>
                <w:rFonts w:cs="Arial"/>
              </w:rPr>
            </w:pPr>
            <w:r w:rsidRPr="0023346A">
              <w:rPr>
                <w:rFonts w:cs="Arial"/>
              </w:rPr>
              <w:t xml:space="preserve">  1.740</w:t>
            </w:r>
          </w:p>
        </w:tc>
        <w:tc>
          <w:tcPr>
            <w:tcW w:w="992" w:type="dxa"/>
            <w:shd w:val="clear" w:color="auto" w:fill="auto"/>
          </w:tcPr>
          <w:p w14:paraId="031E111A" w14:textId="77777777" w:rsidR="009D27B3" w:rsidRPr="0023346A" w:rsidRDefault="009D27B3" w:rsidP="00ED3E54">
            <w:pPr>
              <w:spacing w:after="0"/>
              <w:rPr>
                <w:rFonts w:cs="Arial"/>
              </w:rPr>
            </w:pPr>
            <w:r w:rsidRPr="0023346A">
              <w:rPr>
                <w:rFonts w:cs="Arial"/>
              </w:rPr>
              <w:t>BOLS</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E2BDAA4"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4C6741">
        <w:rPr>
          <w:rFonts w:cstheme="minorHAnsi"/>
          <w:sz w:val="20"/>
          <w:szCs w:val="20"/>
        </w:rPr>
        <w:t>145.00014839/2024-84</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0D82AF5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4C6741">
        <w:rPr>
          <w:rFonts w:cstheme="minorHAnsi"/>
          <w:sz w:val="20"/>
          <w:szCs w:val="20"/>
        </w:rPr>
        <w:t>145.00014839/2024-84</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21B1F4AD" w14:textId="77777777" w:rsidR="009D27B3" w:rsidRPr="009D27B3" w:rsidRDefault="009D27B3" w:rsidP="009D27B3">
      <w:pPr>
        <w:rPr>
          <w:lang w:eastAsia="pt-BR"/>
        </w:rPr>
      </w:pPr>
    </w:p>
    <w:p w14:paraId="3A7705D7" w14:textId="77777777" w:rsidR="009D27B3" w:rsidRDefault="009D27B3" w:rsidP="009D27B3">
      <w:pPr>
        <w:rPr>
          <w:lang w:eastAsia="pt-BR"/>
        </w:rPr>
      </w:pPr>
    </w:p>
    <w:p w14:paraId="0327E6C5" w14:textId="0D4032B2" w:rsidR="009D27B3" w:rsidRDefault="009D27B3" w:rsidP="009D27B3">
      <w:pPr>
        <w:rPr>
          <w:lang w:eastAsia="pt-BR"/>
        </w:rPr>
      </w:pPr>
      <w:r>
        <w:rPr>
          <w:lang w:eastAsia="pt-BR"/>
        </w:rPr>
        <w:t>Tatiane Fonseca Pereira</w:t>
      </w:r>
    </w:p>
    <w:p w14:paraId="1C7D4802" w14:textId="4CD53DCF" w:rsidR="009D27B3" w:rsidRDefault="009D27B3" w:rsidP="009D27B3">
      <w:pPr>
        <w:rPr>
          <w:lang w:eastAsia="pt-BR"/>
        </w:rPr>
      </w:pPr>
      <w:r>
        <w:rPr>
          <w:lang w:eastAsia="pt-BR"/>
        </w:rPr>
        <w:t>Oficial Administrativo</w:t>
      </w:r>
    </w:p>
    <w:p w14:paraId="640C4E14" w14:textId="77777777" w:rsidR="009D27B3" w:rsidRDefault="009D27B3" w:rsidP="009D27B3">
      <w:pPr>
        <w:rPr>
          <w:lang w:eastAsia="pt-BR"/>
        </w:rPr>
      </w:pPr>
    </w:p>
    <w:p w14:paraId="625AB4C1" w14:textId="3098EB32" w:rsidR="009D27B3" w:rsidRDefault="009D27B3" w:rsidP="009D27B3">
      <w:pPr>
        <w:rPr>
          <w:lang w:eastAsia="pt-BR"/>
        </w:rPr>
      </w:pPr>
      <w:r>
        <w:rPr>
          <w:lang w:eastAsia="pt-BR"/>
        </w:rPr>
        <w:t>Darlene Cruz Moura</w:t>
      </w:r>
    </w:p>
    <w:p w14:paraId="02F94A02" w14:textId="29F6573F" w:rsidR="009D27B3" w:rsidRDefault="009D27B3" w:rsidP="009D27B3">
      <w:pPr>
        <w:rPr>
          <w:lang w:eastAsia="pt-BR"/>
        </w:rPr>
      </w:pPr>
      <w:r>
        <w:rPr>
          <w:lang w:eastAsia="pt-BR"/>
        </w:rPr>
        <w:t>Supervisora</w:t>
      </w:r>
    </w:p>
    <w:p w14:paraId="471C3F37" w14:textId="77777777" w:rsidR="009D27B3" w:rsidRDefault="009D27B3" w:rsidP="009D27B3">
      <w:pPr>
        <w:rPr>
          <w:lang w:eastAsia="pt-BR"/>
        </w:rPr>
      </w:pPr>
    </w:p>
    <w:p w14:paraId="56AC4595" w14:textId="7C6E7AA6" w:rsidR="009D27B3" w:rsidRDefault="009D27B3" w:rsidP="009D27B3">
      <w:pPr>
        <w:rPr>
          <w:lang w:eastAsia="pt-BR"/>
        </w:rPr>
      </w:pPr>
      <w:r>
        <w:rPr>
          <w:lang w:eastAsia="pt-BR"/>
        </w:rPr>
        <w:lastRenderedPageBreak/>
        <w:t>Patricia Nunes dos Santos</w:t>
      </w:r>
    </w:p>
    <w:p w14:paraId="7523E0A8" w14:textId="177C7540" w:rsidR="009D27B3" w:rsidRDefault="009D27B3" w:rsidP="009D27B3">
      <w:pPr>
        <w:rPr>
          <w:lang w:eastAsia="pt-BR"/>
        </w:rPr>
      </w:pPr>
      <w:r>
        <w:rPr>
          <w:lang w:eastAsia="pt-BR"/>
        </w:rPr>
        <w:t>Encarregado I</w:t>
      </w:r>
    </w:p>
    <w:p w14:paraId="43046691" w14:textId="77777777" w:rsidR="009D27B3" w:rsidRDefault="009D27B3" w:rsidP="009D27B3">
      <w:pPr>
        <w:rPr>
          <w:lang w:eastAsia="pt-BR"/>
        </w:rPr>
      </w:pPr>
    </w:p>
    <w:p w14:paraId="1CAAD744" w14:textId="2585C537" w:rsidR="009D27B3" w:rsidRDefault="009D27B3" w:rsidP="009D27B3">
      <w:pPr>
        <w:rPr>
          <w:lang w:eastAsia="pt-BR"/>
        </w:rPr>
      </w:pPr>
      <w:r>
        <w:rPr>
          <w:lang w:eastAsia="pt-BR"/>
        </w:rPr>
        <w:t>Claudia Teixeira Cesena</w:t>
      </w:r>
    </w:p>
    <w:p w14:paraId="58288511" w14:textId="7931820B" w:rsidR="009D27B3" w:rsidRDefault="009D27B3" w:rsidP="009D27B3">
      <w:pPr>
        <w:rPr>
          <w:lang w:eastAsia="pt-BR"/>
        </w:rPr>
      </w:pPr>
      <w:r>
        <w:rPr>
          <w:lang w:eastAsia="pt-BR"/>
        </w:rPr>
        <w:t>Chefe I</w:t>
      </w:r>
    </w:p>
    <w:p w14:paraId="1ADF9ABA" w14:textId="77777777" w:rsidR="009D27B3" w:rsidRDefault="009D27B3" w:rsidP="009D27B3">
      <w:pPr>
        <w:rPr>
          <w:lang w:eastAsia="pt-BR"/>
        </w:rPr>
      </w:pPr>
    </w:p>
    <w:p w14:paraId="7B56E97C" w14:textId="316BB486" w:rsidR="009D27B3" w:rsidRDefault="009D27B3" w:rsidP="009D27B3">
      <w:pPr>
        <w:rPr>
          <w:lang w:eastAsia="pt-BR"/>
        </w:rPr>
      </w:pPr>
      <w:r>
        <w:rPr>
          <w:lang w:eastAsia="pt-BR"/>
        </w:rPr>
        <w:t>Marcelo Girotto Martins</w:t>
      </w:r>
    </w:p>
    <w:p w14:paraId="35985E70" w14:textId="5584D5D6" w:rsidR="009D27B3" w:rsidRDefault="009D27B3" w:rsidP="009D27B3">
      <w:pPr>
        <w:rPr>
          <w:lang w:eastAsia="pt-BR"/>
        </w:rPr>
      </w:pPr>
      <w:r>
        <w:rPr>
          <w:lang w:eastAsia="pt-BR"/>
        </w:rPr>
        <w:t>Equipe Técnica</w:t>
      </w:r>
    </w:p>
    <w:p w14:paraId="69A0B677" w14:textId="77777777" w:rsidR="009D27B3" w:rsidRPr="009D27B3" w:rsidRDefault="009D27B3" w:rsidP="009D27B3">
      <w:pPr>
        <w:rPr>
          <w:lang w:eastAsia="pt-BR"/>
        </w:rPr>
      </w:pPr>
    </w:p>
    <w:p w14:paraId="0F3F8114" w14:textId="77777777" w:rsidR="009D27B3" w:rsidRDefault="009D27B3" w:rsidP="00F75CEC">
      <w:pPr>
        <w:spacing w:after="0" w:line="262" w:lineRule="auto"/>
        <w:ind w:left="-5"/>
        <w:jc w:val="both"/>
        <w:rPr>
          <w:rFonts w:eastAsia="Calibri" w:cstheme="minorHAnsi"/>
          <w:sz w:val="20"/>
          <w:szCs w:val="20"/>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6FBB8AFA"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4C6741" w:rsidRPr="009D27B3">
        <w:rPr>
          <w:rFonts w:cstheme="minorHAnsi"/>
          <w:b/>
          <w:color w:val="000000" w:themeColor="text1"/>
          <w:sz w:val="20"/>
          <w:szCs w:val="20"/>
        </w:rPr>
        <w:t>145.00014839/2024-84</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C17D06B"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4C6741" w:rsidRPr="009D27B3">
        <w:rPr>
          <w:rFonts w:eastAsia="Arial" w:cstheme="minorHAnsi"/>
          <w:sz w:val="20"/>
          <w:szCs w:val="20"/>
        </w:rPr>
        <w:t>145.00014839/2024-84</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9D27B3">
        <w:rPr>
          <w:rFonts w:eastAsia="Arial" w:cstheme="minorHAnsi"/>
          <w:sz w:val="20"/>
          <w:szCs w:val="20"/>
        </w:rPr>
        <w:t>..........</w:t>
      </w:r>
      <w:r w:rsidRPr="009D27B3">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shd w:val="clear" w:color="auto" w:fill="FFFFFF" w:themeFill="background1"/>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7309EB">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DA583" w14:textId="77777777" w:rsidR="00681240" w:rsidRPr="007309EB" w:rsidRDefault="00681240" w:rsidP="002D0DF5">
            <w:pPr>
              <w:widowControl w:val="0"/>
              <w:spacing w:before="120" w:line="312" w:lineRule="auto"/>
              <w:jc w:val="center"/>
              <w:rPr>
                <w:rFonts w:eastAsia="Arial" w:cstheme="minorHAnsi"/>
                <w:b/>
                <w:bCs/>
                <w:color w:val="000000"/>
                <w:sz w:val="20"/>
                <w:szCs w:val="20"/>
              </w:rPr>
            </w:pPr>
            <w:r w:rsidRPr="007309EB">
              <w:rPr>
                <w:rFonts w:eastAsia="Arial" w:cstheme="minorHAnsi"/>
                <w:b/>
                <w:bCs/>
                <w:color w:val="000000" w:themeColor="text1"/>
                <w:sz w:val="20"/>
                <w:szCs w:val="20"/>
              </w:rPr>
              <w:lastRenderedPageBreak/>
              <w:t>ITEM</w:t>
            </w:r>
          </w:p>
          <w:p w14:paraId="219361F1" w14:textId="77777777" w:rsidR="00681240" w:rsidRPr="007309E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12734" w14:textId="77777777" w:rsidR="00681240" w:rsidRPr="007309EB" w:rsidRDefault="00681240" w:rsidP="002D0DF5">
            <w:pPr>
              <w:widowControl w:val="0"/>
              <w:spacing w:before="120" w:line="312" w:lineRule="auto"/>
              <w:jc w:val="center"/>
              <w:rPr>
                <w:rFonts w:eastAsia="Arial" w:cstheme="minorHAnsi"/>
                <w:color w:val="000000"/>
                <w:sz w:val="20"/>
                <w:szCs w:val="20"/>
              </w:rPr>
            </w:pPr>
            <w:r w:rsidRPr="007309E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9C8C3" w14:textId="77777777" w:rsidR="00681240" w:rsidRPr="007309EB" w:rsidRDefault="00681240" w:rsidP="002D0DF5">
            <w:pPr>
              <w:widowControl w:val="0"/>
              <w:spacing w:before="120" w:line="312" w:lineRule="auto"/>
              <w:jc w:val="center"/>
              <w:rPr>
                <w:rFonts w:eastAsia="Arial" w:cstheme="minorHAnsi"/>
                <w:color w:val="000000"/>
                <w:sz w:val="20"/>
                <w:szCs w:val="20"/>
              </w:rPr>
            </w:pPr>
            <w:r w:rsidRPr="007309E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C7B6A2" w14:textId="77777777" w:rsidR="00681240" w:rsidRPr="007309EB" w:rsidRDefault="00681240" w:rsidP="002D0DF5">
            <w:pPr>
              <w:widowControl w:val="0"/>
              <w:spacing w:before="120" w:line="312" w:lineRule="auto"/>
              <w:jc w:val="center"/>
              <w:rPr>
                <w:rFonts w:eastAsia="Arial" w:cstheme="minorHAnsi"/>
                <w:color w:val="000000"/>
                <w:sz w:val="20"/>
                <w:szCs w:val="20"/>
              </w:rPr>
            </w:pPr>
            <w:r w:rsidRPr="007309E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B63DDE" w14:textId="77777777" w:rsidR="00681240" w:rsidRPr="007309EB" w:rsidRDefault="00681240" w:rsidP="002D0DF5">
            <w:pPr>
              <w:widowControl w:val="0"/>
              <w:spacing w:before="120" w:line="312" w:lineRule="auto"/>
              <w:jc w:val="center"/>
              <w:rPr>
                <w:rFonts w:eastAsia="Arial" w:cstheme="minorHAnsi"/>
                <w:b/>
                <w:bCs/>
                <w:sz w:val="20"/>
                <w:szCs w:val="20"/>
              </w:rPr>
            </w:pPr>
            <w:r w:rsidRPr="007309E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703F65" w14:textId="77777777" w:rsidR="00681240" w:rsidRPr="007309EB" w:rsidRDefault="00681240" w:rsidP="002D0DF5">
            <w:pPr>
              <w:widowControl w:val="0"/>
              <w:spacing w:before="120" w:line="312" w:lineRule="auto"/>
              <w:jc w:val="center"/>
              <w:rPr>
                <w:rFonts w:eastAsia="Arial" w:cstheme="minorHAnsi"/>
                <w:b/>
                <w:bCs/>
                <w:sz w:val="20"/>
                <w:szCs w:val="20"/>
              </w:rPr>
            </w:pPr>
            <w:r w:rsidRPr="007309E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3CE60D" w14:textId="77777777" w:rsidR="00681240" w:rsidRPr="007309EB" w:rsidRDefault="00681240" w:rsidP="002D0DF5">
            <w:pPr>
              <w:widowControl w:val="0"/>
              <w:spacing w:before="120" w:line="312" w:lineRule="auto"/>
              <w:jc w:val="center"/>
              <w:rPr>
                <w:rFonts w:eastAsia="Arial" w:cstheme="minorHAnsi"/>
                <w:b/>
                <w:bCs/>
                <w:sz w:val="20"/>
                <w:szCs w:val="20"/>
              </w:rPr>
            </w:pPr>
            <w:r w:rsidRPr="007309EB">
              <w:rPr>
                <w:rFonts w:eastAsia="Arial" w:cstheme="minorHAnsi"/>
                <w:b/>
                <w:bCs/>
                <w:sz w:val="20"/>
                <w:szCs w:val="20"/>
              </w:rPr>
              <w:t>VALOR TOTAL</w:t>
            </w:r>
          </w:p>
        </w:tc>
      </w:tr>
      <w:tr w:rsidR="00681240" w:rsidRPr="00F43360" w14:paraId="55C7643D" w14:textId="77777777" w:rsidTr="007309EB">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0D7324" w14:textId="77777777" w:rsidR="00681240" w:rsidRPr="007309EB" w:rsidRDefault="00681240" w:rsidP="002D0DF5">
            <w:pPr>
              <w:widowControl w:val="0"/>
              <w:spacing w:before="120" w:line="312" w:lineRule="auto"/>
              <w:jc w:val="center"/>
              <w:rPr>
                <w:rFonts w:eastAsia="Arial" w:cstheme="minorHAnsi"/>
                <w:b/>
                <w:bCs/>
                <w:color w:val="000000"/>
                <w:sz w:val="20"/>
                <w:szCs w:val="20"/>
              </w:rPr>
            </w:pPr>
            <w:r w:rsidRPr="007309E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071AE7" w14:textId="1B54AB90" w:rsidR="00681240" w:rsidRPr="007309EB" w:rsidRDefault="00F65388" w:rsidP="002D0DF5">
            <w:pPr>
              <w:widowControl w:val="0"/>
              <w:spacing w:before="120" w:line="312" w:lineRule="auto"/>
              <w:rPr>
                <w:rFonts w:eastAsia="Arial" w:cstheme="minorHAnsi"/>
                <w:color w:val="000000"/>
                <w:sz w:val="20"/>
                <w:szCs w:val="20"/>
              </w:rPr>
            </w:pPr>
            <w:r w:rsidRPr="007309E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FB5E9" w14:textId="10CD50C2" w:rsidR="00681240" w:rsidRPr="007309EB" w:rsidRDefault="00F65388" w:rsidP="002D0DF5">
            <w:pPr>
              <w:widowControl w:val="0"/>
              <w:spacing w:before="120" w:line="312" w:lineRule="auto"/>
              <w:rPr>
                <w:rFonts w:eastAsia="Arial" w:cstheme="minorHAnsi"/>
                <w:color w:val="000000"/>
                <w:sz w:val="20"/>
                <w:szCs w:val="20"/>
              </w:rPr>
            </w:pPr>
            <w:r w:rsidRPr="007309E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1262A4" w14:textId="26FF7E5B" w:rsidR="00681240" w:rsidRPr="007309EB" w:rsidRDefault="00F65388" w:rsidP="002D0DF5">
            <w:pPr>
              <w:widowControl w:val="0"/>
              <w:spacing w:before="120" w:line="312" w:lineRule="auto"/>
              <w:rPr>
                <w:rFonts w:eastAsia="Arial" w:cstheme="minorHAnsi"/>
                <w:color w:val="000000"/>
                <w:sz w:val="20"/>
                <w:szCs w:val="20"/>
              </w:rPr>
            </w:pPr>
            <w:r w:rsidRPr="007309E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5F13DA" w14:textId="77777777" w:rsidR="00681240" w:rsidRPr="007309EB" w:rsidRDefault="00681240" w:rsidP="002D0DF5">
            <w:pPr>
              <w:widowControl w:val="0"/>
              <w:spacing w:before="120" w:line="312" w:lineRule="auto"/>
              <w:rPr>
                <w:rFonts w:eastAsia="Arial" w:cstheme="minorHAnsi"/>
                <w:color w:val="000000"/>
                <w:sz w:val="20"/>
                <w:szCs w:val="20"/>
              </w:rPr>
            </w:pPr>
            <w:r w:rsidRPr="007309E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99025" w14:textId="77777777" w:rsidR="00681240" w:rsidRPr="007309EB" w:rsidRDefault="00681240" w:rsidP="002D0DF5">
            <w:pPr>
              <w:widowControl w:val="0"/>
              <w:spacing w:before="120" w:line="312" w:lineRule="auto"/>
              <w:rPr>
                <w:rFonts w:eastAsia="Arial" w:cstheme="minorHAnsi"/>
                <w:color w:val="000000"/>
                <w:sz w:val="20"/>
                <w:szCs w:val="20"/>
              </w:rPr>
            </w:pPr>
            <w:r w:rsidRPr="007309E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6BE89B" w14:textId="4481B8E9" w:rsidR="00681240" w:rsidRPr="007309EB" w:rsidRDefault="00E6564F" w:rsidP="002D0DF5">
            <w:pPr>
              <w:widowControl w:val="0"/>
              <w:spacing w:before="120" w:line="312" w:lineRule="auto"/>
              <w:rPr>
                <w:rFonts w:eastAsia="Arial" w:cstheme="minorHAnsi"/>
                <w:color w:val="000000"/>
                <w:sz w:val="20"/>
                <w:szCs w:val="20"/>
              </w:rPr>
            </w:pPr>
            <w:r w:rsidRPr="007309EB">
              <w:rPr>
                <w:rFonts w:eastAsia="Arial" w:cstheme="minorHAnsi"/>
                <w:color w:val="000000"/>
                <w:sz w:val="20"/>
                <w:szCs w:val="20"/>
              </w:rPr>
              <w:t>R$..................</w:t>
            </w:r>
            <w:r w:rsidR="00681240" w:rsidRPr="007309E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EBFC0F6"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4C6741" w:rsidRPr="00FD6636">
        <w:rPr>
          <w:rStyle w:val="Forte"/>
          <w:rFonts w:asciiTheme="minorHAnsi" w:hAnsiTheme="minorHAnsi" w:cstheme="minorHAnsi"/>
          <w:sz w:val="20"/>
          <w:szCs w:val="20"/>
        </w:rPr>
        <w:t>145.00014839/2024-84</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3C27284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4C6741" w:rsidRPr="00FD6636">
        <w:rPr>
          <w:rStyle w:val="Forte"/>
          <w:rFonts w:asciiTheme="minorHAnsi" w:hAnsiTheme="minorHAnsi" w:cstheme="minorHAnsi"/>
          <w:sz w:val="20"/>
          <w:szCs w:val="20"/>
        </w:rPr>
        <w:t>145.00014839/2024-84</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EB28FB3"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4C6741" w:rsidRPr="00FD6636">
        <w:rPr>
          <w:rFonts w:asciiTheme="minorHAnsi" w:hAnsiTheme="minorHAnsi" w:cstheme="minorHAnsi"/>
          <w:b/>
          <w:sz w:val="20"/>
          <w:szCs w:val="20"/>
        </w:rPr>
        <w:t>HALOPERIDOL 5 MG COMPRIMIDO, SULFATO DE MAGNESIO 10% SOLUCAO INJETAVEL AMPOLA 10 ML, TRAMADOL 100MG/ML SOLUCAO ORAL FRASCO 10 ML, SORBITOL 3 % SOLUCAO IRRIGACAO ESTERIL BOLSA 3000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8317D7">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8317D7">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8317D7">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8317D7">
            <w:pPr>
              <w:spacing w:after="0" w:line="240" w:lineRule="auto"/>
              <w:rPr>
                <w:rFonts w:eastAsia="Times New Roman" w:cstheme="minorHAnsi"/>
                <w:sz w:val="20"/>
                <w:szCs w:val="20"/>
                <w:lang w:eastAsia="pt-BR"/>
              </w:rPr>
            </w:pPr>
          </w:p>
          <w:p w14:paraId="1A99E7FC"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8317D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8317D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8317D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8317D7">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8317D7">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8317D7">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8317D7">
            <w:pPr>
              <w:spacing w:after="0" w:line="240" w:lineRule="auto"/>
              <w:rPr>
                <w:rFonts w:eastAsia="Times New Roman" w:cstheme="minorHAnsi"/>
                <w:sz w:val="20"/>
                <w:szCs w:val="20"/>
                <w:lang w:eastAsia="pt-BR"/>
              </w:rPr>
            </w:pPr>
          </w:p>
          <w:p w14:paraId="564AFC9E"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8317D7">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8317D7">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8317D7">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8317D7">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8317D7">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C29B6" w:rsidRDefault="001C29B6" w:rsidP="00CD63E8">
      <w:pPr>
        <w:spacing w:after="0" w:line="240" w:lineRule="auto"/>
      </w:pPr>
      <w:r>
        <w:separator/>
      </w:r>
    </w:p>
  </w:endnote>
  <w:endnote w:type="continuationSeparator" w:id="0">
    <w:p w14:paraId="006F6C37" w14:textId="77777777" w:rsidR="001C29B6" w:rsidRDefault="001C29B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C29B6" w:rsidRDefault="001C29B6" w:rsidP="00CD63E8">
      <w:pPr>
        <w:spacing w:after="0" w:line="240" w:lineRule="auto"/>
      </w:pPr>
      <w:r>
        <w:separator/>
      </w:r>
    </w:p>
  </w:footnote>
  <w:footnote w:type="continuationSeparator" w:id="0">
    <w:p w14:paraId="4BD0FC99" w14:textId="77777777" w:rsidR="001C29B6" w:rsidRDefault="001C29B6"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91541"/>
    <w:rsid w:val="001A73DF"/>
    <w:rsid w:val="001C29B6"/>
    <w:rsid w:val="001C74C9"/>
    <w:rsid w:val="001D60E1"/>
    <w:rsid w:val="001F3004"/>
    <w:rsid w:val="002011D5"/>
    <w:rsid w:val="00206842"/>
    <w:rsid w:val="002367D7"/>
    <w:rsid w:val="00260C93"/>
    <w:rsid w:val="002845CB"/>
    <w:rsid w:val="002A7022"/>
    <w:rsid w:val="002D0DF5"/>
    <w:rsid w:val="002D74C3"/>
    <w:rsid w:val="002D78C0"/>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C6741"/>
    <w:rsid w:val="004D76DA"/>
    <w:rsid w:val="004F4D78"/>
    <w:rsid w:val="005178D2"/>
    <w:rsid w:val="00532A12"/>
    <w:rsid w:val="005370DB"/>
    <w:rsid w:val="00553308"/>
    <w:rsid w:val="005A4EC6"/>
    <w:rsid w:val="005B6DBF"/>
    <w:rsid w:val="006037D3"/>
    <w:rsid w:val="00607807"/>
    <w:rsid w:val="00640EB7"/>
    <w:rsid w:val="00666E73"/>
    <w:rsid w:val="006721E0"/>
    <w:rsid w:val="00676B5F"/>
    <w:rsid w:val="00681240"/>
    <w:rsid w:val="00685CB5"/>
    <w:rsid w:val="006A12FD"/>
    <w:rsid w:val="006B7CE5"/>
    <w:rsid w:val="006D10C1"/>
    <w:rsid w:val="007309EB"/>
    <w:rsid w:val="00783287"/>
    <w:rsid w:val="007A44DE"/>
    <w:rsid w:val="007B6D00"/>
    <w:rsid w:val="007B71FE"/>
    <w:rsid w:val="007C2029"/>
    <w:rsid w:val="007D17F1"/>
    <w:rsid w:val="007F6E63"/>
    <w:rsid w:val="00824099"/>
    <w:rsid w:val="00892DCD"/>
    <w:rsid w:val="008F772C"/>
    <w:rsid w:val="00952EAF"/>
    <w:rsid w:val="0095532A"/>
    <w:rsid w:val="00960BA6"/>
    <w:rsid w:val="009765FF"/>
    <w:rsid w:val="00981C90"/>
    <w:rsid w:val="009A0F12"/>
    <w:rsid w:val="009D27B3"/>
    <w:rsid w:val="009F66F7"/>
    <w:rsid w:val="00A4142D"/>
    <w:rsid w:val="00A45D56"/>
    <w:rsid w:val="00A9533C"/>
    <w:rsid w:val="00AA7247"/>
    <w:rsid w:val="00AA7BF6"/>
    <w:rsid w:val="00AB0EE3"/>
    <w:rsid w:val="00AF64CB"/>
    <w:rsid w:val="00B06FDB"/>
    <w:rsid w:val="00B204E5"/>
    <w:rsid w:val="00B479DB"/>
    <w:rsid w:val="00B57A18"/>
    <w:rsid w:val="00B60558"/>
    <w:rsid w:val="00B650C8"/>
    <w:rsid w:val="00B72727"/>
    <w:rsid w:val="00B81255"/>
    <w:rsid w:val="00B92DC5"/>
    <w:rsid w:val="00BF7550"/>
    <w:rsid w:val="00C336AA"/>
    <w:rsid w:val="00C54544"/>
    <w:rsid w:val="00C739BF"/>
    <w:rsid w:val="00C93AE9"/>
    <w:rsid w:val="00C94946"/>
    <w:rsid w:val="00CB349E"/>
    <w:rsid w:val="00CC5E57"/>
    <w:rsid w:val="00CD63E8"/>
    <w:rsid w:val="00D21DE4"/>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57C8"/>
    <w:rsid w:val="00EA3054"/>
    <w:rsid w:val="00ED25B5"/>
    <w:rsid w:val="00F1141F"/>
    <w:rsid w:val="00F148D6"/>
    <w:rsid w:val="00F30646"/>
    <w:rsid w:val="00F43360"/>
    <w:rsid w:val="00F560F2"/>
    <w:rsid w:val="00F63D54"/>
    <w:rsid w:val="00F65388"/>
    <w:rsid w:val="00F70424"/>
    <w:rsid w:val="00F72003"/>
    <w:rsid w:val="00F74221"/>
    <w:rsid w:val="00F75CEC"/>
    <w:rsid w:val="00F7693E"/>
    <w:rsid w:val="00F8324E"/>
    <w:rsid w:val="00F85525"/>
    <w:rsid w:val="00FB61BA"/>
    <w:rsid w:val="00FD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B5269-C647-4B71-9279-B1341221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33345</Words>
  <Characters>180068</Characters>
  <Application>Microsoft Office Word</Application>
  <DocSecurity>0</DocSecurity>
  <Lines>1500</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15</cp:revision>
  <dcterms:created xsi:type="dcterms:W3CDTF">2024-07-24T17:10:00Z</dcterms:created>
  <dcterms:modified xsi:type="dcterms:W3CDTF">2024-07-25T17:02:00Z</dcterms:modified>
</cp:coreProperties>
</file>