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85D6" w14:textId="77777777" w:rsidR="00B65601" w:rsidRDefault="00B551C9">
      <w:pPr>
        <w:pStyle w:val="Normal1"/>
        <w:tabs>
          <w:tab w:val="clear" w:pos="8648"/>
        </w:tabs>
        <w:spacing w:before="0" w:after="0" w:line="240" w:lineRule="auto"/>
        <w:ind w:left="0"/>
        <w:jc w:val="center"/>
        <w:rPr>
          <w:rFonts w:ascii="Times New Roman" w:hAnsi="Times New Roman" w:cs="Times New Roman"/>
          <w:sz w:val="22"/>
          <w:szCs w:val="22"/>
        </w:rPr>
      </w:pPr>
      <w:r>
        <w:rPr>
          <w:noProof/>
          <w:lang w:eastAsia="pt-BR"/>
        </w:rPr>
        <w:drawing>
          <wp:inline distT="0" distB="0" distL="0" distR="0" wp14:anchorId="769025FF" wp14:editId="130E8D9E">
            <wp:extent cx="735330" cy="809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735330" cy="809625"/>
                    </a:xfrm>
                    <a:prstGeom prst="rect">
                      <a:avLst/>
                    </a:prstGeom>
                  </pic:spPr>
                </pic:pic>
              </a:graphicData>
            </a:graphic>
          </wp:inline>
        </w:drawing>
      </w:r>
    </w:p>
    <w:p w14:paraId="44E22F8B" w14:textId="77777777" w:rsidR="00B65601" w:rsidRDefault="00B551C9">
      <w:pPr>
        <w:pStyle w:val="Normal1"/>
        <w:tabs>
          <w:tab w:val="clear" w:pos="8648"/>
        </w:tabs>
        <w:spacing w:before="0" w:after="0" w:line="240" w:lineRule="auto"/>
        <w:ind w:left="0"/>
        <w:jc w:val="center"/>
        <w:rPr>
          <w:rFonts w:ascii="Times New Roman" w:hAnsi="Times New Roman" w:cs="Times New Roman"/>
          <w:b/>
          <w:bCs/>
          <w:iCs/>
          <w:sz w:val="22"/>
          <w:szCs w:val="22"/>
        </w:rPr>
      </w:pPr>
      <w:r>
        <w:rPr>
          <w:rFonts w:ascii="Times New Roman" w:hAnsi="Times New Roman" w:cs="Times New Roman"/>
          <w:b/>
          <w:bCs/>
          <w:iCs/>
          <w:sz w:val="22"/>
          <w:szCs w:val="22"/>
        </w:rPr>
        <w:t>MINISTÉRIO DA DEFESA</w:t>
      </w:r>
    </w:p>
    <w:p w14:paraId="3446C84E" w14:textId="77777777" w:rsidR="00B65601" w:rsidRDefault="00B551C9">
      <w:pPr>
        <w:pStyle w:val="Normal1"/>
        <w:tabs>
          <w:tab w:val="clear" w:pos="8648"/>
        </w:tabs>
        <w:spacing w:before="0" w:after="0"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t>EXÉRCITO BRASILEIRO</w:t>
      </w:r>
    </w:p>
    <w:p w14:paraId="1A7F25E4" w14:textId="77777777" w:rsidR="00B65601" w:rsidRDefault="00B551C9">
      <w:pPr>
        <w:pStyle w:val="Normal1"/>
        <w:tabs>
          <w:tab w:val="clear" w:pos="8648"/>
        </w:tabs>
        <w:spacing w:before="0" w:after="0"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t>CMSE                          2ª RM</w:t>
      </w:r>
    </w:p>
    <w:p w14:paraId="1ADD4F3B" w14:textId="77777777" w:rsidR="00B65601" w:rsidRDefault="00B551C9">
      <w:pPr>
        <w:pStyle w:val="Ttulo5"/>
        <w:keepNext/>
        <w:numPr>
          <w:ilvl w:val="4"/>
          <w:numId w:val="2"/>
        </w:numPr>
        <w:tabs>
          <w:tab w:val="clear" w:pos="8648"/>
        </w:tabs>
        <w:spacing w:before="0" w:after="0" w:line="240" w:lineRule="auto"/>
        <w:ind w:left="0" w:firstLine="0"/>
        <w:jc w:val="center"/>
        <w:rPr>
          <w:rFonts w:ascii="Times New Roman" w:hAnsi="Times New Roman" w:cs="Times New Roman"/>
          <w:i w:val="0"/>
          <w:sz w:val="22"/>
          <w:szCs w:val="22"/>
        </w:rPr>
      </w:pPr>
      <w:r>
        <w:rPr>
          <w:rFonts w:ascii="Times New Roman" w:hAnsi="Times New Roman" w:cs="Times New Roman"/>
          <w:i w:val="0"/>
          <w:sz w:val="22"/>
          <w:szCs w:val="22"/>
        </w:rPr>
        <w:t>HOSPITAL MILITAR DE ÁREA DE SÃO PAULO</w:t>
      </w:r>
    </w:p>
    <w:p w14:paraId="37355523" w14:textId="77777777" w:rsidR="00B65601" w:rsidRDefault="00B551C9">
      <w:pPr>
        <w:pStyle w:val="Ttulo5"/>
        <w:keepNext/>
        <w:numPr>
          <w:ilvl w:val="4"/>
          <w:numId w:val="2"/>
        </w:numPr>
        <w:tabs>
          <w:tab w:val="clear" w:pos="8648"/>
        </w:tabs>
        <w:spacing w:before="0" w:after="0" w:line="240" w:lineRule="auto"/>
        <w:ind w:left="0" w:firstLine="0"/>
        <w:jc w:val="center"/>
        <w:rPr>
          <w:rFonts w:ascii="Times New Roman" w:hAnsi="Times New Roman" w:cs="Times New Roman"/>
          <w:i w:val="0"/>
          <w:sz w:val="22"/>
          <w:szCs w:val="22"/>
        </w:rPr>
      </w:pPr>
      <w:r>
        <w:rPr>
          <w:rFonts w:ascii="Times New Roman" w:hAnsi="Times New Roman" w:cs="Times New Roman"/>
          <w:i w:val="0"/>
          <w:sz w:val="22"/>
          <w:szCs w:val="22"/>
        </w:rPr>
        <w:t xml:space="preserve"> (Hospital Militar de 3ª Classe de São Paulo/1890)</w:t>
      </w:r>
    </w:p>
    <w:p w14:paraId="140FFD3A" w14:textId="77777777" w:rsidR="00B65601" w:rsidRDefault="00B65601">
      <w:pPr>
        <w:pStyle w:val="Normal1"/>
        <w:rPr>
          <w:rFonts w:ascii="Times New Roman" w:hAnsi="Times New Roman" w:cs="Times New Roman"/>
          <w:sz w:val="22"/>
          <w:szCs w:val="22"/>
        </w:rPr>
      </w:pPr>
    </w:p>
    <w:p w14:paraId="447267EC" w14:textId="77777777" w:rsidR="00B65601" w:rsidRDefault="00B551C9">
      <w:pPr>
        <w:pStyle w:val="Normal1"/>
        <w:tabs>
          <w:tab w:val="clear" w:pos="8648"/>
        </w:tabs>
        <w:spacing w:after="0" w:line="240" w:lineRule="auto"/>
        <w:ind w:left="0"/>
        <w:jc w:val="center"/>
        <w:rPr>
          <w:rFonts w:ascii="Times New Roman" w:hAnsi="Times New Roman" w:cs="Times New Roman"/>
          <w:b/>
          <w:sz w:val="22"/>
          <w:szCs w:val="22"/>
        </w:rPr>
      </w:pPr>
      <w:r>
        <w:rPr>
          <w:rFonts w:ascii="Times New Roman" w:hAnsi="Times New Roman" w:cs="Times New Roman"/>
          <w:b/>
          <w:sz w:val="22"/>
          <w:szCs w:val="22"/>
        </w:rPr>
        <w:t>APÊNDICEA DO TERMO DE REFERÊNCIA</w:t>
      </w:r>
    </w:p>
    <w:p w14:paraId="74099801" w14:textId="77777777" w:rsidR="00B65601" w:rsidRDefault="00B551C9">
      <w:pPr>
        <w:pStyle w:val="Normal1"/>
        <w:tabs>
          <w:tab w:val="clear" w:pos="8648"/>
        </w:tabs>
        <w:spacing w:before="0" w:line="240" w:lineRule="auto"/>
        <w:ind w:left="0"/>
        <w:jc w:val="center"/>
        <w:rPr>
          <w:rFonts w:ascii="Times New Roman" w:hAnsi="Times New Roman" w:cs="Times New Roman"/>
          <w:b/>
          <w:color w:val="auto"/>
          <w:sz w:val="22"/>
          <w:szCs w:val="22"/>
        </w:rPr>
      </w:pPr>
      <w:r>
        <w:rPr>
          <w:rFonts w:ascii="Times New Roman" w:hAnsi="Times New Roman" w:cs="Times New Roman"/>
          <w:b/>
          <w:color w:val="auto"/>
          <w:sz w:val="22"/>
          <w:szCs w:val="22"/>
        </w:rPr>
        <w:t>ESTUDO TÉCNICO PRELIMINAR</w:t>
      </w:r>
    </w:p>
    <w:p w14:paraId="2F19654F" w14:textId="77777777" w:rsidR="00B65601" w:rsidRDefault="00B65601">
      <w:pPr>
        <w:pStyle w:val="Normal1"/>
        <w:tabs>
          <w:tab w:val="clear" w:pos="8648"/>
        </w:tabs>
        <w:spacing w:before="0" w:line="240" w:lineRule="auto"/>
        <w:ind w:left="0"/>
        <w:jc w:val="center"/>
        <w:rPr>
          <w:rFonts w:ascii="Times New Roman" w:hAnsi="Times New Roman" w:cs="Times New Roman"/>
          <w:b/>
          <w:color w:val="auto"/>
          <w:sz w:val="22"/>
          <w:szCs w:val="22"/>
        </w:rPr>
      </w:pPr>
    </w:p>
    <w:p w14:paraId="7C5066C8" w14:textId="77777777" w:rsidR="00B65601" w:rsidRDefault="00B551C9">
      <w:pPr>
        <w:pStyle w:val="Corpodetexto2"/>
        <w:numPr>
          <w:ilvl w:val="0"/>
          <w:numId w:val="1"/>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INFORMAÇÕES BÁSICAS</w:t>
      </w:r>
    </w:p>
    <w:p w14:paraId="3383F3C1" w14:textId="77777777" w:rsidR="00B65601" w:rsidRDefault="00B551C9">
      <w:pPr>
        <w:pStyle w:val="Corpodetexto2"/>
        <w:numPr>
          <w:ilvl w:val="1"/>
          <w:numId w:val="1"/>
        </w:numPr>
        <w:shd w:val="clear" w:color="auto" w:fill="FFFFFF"/>
        <w:tabs>
          <w:tab w:val="clear" w:pos="8648"/>
        </w:tabs>
        <w:spacing w:before="0" w:after="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Número do Processo: 64584.003447/2024-85</w:t>
      </w:r>
    </w:p>
    <w:p w14:paraId="682AF892" w14:textId="77777777" w:rsidR="00B65601" w:rsidRDefault="00B551C9">
      <w:pPr>
        <w:pStyle w:val="Corpodetexto2"/>
        <w:numPr>
          <w:ilvl w:val="0"/>
          <w:numId w:val="1"/>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DESCRIÇÃO DA NECESSIDADE</w:t>
      </w:r>
    </w:p>
    <w:p w14:paraId="538EE17D" w14:textId="77777777" w:rsidR="00B65601" w:rsidRDefault="00B551C9">
      <w:pPr>
        <w:pStyle w:val="Corpodetexto2"/>
        <w:numPr>
          <w:ilvl w:val="1"/>
          <w:numId w:val="1"/>
        </w:numPr>
        <w:shd w:val="clear" w:color="auto" w:fill="FFFFFF"/>
        <w:tabs>
          <w:tab w:val="clear" w:pos="8648"/>
        </w:tabs>
        <w:spacing w:before="0" w:after="0" w:line="240" w:lineRule="auto"/>
        <w:ind w:left="709" w:hanging="425"/>
        <w:rPr>
          <w:rFonts w:ascii="Times New Roman" w:hAnsi="Times New Roman" w:cs="Times New Roman"/>
          <w:b/>
          <w:color w:val="auto"/>
          <w:sz w:val="22"/>
          <w:szCs w:val="22"/>
          <w:u w:val="single"/>
        </w:rPr>
      </w:pPr>
      <w:r>
        <w:rPr>
          <w:rFonts w:ascii="Times New Roman" w:hAnsi="Times New Roman" w:cs="Times New Roman"/>
          <w:color w:val="auto"/>
          <w:sz w:val="22"/>
          <w:szCs w:val="22"/>
        </w:rPr>
        <w:t>Aquisição de medicamentos oncológicos em prol do HMASP, destinados a suprir as necessidades no âmbito da 2ª Região Militar</w:t>
      </w:r>
      <w:r>
        <w:rPr>
          <w:rFonts w:ascii="Times New Roman" w:hAnsi="Times New Roman" w:cs="Times New Roman"/>
          <w:i/>
          <w:color w:val="auto"/>
          <w:sz w:val="22"/>
          <w:szCs w:val="22"/>
        </w:rPr>
        <w:t>,</w:t>
      </w:r>
      <w:r>
        <w:rPr>
          <w:rFonts w:ascii="Times New Roman" w:hAnsi="Times New Roman" w:cs="Times New Roman"/>
          <w:color w:val="auto"/>
          <w:sz w:val="22"/>
          <w:szCs w:val="22"/>
        </w:rPr>
        <w:t>conforme condições, quantidades e exigências estabelecidas no Termo de Referência.</w:t>
      </w:r>
    </w:p>
    <w:p w14:paraId="2B6D5A31" w14:textId="77777777" w:rsidR="00B65601" w:rsidRDefault="00B551C9">
      <w:pPr>
        <w:pStyle w:val="Corpodetexto2"/>
        <w:numPr>
          <w:ilvl w:val="0"/>
          <w:numId w:val="1"/>
        </w:numPr>
        <w:shd w:val="clear" w:color="auto" w:fill="FFFFFF"/>
        <w:tabs>
          <w:tab w:val="clear" w:pos="8648"/>
        </w:tabs>
        <w:spacing w:after="60" w:line="276"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ÁREA REQUISITANTE</w:t>
      </w:r>
    </w:p>
    <w:tbl>
      <w:tblPr>
        <w:tblStyle w:val="Tabelacomgrade"/>
        <w:tblW w:w="9713" w:type="dxa"/>
        <w:tblInd w:w="284" w:type="dxa"/>
        <w:tblLayout w:type="fixed"/>
        <w:tblLook w:val="04A0" w:firstRow="1" w:lastRow="0" w:firstColumn="1" w:lastColumn="0" w:noHBand="0" w:noVBand="1"/>
      </w:tblPr>
      <w:tblGrid>
        <w:gridCol w:w="3792"/>
        <w:gridCol w:w="5921"/>
      </w:tblGrid>
      <w:tr w:rsidR="00B65601" w14:paraId="3FEB0C58" w14:textId="77777777">
        <w:tc>
          <w:tcPr>
            <w:tcW w:w="379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1D29E537" w14:textId="77777777" w:rsidR="00B65601" w:rsidRDefault="00B551C9">
            <w:pPr>
              <w:pStyle w:val="Corpodetexto2"/>
              <w:tabs>
                <w:tab w:val="clear" w:pos="8648"/>
              </w:tabs>
              <w:spacing w:before="0" w:after="0" w:line="276" w:lineRule="auto"/>
              <w:ind w:left="0"/>
              <w:jc w:val="center"/>
              <w:rPr>
                <w:rFonts w:ascii="Times New Roman" w:hAnsi="Times New Roman" w:cs="Times New Roman"/>
                <w:b/>
                <w:color w:val="auto"/>
                <w:sz w:val="22"/>
                <w:szCs w:val="22"/>
              </w:rPr>
            </w:pPr>
            <w:r>
              <w:rPr>
                <w:rFonts w:ascii="Times New Roman" w:hAnsi="Times New Roman" w:cs="Times New Roman"/>
                <w:b/>
                <w:color w:val="auto"/>
                <w:sz w:val="22"/>
                <w:szCs w:val="22"/>
              </w:rPr>
              <w:t>Área Requisitante</w:t>
            </w:r>
          </w:p>
        </w:tc>
        <w:tc>
          <w:tcPr>
            <w:tcW w:w="592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6B4B3988" w14:textId="77777777" w:rsidR="00B65601" w:rsidRDefault="00B551C9">
            <w:pPr>
              <w:pStyle w:val="Corpodetexto2"/>
              <w:tabs>
                <w:tab w:val="clear" w:pos="8648"/>
              </w:tabs>
              <w:spacing w:before="0" w:after="0" w:line="276" w:lineRule="auto"/>
              <w:ind w:left="0"/>
              <w:jc w:val="center"/>
              <w:rPr>
                <w:rFonts w:ascii="Times New Roman" w:hAnsi="Times New Roman" w:cs="Times New Roman"/>
                <w:b/>
                <w:color w:val="auto"/>
                <w:sz w:val="22"/>
                <w:szCs w:val="22"/>
              </w:rPr>
            </w:pPr>
            <w:r>
              <w:rPr>
                <w:rFonts w:ascii="Times New Roman" w:hAnsi="Times New Roman" w:cs="Times New Roman"/>
                <w:b/>
                <w:color w:val="auto"/>
                <w:sz w:val="22"/>
                <w:szCs w:val="22"/>
              </w:rPr>
              <w:t>Responsável</w:t>
            </w:r>
          </w:p>
        </w:tc>
      </w:tr>
      <w:tr w:rsidR="00B65601" w14:paraId="4AB874A6" w14:textId="77777777">
        <w:trPr>
          <w:trHeight w:val="247"/>
        </w:trPr>
        <w:tc>
          <w:tcPr>
            <w:tcW w:w="379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37456236" w14:textId="77777777" w:rsidR="00B65601" w:rsidRDefault="00B551C9">
            <w:pPr>
              <w:pStyle w:val="Corpodetexto2"/>
              <w:tabs>
                <w:tab w:val="clear" w:pos="8648"/>
              </w:tabs>
              <w:spacing w:before="0" w:after="0" w:line="276" w:lineRule="auto"/>
              <w:ind w:left="0"/>
              <w:jc w:val="center"/>
              <w:rPr>
                <w:rFonts w:ascii="Times New Roman" w:hAnsi="Times New Roman" w:cs="Times New Roman"/>
                <w:color w:val="auto"/>
                <w:sz w:val="22"/>
                <w:szCs w:val="22"/>
              </w:rPr>
            </w:pPr>
            <w:r>
              <w:rPr>
                <w:rFonts w:ascii="Times New Roman" w:hAnsi="Times New Roman" w:cs="Times New Roman"/>
                <w:color w:val="auto"/>
                <w:sz w:val="22"/>
                <w:szCs w:val="22"/>
              </w:rPr>
              <w:t>Central de Abastecimento Farmacêutico</w:t>
            </w:r>
          </w:p>
        </w:tc>
        <w:tc>
          <w:tcPr>
            <w:tcW w:w="5920"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7BD58E13" w14:textId="77777777" w:rsidR="00B65601" w:rsidRDefault="00B551C9">
            <w:pPr>
              <w:spacing w:line="276" w:lineRule="auto"/>
              <w:jc w:val="center"/>
              <w:rPr>
                <w:sz w:val="22"/>
                <w:szCs w:val="22"/>
              </w:rPr>
            </w:pPr>
            <w:r>
              <w:rPr>
                <w:b/>
                <w:iCs/>
                <w:sz w:val="22"/>
                <w:szCs w:val="22"/>
              </w:rPr>
              <w:t xml:space="preserve">CASSIA </w:t>
            </w:r>
            <w:r>
              <w:rPr>
                <w:iCs/>
                <w:sz w:val="22"/>
                <w:szCs w:val="22"/>
              </w:rPr>
              <w:t>HELENA</w:t>
            </w:r>
            <w:r>
              <w:rPr>
                <w:b/>
                <w:iCs/>
                <w:sz w:val="22"/>
                <w:szCs w:val="22"/>
              </w:rPr>
              <w:t xml:space="preserve"> PAGINI </w:t>
            </w:r>
            <w:r>
              <w:rPr>
                <w:iCs/>
                <w:sz w:val="22"/>
                <w:szCs w:val="22"/>
              </w:rPr>
              <w:t>STUART</w:t>
            </w:r>
            <w:r>
              <w:rPr>
                <w:sz w:val="22"/>
                <w:szCs w:val="22"/>
              </w:rPr>
              <w:t>– 2º Ten</w:t>
            </w:r>
          </w:p>
        </w:tc>
      </w:tr>
    </w:tbl>
    <w:p w14:paraId="215FE6FD" w14:textId="77777777" w:rsidR="00B65601" w:rsidRDefault="00B551C9">
      <w:pPr>
        <w:pStyle w:val="Corpodetexto2"/>
        <w:numPr>
          <w:ilvl w:val="0"/>
          <w:numId w:val="1"/>
        </w:numPr>
        <w:shd w:val="clear" w:color="auto" w:fill="FFFFFF"/>
        <w:tabs>
          <w:tab w:val="clear" w:pos="8648"/>
        </w:tabs>
        <w:spacing w:after="60" w:line="276"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DESCRIÇÃODOS REQUISITOS DA CONTRATAÇÃO</w:t>
      </w:r>
    </w:p>
    <w:p w14:paraId="772D33DA" w14:textId="77777777" w:rsidR="00B65601" w:rsidRDefault="00B551C9">
      <w:pPr>
        <w:pStyle w:val="Corpodetexto2"/>
        <w:numPr>
          <w:ilvl w:val="1"/>
          <w:numId w:val="1"/>
        </w:numPr>
        <w:shd w:val="clear" w:color="auto" w:fill="FFFFFF"/>
        <w:tabs>
          <w:tab w:val="clear" w:pos="8648"/>
        </w:tabs>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O tipo de solução a contratar se justifica por ser o Pregão Eletrônico a modalidade de licitação preconizada pela Lei nº 14.133/21.</w:t>
      </w:r>
    </w:p>
    <w:p w14:paraId="1C2B1806" w14:textId="77777777" w:rsidR="00B65601" w:rsidRDefault="00B551C9">
      <w:pPr>
        <w:pStyle w:val="Corpodetexto2"/>
        <w:numPr>
          <w:ilvl w:val="1"/>
          <w:numId w:val="1"/>
        </w:numPr>
        <w:shd w:val="clear" w:color="auto" w:fill="FFFFFF"/>
        <w:tabs>
          <w:tab w:val="clear" w:pos="8648"/>
        </w:tabs>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Os padrões mínimos de qualidade e as especificações técnicas dos itens a serem licitados, bem como suas exigências farão parte do documento Termo de Referência. A contratação será realizada por meio do Sistema de Registro de Preços, conforme Decreto 11.462/2023.</w:t>
      </w:r>
    </w:p>
    <w:p w14:paraId="3C457253" w14:textId="77777777" w:rsidR="00B65601" w:rsidRDefault="00B551C9">
      <w:pPr>
        <w:pStyle w:val="Corpodetexto2"/>
        <w:numPr>
          <w:ilvl w:val="1"/>
          <w:numId w:val="1"/>
        </w:numPr>
        <w:shd w:val="clear" w:color="auto" w:fill="FFFFFF"/>
        <w:tabs>
          <w:tab w:val="clear" w:pos="8648"/>
        </w:tabs>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Trata-se de eventual Aquisição de Medicamentos para a CAF (Central de Abastecimento Farmacêutico) para atendimento aos pacientes do HMASP. As licitantes deverão observar estritamente as especificações técnicas dos materiais constantes do Termo de Referência. Divergências técnicas poderão implicar na desclassificação da proposta apresentada pela licitante.</w:t>
      </w:r>
    </w:p>
    <w:p w14:paraId="4F3FB351" w14:textId="77777777" w:rsidR="00B65601" w:rsidRDefault="00B551C9">
      <w:pPr>
        <w:pStyle w:val="Corpodetexto2"/>
        <w:numPr>
          <w:ilvl w:val="1"/>
          <w:numId w:val="1"/>
        </w:numPr>
        <w:shd w:val="clear" w:color="auto" w:fill="FFFFFF"/>
        <w:tabs>
          <w:tab w:val="clear" w:pos="8648"/>
        </w:tabs>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Prazo e condições de entrega dos materiais: conforme pormenorizado no Termo de Referência;</w:t>
      </w:r>
    </w:p>
    <w:p w14:paraId="59CF0A1C" w14:textId="77777777" w:rsidR="00B65601" w:rsidRDefault="00B551C9">
      <w:pPr>
        <w:pStyle w:val="Corpodetexto2"/>
        <w:numPr>
          <w:ilvl w:val="1"/>
          <w:numId w:val="1"/>
        </w:numPr>
        <w:shd w:val="clear" w:color="auto" w:fill="FFFFFF"/>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A empresa, durante a apresentação da proposta deverá cumprir as recomendações e normas emitidas pelos órgãos ambientais, e, no que couber, os previstos na Instrução Normativa SLTI/MPOG nº 01, de 19/01/2010 e da Lei nº 12.187, de 29 de dezembrode 2009, que institui a Política Nacional sobre Mudança do Clima - PNMC, apresentando Declaração de Sustentabilidade Ambiental, na forma do Anexo do Edital, além das Normas Brasileiras - NBR publicadas pela Associação Brasileira de lV Normas Técnicas sobre descartes de resíduos sólidos, matérias contaminantes, bem como a utilização de material atóxico, reciclado e biodegradável. O descumprimento das cláusulas contratuais sujeitará as contratadas às sanções previstas no instrumento convocatório que dará origem a esta contratação;</w:t>
      </w:r>
    </w:p>
    <w:p w14:paraId="76C3AC49" w14:textId="77777777" w:rsidR="00B65601" w:rsidRDefault="00B551C9">
      <w:pPr>
        <w:pStyle w:val="Corpodetexto2"/>
        <w:numPr>
          <w:ilvl w:val="1"/>
          <w:numId w:val="1"/>
        </w:numPr>
        <w:shd w:val="clear" w:color="auto" w:fill="FFFFFF"/>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lastRenderedPageBreak/>
        <w:t>A Contratada deve cumprir todas as obrigações constantes no Edital, seus anexos e sua proposta, assumindo exclusivamente os riscos e as despesas decorrentes da boa e perfeita execução do objeto e, ainda cumprir as exigências normativas para a sua fabricação, importação, comercialização e materiais especiais, que se encontram reguladas pelos seguintes normativos:</w:t>
      </w:r>
    </w:p>
    <w:p w14:paraId="4BB55DBC" w14:textId="77777777" w:rsidR="00B65601" w:rsidRDefault="00B551C9">
      <w:pPr>
        <w:pStyle w:val="Corpodetexto2"/>
        <w:numPr>
          <w:ilvl w:val="2"/>
          <w:numId w:val="1"/>
        </w:numPr>
        <w:shd w:val="clear" w:color="auto" w:fill="FFFFFF"/>
        <w:tabs>
          <w:tab w:val="clear" w:pos="8648"/>
        </w:tabs>
        <w:spacing w:before="0" w:line="276" w:lineRule="auto"/>
        <w:ind w:left="1276" w:hanging="567"/>
        <w:rPr>
          <w:rFonts w:ascii="Times New Roman" w:hAnsi="Times New Roman" w:cs="Times New Roman"/>
          <w:color w:val="auto"/>
          <w:sz w:val="22"/>
          <w:szCs w:val="22"/>
        </w:rPr>
      </w:pPr>
      <w:r>
        <w:rPr>
          <w:rFonts w:ascii="Times New Roman" w:hAnsi="Times New Roman" w:cs="Times New Roman"/>
          <w:color w:val="auto"/>
          <w:sz w:val="22"/>
          <w:szCs w:val="22"/>
        </w:rPr>
        <w:t>Lei nº 6.360, de 23 de setembro de 1976, que “dispõe sobre a vigilância sanitária a que ficam sujeitos os correlatos e outros produtos, e dá outras providências”;</w:t>
      </w:r>
    </w:p>
    <w:p w14:paraId="07D9E0D3" w14:textId="77777777" w:rsidR="00B65601" w:rsidRDefault="00B551C9">
      <w:pPr>
        <w:pStyle w:val="Corpodetexto2"/>
        <w:numPr>
          <w:ilvl w:val="2"/>
          <w:numId w:val="1"/>
        </w:numPr>
        <w:shd w:val="clear" w:color="auto" w:fill="FFFFFF"/>
        <w:tabs>
          <w:tab w:val="clear" w:pos="8648"/>
        </w:tabs>
        <w:spacing w:before="0" w:line="276" w:lineRule="auto"/>
        <w:ind w:left="1276" w:hanging="567"/>
        <w:rPr>
          <w:rFonts w:ascii="Times New Roman" w:hAnsi="Times New Roman" w:cs="Times New Roman"/>
          <w:color w:val="auto"/>
          <w:sz w:val="22"/>
          <w:szCs w:val="22"/>
        </w:rPr>
      </w:pPr>
      <w:r>
        <w:rPr>
          <w:rFonts w:ascii="Times New Roman" w:hAnsi="Times New Roman" w:cs="Times New Roman"/>
          <w:color w:val="auto"/>
          <w:sz w:val="22"/>
          <w:szCs w:val="22"/>
        </w:rPr>
        <w:t>Resolução da Diretoria Colegiada - RDC nº 185 de 22/10/2001 e alterações, que trata do registro de produtos médicos na Agência Nacional de Vigilância Sanitária – ANVISA, apresentando certificado de Boas práticas de Fabricação e controle por linha de produção/produtos no que couber, emitido pela secretaria de vigilância sanitária do Ministério da Saúde; e</w:t>
      </w:r>
    </w:p>
    <w:p w14:paraId="4C92A4DE" w14:textId="77777777" w:rsidR="00B65601" w:rsidRDefault="00B551C9">
      <w:pPr>
        <w:pStyle w:val="Corpodetexto2"/>
        <w:numPr>
          <w:ilvl w:val="2"/>
          <w:numId w:val="1"/>
        </w:numPr>
        <w:shd w:val="clear" w:color="auto" w:fill="FFFFFF"/>
        <w:tabs>
          <w:tab w:val="clear" w:pos="8648"/>
        </w:tabs>
        <w:spacing w:before="0" w:line="276" w:lineRule="auto"/>
        <w:ind w:left="1276" w:hanging="567"/>
        <w:rPr>
          <w:rFonts w:ascii="Times New Roman" w:hAnsi="Times New Roman" w:cs="Times New Roman"/>
          <w:color w:val="auto"/>
          <w:sz w:val="22"/>
          <w:szCs w:val="22"/>
        </w:rPr>
      </w:pPr>
      <w:r>
        <w:rPr>
          <w:rFonts w:ascii="Times New Roman" w:hAnsi="Times New Roman" w:cs="Times New Roman"/>
          <w:color w:val="auto"/>
          <w:sz w:val="22"/>
          <w:szCs w:val="22"/>
        </w:rPr>
        <w:t>Plano de Gerenciamento de Resíduos de Serviços de Saúde – PGRSS elaborado pelo órgão, e Lei n° 12.305/10 – Política Nacional de Resíduos Sólidos e Resolução CONAMA n° 358, de 29/04/2005 (no que tange o gerenciamento dos resíduos de serviços de saúde).</w:t>
      </w:r>
    </w:p>
    <w:p w14:paraId="30CBA48D" w14:textId="77777777" w:rsidR="00B65601" w:rsidRDefault="00B551C9">
      <w:pPr>
        <w:pStyle w:val="Corpodetexto2"/>
        <w:numPr>
          <w:ilvl w:val="1"/>
          <w:numId w:val="1"/>
        </w:numPr>
        <w:shd w:val="clear" w:color="auto" w:fill="FFFFFF"/>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Os bens devem ser, preferencialmente, acondicionados em embalagem individual adequada, com o menor volume possível, que utilize materiais recicláveis, de forma a garantir máxima proteção durante o transporte e o armazenamento.</w:t>
      </w:r>
    </w:p>
    <w:p w14:paraId="0F748F24" w14:textId="77777777" w:rsidR="00B65601" w:rsidRDefault="00B551C9">
      <w:pPr>
        <w:pStyle w:val="Corpodetexto2"/>
        <w:numPr>
          <w:ilvl w:val="1"/>
          <w:numId w:val="1"/>
        </w:numPr>
        <w:shd w:val="clear" w:color="auto" w:fill="FFFFFF"/>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Devem ser observados os requisitos ambientais para obtenção de certificação do INMETRO como produtos sustentáveis ou de menor impacto ambiental em relação aos seus similares, no que couber;e</w:t>
      </w:r>
    </w:p>
    <w:p w14:paraId="05A40A5C" w14:textId="77777777" w:rsidR="00B65601" w:rsidRDefault="00B551C9">
      <w:pPr>
        <w:pStyle w:val="Corpodetexto2"/>
        <w:numPr>
          <w:ilvl w:val="1"/>
          <w:numId w:val="1"/>
        </w:numPr>
        <w:shd w:val="clear" w:color="auto" w:fill="FFFFFF"/>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A Contratada deverá contribuir para a promoção do desenvolvimento nacional sustentável no cumprimento de diretrizes e critérios de sustentabilidade ambiental, de acordo com o Art. 225, CF/88, e em conformidade com o Art. 6º, IN/SLTI/MPOG nº 01, de 19 de janeiro de 2010.</w:t>
      </w:r>
    </w:p>
    <w:p w14:paraId="012E1A55" w14:textId="77777777" w:rsidR="00282B6C" w:rsidRDefault="00282B6C">
      <w:pPr>
        <w:pStyle w:val="Corpodetexto2"/>
        <w:numPr>
          <w:ilvl w:val="1"/>
          <w:numId w:val="1"/>
        </w:numPr>
        <w:shd w:val="clear" w:color="auto" w:fill="FFFFFF"/>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Qualificação Econômico-financeira e Qualificação Técnica:</w:t>
      </w:r>
    </w:p>
    <w:p w14:paraId="60B4D71D" w14:textId="77777777" w:rsidR="00282B6C" w:rsidRDefault="00282B6C" w:rsidP="00282B6C">
      <w:pPr>
        <w:pStyle w:val="Corpodetexto2"/>
        <w:numPr>
          <w:ilvl w:val="2"/>
          <w:numId w:val="1"/>
        </w:numPr>
        <w:shd w:val="clear" w:color="auto" w:fill="FFFFFF"/>
        <w:spacing w:before="0" w:line="276" w:lineRule="auto"/>
        <w:rPr>
          <w:rFonts w:ascii="Times New Roman" w:hAnsi="Times New Roman" w:cs="Times New Roman"/>
          <w:color w:val="auto"/>
          <w:sz w:val="22"/>
          <w:szCs w:val="22"/>
        </w:rPr>
      </w:pPr>
      <w:r>
        <w:rPr>
          <w:rFonts w:ascii="Times New Roman" w:hAnsi="Times New Roman" w:cs="Times New Roman"/>
          <w:color w:val="auto"/>
          <w:sz w:val="22"/>
          <w:szCs w:val="22"/>
        </w:rPr>
        <w:t>Mínimo necessário para a correta execução do objeto, pois trata-se de fornecimento de medicamento de alto grau de complexidade econômica e técnica.  Dessa forma é necessário comprovar que:</w:t>
      </w:r>
    </w:p>
    <w:p w14:paraId="14AD6222" w14:textId="77777777" w:rsidR="00282B6C" w:rsidRDefault="00282B6C" w:rsidP="00282B6C">
      <w:pPr>
        <w:pStyle w:val="Corpodetexto2"/>
        <w:numPr>
          <w:ilvl w:val="2"/>
          <w:numId w:val="1"/>
        </w:numPr>
        <w:shd w:val="clear" w:color="auto" w:fill="FFFFFF"/>
        <w:spacing w:before="0"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Qualificação Econômico-Financeira: Que a empresa, minimamente, possui </w:t>
      </w:r>
      <w:r w:rsidRPr="00282B6C">
        <w:rPr>
          <w:rFonts w:ascii="Times New Roman" w:hAnsi="Times New Roman" w:cs="Times New Roman"/>
          <w:color w:val="auto"/>
          <w:sz w:val="22"/>
          <w:szCs w:val="22"/>
        </w:rPr>
        <w:t>Certidão negativa de insolvência civil expedida pelo distribuidor do domicílio ou sede do licitante,Certidão negativa de falência expedida pelo distribuidor da sede do fornecedo</w:t>
      </w:r>
      <w:r>
        <w:rPr>
          <w:rFonts w:ascii="Times New Roman" w:hAnsi="Times New Roman" w:cs="Times New Roman"/>
          <w:color w:val="auto"/>
          <w:sz w:val="22"/>
          <w:szCs w:val="22"/>
        </w:rPr>
        <w:t>r.</w:t>
      </w:r>
    </w:p>
    <w:p w14:paraId="5A9A7530" w14:textId="77777777" w:rsidR="00282B6C" w:rsidRDefault="00E33999" w:rsidP="00282B6C">
      <w:pPr>
        <w:pStyle w:val="Corpodetexto2"/>
        <w:numPr>
          <w:ilvl w:val="3"/>
          <w:numId w:val="1"/>
        </w:numPr>
        <w:shd w:val="clear" w:color="auto" w:fill="FFFFFF"/>
        <w:spacing w:before="0" w:line="276" w:lineRule="auto"/>
        <w:rPr>
          <w:rFonts w:ascii="Times New Roman" w:hAnsi="Times New Roman" w:cs="Times New Roman"/>
          <w:color w:val="auto"/>
          <w:sz w:val="22"/>
          <w:szCs w:val="22"/>
        </w:rPr>
      </w:pPr>
      <w:r>
        <w:rPr>
          <w:rFonts w:ascii="Times New Roman" w:hAnsi="Times New Roman" w:cs="Times New Roman"/>
          <w:b/>
          <w:bCs/>
          <w:color w:val="auto"/>
          <w:sz w:val="22"/>
          <w:szCs w:val="22"/>
        </w:rPr>
        <w:t>A relativa necessidade baseia-se pela garantia econômica de que a empresa terá condições econômico-financeiras para o fornecimento de medicamentos que são enquadrados como de alto custo e alta complexidade de fornecimento.</w:t>
      </w:r>
    </w:p>
    <w:p w14:paraId="728E8D2C" w14:textId="77777777" w:rsidR="00B10294" w:rsidRDefault="00282B6C" w:rsidP="00B10294">
      <w:pPr>
        <w:pStyle w:val="Corpodetexto2"/>
        <w:numPr>
          <w:ilvl w:val="2"/>
          <w:numId w:val="1"/>
        </w:numPr>
        <w:shd w:val="clear" w:color="auto" w:fill="FFFFFF"/>
        <w:spacing w:before="0" w:line="276" w:lineRule="auto"/>
        <w:rPr>
          <w:rFonts w:ascii="Times New Roman" w:hAnsi="Times New Roman" w:cs="Times New Roman"/>
          <w:color w:val="auto"/>
          <w:sz w:val="22"/>
          <w:szCs w:val="22"/>
        </w:rPr>
      </w:pPr>
      <w:r>
        <w:rPr>
          <w:rFonts w:ascii="Times New Roman" w:hAnsi="Times New Roman" w:cs="Times New Roman"/>
          <w:color w:val="auto"/>
          <w:sz w:val="22"/>
          <w:szCs w:val="22"/>
        </w:rPr>
        <w:t>Qualificação Técnica:</w:t>
      </w:r>
      <w:r w:rsidR="00B10294">
        <w:rPr>
          <w:rFonts w:ascii="Times New Roman" w:hAnsi="Times New Roman" w:cs="Times New Roman"/>
          <w:color w:val="auto"/>
          <w:sz w:val="22"/>
          <w:szCs w:val="22"/>
        </w:rPr>
        <w:t xml:space="preserve"> </w:t>
      </w:r>
      <w:r w:rsidR="00B10294" w:rsidRPr="00B10294">
        <w:rPr>
          <w:rFonts w:ascii="Times New Roman" w:hAnsi="Times New Roman" w:cs="Times New Roman"/>
          <w:color w:val="auto"/>
          <w:sz w:val="22"/>
          <w:szCs w:val="22"/>
        </w:rPr>
        <w:t>Comprovação de aptidão para o fornecimento de bens similares de complexidade tecnológica e operacional equivalente ou</w:t>
      </w:r>
      <w:r w:rsidR="00B10294">
        <w:rPr>
          <w:rFonts w:ascii="Times New Roman" w:hAnsi="Times New Roman" w:cs="Times New Roman"/>
          <w:color w:val="auto"/>
          <w:sz w:val="22"/>
          <w:szCs w:val="22"/>
        </w:rPr>
        <w:t xml:space="preserve"> </w:t>
      </w:r>
      <w:r w:rsidR="00B10294" w:rsidRPr="00B10294">
        <w:rPr>
          <w:rFonts w:ascii="Times New Roman" w:hAnsi="Times New Roman" w:cs="Times New Roman"/>
          <w:color w:val="auto"/>
          <w:sz w:val="22"/>
          <w:szCs w:val="22"/>
        </w:rPr>
        <w:t>superior com o objeto desta contratação, ou com o item pertinente, por meio da apresentação de certidões ou atestados, por</w:t>
      </w:r>
      <w:r w:rsidR="00B10294">
        <w:rPr>
          <w:rFonts w:ascii="Times New Roman" w:hAnsi="Times New Roman" w:cs="Times New Roman"/>
          <w:color w:val="auto"/>
          <w:sz w:val="22"/>
          <w:szCs w:val="22"/>
        </w:rPr>
        <w:t xml:space="preserve"> </w:t>
      </w:r>
      <w:r w:rsidR="00B10294" w:rsidRPr="00B10294">
        <w:rPr>
          <w:rFonts w:ascii="Times New Roman" w:hAnsi="Times New Roman" w:cs="Times New Roman"/>
          <w:color w:val="auto"/>
          <w:sz w:val="22"/>
          <w:szCs w:val="22"/>
        </w:rPr>
        <w:t>pessoas jurídicas de direito público ou privado, ou regularmente emitido(s) pelo conselho profissional competente.</w:t>
      </w:r>
      <w:r w:rsidR="00B10294">
        <w:rPr>
          <w:rFonts w:ascii="Times New Roman" w:hAnsi="Times New Roman" w:cs="Times New Roman"/>
          <w:color w:val="auto"/>
          <w:sz w:val="22"/>
          <w:szCs w:val="22"/>
        </w:rPr>
        <w:t xml:space="preserve"> </w:t>
      </w:r>
    </w:p>
    <w:p w14:paraId="3C971275" w14:textId="77777777" w:rsidR="003C1AC5" w:rsidRPr="00B10294" w:rsidRDefault="003C1AC5" w:rsidP="00B10294">
      <w:pPr>
        <w:pStyle w:val="Corpodetexto2"/>
        <w:numPr>
          <w:ilvl w:val="3"/>
          <w:numId w:val="1"/>
        </w:numPr>
        <w:shd w:val="clear" w:color="auto" w:fill="FFFFFF"/>
        <w:spacing w:before="0" w:line="276" w:lineRule="auto"/>
        <w:rPr>
          <w:rFonts w:ascii="Times New Roman" w:hAnsi="Times New Roman" w:cs="Times New Roman"/>
          <w:color w:val="auto"/>
          <w:sz w:val="22"/>
          <w:szCs w:val="22"/>
        </w:rPr>
      </w:pPr>
      <w:r w:rsidRPr="00B10294">
        <w:rPr>
          <w:rFonts w:ascii="Times New Roman" w:hAnsi="Times New Roman" w:cs="Times New Roman"/>
          <w:b/>
          <w:bCs/>
          <w:color w:val="auto"/>
          <w:sz w:val="22"/>
          <w:szCs w:val="22"/>
        </w:rPr>
        <w:t>A relativa necessidade baseia-se pela garantia econômica de que a empresa terá condições econômico-financeiras para o fornecimento de medicamentos que são enquadrados como de alto custo e alta complexidade de fornecimento.</w:t>
      </w:r>
    </w:p>
    <w:p w14:paraId="0AABF32A" w14:textId="77777777" w:rsidR="003C1AC5" w:rsidRDefault="003C1AC5" w:rsidP="003C1AC5">
      <w:pPr>
        <w:pStyle w:val="Corpodetexto2"/>
        <w:shd w:val="clear" w:color="auto" w:fill="FFFFFF"/>
        <w:spacing w:before="0" w:line="276" w:lineRule="auto"/>
        <w:ind w:left="0"/>
        <w:rPr>
          <w:rFonts w:ascii="Times New Roman" w:hAnsi="Times New Roman" w:cs="Times New Roman"/>
          <w:color w:val="auto"/>
          <w:sz w:val="22"/>
          <w:szCs w:val="22"/>
        </w:rPr>
      </w:pPr>
    </w:p>
    <w:p w14:paraId="019C51E0" w14:textId="77777777" w:rsidR="00B65601" w:rsidRDefault="00B551C9" w:rsidP="00B10294">
      <w:pPr>
        <w:pStyle w:val="Corpodetexto2"/>
        <w:numPr>
          <w:ilvl w:val="0"/>
          <w:numId w:val="1"/>
        </w:numPr>
        <w:shd w:val="clear" w:color="auto" w:fill="FFFFFF"/>
        <w:tabs>
          <w:tab w:val="clear" w:pos="8648"/>
        </w:tabs>
        <w:spacing w:after="60" w:line="276"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ESTIMATIVA DAS QUANTIDADES A SEREM CONTRATADAS</w:t>
      </w:r>
    </w:p>
    <w:p w14:paraId="64FDBA04" w14:textId="77777777" w:rsidR="00B65601" w:rsidRDefault="00B551C9" w:rsidP="00B10294">
      <w:pPr>
        <w:pStyle w:val="Nivel10"/>
        <w:numPr>
          <w:ilvl w:val="1"/>
          <w:numId w:val="1"/>
        </w:numPr>
        <w:ind w:left="709" w:hanging="425"/>
        <w:rPr>
          <w:rFonts w:ascii="Times New Roman" w:hAnsi="Times New Roman" w:cs="Times New Roman"/>
          <w:b w:val="0"/>
          <w:sz w:val="22"/>
          <w:szCs w:val="22"/>
        </w:rPr>
      </w:pPr>
      <w:r>
        <w:rPr>
          <w:rFonts w:ascii="Times New Roman" w:hAnsi="Times New Roman" w:cs="Times New Roman"/>
          <w:b w:val="0"/>
          <w:sz w:val="22"/>
          <w:szCs w:val="22"/>
        </w:rPr>
        <w:t>A quantidade foi definida de acordo com os atendimentos realizados no HMASP, e também nos que foram encaminhados para atendimento em Organizações Civis de Saúde que possuem contratos vigentes. Em agosto de 2021, após a inauguração da obra, foi iniciada a manipulação dos medicamentos oncológicos em área física da Farmácia de Quimioterapia, com base nas legislações vigentes (RDC n° 220, de 21 de setembro de 2004 e RDC n° 67, de 08 de outubro de 2007), com aquisição dos insumos através dos pregões 028/2020, 62/2020 e caronas disponíveis à ocasião. Neste contexto de aumento de demanda e produção interna, o atendimento dos pacientes se consolidou de forma efetiva, com medicamentos adquiridos pela Central de Abastecimento Farmacêutico, justificando-se a necessidade de aquisição nas quantidades descritas.</w:t>
      </w:r>
    </w:p>
    <w:p w14:paraId="74D61BC5" w14:textId="77777777" w:rsidR="00B65601" w:rsidRDefault="00B551C9" w:rsidP="00B10294">
      <w:pPr>
        <w:pStyle w:val="Nivel2"/>
        <w:numPr>
          <w:ilvl w:val="1"/>
          <w:numId w:val="1"/>
        </w:numPr>
        <w:spacing w:before="0" w:after="0"/>
        <w:ind w:left="709" w:hanging="425"/>
        <w:rPr>
          <w:rFonts w:ascii="Times New Roman" w:hAnsi="Times New Roman"/>
          <w:sz w:val="22"/>
          <w:szCs w:val="22"/>
        </w:rPr>
      </w:pPr>
      <w:r>
        <w:rPr>
          <w:rFonts w:ascii="Times New Roman" w:hAnsi="Times New Roman"/>
          <w:sz w:val="22"/>
          <w:szCs w:val="22"/>
        </w:rPr>
        <w:t>As referências utilizadas foram baseadas nos dados da Farmácia Hospitalar, que demonstraram o consumo de medicamentos oncológicos, bem como a projeção de quais tratamentos e média de pacientes que serão atendidos pela equipe médica do Núcleo de Oncologia do HMASP, através da revisão da padronização pela equipe médica e de farmácia, que atualmente contempla 150 itens oncológicos padronizados, além das terapias adjuvantes. Será apresentado também o indicador de Dispensação de Quimioterapias do HMASP, trazendo as informações sobre o histórico do consumo destes medicamentos (bolsas manipuladas em capela de fluxo laminar), desde o primeiro atendimento (maio de 2017) até o mês de novembro de 2023.</w:t>
      </w:r>
    </w:p>
    <w:p w14:paraId="54F44495" w14:textId="77777777" w:rsidR="00B65601" w:rsidRDefault="00B551C9">
      <w:pPr>
        <w:pStyle w:val="Nivel2"/>
        <w:numPr>
          <w:ilvl w:val="0"/>
          <w:numId w:val="0"/>
        </w:numPr>
        <w:spacing w:before="0" w:after="0" w:line="360" w:lineRule="auto"/>
        <w:ind w:left="426" w:firstLine="282"/>
        <w:rPr>
          <w:rFonts w:ascii="Times New Roman" w:hAnsi="Times New Roman"/>
          <w:sz w:val="22"/>
          <w:szCs w:val="22"/>
        </w:rPr>
      </w:pPr>
      <w:r>
        <w:rPr>
          <w:noProof/>
        </w:rPr>
        <w:drawing>
          <wp:inline distT="0" distB="0" distL="0" distR="0" wp14:anchorId="305BA21E" wp14:editId="466729D2">
            <wp:extent cx="5352415" cy="3209290"/>
            <wp:effectExtent l="0" t="0" r="0" b="0"/>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1"/>
                    <pic:cNvPicPr>
                      <a:picLocks noChangeAspect="1" noChangeArrowheads="1"/>
                    </pic:cNvPicPr>
                  </pic:nvPicPr>
                  <pic:blipFill>
                    <a:blip r:embed="rId9"/>
                    <a:stretch>
                      <a:fillRect/>
                    </a:stretch>
                  </pic:blipFill>
                  <pic:spPr bwMode="auto">
                    <a:xfrm>
                      <a:off x="0" y="0"/>
                      <a:ext cx="5352415" cy="3209290"/>
                    </a:xfrm>
                    <a:prstGeom prst="rect">
                      <a:avLst/>
                    </a:prstGeom>
                  </pic:spPr>
                </pic:pic>
              </a:graphicData>
            </a:graphic>
          </wp:inline>
        </w:drawing>
      </w:r>
    </w:p>
    <w:p w14:paraId="39F7F740" w14:textId="77777777" w:rsidR="00B65601" w:rsidRDefault="00B65601">
      <w:pPr>
        <w:spacing w:line="360" w:lineRule="auto"/>
        <w:ind w:left="426" w:firstLine="282"/>
        <w:rPr>
          <w:color w:val="000000"/>
          <w:sz w:val="22"/>
          <w:szCs w:val="22"/>
        </w:rPr>
      </w:pPr>
    </w:p>
    <w:p w14:paraId="78D51409" w14:textId="77777777" w:rsidR="00B65601" w:rsidRDefault="00B551C9">
      <w:pPr>
        <w:pStyle w:val="PargrafodaLista"/>
        <w:numPr>
          <w:ilvl w:val="1"/>
          <w:numId w:val="6"/>
        </w:numPr>
        <w:spacing w:line="360" w:lineRule="auto"/>
        <w:ind w:left="426" w:hanging="426"/>
        <w:rPr>
          <w:rFonts w:ascii="Times New Roman" w:hAnsi="Times New Roman" w:cs="Times New Roman"/>
        </w:rPr>
      </w:pPr>
      <w:r>
        <w:rPr>
          <w:rFonts w:ascii="Times New Roman" w:hAnsi="Times New Roman" w:cs="Times New Roman"/>
        </w:rPr>
        <w:t xml:space="preserve">Este gráfico representa o consumo de bolsas de quimioterapia (medicamentos manipulados) pelo HMASP, com início das atividades em 2017, destaca-se a ampliação do </w:t>
      </w:r>
      <w:r>
        <w:rPr>
          <w:rFonts w:ascii="Times New Roman" w:hAnsi="Times New Roman" w:cs="Times New Roman"/>
          <w:b/>
          <w:bCs/>
        </w:rPr>
        <w:t>Serviço de Terapia Antineoplásica</w:t>
      </w:r>
      <w:r>
        <w:rPr>
          <w:rFonts w:ascii="Times New Roman" w:hAnsi="Times New Roman" w:cs="Times New Roman"/>
        </w:rPr>
        <w:t>.</w:t>
      </w:r>
    </w:p>
    <w:p w14:paraId="216E898B" w14:textId="77777777" w:rsidR="00B65601" w:rsidRDefault="00B551C9">
      <w:pPr>
        <w:pStyle w:val="PargrafodaLista"/>
        <w:numPr>
          <w:ilvl w:val="1"/>
          <w:numId w:val="6"/>
        </w:numPr>
        <w:spacing w:line="360" w:lineRule="auto"/>
        <w:ind w:left="426" w:hanging="426"/>
        <w:rPr>
          <w:rFonts w:ascii="Times New Roman" w:hAnsi="Times New Roman" w:cs="Times New Roman"/>
        </w:rPr>
      </w:pPr>
      <w:r>
        <w:rPr>
          <w:rFonts w:ascii="Times New Roman" w:hAnsi="Times New Roman" w:cs="Times New Roman"/>
        </w:rPr>
        <w:t xml:space="preserve">Os cálculos dos quantitativos máximos e mínimos foram feitos mediante a necessidade atual da aquisição da quantidade mínima da farmácia de oncologia, e a quantidade máxima foi estimada com a </w:t>
      </w:r>
      <w:r>
        <w:rPr>
          <w:rFonts w:ascii="Times New Roman" w:hAnsi="Times New Roman" w:cs="Times New Roman"/>
        </w:rPr>
        <w:lastRenderedPageBreak/>
        <w:t xml:space="preserve">probabilidade do aumento de demanda ambulatorial, internações, urgência e emergência, com base dos seguintes motivos: </w:t>
      </w:r>
    </w:p>
    <w:p w14:paraId="289F5F1B" w14:textId="77777777" w:rsidR="00B65601" w:rsidRDefault="00B551C9">
      <w:pPr>
        <w:numPr>
          <w:ilvl w:val="0"/>
          <w:numId w:val="5"/>
        </w:numPr>
        <w:spacing w:line="360" w:lineRule="auto"/>
        <w:jc w:val="both"/>
        <w:rPr>
          <w:color w:val="000000"/>
          <w:sz w:val="22"/>
          <w:szCs w:val="22"/>
        </w:rPr>
      </w:pPr>
      <w:r>
        <w:rPr>
          <w:color w:val="000000"/>
          <w:sz w:val="22"/>
          <w:szCs w:val="22"/>
        </w:rPr>
        <w:t xml:space="preserve">Aumento do número de casos diagnosticados de câncer entre militares e dependentes, usuários do </w:t>
      </w:r>
      <w:r>
        <w:rPr>
          <w:i/>
          <w:sz w:val="22"/>
          <w:szCs w:val="22"/>
        </w:rPr>
        <w:t>SAMMED, FUSEx e PASS;</w:t>
      </w:r>
    </w:p>
    <w:p w14:paraId="05105ED6" w14:textId="77777777" w:rsidR="00B65601" w:rsidRDefault="00B551C9">
      <w:pPr>
        <w:numPr>
          <w:ilvl w:val="0"/>
          <w:numId w:val="5"/>
        </w:numPr>
        <w:spacing w:line="360" w:lineRule="auto"/>
        <w:jc w:val="both"/>
        <w:rPr>
          <w:color w:val="000000"/>
          <w:sz w:val="22"/>
          <w:szCs w:val="22"/>
        </w:rPr>
      </w:pPr>
      <w:r>
        <w:rPr>
          <w:color w:val="000000"/>
          <w:sz w:val="22"/>
          <w:szCs w:val="22"/>
        </w:rPr>
        <w:t>Envelhecimento dos usuários do sistema, demandando maior suporte ao tratamento oncológico, reflexo da realidade demográfica do país.</w:t>
      </w:r>
    </w:p>
    <w:p w14:paraId="6012EAEB" w14:textId="77777777" w:rsidR="00B65601" w:rsidRDefault="00B551C9">
      <w:pPr>
        <w:numPr>
          <w:ilvl w:val="0"/>
          <w:numId w:val="5"/>
        </w:numPr>
        <w:spacing w:line="360" w:lineRule="auto"/>
        <w:jc w:val="both"/>
        <w:rPr>
          <w:color w:val="000000"/>
          <w:sz w:val="22"/>
          <w:szCs w:val="22"/>
        </w:rPr>
      </w:pPr>
      <w:r>
        <w:rPr>
          <w:color w:val="000000"/>
          <w:sz w:val="22"/>
          <w:szCs w:val="22"/>
        </w:rPr>
        <w:t xml:space="preserve">O quantitativo de atendimentos realizados reflete a demanda, por meio de retrospectiva histórica, ao longo dos anos de 2017 a 2023, exemplificando a dimensão da assistência farmacêutica prestada a todos os contribuintes do </w:t>
      </w:r>
      <w:r>
        <w:rPr>
          <w:i/>
          <w:sz w:val="22"/>
          <w:szCs w:val="22"/>
        </w:rPr>
        <w:t xml:space="preserve">SAMMED FUSEx PASS </w:t>
      </w:r>
      <w:r>
        <w:rPr>
          <w:sz w:val="22"/>
          <w:szCs w:val="22"/>
        </w:rPr>
        <w:t>atendidos pelo</w:t>
      </w:r>
      <w:r>
        <w:rPr>
          <w:color w:val="000000"/>
          <w:sz w:val="22"/>
          <w:szCs w:val="22"/>
        </w:rPr>
        <w:t xml:space="preserve"> Hospital Militar de Área de São Paulo.</w:t>
      </w:r>
    </w:p>
    <w:p w14:paraId="50CB1588" w14:textId="77777777" w:rsidR="00B65601" w:rsidRDefault="00B551C9">
      <w:pPr>
        <w:numPr>
          <w:ilvl w:val="0"/>
          <w:numId w:val="5"/>
        </w:numPr>
        <w:spacing w:line="360" w:lineRule="auto"/>
        <w:jc w:val="both"/>
        <w:rPr>
          <w:color w:val="000000"/>
          <w:sz w:val="22"/>
          <w:szCs w:val="22"/>
        </w:rPr>
      </w:pPr>
      <w:r>
        <w:rPr>
          <w:noProof/>
        </w:rPr>
        <w:drawing>
          <wp:anchor distT="0" distB="0" distL="114300" distR="114300" simplePos="0" relativeHeight="8" behindDoc="0" locked="0" layoutInCell="0" allowOverlap="1" wp14:anchorId="7EBC3DB8" wp14:editId="1698B348">
            <wp:simplePos x="0" y="0"/>
            <wp:positionH relativeFrom="column">
              <wp:posOffset>-358775</wp:posOffset>
            </wp:positionH>
            <wp:positionV relativeFrom="paragraph">
              <wp:posOffset>2063115</wp:posOffset>
            </wp:positionV>
            <wp:extent cx="6296025" cy="3200400"/>
            <wp:effectExtent l="0" t="0" r="0" b="0"/>
            <wp:wrapSquare wrapText="bothSides"/>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10"/>
                    <a:stretch>
                      <a:fillRect/>
                    </a:stretch>
                  </pic:blipFill>
                  <pic:spPr bwMode="auto">
                    <a:xfrm>
                      <a:off x="0" y="0"/>
                      <a:ext cx="6296025" cy="3200400"/>
                    </a:xfrm>
                    <a:prstGeom prst="rect">
                      <a:avLst/>
                    </a:prstGeom>
                  </pic:spPr>
                </pic:pic>
              </a:graphicData>
            </a:graphic>
          </wp:anchor>
        </w:drawing>
      </w:r>
      <w:r>
        <w:rPr>
          <w:color w:val="000000"/>
          <w:sz w:val="22"/>
          <w:szCs w:val="22"/>
        </w:rPr>
        <w:t xml:space="preserve"> Em meados de 2019, o HMASP recebeu a orientação da Diretoria de Saúde para confeccionar pregão e realizar a dispensação dos oncológicos via oral como padronizados, e cobrança via CDM. Esta atividade contribuiu para o aumento da produtividade do hospital, e conseqüentemente para melhoria do atendimento dos usuários nos anos seguintes. O serviço de terapia antineoplásica também fora divulgado entre àsOMs, tornando-se referência e oferecendo competitividade dentro da sua área de atuação, reduzindo os encaminhamentos e aumentando a produtividade. A seguir, apresentamos o panorama atual de produtividade da Farmácia Oncologia, já considerando o início das manipulações com insumos adquiridos pelo HMASP:</w:t>
      </w:r>
    </w:p>
    <w:p w14:paraId="1A05EC48" w14:textId="77777777" w:rsidR="00B65601" w:rsidRDefault="00B65601">
      <w:pPr>
        <w:spacing w:line="276" w:lineRule="auto"/>
        <w:jc w:val="both"/>
        <w:rPr>
          <w:color w:val="000000"/>
          <w:sz w:val="22"/>
          <w:szCs w:val="22"/>
        </w:rPr>
      </w:pPr>
    </w:p>
    <w:p w14:paraId="704652E1" w14:textId="77777777" w:rsidR="00B65601" w:rsidRDefault="00B65601">
      <w:pPr>
        <w:spacing w:line="276" w:lineRule="auto"/>
        <w:rPr>
          <w:color w:val="000000"/>
          <w:sz w:val="22"/>
          <w:szCs w:val="22"/>
        </w:rPr>
      </w:pPr>
    </w:p>
    <w:p w14:paraId="54E681F1" w14:textId="77777777" w:rsidR="00B65601" w:rsidRDefault="00B551C9" w:rsidP="00B10294">
      <w:pPr>
        <w:pStyle w:val="Corpodetexto2"/>
        <w:numPr>
          <w:ilvl w:val="0"/>
          <w:numId w:val="6"/>
        </w:numPr>
        <w:shd w:val="clear" w:color="auto" w:fill="FFFFFF"/>
        <w:tabs>
          <w:tab w:val="clear" w:pos="8648"/>
        </w:tabs>
        <w:spacing w:before="0" w:after="0"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LEVANTAMENTO DE MERCADO</w:t>
      </w:r>
    </w:p>
    <w:p w14:paraId="2A13CC4D" w14:textId="77777777" w:rsidR="00B65601" w:rsidRDefault="00B551C9" w:rsidP="00B10294">
      <w:pPr>
        <w:pStyle w:val="Corpodetexto2"/>
        <w:numPr>
          <w:ilvl w:val="1"/>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Das soluções: </w:t>
      </w:r>
    </w:p>
    <w:p w14:paraId="54915FF7" w14:textId="77777777" w:rsidR="00B65601" w:rsidRDefault="00B551C9" w:rsidP="00B10294">
      <w:pPr>
        <w:pStyle w:val="Corpodetexto2"/>
        <w:numPr>
          <w:ilvl w:val="2"/>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Solução 1 - Buscar atas de registro de preços disponíveis para a realização de adesão. </w:t>
      </w:r>
    </w:p>
    <w:p w14:paraId="681B7732" w14:textId="77777777" w:rsidR="00B65601" w:rsidRDefault="00B551C9" w:rsidP="00B10294">
      <w:pPr>
        <w:pStyle w:val="Corpodetexto2"/>
        <w:numPr>
          <w:ilvl w:val="2"/>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 xml:space="preserve">Solução 2 - Registrar intenção de registro de preços junto a outro órgão, na condição de participante. </w:t>
      </w:r>
    </w:p>
    <w:p w14:paraId="00B8ABA9" w14:textId="77777777" w:rsidR="00B65601" w:rsidRDefault="00B551C9" w:rsidP="00B10294">
      <w:pPr>
        <w:pStyle w:val="Corpodetexto2"/>
        <w:numPr>
          <w:ilvl w:val="2"/>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Solução 3 - Realizar licitação própria. </w:t>
      </w:r>
    </w:p>
    <w:p w14:paraId="479E147D" w14:textId="77777777" w:rsidR="00B65601" w:rsidRDefault="00B551C9" w:rsidP="00B10294">
      <w:pPr>
        <w:pStyle w:val="Corpodetexto2"/>
        <w:numPr>
          <w:ilvl w:val="1"/>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Da análise: </w:t>
      </w:r>
    </w:p>
    <w:p w14:paraId="1684CBB1" w14:textId="77777777" w:rsidR="00B65601" w:rsidRDefault="00B551C9" w:rsidP="00B10294">
      <w:pPr>
        <w:pStyle w:val="Corpodetexto2"/>
        <w:numPr>
          <w:ilvl w:val="2"/>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Solução 1 – Não foi encontrada ata vigente com a quantidade de itens e quantitativo compatível.</w:t>
      </w:r>
    </w:p>
    <w:p w14:paraId="7F8700CA" w14:textId="77777777" w:rsidR="00B65601" w:rsidRDefault="00B551C9" w:rsidP="00B10294">
      <w:pPr>
        <w:pStyle w:val="Corpodetexto2"/>
        <w:numPr>
          <w:ilvl w:val="2"/>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Solução 2 - Não há Pregões para registrar intenção de Registro de Preços junto a outro órgão. </w:t>
      </w:r>
    </w:p>
    <w:p w14:paraId="79364E20" w14:textId="77777777" w:rsidR="00B65601" w:rsidRDefault="00B551C9" w:rsidP="00B10294">
      <w:pPr>
        <w:pStyle w:val="Corpodetexto2"/>
        <w:numPr>
          <w:ilvl w:val="1"/>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Da conclusão: </w:t>
      </w:r>
    </w:p>
    <w:p w14:paraId="33600E7F" w14:textId="77777777" w:rsidR="00B65601" w:rsidRDefault="00B551C9" w:rsidP="00B10294">
      <w:pPr>
        <w:pStyle w:val="Corpodetexto2"/>
        <w:numPr>
          <w:ilvl w:val="2"/>
          <w:numId w:val="6"/>
        </w:numPr>
        <w:shd w:val="clear" w:color="auto" w:fill="FFFFFF"/>
        <w:spacing w:before="0" w:after="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Com o exposto, esta equipe conclui que deve-se optar pela Solução 03. Foi elaborada estimativa de custos através da Planilha de Pesquisa de Preços por esta Equipe de Planejamento, juntamente ao Setor de Pesquisa de Preços, em observância à Instrução Normativa nº 05/2014, alterada pela Instrução Normativa 03/2017, da Secretaria de Logística e Tecnologia da Informação/MPOG, a fim de obter um valor estimado para a contratação pretendida em consonância ao preço praticado no mercado. De acordo com estes cálculos, o valor total estimado da contratação é da ordem de R$ 26.892.948,14. Dentre os diversos itens padronizados previsto no termo de referência, há de se considerar que:</w:t>
      </w:r>
    </w:p>
    <w:p w14:paraId="0718F522" w14:textId="77777777" w:rsidR="00B65601" w:rsidRDefault="00B551C9">
      <w:pPr>
        <w:pStyle w:val="Corpodetexto2"/>
        <w:shd w:val="clear" w:color="auto" w:fill="FFFFFF"/>
        <w:spacing w:before="0" w:after="0" w:line="276" w:lineRule="auto"/>
        <w:ind w:left="2836"/>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 Existem itens que possuem preços elevados devido sua especificidade de natureza técnica (por exemplo anticorpos monoclonais e drogas inovadoras recentemente disponibilizadas no mercado);</w:t>
      </w:r>
    </w:p>
    <w:p w14:paraId="6380C868" w14:textId="77777777" w:rsidR="00B65601" w:rsidRDefault="00B551C9">
      <w:pPr>
        <w:pStyle w:val="Corpodetexto2"/>
        <w:shd w:val="clear" w:color="auto" w:fill="FFFFFF"/>
        <w:spacing w:before="0" w:after="0" w:line="276" w:lineRule="auto"/>
        <w:ind w:left="2836"/>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b) Alguns medicamentos tem suas quantidades elevadas por serem utilizados em diversos protocolos (por exemplo tumores de mama, próstata, trato gastrointestinal...) ao mesmo tempo por vários pacientes, necessitando de uma margem de segurança de seus estoques;</w:t>
      </w:r>
    </w:p>
    <w:p w14:paraId="5E951A51" w14:textId="77777777" w:rsidR="00B65601" w:rsidRDefault="00B551C9">
      <w:pPr>
        <w:pStyle w:val="Corpodetexto2"/>
        <w:shd w:val="clear" w:color="auto" w:fill="FFFFFF"/>
        <w:tabs>
          <w:tab w:val="clear" w:pos="8648"/>
        </w:tabs>
        <w:spacing w:before="0" w:after="0" w:line="276" w:lineRule="auto"/>
        <w:ind w:left="2836"/>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 A disponibilidade de determinados itens apenas com um fabricante patenteado, com preços sem a condição de negociação por itens genéricos e/ou similares</w:t>
      </w:r>
    </w:p>
    <w:p w14:paraId="191F7BC8" w14:textId="77777777" w:rsidR="00B65601" w:rsidRDefault="00B65601">
      <w:pPr>
        <w:pStyle w:val="Corpodetexto2"/>
        <w:shd w:val="clear" w:color="auto" w:fill="FFFFFF"/>
        <w:tabs>
          <w:tab w:val="clear" w:pos="8648"/>
        </w:tabs>
        <w:spacing w:before="0" w:after="0" w:line="276" w:lineRule="auto"/>
        <w:ind w:left="1418"/>
        <w:rPr>
          <w:rFonts w:ascii="Times New Roman" w:eastAsia="Times New Roman" w:hAnsi="Times New Roman" w:cs="Times New Roman"/>
          <w:color w:val="auto"/>
          <w:sz w:val="22"/>
          <w:szCs w:val="22"/>
        </w:rPr>
      </w:pPr>
    </w:p>
    <w:p w14:paraId="67DC5FC7" w14:textId="77777777" w:rsidR="00B65601" w:rsidRDefault="00B551C9" w:rsidP="00B10294">
      <w:pPr>
        <w:pStyle w:val="Corpodetexto2"/>
        <w:numPr>
          <w:ilvl w:val="0"/>
          <w:numId w:val="6"/>
        </w:numPr>
        <w:shd w:val="clear" w:color="auto" w:fill="FFFFFF"/>
        <w:tabs>
          <w:tab w:val="clear" w:pos="8648"/>
        </w:tabs>
        <w:spacing w:before="0" w:after="0"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ESTIMATIVA DO VALOR DA CONTRATAÇÃO</w:t>
      </w:r>
    </w:p>
    <w:p w14:paraId="0C533102" w14:textId="77777777" w:rsidR="00B65601" w:rsidRDefault="00B551C9" w:rsidP="00B10294">
      <w:pPr>
        <w:pStyle w:val="Corpodetexto2"/>
        <w:numPr>
          <w:ilvl w:val="1"/>
          <w:numId w:val="6"/>
        </w:numPr>
        <w:shd w:val="clear" w:color="auto" w:fill="FFFFFF"/>
        <w:tabs>
          <w:tab w:val="clear" w:pos="8648"/>
        </w:tabs>
        <w:spacing w:before="0" w:after="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Estimativa de Preço dos Materiais/Serviços Pretendidos:</w:t>
      </w:r>
    </w:p>
    <w:p w14:paraId="6E8BD9CA" w14:textId="77777777" w:rsidR="00B65601" w:rsidRPr="00282B6C" w:rsidRDefault="00B551C9" w:rsidP="00B10294">
      <w:pPr>
        <w:pStyle w:val="Corpodetexto2"/>
        <w:numPr>
          <w:ilvl w:val="2"/>
          <w:numId w:val="6"/>
        </w:numPr>
        <w:shd w:val="clear" w:color="auto" w:fill="FFFFFF"/>
        <w:tabs>
          <w:tab w:val="clear" w:pos="8648"/>
        </w:tabs>
        <w:spacing w:line="276" w:lineRule="auto"/>
        <w:ind w:left="709" w:firstLine="0"/>
        <w:rPr>
          <w:rFonts w:ascii="Times New Roman" w:hAnsi="Times New Roman" w:cs="Times New Roman"/>
          <w:b/>
          <w:bCs/>
          <w:sz w:val="22"/>
          <w:szCs w:val="22"/>
        </w:rPr>
      </w:pPr>
      <w:r>
        <w:rPr>
          <w:rFonts w:ascii="Times New Roman" w:hAnsi="Times New Roman" w:cs="Times New Roman"/>
          <w:color w:val="auto"/>
          <w:sz w:val="22"/>
          <w:szCs w:val="22"/>
        </w:rPr>
        <w:t xml:space="preserve">Foi elaborada estimativa de custos através da Planilha de Pesquisa de Preços por esta Equipe de Planejamento juntamente ao Setor de Pesquisa de Preços, em observância à </w:t>
      </w:r>
      <w:r>
        <w:rPr>
          <w:rFonts w:ascii="Times New Roman" w:eastAsia="Times New Roman" w:hAnsi="Times New Roman" w:cs="Times New Roman"/>
          <w:color w:val="auto"/>
          <w:sz w:val="22"/>
          <w:szCs w:val="22"/>
        </w:rPr>
        <w:t>Instrução Normativa SEGES/ME Nº 65, de 7 de julho de 2021</w:t>
      </w:r>
      <w:r>
        <w:rPr>
          <w:rFonts w:ascii="Times New Roman" w:hAnsi="Times New Roman" w:cs="Times New Roman"/>
          <w:color w:val="auto"/>
          <w:sz w:val="22"/>
          <w:szCs w:val="22"/>
        </w:rPr>
        <w:t xml:space="preserve">, a fim de obter um valor estimado para a contratação pretendida em consonância ao preço praticado no mercado. De acordo com estes cálculos, o valor total estimado da contratação é de </w:t>
      </w:r>
      <w:r>
        <w:rPr>
          <w:rFonts w:ascii="Times New Roman" w:hAnsi="Times New Roman" w:cs="Times New Roman"/>
          <w:bCs/>
          <w:sz w:val="22"/>
          <w:szCs w:val="22"/>
        </w:rPr>
        <w:t>R$ 24.712.752,03 (vinte e quatro milhões, setecentos e dose mil, setecentos e cinquenta e dois reaisreais e três centavos)</w:t>
      </w:r>
    </w:p>
    <w:p w14:paraId="062EFFD7" w14:textId="77777777" w:rsidR="00B65601" w:rsidRDefault="00B551C9" w:rsidP="00B10294">
      <w:pPr>
        <w:pStyle w:val="Corpodetexto2"/>
        <w:numPr>
          <w:ilvl w:val="0"/>
          <w:numId w:val="6"/>
        </w:numPr>
        <w:shd w:val="clear" w:color="auto" w:fill="FFFFFF"/>
        <w:tabs>
          <w:tab w:val="clear" w:pos="8648"/>
        </w:tabs>
        <w:spacing w:after="60" w:line="276"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DESCRIÇÃO DA SOLUÇÃO COMO UM TODO</w:t>
      </w:r>
    </w:p>
    <w:p w14:paraId="54198C7B" w14:textId="77777777" w:rsidR="00B65601" w:rsidRDefault="00B551C9" w:rsidP="00B10294">
      <w:pPr>
        <w:pStyle w:val="Nivel2"/>
        <w:numPr>
          <w:ilvl w:val="1"/>
          <w:numId w:val="6"/>
        </w:numPr>
        <w:spacing w:before="240" w:after="240"/>
        <w:ind w:left="709" w:hanging="425"/>
        <w:rPr>
          <w:rFonts w:ascii="Times New Roman" w:hAnsi="Times New Roman"/>
          <w:sz w:val="22"/>
          <w:szCs w:val="22"/>
        </w:rPr>
      </w:pPr>
      <w:r>
        <w:rPr>
          <w:rFonts w:ascii="Times New Roman" w:hAnsi="Times New Roman"/>
          <w:sz w:val="22"/>
          <w:szCs w:val="22"/>
        </w:rPr>
        <w:t xml:space="preserve">A aquisição visa prover o estoque da CAF (Central de Abastecimento Farmacêutico) para suprir as necessidades, no que diz respeito à manipulação e administração de quimioterápicos, ampliando assim, o atendimento aos usuários do SAMMED FUSEx PASS do Hospital Militar de Área de São Paulo (HMASP), que até meados de agosto de 2021 eram atendidos exclusivamente em Organização Civil de Saúde credenciada. </w:t>
      </w:r>
    </w:p>
    <w:p w14:paraId="732F3F6B" w14:textId="77777777" w:rsidR="00B65601" w:rsidRDefault="00B551C9" w:rsidP="00B10294">
      <w:pPr>
        <w:pStyle w:val="Nivel2"/>
        <w:numPr>
          <w:ilvl w:val="1"/>
          <w:numId w:val="6"/>
        </w:numPr>
        <w:spacing w:before="240" w:after="240"/>
        <w:ind w:left="709" w:hanging="425"/>
        <w:rPr>
          <w:rFonts w:ascii="Times New Roman" w:hAnsi="Times New Roman"/>
          <w:sz w:val="22"/>
          <w:szCs w:val="22"/>
        </w:rPr>
      </w:pPr>
      <w:r>
        <w:rPr>
          <w:rFonts w:ascii="Times New Roman" w:hAnsi="Times New Roman"/>
          <w:sz w:val="22"/>
          <w:szCs w:val="22"/>
        </w:rPr>
        <w:lastRenderedPageBreak/>
        <w:t xml:space="preserve">       Os medicamentos, nas quantidades solicitadas, atenderão às necessidades terapêuticas dos pacientes oncológicos internados, ambulatoriais ou em urgência/emergência, que necessitem do uso de medicamentos oncológicos, conforme prescrição médica, e para processos autorizados pelo Comando da 2ª Região Militar encaminhados para o HOSPITAL MILITAR DE ÁREA DE SÃO PAULO. Estes medicamentos englobam o tratamento dos principais tipos de doenças oncológicas atendidas neste hospital, tais como câncer de mama, pulmão, câncer de ovário, sistema digestivo, tumores cerebrais, e de origem hematológica, entre outros.</w:t>
      </w:r>
    </w:p>
    <w:p w14:paraId="76A0EBEC" w14:textId="77777777" w:rsidR="00B65601" w:rsidRDefault="00B551C9" w:rsidP="00B10294">
      <w:pPr>
        <w:pStyle w:val="Nivel2"/>
        <w:numPr>
          <w:ilvl w:val="1"/>
          <w:numId w:val="6"/>
        </w:numPr>
        <w:spacing w:before="240" w:after="240"/>
        <w:ind w:left="709" w:hanging="425"/>
        <w:rPr>
          <w:rFonts w:ascii="Times New Roman" w:hAnsi="Times New Roman"/>
          <w:sz w:val="22"/>
          <w:szCs w:val="22"/>
        </w:rPr>
      </w:pPr>
      <w:r>
        <w:rPr>
          <w:rFonts w:ascii="Times New Roman" w:hAnsi="Times New Roman"/>
          <w:sz w:val="22"/>
          <w:szCs w:val="22"/>
        </w:rPr>
        <w:t xml:space="preserve">       Os medicamentos solicitados no Termo de Referência, que não tiveram consumo nos últimos meses, têm a sua presença justificada pelo fato de que, o HMASP exerce papel importante como referência no tratamento oncológico da 2º Região Militar, que compreende todo o estado de São Paulo. Por esse motivo, em consonância com a equipe médica do Núcleo de Oncologia, houve a inclusão de itens relevantes para o tratamento do câncer.</w:t>
      </w:r>
    </w:p>
    <w:p w14:paraId="1687A6E9" w14:textId="77777777" w:rsidR="00B65601" w:rsidRDefault="00B551C9" w:rsidP="00B10294">
      <w:pPr>
        <w:pStyle w:val="Nivel2"/>
        <w:numPr>
          <w:ilvl w:val="1"/>
          <w:numId w:val="6"/>
        </w:numPr>
        <w:spacing w:before="240" w:after="240"/>
        <w:ind w:left="709" w:hanging="425"/>
        <w:rPr>
          <w:rFonts w:ascii="Times New Roman" w:hAnsi="Times New Roman"/>
          <w:sz w:val="22"/>
          <w:szCs w:val="22"/>
        </w:rPr>
      </w:pPr>
      <w:r>
        <w:rPr>
          <w:rFonts w:ascii="Times New Roman" w:hAnsi="Times New Roman"/>
          <w:sz w:val="22"/>
          <w:szCs w:val="22"/>
        </w:rPr>
        <w:t xml:space="preserve">      O HMASP atende os militares da ativa, os militares inativos, dependentes, servidores civis e os pensionistas. No ano de 2020 solicitou para a Organização Civil de Saúde credenciada o total de 686 (seiscentos e oitenta e seis) bolsas manipuladas. Em 2021, com o serviço de manipulação próprio sendo estruturado no HMASP, foi manipulado o total de 855 (oitocentos e cinquenta e cinco bolsas). Já em 2022, com o Núcleo de Oncologia do HMASP implantado, foi manipulado o total de 862 (oitocentos e sessenta e duas bolsas) e em 2023 até o mês de novembro foram manipuladas 771 (setecentas e setenta e uma bolsas) para atendimento de pacientes. O HMASP, frente ao serviço de saúde do Exército Brasileiro, apresenta-se como referência nacional no que diz respeito ao tratamento do câncer. </w:t>
      </w:r>
    </w:p>
    <w:p w14:paraId="6D1AFAF4" w14:textId="77777777" w:rsidR="00B65601" w:rsidRDefault="00B551C9" w:rsidP="00B10294">
      <w:pPr>
        <w:pStyle w:val="Corpodetexto2"/>
        <w:numPr>
          <w:ilvl w:val="1"/>
          <w:numId w:val="6"/>
        </w:numPr>
        <w:shd w:val="clear" w:color="auto" w:fill="FFFFFF"/>
        <w:tabs>
          <w:tab w:val="clear" w:pos="8648"/>
        </w:tabs>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Justificadamente, portanto, opta-se por realizar-se a presente licitação, para tal, esta Unidade Gestora, receberá provisões orçamentárias específicas para tais aquisições, demandando fiel observância aos preceitos legais que regem as compras governamentais na Administração Pública.</w:t>
      </w:r>
    </w:p>
    <w:p w14:paraId="3F1A5954" w14:textId="77777777" w:rsidR="00B65601" w:rsidRDefault="00B551C9" w:rsidP="00B10294">
      <w:pPr>
        <w:pStyle w:val="Corpodetexto2"/>
        <w:numPr>
          <w:ilvl w:val="1"/>
          <w:numId w:val="6"/>
        </w:numPr>
        <w:shd w:val="clear" w:color="auto" w:fill="FFFFFF"/>
        <w:tabs>
          <w:tab w:val="clear" w:pos="8648"/>
        </w:tabs>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Em atenção a determinação estabelecida no Artigo 40, inciso I, da Lei 14.133, de 1º de abril de 2021,  levou em consideração a expectativa de consumo anual e observou as condições de aquisição e pagamento similares às do setor privado.</w:t>
      </w:r>
    </w:p>
    <w:p w14:paraId="70E1BA90" w14:textId="77777777" w:rsidR="005E55E5" w:rsidRDefault="005E55E5" w:rsidP="00B10294">
      <w:pPr>
        <w:pStyle w:val="Corpodetexto2"/>
        <w:numPr>
          <w:ilvl w:val="1"/>
          <w:numId w:val="6"/>
        </w:numPr>
        <w:shd w:val="clear" w:color="auto" w:fill="FFFFFF"/>
        <w:tabs>
          <w:tab w:val="clear" w:pos="8648"/>
        </w:tabs>
        <w:spacing w:before="0" w:line="276"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Com base nas pesquisas de mercado realizadas e os dados de fornecimentos anteriormente realizados com este hospital, resta afirmar que a solução mais economicamente vantajosa para a aquisição dos medicamentos pretendidos é a realização de licitação por meio de Pregão Eletrônico, sem a necessidade de organização em grupos, com adoção do critério de menor preço.</w:t>
      </w:r>
    </w:p>
    <w:p w14:paraId="1EBF185B"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JUSTIFICATIVA PARA O PARCELAMENTO OU NÃO DA SOLUÇÃO</w:t>
      </w:r>
    </w:p>
    <w:p w14:paraId="24162038"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O objeto ora licitado foi devidamente dividido no maior número de parcelas possíveis que foram julgadas viáveis técnica e economicamente, com vistas à ampliação da competitividade.</w:t>
      </w:r>
    </w:p>
    <w:p w14:paraId="7FDED0EB"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DEMONSTRATIVO DOS RESULTADOS PRETENDIDOS</w:t>
      </w:r>
    </w:p>
    <w:p w14:paraId="2201B9A4"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Considera esta Equipe de Planejamento que é dever o Gestor Público promover as condições regulares e seguras de fornecimento de insumos para a garantia da assistência ao paciente em todos os seus níveis dentro do HMASP, assim como, o bom funcionamento do hospital em relação à assistência direta ou indireta prestada ao paciente.</w:t>
      </w:r>
    </w:p>
    <w:p w14:paraId="373B7C34" w14:textId="77777777" w:rsidR="00B65601" w:rsidRDefault="00B551C9" w:rsidP="00B10294">
      <w:pPr>
        <w:pStyle w:val="Corpodetexto2"/>
        <w:numPr>
          <w:ilvl w:val="0"/>
          <w:numId w:val="6"/>
        </w:numPr>
        <w:shd w:val="clear" w:color="auto" w:fill="FFFFFF"/>
        <w:tabs>
          <w:tab w:val="clear" w:pos="8648"/>
        </w:tabs>
        <w:spacing w:before="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PROVIDÊNCIAS A SEREM ADOTADAS PELA ADMINISTRAÇÃO PREVIAMENTE À CELEBRAÇÃO DO CONTRATO, INCLUSIVE QUANTO A CAPACITAÇÃO DE SERVIDORES OU DE EMPREGADOS PARA FISCALIZAÇÃO E GESTÃO CONTRATUAL</w:t>
      </w:r>
    </w:p>
    <w:p w14:paraId="0018B681"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lastRenderedPageBreak/>
        <w:t>Os materiais pretendidos no certame são de consumo comum nesta Organização Militar de Saúde, não apresentando complexidade e/ou necessidade de treinamento além do usual, educação continuada, desenvolvido internamente nas dependências deste nosocômio.</w:t>
      </w:r>
    </w:p>
    <w:p w14:paraId="4F1E1DA6"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Os militares designados para recebimento e fiscalização dos materiais pretendidos tem a capacitação para realização da atividade, a capacitação é realizada através de curso disponível no Portal de Educação do Ministério da Defesa – Exército Brasileiro – Departamento de Educação e Cultura do Exército (https://portaldeeducacao.eb.mil.br/).</w:t>
      </w:r>
    </w:p>
    <w:p w14:paraId="51643848"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CONTRATAÇÕES CORRELATAS E/OU INTERDEPENDENTES</w:t>
      </w:r>
    </w:p>
    <w:p w14:paraId="0CCFF482"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Não há contratações correlatas e/ou interdependentes, tampouco a necessidade de contratações decorrentes do objeto pretendido.</w:t>
      </w:r>
    </w:p>
    <w:p w14:paraId="20E3C43E"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POSSÍVEIS IMPACTOS AMBIENTAIS</w:t>
      </w:r>
    </w:p>
    <w:p w14:paraId="5CEC4E05"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Os possíveis impactos ambientais atrelados à eventual contratação em tela e os riscos a eles associados encontram-se referenciados no Mapa de Riscos e no Termo de Referência, cumprindo ressaltar a relação de obrigações por parte da contratada e/ou da contratante a fim de gerenciar tais riscos, seja mitigando, evitando, retendo ou transferindo os mesmos (conforme o caso), bem como a observância do Plano de Gerenciamento de Resíduos de Serviços de Saúde, anexo A-1 deste Estudo Técnico Preliminar.</w:t>
      </w:r>
    </w:p>
    <w:p w14:paraId="707A0B4D"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ALINHAMENTO ENTRE A CONTRATAÇÃO E O PLANEJAMENTO</w:t>
      </w:r>
    </w:p>
    <w:p w14:paraId="151081FC"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A presente contratação encontra-se devidamente alinhada ao PLANO DE GESTÃO DO HMASP 2020/2024, em especial ao(s) objetivo(s) estratégico(s) a seguir:</w:t>
      </w:r>
    </w:p>
    <w:p w14:paraId="35576183" w14:textId="77777777" w:rsidR="00B65601" w:rsidRDefault="00B551C9" w:rsidP="00B10294">
      <w:pPr>
        <w:pStyle w:val="Corpodetexto2"/>
        <w:numPr>
          <w:ilvl w:val="2"/>
          <w:numId w:val="6"/>
        </w:numPr>
        <w:shd w:val="clear" w:color="auto" w:fill="FFFFFF"/>
        <w:tabs>
          <w:tab w:val="clear" w:pos="8648"/>
        </w:tabs>
        <w:spacing w:before="0" w:line="240" w:lineRule="auto"/>
        <w:ind w:left="1276" w:hanging="567"/>
        <w:rPr>
          <w:rFonts w:ascii="Times New Roman" w:hAnsi="Times New Roman" w:cs="Times New Roman"/>
          <w:color w:val="auto"/>
          <w:sz w:val="22"/>
          <w:szCs w:val="22"/>
        </w:rPr>
      </w:pPr>
      <w:r>
        <w:rPr>
          <w:rFonts w:ascii="Times New Roman" w:hAnsi="Times New Roman" w:cs="Times New Roman"/>
          <w:color w:val="auto"/>
          <w:sz w:val="22"/>
          <w:szCs w:val="22"/>
        </w:rPr>
        <w:t>OBJETIVO ESTRATÉGICO ORGANIZACIONAL Nº 2 (OE 02) - Aumentar a capacidade produtiva do hospital em todas as áreas em que ocorram atendimentos ambulatoriais, exames laboratoriais e de imagens, procedimentos cirúrgicos, terapia intensiva e internações do HMASP.</w:t>
      </w:r>
    </w:p>
    <w:p w14:paraId="7444A492"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BENEFÍCIOS A SEREM ALCANÇADOS COM A CONTRATAÇÃO</w:t>
      </w:r>
    </w:p>
    <w:p w14:paraId="086A67E8"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Atendimento célere e de qualidade das demandas por medicamentos no âmbito dos diversos setores do HMASP;</w:t>
      </w:r>
    </w:p>
    <w:p w14:paraId="7520F44A"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Redução dos gastos com encaminhamento junto às Organizações Civis de Saúde; e</w:t>
      </w:r>
    </w:p>
    <w:p w14:paraId="0C489FE4"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Melhoria no aproveitamento das instalações, dos equipamentos e da mão de obra especializada já existentes no HMASP por meio da redução da capacidade ociosa.</w:t>
      </w:r>
    </w:p>
    <w:p w14:paraId="592A9B9C"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PROVIDÊNCIAS PARA ADEQUAÇÃO DO AMBIENTE DO ÓRGÃO</w:t>
      </w:r>
    </w:p>
    <w:p w14:paraId="52A088D6"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 xml:space="preserve"> A natureza desta contratação específica não gera a necessidade de adequação do ambiente deste Hospital para implantação dos serviços pretendidos.</w:t>
      </w:r>
    </w:p>
    <w:p w14:paraId="73AE596C" w14:textId="77777777" w:rsidR="00B65601" w:rsidRDefault="00B551C9" w:rsidP="00B10294">
      <w:pPr>
        <w:pStyle w:val="Corpodetexto2"/>
        <w:numPr>
          <w:ilvl w:val="0"/>
          <w:numId w:val="6"/>
        </w:numPr>
        <w:shd w:val="clear" w:color="auto" w:fill="FFFFFF"/>
        <w:tabs>
          <w:tab w:val="clear" w:pos="8648"/>
        </w:tabs>
        <w:spacing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DA VIABILIDADE DA CONTRATAÇÃO</w:t>
      </w:r>
    </w:p>
    <w:p w14:paraId="02A982B8"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Diante da análise dos fatos lançado acima, entende esta Equipe de Planejamento que, conforme o exposto, a contratação pretendida é VIÁVEL.</w:t>
      </w:r>
    </w:p>
    <w:p w14:paraId="3C087156"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DA CLASSIFICAÇÃO DE SIGILO</w:t>
      </w:r>
    </w:p>
    <w:p w14:paraId="2AF0B554" w14:textId="77777777" w:rsidR="00B65601" w:rsidRDefault="00B551C9" w:rsidP="00B10294">
      <w:pPr>
        <w:pStyle w:val="Corpodetexto2"/>
        <w:numPr>
          <w:ilvl w:val="1"/>
          <w:numId w:val="6"/>
        </w:numPr>
        <w:shd w:val="clear" w:color="auto" w:fill="FFFFFF"/>
        <w:tabs>
          <w:tab w:val="clear" w:pos="8648"/>
        </w:tabs>
        <w:spacing w:before="0" w:line="240" w:lineRule="auto"/>
        <w:ind w:left="709" w:hanging="425"/>
        <w:rPr>
          <w:rFonts w:ascii="Times New Roman" w:hAnsi="Times New Roman" w:cs="Times New Roman"/>
          <w:color w:val="auto"/>
          <w:sz w:val="22"/>
          <w:szCs w:val="22"/>
        </w:rPr>
      </w:pPr>
      <w:r>
        <w:rPr>
          <w:rFonts w:ascii="Times New Roman" w:hAnsi="Times New Roman" w:cs="Times New Roman"/>
          <w:color w:val="auto"/>
          <w:sz w:val="22"/>
          <w:szCs w:val="22"/>
        </w:rPr>
        <w:t>Não há a necessidade de classificação do presente processo nos termos da Lei nº 12.527, de 18 de novembro de 2011.</w:t>
      </w:r>
    </w:p>
    <w:p w14:paraId="6F693420" w14:textId="77777777" w:rsidR="00B65601" w:rsidRDefault="00B551C9" w:rsidP="00B10294">
      <w:pPr>
        <w:pStyle w:val="Corpodetexto2"/>
        <w:numPr>
          <w:ilvl w:val="0"/>
          <w:numId w:val="6"/>
        </w:numPr>
        <w:shd w:val="clear" w:color="auto" w:fill="FFFFFF"/>
        <w:tabs>
          <w:tab w:val="clear" w:pos="8648"/>
        </w:tabs>
        <w:spacing w:before="0"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DOS ANEXOS:</w:t>
      </w:r>
    </w:p>
    <w:p w14:paraId="32019CF2" w14:textId="77777777" w:rsidR="00B65601" w:rsidRDefault="00B551C9" w:rsidP="00B10294">
      <w:pPr>
        <w:pStyle w:val="Corpodetexto2"/>
        <w:numPr>
          <w:ilvl w:val="1"/>
          <w:numId w:val="6"/>
        </w:numPr>
        <w:shd w:val="clear" w:color="auto" w:fill="FFFFFF"/>
        <w:tabs>
          <w:tab w:val="clear" w:pos="8648"/>
        </w:tabs>
        <w:spacing w:before="0" w:after="60" w:line="240" w:lineRule="auto"/>
        <w:rPr>
          <w:rFonts w:ascii="Times New Roman" w:hAnsi="Times New Roman" w:cs="Times New Roman"/>
          <w:color w:val="auto"/>
          <w:sz w:val="22"/>
          <w:szCs w:val="22"/>
        </w:rPr>
      </w:pPr>
      <w:r>
        <w:rPr>
          <w:rFonts w:ascii="Times New Roman" w:hAnsi="Times New Roman" w:cs="Times New Roman"/>
          <w:color w:val="auto"/>
          <w:sz w:val="22"/>
          <w:szCs w:val="22"/>
        </w:rPr>
        <w:t>Anexo A-1 – Plano de Gerenciamento de Resíduos de Serviços de Saúde.</w:t>
      </w:r>
    </w:p>
    <w:p w14:paraId="02EECA5B" w14:textId="77777777" w:rsidR="00B65601" w:rsidRDefault="00B551C9" w:rsidP="00B10294">
      <w:pPr>
        <w:pStyle w:val="Corpodetexto2"/>
        <w:numPr>
          <w:ilvl w:val="0"/>
          <w:numId w:val="6"/>
        </w:numPr>
        <w:shd w:val="clear" w:color="auto" w:fill="FFFFFF"/>
        <w:tabs>
          <w:tab w:val="clear" w:pos="8648"/>
        </w:tabs>
        <w:spacing w:after="60" w:line="240" w:lineRule="auto"/>
        <w:ind w:left="284" w:hanging="284"/>
        <w:rPr>
          <w:rFonts w:ascii="Times New Roman" w:hAnsi="Times New Roman" w:cs="Times New Roman"/>
          <w:b/>
          <w:color w:val="auto"/>
          <w:sz w:val="22"/>
          <w:szCs w:val="22"/>
        </w:rPr>
      </w:pPr>
      <w:r>
        <w:rPr>
          <w:rFonts w:ascii="Times New Roman" w:hAnsi="Times New Roman" w:cs="Times New Roman"/>
          <w:b/>
          <w:color w:val="auto"/>
          <w:sz w:val="22"/>
          <w:szCs w:val="22"/>
        </w:rPr>
        <w:t>RESPONSÁVEIS</w:t>
      </w:r>
    </w:p>
    <w:p w14:paraId="1DD5C1C1" w14:textId="77777777" w:rsidR="00B65601" w:rsidRDefault="00B65601">
      <w:pPr>
        <w:pStyle w:val="Corpodetexto2"/>
        <w:shd w:val="clear" w:color="auto" w:fill="FFFFFF"/>
        <w:tabs>
          <w:tab w:val="clear" w:pos="8648"/>
        </w:tabs>
        <w:spacing w:after="60" w:line="240" w:lineRule="auto"/>
        <w:ind w:left="284"/>
        <w:rPr>
          <w:rFonts w:ascii="Times New Roman" w:hAnsi="Times New Roman" w:cs="Times New Roman"/>
          <w:b/>
          <w:color w:val="auto"/>
          <w:sz w:val="22"/>
          <w:szCs w:val="22"/>
        </w:rPr>
      </w:pPr>
    </w:p>
    <w:p w14:paraId="2C76C18A" w14:textId="5BEDEDB0" w:rsidR="00B65601" w:rsidRDefault="00B551C9">
      <w:pPr>
        <w:pStyle w:val="Normal1"/>
        <w:tabs>
          <w:tab w:val="clear" w:pos="8648"/>
        </w:tabs>
        <w:spacing w:before="0" w:after="0" w:line="240" w:lineRule="auto"/>
        <w:ind w:left="0"/>
        <w:jc w:val="left"/>
        <w:rPr>
          <w:rFonts w:ascii="Times New Roman" w:hAnsi="Times New Roman" w:cs="Times New Roman"/>
          <w:color w:val="auto"/>
          <w:sz w:val="22"/>
          <w:szCs w:val="22"/>
        </w:rPr>
      </w:pPr>
      <w:r>
        <w:rPr>
          <w:rFonts w:ascii="Times New Roman" w:hAnsi="Times New Roman" w:cs="Times New Roman"/>
          <w:color w:val="auto"/>
          <w:sz w:val="22"/>
          <w:szCs w:val="22"/>
        </w:rPr>
        <w:t xml:space="preserve">São Paulo - SP, </w:t>
      </w:r>
      <w:r w:rsidR="004342C9">
        <w:rPr>
          <w:rFonts w:ascii="Times New Roman" w:hAnsi="Times New Roman" w:cs="Times New Roman"/>
          <w:color w:val="auto"/>
          <w:sz w:val="22"/>
          <w:szCs w:val="22"/>
        </w:rPr>
        <w:t>03</w:t>
      </w:r>
      <w:r>
        <w:rPr>
          <w:rFonts w:ascii="Times New Roman" w:hAnsi="Times New Roman" w:cs="Times New Roman"/>
          <w:color w:val="auto"/>
          <w:sz w:val="22"/>
          <w:szCs w:val="22"/>
        </w:rPr>
        <w:t xml:space="preserve"> de </w:t>
      </w:r>
      <w:r w:rsidR="004342C9">
        <w:rPr>
          <w:rFonts w:ascii="Times New Roman" w:hAnsi="Times New Roman" w:cs="Times New Roman"/>
          <w:color w:val="auto"/>
          <w:sz w:val="22"/>
          <w:szCs w:val="22"/>
        </w:rPr>
        <w:t>junho</w:t>
      </w:r>
      <w:r>
        <w:rPr>
          <w:rFonts w:ascii="Times New Roman" w:hAnsi="Times New Roman" w:cs="Times New Roman"/>
          <w:color w:val="auto"/>
          <w:sz w:val="22"/>
          <w:szCs w:val="22"/>
        </w:rPr>
        <w:t xml:space="preserve"> de 2024</w:t>
      </w:r>
    </w:p>
    <w:p w14:paraId="62EB8CFE" w14:textId="77777777" w:rsidR="00B65601" w:rsidRDefault="00B65601">
      <w:pPr>
        <w:pStyle w:val="Normal1"/>
        <w:tabs>
          <w:tab w:val="clear" w:pos="8648"/>
        </w:tabs>
        <w:spacing w:before="0" w:after="0" w:line="240" w:lineRule="auto"/>
        <w:ind w:left="0"/>
        <w:jc w:val="left"/>
        <w:rPr>
          <w:rFonts w:ascii="Times New Roman" w:hAnsi="Times New Roman" w:cs="Times New Roman"/>
          <w:color w:val="auto"/>
          <w:sz w:val="22"/>
          <w:szCs w:val="22"/>
        </w:rPr>
      </w:pPr>
    </w:p>
    <w:p w14:paraId="018CDF84" w14:textId="77777777" w:rsidR="00B65601" w:rsidRDefault="00B65601">
      <w:pPr>
        <w:pStyle w:val="Normal1"/>
        <w:tabs>
          <w:tab w:val="clear" w:pos="8648"/>
        </w:tabs>
        <w:spacing w:before="0" w:after="0" w:line="240" w:lineRule="auto"/>
        <w:ind w:left="0"/>
        <w:jc w:val="left"/>
        <w:rPr>
          <w:rFonts w:ascii="Times New Roman" w:hAnsi="Times New Roman" w:cs="Times New Roman"/>
          <w:color w:val="auto"/>
          <w:sz w:val="22"/>
          <w:szCs w:val="22"/>
        </w:rPr>
      </w:pPr>
    </w:p>
    <w:p w14:paraId="14678C5E" w14:textId="77777777" w:rsidR="00B65601" w:rsidRDefault="00B551C9">
      <w:pPr>
        <w:spacing w:line="360" w:lineRule="auto"/>
        <w:jc w:val="center"/>
        <w:rPr>
          <w:sz w:val="22"/>
          <w:szCs w:val="22"/>
        </w:rPr>
      </w:pPr>
      <w:r>
        <w:rPr>
          <w:b/>
          <w:iCs/>
          <w:sz w:val="22"/>
          <w:szCs w:val="22"/>
        </w:rPr>
        <w:t xml:space="preserve">CASSIA </w:t>
      </w:r>
      <w:r>
        <w:rPr>
          <w:iCs/>
          <w:sz w:val="22"/>
          <w:szCs w:val="22"/>
        </w:rPr>
        <w:t>HELENA</w:t>
      </w:r>
      <w:r>
        <w:rPr>
          <w:b/>
          <w:iCs/>
          <w:sz w:val="22"/>
          <w:szCs w:val="22"/>
        </w:rPr>
        <w:t xml:space="preserve"> PAGINI </w:t>
      </w:r>
      <w:r>
        <w:rPr>
          <w:iCs/>
          <w:sz w:val="22"/>
          <w:szCs w:val="22"/>
        </w:rPr>
        <w:t>STUART</w:t>
      </w:r>
      <w:r>
        <w:rPr>
          <w:sz w:val="22"/>
          <w:szCs w:val="22"/>
        </w:rPr>
        <w:t>– 2º Ten</w:t>
      </w:r>
    </w:p>
    <w:p w14:paraId="6380BB94" w14:textId="77777777" w:rsidR="00B65601" w:rsidRDefault="00B551C9">
      <w:pPr>
        <w:spacing w:line="360" w:lineRule="auto"/>
        <w:jc w:val="center"/>
        <w:rPr>
          <w:sz w:val="22"/>
          <w:szCs w:val="22"/>
        </w:rPr>
      </w:pPr>
      <w:r>
        <w:rPr>
          <w:sz w:val="22"/>
          <w:szCs w:val="22"/>
        </w:rPr>
        <w:t>Chefe da Equipe de Planejamento</w:t>
      </w:r>
    </w:p>
    <w:p w14:paraId="5CA90268" w14:textId="77777777" w:rsidR="00B65601" w:rsidRDefault="00B65601">
      <w:pPr>
        <w:spacing w:line="360" w:lineRule="auto"/>
        <w:jc w:val="center"/>
        <w:rPr>
          <w:sz w:val="22"/>
          <w:szCs w:val="22"/>
        </w:rPr>
      </w:pPr>
    </w:p>
    <w:p w14:paraId="5ACE25A6" w14:textId="77777777" w:rsidR="00B65601" w:rsidRDefault="00B551C9">
      <w:pPr>
        <w:spacing w:line="360" w:lineRule="auto"/>
        <w:jc w:val="center"/>
        <w:rPr>
          <w:sz w:val="22"/>
          <w:szCs w:val="22"/>
        </w:rPr>
      </w:pPr>
      <w:r>
        <w:rPr>
          <w:sz w:val="22"/>
          <w:szCs w:val="22"/>
        </w:rPr>
        <w:t xml:space="preserve">ANA KAROLLINA </w:t>
      </w:r>
      <w:r>
        <w:rPr>
          <w:b/>
          <w:sz w:val="22"/>
          <w:szCs w:val="22"/>
        </w:rPr>
        <w:t>FRITSCH</w:t>
      </w:r>
      <w:r>
        <w:rPr>
          <w:sz w:val="22"/>
          <w:szCs w:val="22"/>
        </w:rPr>
        <w:t xml:space="preserve"> EMIDIO – 2º Ten</w:t>
      </w:r>
    </w:p>
    <w:p w14:paraId="3187314A" w14:textId="77777777" w:rsidR="00B65601" w:rsidRDefault="00B551C9">
      <w:pPr>
        <w:spacing w:line="360" w:lineRule="auto"/>
        <w:jc w:val="center"/>
        <w:rPr>
          <w:sz w:val="22"/>
          <w:szCs w:val="22"/>
        </w:rPr>
      </w:pPr>
      <w:r>
        <w:rPr>
          <w:sz w:val="22"/>
          <w:szCs w:val="22"/>
        </w:rPr>
        <w:t>Membro da Equipe de Planejamento</w:t>
      </w:r>
    </w:p>
    <w:p w14:paraId="2A7AB183" w14:textId="77777777" w:rsidR="00B65601" w:rsidRDefault="00B65601">
      <w:pPr>
        <w:spacing w:line="360" w:lineRule="auto"/>
        <w:ind w:firstLine="1"/>
        <w:jc w:val="center"/>
        <w:rPr>
          <w:sz w:val="22"/>
          <w:szCs w:val="22"/>
        </w:rPr>
      </w:pPr>
    </w:p>
    <w:p w14:paraId="3FF8A8F6" w14:textId="77777777" w:rsidR="00B65601" w:rsidRDefault="00B551C9">
      <w:pPr>
        <w:spacing w:line="360" w:lineRule="auto"/>
        <w:jc w:val="center"/>
        <w:rPr>
          <w:sz w:val="22"/>
          <w:szCs w:val="22"/>
        </w:rPr>
      </w:pPr>
      <w:r>
        <w:rPr>
          <w:sz w:val="22"/>
          <w:szCs w:val="22"/>
        </w:rPr>
        <w:t xml:space="preserve">EDUARDO </w:t>
      </w:r>
      <w:r>
        <w:rPr>
          <w:b/>
          <w:sz w:val="22"/>
          <w:szCs w:val="22"/>
        </w:rPr>
        <w:t xml:space="preserve">CABRAL </w:t>
      </w:r>
      <w:r>
        <w:rPr>
          <w:sz w:val="22"/>
          <w:szCs w:val="22"/>
        </w:rPr>
        <w:t>MENDES– STen</w:t>
      </w:r>
    </w:p>
    <w:p w14:paraId="4176ABF3" w14:textId="77777777" w:rsidR="00B65601" w:rsidRDefault="00B551C9" w:rsidP="00B10294">
      <w:pPr>
        <w:spacing w:line="360" w:lineRule="auto"/>
        <w:jc w:val="center"/>
        <w:rPr>
          <w:sz w:val="22"/>
          <w:szCs w:val="22"/>
        </w:rPr>
      </w:pPr>
      <w:r>
        <w:rPr>
          <w:sz w:val="22"/>
          <w:szCs w:val="22"/>
        </w:rPr>
        <w:t>Membro da Equipe de Planejamento</w:t>
      </w:r>
    </w:p>
    <w:p w14:paraId="00AF672B" w14:textId="77777777" w:rsidR="00B65601" w:rsidRDefault="00B551C9">
      <w:pPr>
        <w:pStyle w:val="Assuntodocomentrio"/>
        <w:ind w:left="360"/>
        <w:rPr>
          <w:rFonts w:ascii="Times New Roman" w:hAnsi="Times New Roman" w:cs="Times New Roman"/>
          <w:b w:val="0"/>
          <w:sz w:val="22"/>
          <w:szCs w:val="22"/>
        </w:rPr>
      </w:pPr>
      <w:r>
        <w:rPr>
          <w:rFonts w:ascii="Times New Roman" w:hAnsi="Times New Roman" w:cs="Times New Roman"/>
          <w:b w:val="0"/>
          <w:sz w:val="22"/>
          <w:szCs w:val="22"/>
        </w:rPr>
        <w:t>Aprovação:</w:t>
      </w:r>
    </w:p>
    <w:p w14:paraId="64158096" w14:textId="77777777" w:rsidR="00B65601" w:rsidRDefault="00B65601">
      <w:pPr>
        <w:pStyle w:val="Textodecomentrio"/>
        <w:rPr>
          <w:sz w:val="22"/>
          <w:szCs w:val="22"/>
        </w:rPr>
      </w:pPr>
    </w:p>
    <w:p w14:paraId="27F2DB87" w14:textId="77777777" w:rsidR="00B65601" w:rsidRDefault="00B65601">
      <w:pPr>
        <w:pStyle w:val="Textodecomentrio"/>
        <w:rPr>
          <w:sz w:val="22"/>
          <w:szCs w:val="22"/>
        </w:rPr>
      </w:pPr>
    </w:p>
    <w:p w14:paraId="2ADC919A" w14:textId="77777777" w:rsidR="00B65601" w:rsidRDefault="00B551C9">
      <w:pPr>
        <w:jc w:val="center"/>
        <w:rPr>
          <w:sz w:val="22"/>
          <w:szCs w:val="22"/>
        </w:rPr>
      </w:pPr>
      <w:r>
        <w:rPr>
          <w:sz w:val="22"/>
          <w:szCs w:val="22"/>
        </w:rPr>
        <w:t xml:space="preserve">PABLO LUIZ QUEIROZ FUZARO </w:t>
      </w:r>
      <w:r>
        <w:rPr>
          <w:b/>
          <w:sz w:val="22"/>
          <w:szCs w:val="22"/>
        </w:rPr>
        <w:t>CHIARINOTTI</w:t>
      </w:r>
      <w:r>
        <w:rPr>
          <w:sz w:val="22"/>
          <w:szCs w:val="22"/>
        </w:rPr>
        <w:t xml:space="preserve"> – TenCel Com</w:t>
      </w:r>
    </w:p>
    <w:p w14:paraId="6ACA8654" w14:textId="77777777" w:rsidR="00B65601" w:rsidRDefault="00B551C9" w:rsidP="00B10294">
      <w:pPr>
        <w:jc w:val="center"/>
        <w:rPr>
          <w:sz w:val="22"/>
          <w:szCs w:val="22"/>
        </w:rPr>
      </w:pPr>
      <w:r>
        <w:rPr>
          <w:sz w:val="22"/>
          <w:szCs w:val="22"/>
        </w:rPr>
        <w:t>Ordenador de Despesas</w:t>
      </w:r>
    </w:p>
    <w:sectPr w:rsidR="00B65601" w:rsidSect="00790AD9">
      <w:headerReference w:type="even" r:id="rId11"/>
      <w:headerReference w:type="default" r:id="rId12"/>
      <w:pgSz w:w="11906" w:h="16838"/>
      <w:pgMar w:top="1386" w:right="424" w:bottom="1276" w:left="1701" w:header="335" w:footer="0"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2FA76" w14:textId="77777777" w:rsidR="00B551C9" w:rsidRDefault="00B551C9">
      <w:r>
        <w:separator/>
      </w:r>
    </w:p>
  </w:endnote>
  <w:endnote w:type="continuationSeparator" w:id="0">
    <w:p w14:paraId="2077D517" w14:textId="77777777" w:rsidR="00B551C9" w:rsidRDefault="00B5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68D4" w14:textId="77777777" w:rsidR="00B551C9" w:rsidRDefault="00B551C9">
      <w:r>
        <w:separator/>
      </w:r>
    </w:p>
  </w:footnote>
  <w:footnote w:type="continuationSeparator" w:id="0">
    <w:p w14:paraId="2D4A9A8C" w14:textId="77777777" w:rsidR="00B551C9" w:rsidRDefault="00B5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296B" w14:textId="77777777" w:rsidR="00B65601" w:rsidRDefault="00B656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9CCB" w14:textId="77777777" w:rsidR="00B65601" w:rsidRDefault="004342C9">
    <w:pPr>
      <w:pStyle w:val="Normal1"/>
      <w:ind w:left="-17"/>
      <w:jc w:val="center"/>
      <w:rPr>
        <w:b/>
      </w:rPr>
    </w:pPr>
    <w:r>
      <w:rPr>
        <w:noProof/>
      </w:rPr>
      <w:pict w14:anchorId="0892BD26">
        <v:shapetype id="_x0000_t202" coordsize="21600,21600" o:spt="202" path="m,l,21600r21600,l21600,xe">
          <v:stroke joinstyle="miter"/>
          <v:path gradientshapeok="t" o:connecttype="rect"/>
        </v:shapetype>
        <v:shape id="Quadro1" o:spid="_x0000_s2049" type="#_x0000_t202" style="position:absolute;left:0;text-align:left;margin-left:424.15pt;margin-top:.15pt;width:70.85pt;height:5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" o:allowincell="f" strokeweight="1pt">
          <v:textbox>
            <w:txbxContent>
              <w:p w14:paraId="006F1D0C" w14:textId="77777777" w:rsidR="00B65601" w:rsidRDefault="00B551C9">
                <w:pPr>
                  <w:pStyle w:val="Contedodoquadro"/>
                  <w:spacing w:before="60"/>
                  <w:jc w:val="center"/>
                  <w:rPr>
                    <w:sz w:val="16"/>
                  </w:rPr>
                </w:pPr>
                <w:r>
                  <w:rPr>
                    <w:sz w:val="16"/>
                  </w:rPr>
                  <w:t>_____________</w:t>
                </w:r>
              </w:p>
              <w:p w14:paraId="41BA0602" w14:textId="77777777" w:rsidR="00B65601" w:rsidRDefault="00B551C9">
                <w:pPr>
                  <w:pStyle w:val="Contedodoquadro"/>
                  <w:spacing w:before="200"/>
                  <w:jc w:val="center"/>
                </w:pPr>
                <w:r>
                  <w:rPr>
                    <w:sz w:val="16"/>
                  </w:rPr>
                  <w:t>_____________</w:t>
                </w:r>
              </w:p>
              <w:p w14:paraId="1885484D" w14:textId="77777777" w:rsidR="00B65601" w:rsidRDefault="00B551C9">
                <w:pPr>
                  <w:pStyle w:val="Contedodoquadro"/>
                  <w:jc w:val="center"/>
                  <w:rPr>
                    <w:sz w:val="16"/>
                  </w:rPr>
                </w:pPr>
                <w:r>
                  <w:rPr>
                    <w:sz w:val="16"/>
                  </w:rPr>
                  <w:t>Rubrica</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3401"/>
    <w:multiLevelType w:val="multilevel"/>
    <w:tmpl w:val="7CF2AD96"/>
    <w:lvl w:ilvl="0">
      <w:start w:val="1"/>
      <w:numFmt w:val="decimal"/>
      <w:lvlText w:val="%1."/>
      <w:lvlJc w:val="left"/>
      <w:pPr>
        <w:tabs>
          <w:tab w:val="num" w:pos="0"/>
        </w:tabs>
        <w:ind w:left="720" w:hanging="360"/>
      </w:pPr>
      <w:rPr>
        <w:b/>
        <w:i w:val="0"/>
        <w:color w:val="00000A"/>
        <w:sz w:val="20"/>
        <w:szCs w:val="24"/>
      </w:rPr>
    </w:lvl>
    <w:lvl w:ilvl="1">
      <w:start w:val="1"/>
      <w:numFmt w:val="decimal"/>
      <w:lvlText w:val="%1.%2"/>
      <w:lvlJc w:val="left"/>
      <w:pPr>
        <w:tabs>
          <w:tab w:val="num" w:pos="0"/>
        </w:tabs>
        <w:ind w:left="1803" w:hanging="1095"/>
      </w:pPr>
      <w:rPr>
        <w:b w:val="0"/>
        <w:i w:val="0"/>
        <w:color w:val="00000A"/>
        <w:sz w:val="20"/>
        <w:szCs w:val="24"/>
      </w:rPr>
    </w:lvl>
    <w:lvl w:ilvl="2">
      <w:start w:val="1"/>
      <w:numFmt w:val="decimal"/>
      <w:lvlText w:val="%1.%2.%3"/>
      <w:lvlJc w:val="left"/>
      <w:pPr>
        <w:tabs>
          <w:tab w:val="num" w:pos="0"/>
        </w:tabs>
        <w:ind w:left="2151" w:hanging="1095"/>
      </w:pPr>
      <w:rPr>
        <w:b w:val="0"/>
        <w:i w:val="0"/>
        <w:color w:val="00000A"/>
        <w:sz w:val="20"/>
      </w:rPr>
    </w:lvl>
    <w:lvl w:ilvl="3">
      <w:start w:val="1"/>
      <w:numFmt w:val="decimal"/>
      <w:lvlText w:val="%1.%2.%3.%4"/>
      <w:lvlJc w:val="left"/>
      <w:pPr>
        <w:tabs>
          <w:tab w:val="num" w:pos="0"/>
        </w:tabs>
        <w:ind w:left="2499" w:hanging="1095"/>
      </w:pPr>
    </w:lvl>
    <w:lvl w:ilvl="4">
      <w:start w:val="1"/>
      <w:numFmt w:val="decimal"/>
      <w:lvlText w:val="%1.%2.%3.%4.%5"/>
      <w:lvlJc w:val="left"/>
      <w:pPr>
        <w:tabs>
          <w:tab w:val="num" w:pos="0"/>
        </w:tabs>
        <w:ind w:left="2847" w:hanging="1095"/>
      </w:pPr>
    </w:lvl>
    <w:lvl w:ilvl="5">
      <w:start w:val="1"/>
      <w:numFmt w:val="decimal"/>
      <w:lvlText w:val="%1.%2.%3.%4.%5.%6"/>
      <w:lvlJc w:val="left"/>
      <w:pPr>
        <w:tabs>
          <w:tab w:val="num" w:pos="0"/>
        </w:tabs>
        <w:ind w:left="3195" w:hanging="1095"/>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 w15:restartNumberingAfterBreak="0">
    <w:nsid w:val="39095CE2"/>
    <w:multiLevelType w:val="multilevel"/>
    <w:tmpl w:val="17768BD6"/>
    <w:lvl w:ilvl="0">
      <w:start w:val="1"/>
      <w:numFmt w:val="decimal"/>
      <w:lvlText w:val="%1."/>
      <w:lvlJc w:val="left"/>
      <w:pPr>
        <w:tabs>
          <w:tab w:val="num" w:pos="0"/>
        </w:tabs>
        <w:ind w:left="502" w:hanging="360"/>
      </w:pPr>
      <w:rPr>
        <w:b/>
        <w:i w:val="0"/>
        <w:strike w:val="0"/>
        <w:dstrike w:val="0"/>
      </w:rPr>
    </w:lvl>
    <w:lvl w:ilvl="1">
      <w:start w:val="1"/>
      <w:numFmt w:val="decimal"/>
      <w:pStyle w:val="Nivel2"/>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E557661"/>
    <w:multiLevelType w:val="multilevel"/>
    <w:tmpl w:val="7A84A2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29F0E7A"/>
    <w:multiLevelType w:val="multilevel"/>
    <w:tmpl w:val="45AC4CE8"/>
    <w:lvl w:ilvl="0">
      <w:start w:val="6"/>
      <w:numFmt w:val="decimal"/>
      <w:lvlText w:val="%1."/>
      <w:lvlJc w:val="left"/>
      <w:pPr>
        <w:tabs>
          <w:tab w:val="num" w:pos="0"/>
        </w:tabs>
        <w:ind w:left="360" w:hanging="360"/>
      </w:pPr>
    </w:lvl>
    <w:lvl w:ilvl="1">
      <w:start w:val="3"/>
      <w:numFmt w:val="decimal"/>
      <w:lvlText w:val="%1.%2."/>
      <w:lvlJc w:val="left"/>
      <w:pPr>
        <w:tabs>
          <w:tab w:val="num" w:pos="0"/>
        </w:tabs>
        <w:ind w:left="1494" w:hanging="360"/>
      </w:pPr>
    </w:lvl>
    <w:lvl w:ilvl="2">
      <w:start w:val="1"/>
      <w:numFmt w:val="decimal"/>
      <w:lvlText w:val="%1.%2.%3."/>
      <w:lvlJc w:val="left"/>
      <w:pPr>
        <w:tabs>
          <w:tab w:val="num" w:pos="0"/>
        </w:tabs>
        <w:ind w:left="2988"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7884" w:hanging="108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512" w:hanging="1440"/>
      </w:pPr>
    </w:lvl>
  </w:abstractNum>
  <w:abstractNum w:abstractNumId="4" w15:restartNumberingAfterBreak="0">
    <w:nsid w:val="5DB95E63"/>
    <w:multiLevelType w:val="multilevel"/>
    <w:tmpl w:val="8F60E46E"/>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EF520AA"/>
    <w:multiLevelType w:val="multilevel"/>
    <w:tmpl w:val="7CF2AD96"/>
    <w:lvl w:ilvl="0">
      <w:start w:val="1"/>
      <w:numFmt w:val="decimal"/>
      <w:lvlText w:val="%1."/>
      <w:lvlJc w:val="left"/>
      <w:pPr>
        <w:tabs>
          <w:tab w:val="num" w:pos="0"/>
        </w:tabs>
        <w:ind w:left="720" w:hanging="360"/>
      </w:pPr>
      <w:rPr>
        <w:b/>
        <w:i w:val="0"/>
        <w:color w:val="00000A"/>
        <w:sz w:val="20"/>
        <w:szCs w:val="24"/>
      </w:rPr>
    </w:lvl>
    <w:lvl w:ilvl="1">
      <w:start w:val="1"/>
      <w:numFmt w:val="decimal"/>
      <w:lvlText w:val="%1.%2"/>
      <w:lvlJc w:val="left"/>
      <w:pPr>
        <w:tabs>
          <w:tab w:val="num" w:pos="0"/>
        </w:tabs>
        <w:ind w:left="1803" w:hanging="1095"/>
      </w:pPr>
      <w:rPr>
        <w:b w:val="0"/>
        <w:i w:val="0"/>
        <w:color w:val="00000A"/>
        <w:sz w:val="20"/>
        <w:szCs w:val="24"/>
      </w:rPr>
    </w:lvl>
    <w:lvl w:ilvl="2">
      <w:start w:val="1"/>
      <w:numFmt w:val="decimal"/>
      <w:lvlText w:val="%1.%2.%3"/>
      <w:lvlJc w:val="left"/>
      <w:pPr>
        <w:tabs>
          <w:tab w:val="num" w:pos="0"/>
        </w:tabs>
        <w:ind w:left="2151" w:hanging="1095"/>
      </w:pPr>
      <w:rPr>
        <w:b w:val="0"/>
        <w:i w:val="0"/>
        <w:color w:val="00000A"/>
        <w:sz w:val="20"/>
      </w:rPr>
    </w:lvl>
    <w:lvl w:ilvl="3">
      <w:start w:val="1"/>
      <w:numFmt w:val="decimal"/>
      <w:lvlText w:val="%1.%2.%3.%4"/>
      <w:lvlJc w:val="left"/>
      <w:pPr>
        <w:tabs>
          <w:tab w:val="num" w:pos="0"/>
        </w:tabs>
        <w:ind w:left="2499" w:hanging="1095"/>
      </w:pPr>
    </w:lvl>
    <w:lvl w:ilvl="4">
      <w:start w:val="1"/>
      <w:numFmt w:val="decimal"/>
      <w:lvlText w:val="%1.%2.%3.%4.%5"/>
      <w:lvlJc w:val="left"/>
      <w:pPr>
        <w:tabs>
          <w:tab w:val="num" w:pos="0"/>
        </w:tabs>
        <w:ind w:left="2847" w:hanging="1095"/>
      </w:pPr>
    </w:lvl>
    <w:lvl w:ilvl="5">
      <w:start w:val="1"/>
      <w:numFmt w:val="decimal"/>
      <w:lvlText w:val="%1.%2.%3.%4.%5.%6"/>
      <w:lvlJc w:val="left"/>
      <w:pPr>
        <w:tabs>
          <w:tab w:val="num" w:pos="0"/>
        </w:tabs>
        <w:ind w:left="3195" w:hanging="1095"/>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6" w15:restartNumberingAfterBreak="0">
    <w:nsid w:val="65DE37A1"/>
    <w:multiLevelType w:val="multilevel"/>
    <w:tmpl w:val="7CF2AD96"/>
    <w:lvl w:ilvl="0">
      <w:start w:val="1"/>
      <w:numFmt w:val="decimal"/>
      <w:lvlText w:val="%1."/>
      <w:lvlJc w:val="left"/>
      <w:pPr>
        <w:tabs>
          <w:tab w:val="num" w:pos="0"/>
        </w:tabs>
        <w:ind w:left="720" w:hanging="360"/>
      </w:pPr>
      <w:rPr>
        <w:b/>
        <w:i w:val="0"/>
        <w:color w:val="00000A"/>
        <w:sz w:val="20"/>
        <w:szCs w:val="24"/>
      </w:rPr>
    </w:lvl>
    <w:lvl w:ilvl="1">
      <w:start w:val="1"/>
      <w:numFmt w:val="decimal"/>
      <w:lvlText w:val="%1.%2"/>
      <w:lvlJc w:val="left"/>
      <w:pPr>
        <w:tabs>
          <w:tab w:val="num" w:pos="0"/>
        </w:tabs>
        <w:ind w:left="1803" w:hanging="1095"/>
      </w:pPr>
      <w:rPr>
        <w:b w:val="0"/>
        <w:i w:val="0"/>
        <w:color w:val="00000A"/>
        <w:sz w:val="20"/>
        <w:szCs w:val="24"/>
      </w:rPr>
    </w:lvl>
    <w:lvl w:ilvl="2">
      <w:start w:val="1"/>
      <w:numFmt w:val="decimal"/>
      <w:lvlText w:val="%1.%2.%3"/>
      <w:lvlJc w:val="left"/>
      <w:pPr>
        <w:tabs>
          <w:tab w:val="num" w:pos="0"/>
        </w:tabs>
        <w:ind w:left="2151" w:hanging="1095"/>
      </w:pPr>
      <w:rPr>
        <w:b w:val="0"/>
        <w:i w:val="0"/>
        <w:color w:val="00000A"/>
        <w:sz w:val="20"/>
      </w:rPr>
    </w:lvl>
    <w:lvl w:ilvl="3">
      <w:start w:val="1"/>
      <w:numFmt w:val="decimal"/>
      <w:lvlText w:val="%1.%2.%3.%4"/>
      <w:lvlJc w:val="left"/>
      <w:pPr>
        <w:tabs>
          <w:tab w:val="num" w:pos="0"/>
        </w:tabs>
        <w:ind w:left="2499" w:hanging="1095"/>
      </w:pPr>
    </w:lvl>
    <w:lvl w:ilvl="4">
      <w:start w:val="1"/>
      <w:numFmt w:val="decimal"/>
      <w:lvlText w:val="%1.%2.%3.%4.%5"/>
      <w:lvlJc w:val="left"/>
      <w:pPr>
        <w:tabs>
          <w:tab w:val="num" w:pos="0"/>
        </w:tabs>
        <w:ind w:left="2847" w:hanging="1095"/>
      </w:pPr>
    </w:lvl>
    <w:lvl w:ilvl="5">
      <w:start w:val="1"/>
      <w:numFmt w:val="decimal"/>
      <w:lvlText w:val="%1.%2.%3.%4.%5.%6"/>
      <w:lvlJc w:val="left"/>
      <w:pPr>
        <w:tabs>
          <w:tab w:val="num" w:pos="0"/>
        </w:tabs>
        <w:ind w:left="3195" w:hanging="1095"/>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7" w15:restartNumberingAfterBreak="0">
    <w:nsid w:val="70E67D2C"/>
    <w:multiLevelType w:val="multilevel"/>
    <w:tmpl w:val="A6A8F66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ED520D"/>
    <w:multiLevelType w:val="multilevel"/>
    <w:tmpl w:val="166ED3D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16cid:durableId="637300313">
    <w:abstractNumId w:val="0"/>
  </w:num>
  <w:num w:numId="2" w16cid:durableId="197592266">
    <w:abstractNumId w:val="7"/>
  </w:num>
  <w:num w:numId="3" w16cid:durableId="1491284932">
    <w:abstractNumId w:val="4"/>
  </w:num>
  <w:num w:numId="4" w16cid:durableId="1001812454">
    <w:abstractNumId w:val="1"/>
  </w:num>
  <w:num w:numId="5" w16cid:durableId="549609093">
    <w:abstractNumId w:val="8"/>
  </w:num>
  <w:num w:numId="6" w16cid:durableId="446968690">
    <w:abstractNumId w:val="3"/>
  </w:num>
  <w:num w:numId="7" w16cid:durableId="634675961">
    <w:abstractNumId w:val="2"/>
  </w:num>
  <w:num w:numId="8" w16cid:durableId="36198062">
    <w:abstractNumId w:val="5"/>
  </w:num>
  <w:num w:numId="9" w16cid:durableId="194854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autoHyphenation/>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5601"/>
    <w:rsid w:val="00282B6C"/>
    <w:rsid w:val="003269B8"/>
    <w:rsid w:val="003B3124"/>
    <w:rsid w:val="003C1AC5"/>
    <w:rsid w:val="003E21E4"/>
    <w:rsid w:val="004342C9"/>
    <w:rsid w:val="005C6421"/>
    <w:rsid w:val="005E55E5"/>
    <w:rsid w:val="00621103"/>
    <w:rsid w:val="00790AD9"/>
    <w:rsid w:val="00B10294"/>
    <w:rsid w:val="00B551C9"/>
    <w:rsid w:val="00B65601"/>
    <w:rsid w:val="00C61611"/>
    <w:rsid w:val="00C73829"/>
    <w:rsid w:val="00DA7F0B"/>
    <w:rsid w:val="00E339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8818A8"/>
  <w15:docId w15:val="{970F2792-A97B-404F-8263-7897DE50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FCA"/>
  </w:style>
  <w:style w:type="paragraph" w:styleId="Ttulo1">
    <w:name w:val="heading 1"/>
    <w:basedOn w:val="Normal1"/>
    <w:next w:val="Normal1"/>
    <w:link w:val="Ttulo1Char"/>
    <w:qFormat/>
    <w:rsid w:val="007B7233"/>
    <w:pPr>
      <w:keepNext/>
      <w:spacing w:after="60"/>
      <w:outlineLvl w:val="0"/>
    </w:pPr>
    <w:rPr>
      <w:rFonts w:ascii="Cambria" w:hAnsi="Cambria"/>
      <w:b/>
      <w:bCs/>
      <w:sz w:val="32"/>
      <w:szCs w:val="32"/>
    </w:rPr>
  </w:style>
  <w:style w:type="paragraph" w:styleId="Ttulo2">
    <w:name w:val="heading 2"/>
    <w:basedOn w:val="Normal1"/>
    <w:next w:val="Normal1"/>
    <w:link w:val="Ttulo2Char"/>
    <w:uiPriority w:val="9"/>
    <w:qFormat/>
    <w:rsid w:val="00E82E4F"/>
    <w:pPr>
      <w:keepNext/>
      <w:spacing w:after="60"/>
      <w:outlineLvl w:val="1"/>
    </w:pPr>
    <w:rPr>
      <w:rFonts w:ascii="Arial" w:hAnsi="Arial"/>
      <w:b/>
      <w:bCs/>
      <w:i/>
      <w:iCs/>
      <w:sz w:val="28"/>
      <w:szCs w:val="28"/>
    </w:rPr>
  </w:style>
  <w:style w:type="paragraph" w:styleId="Ttulo3">
    <w:name w:val="heading 3"/>
    <w:basedOn w:val="Normal1"/>
    <w:next w:val="Normal1"/>
    <w:link w:val="Ttulo3Char"/>
    <w:uiPriority w:val="9"/>
    <w:qFormat/>
    <w:rsid w:val="006938EB"/>
    <w:pPr>
      <w:keepNext/>
      <w:spacing w:after="60"/>
      <w:outlineLvl w:val="2"/>
    </w:pPr>
    <w:rPr>
      <w:rFonts w:ascii="Cambria" w:hAnsi="Cambria"/>
      <w:b/>
      <w:bCs/>
      <w:sz w:val="26"/>
      <w:szCs w:val="26"/>
      <w:lang w:eastAsia="en-US"/>
    </w:rPr>
  </w:style>
  <w:style w:type="paragraph" w:styleId="Ttulo4">
    <w:name w:val="heading 4"/>
    <w:basedOn w:val="Normal1"/>
    <w:next w:val="Normal1"/>
    <w:qFormat/>
    <w:rsid w:val="00C172A2"/>
    <w:pPr>
      <w:keepNext/>
      <w:jc w:val="center"/>
      <w:outlineLvl w:val="3"/>
    </w:pPr>
    <w:rPr>
      <w:b/>
      <w:color w:val="0000FF"/>
      <w:sz w:val="52"/>
      <w:u w:val="single"/>
    </w:rPr>
  </w:style>
  <w:style w:type="paragraph" w:styleId="Ttulo5">
    <w:name w:val="heading 5"/>
    <w:basedOn w:val="Normal1"/>
    <w:next w:val="Normal1"/>
    <w:link w:val="Ttulo5Char"/>
    <w:semiHidden/>
    <w:unhideWhenUsed/>
    <w:qFormat/>
    <w:rsid w:val="00D156FC"/>
    <w:pPr>
      <w:spacing w:after="60"/>
      <w:outlineLvl w:val="4"/>
    </w:pPr>
    <w:rPr>
      <w:rFonts w:ascii="Calibri" w:hAnsi="Calibri"/>
      <w:b/>
      <w:bCs/>
      <w:i/>
      <w:iCs/>
      <w:sz w:val="26"/>
      <w:szCs w:val="26"/>
    </w:rPr>
  </w:style>
  <w:style w:type="paragraph" w:styleId="Ttulo7">
    <w:name w:val="heading 7"/>
    <w:basedOn w:val="Normal1"/>
    <w:next w:val="Normal1"/>
    <w:link w:val="Ttulo7Char"/>
    <w:uiPriority w:val="9"/>
    <w:qFormat/>
    <w:rsid w:val="00C172A2"/>
    <w:pPr>
      <w:keepNext/>
      <w:jc w:val="center"/>
      <w:outlineLvl w:val="6"/>
    </w:pPr>
    <w:rPr>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rsid w:val="00C172A2"/>
    <w:rPr>
      <w:color w:val="0000FF"/>
      <w:u w:val="single"/>
    </w:rPr>
  </w:style>
  <w:style w:type="character" w:customStyle="1" w:styleId="RecuodecorpodetextoChar">
    <w:name w:val="Recuo de corpo de texto Char"/>
    <w:basedOn w:val="Fontepargpadro"/>
    <w:link w:val="Corpodetextorecuado"/>
    <w:uiPriority w:val="99"/>
    <w:qFormat/>
    <w:rsid w:val="006938EB"/>
  </w:style>
  <w:style w:type="character" w:customStyle="1" w:styleId="Ttulo3Char">
    <w:name w:val="Título 3 Char"/>
    <w:link w:val="Ttulo3"/>
    <w:uiPriority w:val="9"/>
    <w:semiHidden/>
    <w:qFormat/>
    <w:rsid w:val="006938EB"/>
    <w:rPr>
      <w:rFonts w:ascii="Cambria" w:hAnsi="Cambria"/>
      <w:b/>
      <w:bCs/>
      <w:sz w:val="26"/>
      <w:szCs w:val="26"/>
      <w:lang w:eastAsia="en-US"/>
    </w:rPr>
  </w:style>
  <w:style w:type="character" w:customStyle="1" w:styleId="CabealhoChar">
    <w:name w:val="Cabeçalho Char"/>
    <w:basedOn w:val="Fontepargpadro"/>
    <w:link w:val="Cabealho"/>
    <w:qFormat/>
    <w:rsid w:val="006938EB"/>
  </w:style>
  <w:style w:type="character" w:customStyle="1" w:styleId="RodapChar">
    <w:name w:val="Rodapé Char"/>
    <w:basedOn w:val="Fontepargpadro"/>
    <w:link w:val="Rodap"/>
    <w:uiPriority w:val="99"/>
    <w:qFormat/>
    <w:rsid w:val="006938EB"/>
  </w:style>
  <w:style w:type="character" w:customStyle="1" w:styleId="Ttulo2Char">
    <w:name w:val="Título 2 Char"/>
    <w:link w:val="Ttulo2"/>
    <w:uiPriority w:val="9"/>
    <w:qFormat/>
    <w:rsid w:val="006938EB"/>
    <w:rPr>
      <w:rFonts w:ascii="Arial" w:hAnsi="Arial" w:cs="Arial"/>
      <w:b/>
      <w:bCs/>
      <w:i/>
      <w:iCs/>
      <w:sz w:val="28"/>
      <w:szCs w:val="28"/>
    </w:rPr>
  </w:style>
  <w:style w:type="character" w:customStyle="1" w:styleId="Ttulo7Char">
    <w:name w:val="Título 7 Char"/>
    <w:link w:val="Ttulo7"/>
    <w:uiPriority w:val="9"/>
    <w:qFormat/>
    <w:rsid w:val="006938EB"/>
    <w:rPr>
      <w:b/>
      <w:i/>
      <w:sz w:val="24"/>
    </w:rPr>
  </w:style>
  <w:style w:type="character" w:customStyle="1" w:styleId="TtuloChar">
    <w:name w:val="Título Char"/>
    <w:link w:val="Ttulo10"/>
    <w:qFormat/>
    <w:rsid w:val="006938EB"/>
    <w:rPr>
      <w:b/>
    </w:rPr>
  </w:style>
  <w:style w:type="character" w:styleId="MquinadeescreverHTML">
    <w:name w:val="HTML Typewriter"/>
    <w:qFormat/>
    <w:rsid w:val="00900D14"/>
    <w:rPr>
      <w:rFonts w:ascii="Courier New" w:eastAsia="Times New Roman" w:hAnsi="Courier New" w:cs="Courier New"/>
      <w:sz w:val="20"/>
      <w:szCs w:val="20"/>
    </w:rPr>
  </w:style>
  <w:style w:type="character" w:customStyle="1" w:styleId="Corpodetexto2Char">
    <w:name w:val="Corpo de texto 2 Char"/>
    <w:basedOn w:val="Fontepargpadro"/>
    <w:link w:val="Corpodetexto2"/>
    <w:qFormat/>
    <w:rsid w:val="00A6639C"/>
  </w:style>
  <w:style w:type="character" w:customStyle="1" w:styleId="PargrafodaListaChar">
    <w:name w:val="Parágrafo da Lista Char"/>
    <w:link w:val="PargrafodaLista"/>
    <w:uiPriority w:val="34"/>
    <w:qFormat/>
    <w:locked/>
    <w:rsid w:val="0054204A"/>
    <w:rPr>
      <w:rFonts w:ascii="Calibri" w:eastAsia="Calibri" w:hAnsi="Calibri"/>
      <w:sz w:val="22"/>
      <w:szCs w:val="22"/>
      <w:lang w:eastAsia="en-US"/>
    </w:rPr>
  </w:style>
  <w:style w:type="character" w:customStyle="1" w:styleId="Recuodecorpodetexto3Char">
    <w:name w:val="Recuo de corpo de texto 3 Char"/>
    <w:link w:val="Recuodecorpodetexto3"/>
    <w:qFormat/>
    <w:rsid w:val="00C801F4"/>
    <w:rPr>
      <w:rFonts w:ascii="Arial" w:hAnsi="Arial" w:cs="Tahoma"/>
      <w:sz w:val="16"/>
      <w:szCs w:val="16"/>
    </w:rPr>
  </w:style>
  <w:style w:type="character" w:customStyle="1" w:styleId="Nivel1Char">
    <w:name w:val="Nivel1 Char"/>
    <w:link w:val="Nivel1"/>
    <w:qFormat/>
    <w:rsid w:val="007B7233"/>
    <w:rPr>
      <w:rFonts w:ascii="Arial" w:eastAsia="Arial" w:hAnsi="Arial" w:cs="Bookman Old Style"/>
      <w:b/>
      <w:color w:val="000000"/>
      <w:lang w:eastAsia="ar-SA"/>
    </w:rPr>
  </w:style>
  <w:style w:type="character" w:customStyle="1" w:styleId="Ttulo1Char">
    <w:name w:val="Título 1 Char"/>
    <w:link w:val="Ttulo1"/>
    <w:qFormat/>
    <w:rsid w:val="007B7233"/>
    <w:rPr>
      <w:rFonts w:ascii="Cambria" w:eastAsia="Times New Roman" w:hAnsi="Cambria" w:cs="Times New Roman"/>
      <w:b/>
      <w:bCs/>
      <w:sz w:val="32"/>
      <w:szCs w:val="32"/>
    </w:rPr>
  </w:style>
  <w:style w:type="character" w:customStyle="1" w:styleId="Ttulo5Char">
    <w:name w:val="Título 5 Char"/>
    <w:link w:val="Ttulo5"/>
    <w:semiHidden/>
    <w:qFormat/>
    <w:rsid w:val="00D156FC"/>
    <w:rPr>
      <w:rFonts w:ascii="Calibri" w:eastAsia="Times New Roman" w:hAnsi="Calibri" w:cs="Times New Roman"/>
      <w:b/>
      <w:bCs/>
      <w:i/>
      <w:iCs/>
      <w:sz w:val="26"/>
      <w:szCs w:val="26"/>
    </w:rPr>
  </w:style>
  <w:style w:type="character" w:customStyle="1" w:styleId="CitaoChar">
    <w:name w:val="Citação Char"/>
    <w:link w:val="Citao"/>
    <w:uiPriority w:val="29"/>
    <w:qFormat/>
    <w:rsid w:val="000B0062"/>
    <w:rPr>
      <w:rFonts w:ascii="Arial" w:eastAsia="Calibri" w:hAnsi="Arial" w:cs="Tahoma"/>
      <w:i/>
      <w:iCs/>
      <w:color w:val="000000"/>
      <w:szCs w:val="24"/>
      <w:shd w:val="clear" w:color="auto" w:fill="FFFFCC"/>
      <w:lang w:eastAsia="en-US"/>
    </w:rPr>
  </w:style>
  <w:style w:type="character" w:styleId="Forte">
    <w:name w:val="Strong"/>
    <w:uiPriority w:val="22"/>
    <w:qFormat/>
    <w:rsid w:val="006F6FF8"/>
    <w:rPr>
      <w:b/>
      <w:bCs/>
    </w:rPr>
  </w:style>
  <w:style w:type="character" w:customStyle="1" w:styleId="QuoteChar">
    <w:name w:val="Quote Char"/>
    <w:link w:val="Citao1"/>
    <w:qFormat/>
    <w:rsid w:val="00D41A57"/>
    <w:rPr>
      <w:rFonts w:ascii="Ecofont_Spranq_eco_Sans" w:hAnsi="Ecofont_Spranq_eco_Sans" w:cs="Ecofont_Spranq_eco_Sans"/>
      <w:i/>
      <w:iCs/>
      <w:color w:val="000000"/>
      <w:sz w:val="24"/>
      <w:szCs w:val="24"/>
      <w:shd w:val="clear" w:color="auto" w:fill="FFFFCC"/>
      <w:lang w:eastAsia="en-US"/>
    </w:rPr>
  </w:style>
  <w:style w:type="character" w:customStyle="1" w:styleId="TextodecomentrioChar">
    <w:name w:val="Texto de comentário Char"/>
    <w:basedOn w:val="Fontepargpadro"/>
    <w:link w:val="Textodecomentrio"/>
    <w:semiHidden/>
    <w:qFormat/>
    <w:rsid w:val="00BA6287"/>
  </w:style>
  <w:style w:type="character" w:customStyle="1" w:styleId="AssuntodocomentrioChar">
    <w:name w:val="Assunto do comentário Char"/>
    <w:basedOn w:val="TextodecomentrioChar"/>
    <w:link w:val="Assuntodocomentrio"/>
    <w:qFormat/>
    <w:rsid w:val="00BA6287"/>
    <w:rPr>
      <w:rFonts w:ascii="Arial" w:hAnsi="Arial" w:cs="Tahoma"/>
      <w:b/>
      <w:bCs/>
    </w:rPr>
  </w:style>
  <w:style w:type="character" w:customStyle="1" w:styleId="Nivel2Char">
    <w:name w:val="Nivel 2 Char"/>
    <w:basedOn w:val="Fontepargpadro"/>
    <w:link w:val="Nivel2"/>
    <w:qFormat/>
    <w:rsid w:val="008027E9"/>
    <w:rPr>
      <w:rFonts w:ascii="Ecofont_Spranq_eco_Sans" w:eastAsia="Arial Unicode MS" w:hAnsi="Ecofont_Spranq_eco_Sans"/>
    </w:rPr>
  </w:style>
  <w:style w:type="paragraph" w:styleId="Ttulo">
    <w:name w:val="Title"/>
    <w:basedOn w:val="Normal"/>
    <w:next w:val="Corpodetexto1"/>
    <w:qFormat/>
    <w:rsid w:val="00790AD9"/>
    <w:pPr>
      <w:keepNext/>
      <w:spacing w:before="240" w:after="120"/>
    </w:pPr>
    <w:rPr>
      <w:rFonts w:ascii="Liberation Sans" w:eastAsia="Microsoft YaHei" w:hAnsi="Liberation Sans" w:cs="Lucida Sans"/>
      <w:sz w:val="28"/>
      <w:szCs w:val="28"/>
    </w:rPr>
  </w:style>
  <w:style w:type="paragraph" w:customStyle="1" w:styleId="Corpodetexto1">
    <w:name w:val="Corpo de texto1"/>
    <w:basedOn w:val="Normal1"/>
    <w:rsid w:val="00C172A2"/>
    <w:pPr>
      <w:spacing w:line="360" w:lineRule="auto"/>
    </w:pPr>
    <w:rPr>
      <w:sz w:val="26"/>
    </w:rPr>
  </w:style>
  <w:style w:type="paragraph" w:styleId="Lista">
    <w:name w:val="List"/>
    <w:basedOn w:val="Corpodetexto1"/>
    <w:rsid w:val="00250491"/>
    <w:rPr>
      <w:rFonts w:cs="Mangal"/>
    </w:rPr>
  </w:style>
  <w:style w:type="paragraph" w:styleId="Legenda">
    <w:name w:val="caption"/>
    <w:basedOn w:val="Normal1"/>
    <w:qFormat/>
    <w:rsid w:val="00250491"/>
    <w:pPr>
      <w:suppressLineNumbers/>
      <w:spacing w:before="120" w:after="120"/>
    </w:pPr>
    <w:rPr>
      <w:rFonts w:cs="Mangal"/>
      <w:i/>
      <w:iCs/>
    </w:rPr>
  </w:style>
  <w:style w:type="paragraph" w:customStyle="1" w:styleId="ndice">
    <w:name w:val="Índice"/>
    <w:basedOn w:val="Normal1"/>
    <w:qFormat/>
    <w:rsid w:val="00250491"/>
    <w:pPr>
      <w:suppressLineNumbers/>
    </w:pPr>
    <w:rPr>
      <w:rFonts w:cs="Mangal"/>
    </w:rPr>
  </w:style>
  <w:style w:type="paragraph" w:customStyle="1" w:styleId="Normal1">
    <w:name w:val="Normal1"/>
    <w:qFormat/>
    <w:rsid w:val="003A7D5A"/>
    <w:pPr>
      <w:tabs>
        <w:tab w:val="left" w:pos="8648"/>
      </w:tabs>
      <w:spacing w:before="240" w:after="240" w:line="100" w:lineRule="atLeast"/>
      <w:ind w:left="1985"/>
      <w:jc w:val="both"/>
    </w:pPr>
    <w:rPr>
      <w:rFonts w:ascii="Bookman Old Style" w:eastAsia="Arial" w:hAnsi="Bookman Old Style" w:cs="Bookman Old Style"/>
      <w:color w:val="000000"/>
      <w:sz w:val="24"/>
      <w:szCs w:val="24"/>
      <w:lang w:eastAsia="ar-SA"/>
    </w:rPr>
  </w:style>
  <w:style w:type="paragraph" w:customStyle="1" w:styleId="Ttulo10">
    <w:name w:val="Título1"/>
    <w:basedOn w:val="Normal1"/>
    <w:next w:val="Corpodetexto1"/>
    <w:link w:val="TtuloChar"/>
    <w:qFormat/>
    <w:rsid w:val="006938EB"/>
    <w:pPr>
      <w:jc w:val="center"/>
    </w:pPr>
    <w:rPr>
      <w:b/>
    </w:rPr>
  </w:style>
  <w:style w:type="paragraph" w:customStyle="1" w:styleId="CabealhoeRodap">
    <w:name w:val="Cabeçalho e Rodapé"/>
    <w:basedOn w:val="Normal"/>
    <w:qFormat/>
    <w:rsid w:val="00790AD9"/>
  </w:style>
  <w:style w:type="paragraph" w:styleId="Cabealho">
    <w:name w:val="header"/>
    <w:basedOn w:val="Normal1"/>
    <w:link w:val="CabealhoChar"/>
    <w:rsid w:val="00C172A2"/>
    <w:pPr>
      <w:tabs>
        <w:tab w:val="center" w:pos="4419"/>
        <w:tab w:val="right" w:pos="8838"/>
      </w:tabs>
    </w:pPr>
  </w:style>
  <w:style w:type="paragraph" w:styleId="Rodap">
    <w:name w:val="footer"/>
    <w:basedOn w:val="Normal1"/>
    <w:link w:val="RodapChar"/>
    <w:uiPriority w:val="99"/>
    <w:rsid w:val="00C172A2"/>
    <w:pPr>
      <w:tabs>
        <w:tab w:val="center" w:pos="4419"/>
        <w:tab w:val="right" w:pos="8838"/>
      </w:tabs>
    </w:pPr>
  </w:style>
  <w:style w:type="paragraph" w:styleId="Textodebalo">
    <w:name w:val="Balloon Text"/>
    <w:basedOn w:val="Normal1"/>
    <w:semiHidden/>
    <w:qFormat/>
    <w:rsid w:val="00BE000D"/>
    <w:rPr>
      <w:rFonts w:ascii="Tahoma" w:hAnsi="Tahoma" w:cs="Tahoma"/>
      <w:sz w:val="16"/>
      <w:szCs w:val="16"/>
    </w:rPr>
  </w:style>
  <w:style w:type="paragraph" w:customStyle="1" w:styleId="Corpodetextorecuado">
    <w:name w:val="Corpo de texto recuado"/>
    <w:basedOn w:val="Normal1"/>
    <w:link w:val="RecuodecorpodetextoChar"/>
    <w:uiPriority w:val="99"/>
    <w:qFormat/>
    <w:rsid w:val="006938EB"/>
    <w:pPr>
      <w:spacing w:after="120"/>
      <w:ind w:left="283"/>
    </w:pPr>
  </w:style>
  <w:style w:type="paragraph" w:styleId="PargrafodaLista">
    <w:name w:val="List Paragraph"/>
    <w:basedOn w:val="Normal1"/>
    <w:link w:val="PargrafodaListaChar"/>
    <w:uiPriority w:val="34"/>
    <w:qFormat/>
    <w:rsid w:val="006938EB"/>
    <w:pPr>
      <w:spacing w:after="200"/>
      <w:ind w:left="720"/>
      <w:contextualSpacing/>
    </w:pPr>
    <w:rPr>
      <w:rFonts w:ascii="Calibri" w:eastAsia="Calibri" w:hAnsi="Calibri"/>
      <w:sz w:val="22"/>
      <w:szCs w:val="22"/>
      <w:lang w:eastAsia="en-US"/>
    </w:rPr>
  </w:style>
  <w:style w:type="paragraph" w:customStyle="1" w:styleId="11">
    <w:name w:val="1.1"/>
    <w:basedOn w:val="Normal1"/>
    <w:qFormat/>
    <w:rsid w:val="006938EB"/>
    <w:pPr>
      <w:ind w:left="993" w:hanging="567"/>
    </w:pPr>
    <w:rPr>
      <w:rFonts w:ascii="Arial" w:hAnsi="Arial"/>
    </w:rPr>
  </w:style>
  <w:style w:type="paragraph" w:customStyle="1" w:styleId="xl123">
    <w:name w:val="xl123"/>
    <w:basedOn w:val="Normal1"/>
    <w:qFormat/>
    <w:rsid w:val="006938EB"/>
    <w:pPr>
      <w:spacing w:after="280"/>
    </w:pPr>
    <w:rPr>
      <w:rFonts w:ascii="Arial" w:hAnsi="Arial" w:cs="Arial"/>
      <w:b/>
      <w:bCs/>
    </w:rPr>
  </w:style>
  <w:style w:type="paragraph" w:customStyle="1" w:styleId="BodyText21">
    <w:name w:val="Body Text 21"/>
    <w:basedOn w:val="Normal1"/>
    <w:qFormat/>
    <w:rsid w:val="006938EB"/>
    <w:rPr>
      <w:rFonts w:ascii="Arial" w:hAnsi="Arial"/>
    </w:rPr>
  </w:style>
  <w:style w:type="paragraph" w:customStyle="1" w:styleId="Prembulo">
    <w:name w:val="Preâmbulo"/>
    <w:basedOn w:val="Normal1"/>
    <w:qFormat/>
    <w:rsid w:val="006938EB"/>
    <w:pPr>
      <w:ind w:left="2126" w:firstLine="1418"/>
      <w:textAlignment w:val="baseline"/>
    </w:pPr>
    <w:rPr>
      <w:rFonts w:ascii="Arial" w:hAnsi="Arial"/>
    </w:rPr>
  </w:style>
  <w:style w:type="paragraph" w:customStyle="1" w:styleId="Corpodetexto21">
    <w:name w:val="Corpo de texto 21"/>
    <w:basedOn w:val="Normal1"/>
    <w:qFormat/>
    <w:rsid w:val="006938EB"/>
    <w:pPr>
      <w:widowControl w:val="0"/>
    </w:pPr>
    <w:rPr>
      <w:rFonts w:ascii="Arial" w:hAnsi="Arial"/>
      <w:u w:val="single"/>
    </w:rPr>
  </w:style>
  <w:style w:type="paragraph" w:customStyle="1" w:styleId="WW-Padro">
    <w:name w:val="WW-Padrão"/>
    <w:qFormat/>
    <w:rsid w:val="006938EB"/>
    <w:pPr>
      <w:widowControl w:val="0"/>
      <w:spacing w:before="240" w:after="240" w:line="276" w:lineRule="auto"/>
      <w:ind w:left="2126"/>
      <w:jc w:val="both"/>
    </w:pPr>
    <w:rPr>
      <w:rFonts w:eastAsia="Arial"/>
      <w:sz w:val="24"/>
      <w:lang w:eastAsia="ar-SA"/>
    </w:rPr>
  </w:style>
  <w:style w:type="paragraph" w:customStyle="1" w:styleId="font6">
    <w:name w:val="font6"/>
    <w:basedOn w:val="Normal1"/>
    <w:qFormat/>
    <w:rsid w:val="006938EB"/>
    <w:pPr>
      <w:spacing w:after="280"/>
    </w:pPr>
    <w:rPr>
      <w:rFonts w:ascii="Arial" w:hAnsi="Arial" w:cs="Arial"/>
    </w:rPr>
  </w:style>
  <w:style w:type="paragraph" w:styleId="Commarcadores">
    <w:name w:val="List Bullet"/>
    <w:basedOn w:val="Normal1"/>
    <w:qFormat/>
    <w:rsid w:val="00A57ED7"/>
    <w:pPr>
      <w:tabs>
        <w:tab w:val="left" w:pos="360"/>
      </w:tabs>
      <w:ind w:left="360" w:hanging="360"/>
      <w:contextualSpacing/>
    </w:pPr>
  </w:style>
  <w:style w:type="paragraph" w:styleId="Corpodetexto2">
    <w:name w:val="Body Text 2"/>
    <w:basedOn w:val="Normal1"/>
    <w:link w:val="Corpodetexto2Char"/>
    <w:qFormat/>
    <w:rsid w:val="00A6639C"/>
    <w:pPr>
      <w:spacing w:after="120" w:line="480" w:lineRule="auto"/>
    </w:pPr>
  </w:style>
  <w:style w:type="paragraph" w:styleId="NormalWeb">
    <w:name w:val="Normal (Web)"/>
    <w:basedOn w:val="Normal1"/>
    <w:uiPriority w:val="99"/>
    <w:qFormat/>
    <w:rsid w:val="000C6712"/>
    <w:pPr>
      <w:spacing w:after="280"/>
    </w:pPr>
  </w:style>
  <w:style w:type="paragraph" w:customStyle="1" w:styleId="TCU-RelVoto-demais">
    <w:name w:val="TCU - Rel/Voto - demais §§"/>
    <w:basedOn w:val="Normal1"/>
    <w:qFormat/>
    <w:rsid w:val="000C6712"/>
    <w:pPr>
      <w:tabs>
        <w:tab w:val="left" w:pos="1134"/>
      </w:tabs>
      <w:spacing w:after="160"/>
    </w:pPr>
    <w:rPr>
      <w:szCs w:val="22"/>
      <w:lang w:eastAsia="en-US"/>
    </w:rPr>
  </w:style>
  <w:style w:type="paragraph" w:styleId="Recuodecorpodetexto3">
    <w:name w:val="Body Text Indent 3"/>
    <w:basedOn w:val="Normal1"/>
    <w:link w:val="Recuodecorpodetexto3Char"/>
    <w:unhideWhenUsed/>
    <w:qFormat/>
    <w:rsid w:val="00C801F4"/>
    <w:pPr>
      <w:spacing w:after="120"/>
      <w:ind w:left="283"/>
    </w:pPr>
    <w:rPr>
      <w:rFonts w:ascii="Arial" w:hAnsi="Arial"/>
      <w:sz w:val="16"/>
      <w:szCs w:val="16"/>
    </w:rPr>
  </w:style>
  <w:style w:type="paragraph" w:customStyle="1" w:styleId="Nivel1">
    <w:name w:val="Nivel1"/>
    <w:basedOn w:val="Ttulo1"/>
    <w:link w:val="Nivel1Char"/>
    <w:qFormat/>
    <w:rsid w:val="007B7233"/>
    <w:pPr>
      <w:keepLines/>
      <w:spacing w:before="480" w:after="0"/>
      <w:ind w:left="644" w:hanging="360"/>
    </w:pPr>
    <w:rPr>
      <w:rFonts w:ascii="Arial" w:hAnsi="Arial"/>
      <w:bCs w:val="0"/>
      <w:sz w:val="20"/>
      <w:szCs w:val="20"/>
    </w:rPr>
  </w:style>
  <w:style w:type="paragraph" w:customStyle="1" w:styleId="a">
    <w:name w:val="a"/>
    <w:basedOn w:val="Normal1"/>
    <w:qFormat/>
    <w:rsid w:val="007B7233"/>
    <w:pPr>
      <w:widowControl w:val="0"/>
      <w:ind w:left="709" w:hanging="709"/>
    </w:pPr>
    <w:rPr>
      <w:rFonts w:ascii="Courier" w:hAnsi="Courier"/>
      <w:lang w:val="en-US"/>
    </w:rPr>
  </w:style>
  <w:style w:type="paragraph" w:customStyle="1" w:styleId="Default">
    <w:name w:val="Default"/>
    <w:qFormat/>
    <w:rsid w:val="00B41384"/>
    <w:pPr>
      <w:spacing w:before="240" w:after="240" w:line="276" w:lineRule="auto"/>
      <w:ind w:left="2126"/>
      <w:jc w:val="both"/>
    </w:pPr>
    <w:rPr>
      <w:color w:val="000000"/>
      <w:sz w:val="24"/>
      <w:szCs w:val="24"/>
    </w:rPr>
  </w:style>
  <w:style w:type="paragraph" w:customStyle="1" w:styleId="Contedodatabela">
    <w:name w:val="Conteúdo da tabela"/>
    <w:basedOn w:val="Normal1"/>
    <w:qFormat/>
    <w:rsid w:val="005E3D5D"/>
    <w:pPr>
      <w:suppressLineNumbers/>
      <w:textAlignment w:val="baseline"/>
    </w:pPr>
  </w:style>
  <w:style w:type="paragraph" w:styleId="Citao">
    <w:name w:val="Quote"/>
    <w:basedOn w:val="Normal1"/>
    <w:next w:val="Normal1"/>
    <w:link w:val="CitaoChar"/>
    <w:uiPriority w:val="29"/>
    <w:qFormat/>
    <w:rsid w:val="000B006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pPr>
    <w:rPr>
      <w:rFonts w:ascii="Arial" w:eastAsia="Calibri" w:hAnsi="Arial"/>
      <w:i/>
      <w:iCs/>
      <w:lang w:eastAsia="en-US"/>
    </w:rPr>
  </w:style>
  <w:style w:type="paragraph" w:customStyle="1" w:styleId="Padro">
    <w:name w:val="Padrão"/>
    <w:qFormat/>
    <w:rsid w:val="00D41A57"/>
    <w:pPr>
      <w:tabs>
        <w:tab w:val="left" w:pos="709"/>
      </w:tabs>
      <w:textAlignment w:val="baseline"/>
    </w:pPr>
    <w:rPr>
      <w:rFonts w:eastAsia="Arial Unicode MS" w:cs="Mangal"/>
      <w:sz w:val="24"/>
      <w:szCs w:val="24"/>
    </w:rPr>
  </w:style>
  <w:style w:type="paragraph" w:customStyle="1" w:styleId="Citao1">
    <w:name w:val="Citação1"/>
    <w:basedOn w:val="Normal1"/>
    <w:link w:val="QuoteChar"/>
    <w:qFormat/>
    <w:rsid w:val="00D41A57"/>
    <w:pPr>
      <w:pBdr>
        <w:bottom w:val="single" w:sz="4" w:space="1" w:color="1F497D"/>
      </w:pBdr>
    </w:pPr>
    <w:rPr>
      <w:rFonts w:ascii="Ecofont_Spranq_eco_Sans" w:hAnsi="Ecofont_Spranq_eco_Sans" w:cs="Ecofont_Spranq_eco_Sans"/>
      <w:i/>
      <w:iCs/>
      <w:shd w:val="clear" w:color="auto" w:fill="FFFFCC"/>
      <w:lang w:eastAsia="en-US"/>
    </w:rPr>
  </w:style>
  <w:style w:type="paragraph" w:customStyle="1" w:styleId="Contedodoquadro">
    <w:name w:val="Conteúdo do quadro"/>
    <w:basedOn w:val="Normal1"/>
    <w:qFormat/>
    <w:rsid w:val="00250491"/>
  </w:style>
  <w:style w:type="paragraph" w:styleId="Textodecomentrio">
    <w:name w:val="annotation text"/>
    <w:basedOn w:val="Normal"/>
    <w:link w:val="TextodecomentrioChar"/>
    <w:semiHidden/>
    <w:unhideWhenUsed/>
    <w:qFormat/>
    <w:rsid w:val="00BA6287"/>
  </w:style>
  <w:style w:type="paragraph" w:styleId="Assuntodocomentrio">
    <w:name w:val="annotation subject"/>
    <w:basedOn w:val="Textodecomentrio"/>
    <w:next w:val="Textodecomentrio"/>
    <w:link w:val="AssuntodocomentrioChar"/>
    <w:unhideWhenUsed/>
    <w:qFormat/>
    <w:rsid w:val="00BA6287"/>
    <w:rPr>
      <w:rFonts w:ascii="Arial" w:hAnsi="Arial" w:cs="Tahoma"/>
      <w:b/>
      <w:bCs/>
    </w:rPr>
  </w:style>
  <w:style w:type="paragraph" w:styleId="Commarcadores5">
    <w:name w:val="List Bullet 5"/>
    <w:basedOn w:val="Normal"/>
    <w:qFormat/>
    <w:rsid w:val="008027E9"/>
    <w:pPr>
      <w:numPr>
        <w:numId w:val="3"/>
      </w:numPr>
      <w:contextualSpacing/>
    </w:pPr>
    <w:rPr>
      <w:rFonts w:ascii="Arial" w:hAnsi="Arial" w:cs="Tahoma"/>
      <w:szCs w:val="24"/>
    </w:rPr>
  </w:style>
  <w:style w:type="paragraph" w:customStyle="1" w:styleId="Nivel2">
    <w:name w:val="Nivel 2"/>
    <w:link w:val="Nivel2Char"/>
    <w:qFormat/>
    <w:rsid w:val="008027E9"/>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8027E9"/>
    <w:pPr>
      <w:tabs>
        <w:tab w:val="left" w:pos="360"/>
      </w:tabs>
      <w:ind w:left="644"/>
    </w:pPr>
    <w:rPr>
      <w:rFonts w:cs="Arial"/>
      <w:b/>
    </w:rPr>
  </w:style>
  <w:style w:type="paragraph" w:customStyle="1" w:styleId="Nivel3">
    <w:name w:val="Nivel 3"/>
    <w:basedOn w:val="Nivel2"/>
    <w:qFormat/>
    <w:rsid w:val="008027E9"/>
    <w:pPr>
      <w:tabs>
        <w:tab w:val="left" w:pos="360"/>
      </w:tabs>
      <w:ind w:left="1922" w:hanging="1095"/>
    </w:pPr>
    <w:rPr>
      <w:rFonts w:cs="Arial"/>
      <w:color w:val="000000"/>
    </w:rPr>
  </w:style>
  <w:style w:type="paragraph" w:customStyle="1" w:styleId="Nivel4">
    <w:name w:val="Nivel 4"/>
    <w:basedOn w:val="Nivel3"/>
    <w:qFormat/>
    <w:rsid w:val="008027E9"/>
    <w:pPr>
      <w:ind w:left="2491"/>
    </w:pPr>
    <w:rPr>
      <w:color w:val="auto"/>
    </w:rPr>
  </w:style>
  <w:style w:type="paragraph" w:customStyle="1" w:styleId="Nivel5">
    <w:name w:val="Nivel 5"/>
    <w:basedOn w:val="Nivel4"/>
    <w:qFormat/>
    <w:rsid w:val="008027E9"/>
    <w:pPr>
      <w:ind w:left="3485"/>
    </w:pPr>
  </w:style>
  <w:style w:type="paragraph" w:customStyle="1" w:styleId="western">
    <w:name w:val="western"/>
    <w:basedOn w:val="Normal"/>
    <w:qFormat/>
    <w:rsid w:val="00350AF9"/>
    <w:pPr>
      <w:spacing w:beforeAutospacing="1"/>
    </w:pPr>
    <w:rPr>
      <w:color w:val="000000"/>
      <w:sz w:val="24"/>
      <w:szCs w:val="24"/>
    </w:rPr>
  </w:style>
  <w:style w:type="table" w:styleId="Tabelacomgrade">
    <w:name w:val="Table Grid"/>
    <w:basedOn w:val="Tabelanormal"/>
    <w:rsid w:val="00D9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5503-5CCC-4922-8F9E-341985A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2841</Words>
  <Characters>15347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jorgeaj</dc:creator>
  <dc:description/>
  <cp:lastModifiedBy>Bryan Aquino</cp:lastModifiedBy>
  <cp:revision>18</cp:revision>
  <cp:lastPrinted>2023-07-26T12:24:00Z</cp:lastPrinted>
  <dcterms:created xsi:type="dcterms:W3CDTF">2023-06-16T13:29:00Z</dcterms:created>
  <dcterms:modified xsi:type="dcterms:W3CDTF">2024-06-03T20:06:00Z</dcterms:modified>
  <dc:language>pt-BR</dc:language>
</cp:coreProperties>
</file>