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53E5D">
      <w:pPr>
        <w:ind w:left="-567" w:right="-852"/>
        <w:jc w:val="center"/>
        <w:rPr>
          <w:b/>
          <w:color w:val="000000"/>
          <w:sz w:val="24"/>
          <w:szCs w:val="24"/>
        </w:rPr>
      </w:pPr>
      <w:bookmarkStart w:id="55" w:name="_GoBack"/>
      <w:bookmarkEnd w:id="55"/>
    </w:p>
    <w:p w14:paraId="2EAA53BA">
      <w:pPr>
        <w:ind w:left="-567" w:right="-852"/>
        <w:jc w:val="center"/>
        <w:rPr>
          <w:b/>
          <w:color w:val="000000"/>
          <w:sz w:val="24"/>
          <w:szCs w:val="24"/>
        </w:rPr>
      </w:pPr>
      <w:r>
        <w:rPr>
          <w:b/>
          <w:color w:val="000000"/>
          <w:sz w:val="24"/>
          <w:szCs w:val="24"/>
        </w:rPr>
        <w:t xml:space="preserve">EDITAL DE LICITAÇÃO </w:t>
      </w:r>
    </w:p>
    <w:p w14:paraId="5CDAF95C">
      <w:pPr>
        <w:ind w:left="-567" w:right="-852"/>
        <w:jc w:val="center"/>
        <w:rPr>
          <w:b/>
          <w:sz w:val="24"/>
          <w:szCs w:val="24"/>
        </w:rPr>
      </w:pPr>
      <w:r>
        <w:rPr>
          <w:b/>
          <w:sz w:val="24"/>
          <w:szCs w:val="24"/>
        </w:rPr>
        <w:t>PREFEITURA MUNICIPAL DE IPIRÁ</w:t>
      </w:r>
    </w:p>
    <w:p w14:paraId="2F0A2A29">
      <w:pPr>
        <w:ind w:left="-567" w:right="-852"/>
        <w:jc w:val="center"/>
        <w:rPr>
          <w:b/>
          <w:color w:val="000000"/>
          <w:sz w:val="24"/>
          <w:szCs w:val="24"/>
        </w:rPr>
      </w:pPr>
      <w:r>
        <w:rPr>
          <w:b/>
          <w:color w:val="000000"/>
          <w:sz w:val="24"/>
          <w:szCs w:val="24"/>
        </w:rPr>
        <w:t>PREGÃO ELETRÔNICO SRP Nº 044/2024</w:t>
      </w:r>
    </w:p>
    <w:p w14:paraId="6760FA31">
      <w:pPr>
        <w:ind w:left="-567" w:right="-852"/>
        <w:jc w:val="center"/>
        <w:rPr>
          <w:b/>
          <w:color w:val="000000"/>
          <w:sz w:val="24"/>
          <w:szCs w:val="24"/>
        </w:rPr>
      </w:pPr>
      <w:r>
        <w:rPr>
          <w:b/>
          <w:color w:val="000000"/>
          <w:sz w:val="24"/>
          <w:szCs w:val="24"/>
        </w:rPr>
        <w:t>(Processo Administrativo n° 025/2024 - LIC)</w:t>
      </w:r>
    </w:p>
    <w:p w14:paraId="07B7F7B1">
      <w:pPr>
        <w:ind w:left="-567" w:right="-852"/>
        <w:jc w:val="center"/>
        <w:rPr>
          <w:b/>
          <w:color w:val="000000"/>
          <w:sz w:val="24"/>
          <w:szCs w:val="24"/>
        </w:rPr>
      </w:pPr>
    </w:p>
    <w:p w14:paraId="76EC8FD0">
      <w:pPr>
        <w:ind w:left="-567" w:right="-852"/>
        <w:jc w:val="both"/>
        <w:rPr>
          <w:color w:val="000000"/>
          <w:sz w:val="24"/>
          <w:szCs w:val="24"/>
        </w:rPr>
      </w:pPr>
    </w:p>
    <w:p w14:paraId="2F96DD5C">
      <w:pPr>
        <w:ind w:left="-567" w:right="-852"/>
        <w:jc w:val="both"/>
        <w:rPr>
          <w:sz w:val="24"/>
          <w:szCs w:val="24"/>
        </w:rPr>
      </w:pPr>
      <w:r>
        <w:rPr>
          <w:sz w:val="24"/>
          <w:szCs w:val="24"/>
        </w:rPr>
        <w:t xml:space="preserve">Torna-se público, para conhecimento dos interessados, que o </w:t>
      </w:r>
      <w:r>
        <w:rPr>
          <w:b/>
          <w:sz w:val="24"/>
          <w:szCs w:val="24"/>
        </w:rPr>
        <w:t>Município de IPIRÁ</w:t>
      </w:r>
      <w:r>
        <w:rPr>
          <w:sz w:val="24"/>
          <w:szCs w:val="24"/>
        </w:rPr>
        <w:t xml:space="preserve">, por meio da Secretaria Municipal de Educação, neste ato representado pela Sra. Maria Vanda Oliveira Barreto, sediado na Av. Henrique Praguer, s/n, Ipirá - Bahia, realizará licitação, na modalidade </w:t>
      </w:r>
      <w:r>
        <w:rPr>
          <w:b/>
          <w:sz w:val="24"/>
          <w:szCs w:val="24"/>
        </w:rPr>
        <w:t>PREGÃO</w:t>
      </w:r>
      <w:r>
        <w:rPr>
          <w:sz w:val="24"/>
          <w:szCs w:val="24"/>
        </w:rPr>
        <w:t xml:space="preserve">, na forma </w:t>
      </w:r>
      <w:r>
        <w:rPr>
          <w:b/>
          <w:sz w:val="24"/>
          <w:szCs w:val="24"/>
        </w:rPr>
        <w:t>ELETRÔNICA</w:t>
      </w:r>
      <w:r>
        <w:rPr>
          <w:sz w:val="24"/>
          <w:szCs w:val="24"/>
        </w:rPr>
        <w:t xml:space="preserve">, com critério de julgamento </w:t>
      </w:r>
      <w:r>
        <w:rPr>
          <w:b/>
          <w:i/>
          <w:sz w:val="24"/>
          <w:szCs w:val="24"/>
        </w:rPr>
        <w:t>menor preço por lote</w:t>
      </w:r>
      <w:r>
        <w:rPr>
          <w:i/>
          <w:sz w:val="24"/>
          <w:szCs w:val="24"/>
        </w:rPr>
        <w:t xml:space="preserve">, </w:t>
      </w:r>
      <w:r>
        <w:rPr>
          <w:sz w:val="24"/>
          <w:szCs w:val="24"/>
        </w:rPr>
        <w:t xml:space="preserve">nos termos da Lei nº 14.133/2021, de 1º de abril de 2021, da Lei Complementar nº 123/06, do Decreto Municipal nº 296/2023, e demais legislação aplicável, aplicando-se, subsidiariamente, as exigências estabelecidas neste Edital e seus anexos. </w:t>
      </w:r>
    </w:p>
    <w:p w14:paraId="36942683">
      <w:pPr>
        <w:ind w:left="-567" w:right="-852"/>
        <w:jc w:val="both"/>
        <w:rPr>
          <w:sz w:val="24"/>
          <w:szCs w:val="24"/>
        </w:rPr>
      </w:pPr>
    </w:p>
    <w:p w14:paraId="6E9039BB">
      <w:pPr>
        <w:ind w:left="-567" w:right="-852"/>
        <w:jc w:val="both"/>
        <w:rPr>
          <w:color w:val="000000"/>
          <w:sz w:val="24"/>
          <w:szCs w:val="24"/>
        </w:rPr>
      </w:pPr>
      <w:r>
        <w:rPr>
          <w:color w:val="000000"/>
          <w:sz w:val="24"/>
          <w:szCs w:val="24"/>
        </w:rPr>
        <w:t xml:space="preserve">O Pregão, na forma Eletrônica será realizado em sessão pública, por meio da INTERNET, mediante condições de segurança - criptografia e autenticação - em todas as suas fases através de Sistema, na Forma Eletrônica (licitações) da Bolsa Nacional de Compras – BNC, através do link: http://bnc.org.br/ </w:t>
      </w:r>
    </w:p>
    <w:p w14:paraId="14A84383">
      <w:pPr>
        <w:ind w:left="-567" w:right="-852"/>
        <w:jc w:val="both"/>
        <w:rPr>
          <w:color w:val="000000"/>
          <w:sz w:val="24"/>
          <w:szCs w:val="24"/>
        </w:rPr>
      </w:pPr>
    </w:p>
    <w:p w14:paraId="2C507D50">
      <w:pPr>
        <w:ind w:left="-567" w:right="-852"/>
        <w:jc w:val="both"/>
        <w:rPr>
          <w:color w:val="000000"/>
          <w:sz w:val="24"/>
          <w:szCs w:val="24"/>
        </w:rPr>
      </w:pPr>
      <w:r>
        <w:rPr>
          <w:color w:val="000000"/>
          <w:sz w:val="24"/>
          <w:szCs w:val="24"/>
        </w:rPr>
        <w:t xml:space="preserve">Os trabalhos serão conduzidos por Servidor da Prefeitura Municipal de Ipirá/BA, denominado pregoeiro, o Sr. Murilo Tadeu da Silva Lima, auxiliado pela equipe de Apoio, mediante a inserção e monitoramento de dados gerados ou transferidos a página eletrônica Bolsa Nacional de Compras – BNC, através do link: http://bnc.org.br/ </w:t>
      </w:r>
    </w:p>
    <w:p w14:paraId="2EBF9474">
      <w:pPr>
        <w:ind w:left="-567" w:right="-852"/>
        <w:jc w:val="both"/>
        <w:rPr>
          <w:b/>
          <w:color w:val="000000"/>
          <w:sz w:val="24"/>
          <w:szCs w:val="24"/>
        </w:rPr>
      </w:pPr>
    </w:p>
    <w:p w14:paraId="119B8A31">
      <w:pPr>
        <w:ind w:left="-567" w:right="-852"/>
        <w:jc w:val="both"/>
        <w:rPr>
          <w:b/>
          <w:sz w:val="24"/>
          <w:szCs w:val="24"/>
        </w:rPr>
      </w:pPr>
      <w:r>
        <w:rPr>
          <w:b/>
          <w:color w:val="000000"/>
          <w:sz w:val="24"/>
          <w:szCs w:val="24"/>
        </w:rPr>
        <w:t>Data da sessão: 19/08/2024</w:t>
      </w:r>
    </w:p>
    <w:p w14:paraId="61C404EF">
      <w:pPr>
        <w:ind w:left="-567" w:right="-852"/>
        <w:jc w:val="both"/>
        <w:rPr>
          <w:b/>
          <w:sz w:val="24"/>
          <w:szCs w:val="24"/>
        </w:rPr>
      </w:pPr>
      <w:r>
        <w:rPr>
          <w:b/>
          <w:color w:val="000000"/>
          <w:sz w:val="24"/>
          <w:szCs w:val="24"/>
        </w:rPr>
        <w:t>Horário: 09H</w:t>
      </w:r>
    </w:p>
    <w:p w14:paraId="19EDC925">
      <w:pPr>
        <w:ind w:left="-567" w:right="-852"/>
        <w:jc w:val="both"/>
        <w:rPr>
          <w:b/>
          <w:color w:val="000000"/>
          <w:sz w:val="24"/>
          <w:szCs w:val="24"/>
        </w:rPr>
      </w:pPr>
      <w:r>
        <w:rPr>
          <w:b/>
          <w:color w:val="000000"/>
          <w:sz w:val="24"/>
          <w:szCs w:val="24"/>
        </w:rPr>
        <w:t xml:space="preserve">Local-Sítio Eletrônico: http://bnc.org.br/    </w:t>
      </w:r>
    </w:p>
    <w:p w14:paraId="56025005">
      <w:pPr>
        <w:ind w:left="-567" w:right="-852"/>
        <w:jc w:val="both"/>
        <w:rPr>
          <w:b/>
          <w:color w:val="000000"/>
          <w:sz w:val="24"/>
          <w:szCs w:val="24"/>
        </w:rPr>
      </w:pPr>
      <w:r>
        <w:rPr>
          <w:b/>
          <w:color w:val="000000"/>
          <w:sz w:val="24"/>
          <w:szCs w:val="24"/>
        </w:rPr>
        <w:t>DATA LIMITE PARA O ENVIO DE PROPOSTAS: 19/08/2024 – 08h30min (horário de Brasília)</w:t>
      </w:r>
    </w:p>
    <w:p w14:paraId="69A0335F">
      <w:pPr>
        <w:ind w:left="-567" w:right="-852"/>
        <w:jc w:val="both"/>
        <w:rPr>
          <w:b/>
          <w:color w:val="000000"/>
          <w:sz w:val="24"/>
          <w:szCs w:val="24"/>
        </w:rPr>
      </w:pPr>
      <w:r>
        <w:rPr>
          <w:b/>
          <w:color w:val="000000"/>
          <w:sz w:val="24"/>
          <w:szCs w:val="24"/>
        </w:rPr>
        <w:t>DATA PARA INICIO DA DISPUTA: 19/08/2024 – 09h00min (horário de Brasília).</w:t>
      </w:r>
    </w:p>
    <w:p w14:paraId="0E984328">
      <w:pPr>
        <w:ind w:left="-567" w:right="-852"/>
        <w:jc w:val="both"/>
        <w:rPr>
          <w:b/>
          <w:color w:val="000000"/>
          <w:sz w:val="24"/>
          <w:szCs w:val="24"/>
        </w:rPr>
      </w:pPr>
    </w:p>
    <w:p w14:paraId="0F21AB0B">
      <w:pPr>
        <w:keepNext/>
        <w:keepLines/>
        <w:numPr>
          <w:ilvl w:val="0"/>
          <w:numId w:val="3"/>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b/>
          <w:color w:val="000000"/>
          <w:sz w:val="24"/>
          <w:szCs w:val="24"/>
        </w:rPr>
        <w:t>DO OBJETO</w:t>
      </w:r>
    </w:p>
    <w:p w14:paraId="38FB3E70">
      <w:pPr>
        <w:numPr>
          <w:ilvl w:val="1"/>
          <w:numId w:val="3"/>
        </w:numPr>
        <w:ind w:left="-567" w:right="-852" w:firstLine="0"/>
        <w:jc w:val="both"/>
        <w:rPr>
          <w:sz w:val="24"/>
          <w:szCs w:val="24"/>
        </w:rPr>
      </w:pPr>
      <w:r>
        <w:rPr>
          <w:sz w:val="24"/>
          <w:szCs w:val="24"/>
        </w:rPr>
        <w:t xml:space="preserve">O objeto da presente licitação </w:t>
      </w:r>
      <w:r>
        <w:rPr>
          <w:color w:val="000000"/>
          <w:sz w:val="24"/>
          <w:szCs w:val="24"/>
        </w:rPr>
        <w:t xml:space="preserve">é o Registro de Preços para a </w:t>
      </w:r>
      <w:r>
        <w:rPr>
          <w:b/>
          <w:color w:val="000000"/>
          <w:sz w:val="24"/>
          <w:szCs w:val="24"/>
        </w:rPr>
        <w:t>AQUISIÇÃO DE MATERIAIS DE HIGIENE PESSOAL PARA ATENDER AS CRIANÇAS DA EDUCAÇÃO INFANTIL DA REDE MUNICIPAL DE ENSINO</w:t>
      </w:r>
      <w:r>
        <w:rPr>
          <w:sz w:val="24"/>
          <w:szCs w:val="24"/>
        </w:rPr>
        <w:t>, conforme condições, quantidades e exigências estabelecidas neste Edital e seus anexos.</w:t>
      </w:r>
    </w:p>
    <w:p w14:paraId="5383AF04">
      <w:pPr>
        <w:numPr>
          <w:ilvl w:val="1"/>
          <w:numId w:val="3"/>
        </w:numPr>
        <w:ind w:left="-567" w:right="-852" w:firstLine="0"/>
        <w:jc w:val="both"/>
        <w:rPr>
          <w:sz w:val="24"/>
          <w:szCs w:val="24"/>
        </w:rPr>
      </w:pPr>
      <w:r>
        <w:rPr>
          <w:sz w:val="24"/>
          <w:szCs w:val="24"/>
        </w:rPr>
        <w:t>A licitação será dividida em itens, conforme tabela constante do Termo de Referência, facultando-se ao licitante a participação em quantos itens forem de seu interesse.</w:t>
      </w:r>
    </w:p>
    <w:p w14:paraId="39A3556E">
      <w:pPr>
        <w:numPr>
          <w:ilvl w:val="1"/>
          <w:numId w:val="3"/>
        </w:numPr>
        <w:ind w:left="-567" w:right="-852" w:firstLine="0"/>
        <w:jc w:val="both"/>
        <w:rPr>
          <w:sz w:val="24"/>
          <w:szCs w:val="24"/>
        </w:rPr>
      </w:pPr>
      <w:r>
        <w:rPr>
          <w:sz w:val="24"/>
          <w:szCs w:val="24"/>
        </w:rPr>
        <w:t xml:space="preserve">O critério de julgamento adotado será o </w:t>
      </w:r>
      <w:r>
        <w:rPr>
          <w:b/>
          <w:i/>
          <w:sz w:val="24"/>
          <w:szCs w:val="24"/>
        </w:rPr>
        <w:t>menor preço por lote</w:t>
      </w:r>
      <w:r>
        <w:rPr>
          <w:sz w:val="24"/>
          <w:szCs w:val="24"/>
        </w:rPr>
        <w:t>, observadas as exigências contidas neste Edital e seus Anexos quanto às especificações do objeto.</w:t>
      </w:r>
    </w:p>
    <w:p w14:paraId="112D8BA1">
      <w:pPr>
        <w:numPr>
          <w:ilvl w:val="0"/>
          <w:numId w:val="3"/>
        </w:numPr>
        <w:pBdr>
          <w:top w:val="none" w:color="auto" w:sz="0" w:space="0"/>
          <w:left w:val="none" w:color="auto" w:sz="0" w:space="0"/>
          <w:bottom w:val="none" w:color="auto" w:sz="0" w:space="0"/>
          <w:right w:val="none" w:color="auto" w:sz="0" w:space="0"/>
          <w:between w:val="none" w:color="auto" w:sz="0" w:space="0"/>
        </w:pBdr>
        <w:ind w:left="-567" w:right="-852" w:firstLine="0"/>
        <w:jc w:val="both"/>
        <w:rPr>
          <w:b/>
          <w:color w:val="000000"/>
          <w:sz w:val="24"/>
          <w:szCs w:val="24"/>
        </w:rPr>
      </w:pPr>
      <w:r>
        <w:rPr>
          <w:b/>
          <w:color w:val="000000"/>
          <w:sz w:val="24"/>
          <w:szCs w:val="24"/>
        </w:rPr>
        <w:t xml:space="preserve">DO REGISTRO DE PREÇOS: </w:t>
      </w:r>
    </w:p>
    <w:p w14:paraId="0FBBB3CE">
      <w:pPr>
        <w:numPr>
          <w:ilvl w:val="1"/>
          <w:numId w:val="3"/>
        </w:numPr>
        <w:ind w:left="-567" w:right="-852" w:firstLine="0"/>
        <w:jc w:val="both"/>
        <w:rPr>
          <w:color w:val="000000"/>
          <w:sz w:val="24"/>
          <w:szCs w:val="24"/>
        </w:rPr>
      </w:pPr>
      <w:r>
        <w:rPr>
          <w:color w:val="000000"/>
          <w:sz w:val="24"/>
          <w:szCs w:val="24"/>
        </w:rPr>
        <w:t>As regras referentes aos órgãos gerenciador e participantes, bem como a eventuais adesões são as que constam da minuta de Ata de Registro de Preços.</w:t>
      </w:r>
    </w:p>
    <w:p w14:paraId="2CC62AF1">
      <w:pPr>
        <w:keepNext/>
        <w:keepLines/>
        <w:numPr>
          <w:ilvl w:val="0"/>
          <w:numId w:val="3"/>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b/>
          <w:color w:val="000000"/>
          <w:sz w:val="24"/>
          <w:szCs w:val="24"/>
        </w:rPr>
        <w:t>DO CREDENCIAMENTO NA PLATAFORMA</w:t>
      </w:r>
    </w:p>
    <w:p w14:paraId="76E7F766">
      <w:pPr>
        <w:numPr>
          <w:ilvl w:val="1"/>
          <w:numId w:val="3"/>
        </w:numPr>
        <w:pBdr>
          <w:top w:val="none" w:color="auto" w:sz="0" w:space="0"/>
          <w:left w:val="none" w:color="auto" w:sz="0" w:space="0"/>
          <w:bottom w:val="none" w:color="auto" w:sz="0" w:space="0"/>
          <w:right w:val="none" w:color="auto" w:sz="0" w:space="0"/>
          <w:between w:val="none" w:color="auto" w:sz="0" w:space="0"/>
        </w:pBdr>
        <w:ind w:left="-426" w:right="-852" w:firstLine="0"/>
        <w:jc w:val="both"/>
        <w:rPr>
          <w:sz w:val="24"/>
          <w:szCs w:val="24"/>
        </w:rPr>
      </w:pPr>
      <w:r>
        <w:rPr>
          <w:color w:val="000000"/>
          <w:sz w:val="24"/>
          <w:szCs w:val="24"/>
        </w:rPr>
        <w:t>O Credenciamento é o nível básico do registro cadastral no sistema BNC, que permite a participação dos interessados na modalidade licitatória Pregão, em sua forma eletrônica.</w:t>
      </w:r>
    </w:p>
    <w:p w14:paraId="49D26064">
      <w:pPr>
        <w:numPr>
          <w:ilvl w:val="1"/>
          <w:numId w:val="3"/>
        </w:numPr>
        <w:pBdr>
          <w:top w:val="none" w:color="auto" w:sz="0" w:space="0"/>
          <w:left w:val="none" w:color="auto" w:sz="0" w:space="0"/>
          <w:bottom w:val="none" w:color="auto" w:sz="0" w:space="0"/>
          <w:right w:val="none" w:color="auto" w:sz="0" w:space="0"/>
          <w:between w:val="none" w:color="auto" w:sz="0" w:space="0"/>
        </w:pBdr>
        <w:ind w:left="-426" w:right="-852" w:firstLine="0"/>
        <w:jc w:val="both"/>
        <w:rPr>
          <w:sz w:val="24"/>
          <w:szCs w:val="24"/>
        </w:rPr>
      </w:pPr>
      <w:r>
        <w:rPr>
          <w:color w:val="000000"/>
          <w:sz w:val="24"/>
          <w:szCs w:val="24"/>
        </w:rPr>
        <w:t>O cadastro no sistema BNC deverá ser feito no site https://bnc.org.br/, por meio de certificado digital ou login e senha de acesso</w:t>
      </w:r>
    </w:p>
    <w:p w14:paraId="4A0717B7">
      <w:pPr>
        <w:numPr>
          <w:ilvl w:val="1"/>
          <w:numId w:val="3"/>
        </w:numPr>
        <w:ind w:left="-426" w:right="-852" w:firstLine="0"/>
        <w:jc w:val="both"/>
        <w:rPr>
          <w:sz w:val="24"/>
          <w:szCs w:val="24"/>
        </w:rPr>
      </w:pPr>
      <w:r>
        <w:rPr>
          <w:color w:val="000000"/>
          <w:sz w:val="24"/>
          <w:szCs w:val="24"/>
        </w:rPr>
        <w:t>O credenciamento junto ao provedor do sistema, implica na responsabilidade do licitante, ou de seu representante legal, e a presunção de sua capacidade técnica para realização das transações inerentes a este Pregão.</w:t>
      </w:r>
    </w:p>
    <w:p w14:paraId="0B31CFF1">
      <w:pPr>
        <w:ind w:left="-426" w:right="-852"/>
        <w:jc w:val="both"/>
        <w:rPr>
          <w:sz w:val="24"/>
          <w:szCs w:val="24"/>
        </w:rPr>
      </w:pPr>
    </w:p>
    <w:p w14:paraId="159B3D24">
      <w:pPr>
        <w:numPr>
          <w:ilvl w:val="1"/>
          <w:numId w:val="3"/>
        </w:numPr>
        <w:ind w:left="-426" w:right="-852" w:firstLine="0"/>
        <w:jc w:val="both"/>
        <w:rPr>
          <w:sz w:val="24"/>
          <w:szCs w:val="24"/>
        </w:rPr>
      </w:pPr>
      <w:r>
        <w:rPr>
          <w:color w:val="000000"/>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BC77C42">
      <w:pPr>
        <w:numPr>
          <w:ilvl w:val="1"/>
          <w:numId w:val="3"/>
        </w:numPr>
        <w:ind w:left="-426" w:right="-852" w:firstLine="0"/>
        <w:jc w:val="both"/>
        <w:rPr>
          <w:sz w:val="24"/>
          <w:szCs w:val="24"/>
        </w:rPr>
      </w:pPr>
      <w:r>
        <w:rPr>
          <w:sz w:val="24"/>
          <w:szCs w:val="24"/>
        </w:rPr>
        <w:t>É de responsabilidade do cadastrado, conferir a exatidão dos seus dados cadastrais no sistema e mantê-los atualizados, junto aos órgãos responsáveis pela informação, devendo proceder, imediatamente, à correção ou à alteração dos registros tão logo identifique incorreção ou aqueles se tornem desatualizados.</w:t>
      </w:r>
    </w:p>
    <w:p w14:paraId="203711DD">
      <w:pPr>
        <w:numPr>
          <w:ilvl w:val="2"/>
          <w:numId w:val="3"/>
        </w:numPr>
        <w:ind w:left="-426" w:right="-852" w:firstLine="0"/>
        <w:jc w:val="both"/>
        <w:rPr>
          <w:sz w:val="24"/>
          <w:szCs w:val="24"/>
        </w:rPr>
      </w:pPr>
      <w:r>
        <w:rPr>
          <w:color w:val="000000"/>
          <w:sz w:val="24"/>
          <w:szCs w:val="24"/>
        </w:rPr>
        <w:t xml:space="preserve">A não observância do disposto no subitem anterior poderá ensejar desclassificação no momento da habilitação. </w:t>
      </w:r>
    </w:p>
    <w:p w14:paraId="76004391">
      <w:pPr>
        <w:ind w:left="-567" w:right="-852"/>
        <w:jc w:val="both"/>
        <w:rPr>
          <w:color w:val="000000"/>
          <w:sz w:val="24"/>
          <w:szCs w:val="24"/>
        </w:rPr>
      </w:pPr>
    </w:p>
    <w:p w14:paraId="0B9D8C0F">
      <w:pPr>
        <w:keepNext/>
        <w:keepLines/>
        <w:numPr>
          <w:ilvl w:val="0"/>
          <w:numId w:val="3"/>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b/>
          <w:color w:val="000000"/>
          <w:sz w:val="24"/>
          <w:szCs w:val="24"/>
        </w:rPr>
        <w:t xml:space="preserve"> DA PARTICIPAÇÃO NO PREGÃO</w:t>
      </w:r>
    </w:p>
    <w:p w14:paraId="58A8A52A">
      <w:pPr>
        <w:numPr>
          <w:ilvl w:val="1"/>
          <w:numId w:val="3"/>
        </w:numPr>
        <w:ind w:left="-567" w:right="-852" w:firstLine="0"/>
        <w:jc w:val="both"/>
        <w:rPr>
          <w:sz w:val="24"/>
          <w:szCs w:val="24"/>
        </w:rPr>
      </w:pPr>
      <w:r>
        <w:rPr>
          <w:sz w:val="24"/>
          <w:szCs w:val="24"/>
        </w:rPr>
        <w:t>Poderão participar deste Pregão interessados cujo ramo de atividade seja compatível com o objeto desta licitação, e que estejam com Credenciamento regular no BNC.</w:t>
      </w:r>
    </w:p>
    <w:p w14:paraId="2E9EEF54">
      <w:pPr>
        <w:numPr>
          <w:ilvl w:val="2"/>
          <w:numId w:val="3"/>
        </w:numPr>
        <w:ind w:left="-567" w:right="-852" w:firstLine="0"/>
        <w:jc w:val="both"/>
        <w:rPr>
          <w:sz w:val="24"/>
          <w:szCs w:val="24"/>
        </w:rPr>
      </w:pPr>
      <w:r>
        <w:rPr>
          <w:color w:val="000000"/>
          <w:sz w:val="24"/>
          <w:szCs w:val="24"/>
        </w:rPr>
        <w:t xml:space="preserve">Os licitantes </w:t>
      </w:r>
      <w:r>
        <w:rPr>
          <w:sz w:val="24"/>
          <w:szCs w:val="24"/>
        </w:rPr>
        <w:t>deverão utilizar o certificado digital para acesso ao Sistema.</w:t>
      </w:r>
    </w:p>
    <w:p w14:paraId="270C3B36">
      <w:pPr>
        <w:numPr>
          <w:ilvl w:val="1"/>
          <w:numId w:val="3"/>
        </w:numPr>
        <w:ind w:left="-567" w:right="-852" w:firstLine="0"/>
        <w:jc w:val="both"/>
        <w:rPr>
          <w:sz w:val="24"/>
          <w:szCs w:val="24"/>
        </w:rPr>
      </w:pPr>
      <w:r>
        <w:rPr>
          <w:sz w:val="24"/>
          <w:szCs w:val="24"/>
        </w:rPr>
        <w:t xml:space="preserve">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 </w:t>
      </w:r>
    </w:p>
    <w:p w14:paraId="3131DAE7">
      <w:pPr>
        <w:numPr>
          <w:ilvl w:val="1"/>
          <w:numId w:val="3"/>
        </w:numPr>
        <w:ind w:left="-567" w:right="-852" w:firstLine="0"/>
        <w:jc w:val="both"/>
        <w:rPr>
          <w:sz w:val="24"/>
          <w:szCs w:val="24"/>
        </w:rPr>
      </w:pPr>
      <w:r>
        <w:rPr>
          <w:sz w:val="24"/>
          <w:szCs w:val="24"/>
        </w:rPr>
        <w:t>Não poderão disputar esta licitação:</w:t>
      </w:r>
    </w:p>
    <w:p w14:paraId="7257CC8A">
      <w:pPr>
        <w:numPr>
          <w:ilvl w:val="2"/>
          <w:numId w:val="3"/>
        </w:numPr>
        <w:tabs>
          <w:tab w:val="left" w:pos="709"/>
          <w:tab w:val="left" w:pos="1440"/>
        </w:tabs>
        <w:ind w:left="-567" w:right="-852" w:firstLine="0"/>
        <w:jc w:val="both"/>
        <w:rPr>
          <w:sz w:val="24"/>
          <w:szCs w:val="24"/>
        </w:rPr>
      </w:pPr>
      <w:bookmarkStart w:id="0" w:name="_heading=h.gjdgxs" w:colFirst="0" w:colLast="0"/>
      <w:bookmarkEnd w:id="0"/>
      <w:r>
        <w:rPr>
          <w:sz w:val="24"/>
          <w:szCs w:val="24"/>
        </w:rPr>
        <w:t>aquele que não atenda às condições deste Edital e seu(s) anexo(s);</w:t>
      </w:r>
    </w:p>
    <w:p w14:paraId="5C992010">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709"/>
        </w:tabs>
        <w:ind w:left="-567" w:right="-852" w:firstLine="0"/>
        <w:jc w:val="both"/>
        <w:rPr>
          <w:sz w:val="24"/>
          <w:szCs w:val="24"/>
        </w:rPr>
      </w:pPr>
      <w:bookmarkStart w:id="1" w:name="_heading=h.30j0zll" w:colFirst="0" w:colLast="0"/>
      <w:bookmarkEnd w:id="1"/>
      <w:r>
        <w:rPr>
          <w:color w:val="000000"/>
          <w:sz w:val="24"/>
          <w:szCs w:val="24"/>
        </w:rPr>
        <w:t>autor do anteprojeto, do projeto básico ou do projeto executivo, pessoa física ou jurídica, quando a licitação versar sobre serviços ou fornecimento de bens a ele relacionados;</w:t>
      </w:r>
    </w:p>
    <w:p w14:paraId="2BB06F26">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709"/>
        </w:tabs>
        <w:ind w:left="-567" w:right="-852" w:firstLine="0"/>
        <w:jc w:val="both"/>
        <w:rPr>
          <w:sz w:val="24"/>
          <w:szCs w:val="24"/>
        </w:rPr>
      </w:pPr>
      <w:bookmarkStart w:id="2" w:name="_heading=h.1fob9te" w:colFirst="0" w:colLast="0"/>
      <w:bookmarkEnd w:id="2"/>
      <w:r>
        <w:rPr>
          <w:color w:val="000000"/>
          <w:sz w:val="24"/>
          <w:szCs w:val="24"/>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303F8EDD">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709"/>
        </w:tabs>
        <w:ind w:left="-567" w:right="-852" w:firstLine="0"/>
        <w:jc w:val="both"/>
        <w:rPr>
          <w:sz w:val="24"/>
          <w:szCs w:val="24"/>
        </w:rPr>
      </w:pPr>
      <w:bookmarkStart w:id="3" w:name="_heading=h.3znysh7" w:colFirst="0" w:colLast="0"/>
      <w:bookmarkEnd w:id="3"/>
      <w:r>
        <w:rPr>
          <w:color w:val="000000"/>
          <w:sz w:val="24"/>
          <w:szCs w:val="24"/>
        </w:rPr>
        <w:t>pessoa física ou jurídica que se encontre, ao tempo da licitação, impossibilitada de participar da licitação em decorrência de sanção que lhe foi imposta;</w:t>
      </w:r>
    </w:p>
    <w:p w14:paraId="078280AB">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709"/>
        </w:tabs>
        <w:ind w:left="-567" w:right="-852" w:firstLine="0"/>
        <w:jc w:val="both"/>
        <w:rPr>
          <w:sz w:val="24"/>
          <w:szCs w:val="24"/>
        </w:rPr>
      </w:pPr>
      <w:bookmarkStart w:id="4" w:name="_heading=h.2et92p0" w:colFirst="0" w:colLast="0"/>
      <w:bookmarkEnd w:id="4"/>
      <w:r>
        <w:rPr>
          <w:color w:val="000000"/>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B609197">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709"/>
        </w:tabs>
        <w:ind w:left="-567" w:right="-852" w:firstLine="0"/>
        <w:jc w:val="both"/>
        <w:rPr>
          <w:sz w:val="24"/>
          <w:szCs w:val="24"/>
        </w:rPr>
      </w:pPr>
      <w:bookmarkStart w:id="5" w:name="_heading=h.tyjcwt" w:colFirst="0" w:colLast="0"/>
      <w:bookmarkEnd w:id="5"/>
      <w:r>
        <w:rPr>
          <w:color w:val="000000"/>
          <w:sz w:val="24"/>
          <w:szCs w:val="24"/>
        </w:rPr>
        <w:t>empresas controladoras, controladas ou coligadas, nos termos da Lei nº 6.404, de 15 de dezembro de 1976, concorrendo entre si;</w:t>
      </w:r>
    </w:p>
    <w:p w14:paraId="0EBE678E">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709"/>
        </w:tabs>
        <w:ind w:left="-567" w:right="-852" w:firstLine="0"/>
        <w:jc w:val="both"/>
        <w:rPr>
          <w:sz w:val="24"/>
          <w:szCs w:val="24"/>
        </w:rPr>
      </w:pPr>
      <w:r>
        <w:rPr>
          <w:color w:val="000000"/>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A817A0F">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709"/>
        </w:tabs>
        <w:ind w:left="-567" w:right="-852" w:firstLine="0"/>
        <w:jc w:val="both"/>
        <w:rPr>
          <w:sz w:val="24"/>
          <w:szCs w:val="24"/>
        </w:rPr>
      </w:pPr>
      <w:bookmarkStart w:id="6" w:name="_heading=h.3dy6vkm" w:colFirst="0" w:colLast="0"/>
      <w:bookmarkEnd w:id="6"/>
      <w:r>
        <w:rPr>
          <w:color w:val="000000"/>
          <w:sz w:val="24"/>
          <w:szCs w:val="24"/>
        </w:rPr>
        <w:t>agente público do órgão ou entidade licitante;</w:t>
      </w:r>
    </w:p>
    <w:p w14:paraId="147D8E98">
      <w:pPr>
        <w:numPr>
          <w:ilvl w:val="2"/>
          <w:numId w:val="3"/>
        </w:numPr>
        <w:tabs>
          <w:tab w:val="left" w:pos="709"/>
        </w:tabs>
        <w:ind w:left="-567" w:right="-852" w:firstLine="0"/>
        <w:jc w:val="both"/>
        <w:rPr>
          <w:sz w:val="24"/>
          <w:szCs w:val="24"/>
        </w:rPr>
      </w:pPr>
      <w:r>
        <w:rPr>
          <w:color w:val="000000"/>
          <w:sz w:val="24"/>
          <w:szCs w:val="24"/>
        </w:rPr>
        <w:t>Organizações da Sociedade Civil de Interesse Público - OSCIP, atuando nessa condição;</w:t>
      </w:r>
    </w:p>
    <w:p w14:paraId="2D6E5CF2">
      <w:pPr>
        <w:tabs>
          <w:tab w:val="left" w:pos="709"/>
        </w:tabs>
        <w:ind w:left="-567" w:right="-852"/>
        <w:jc w:val="both"/>
        <w:rPr>
          <w:sz w:val="24"/>
          <w:szCs w:val="24"/>
        </w:rPr>
      </w:pPr>
    </w:p>
    <w:p w14:paraId="1E32AB0F">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709"/>
        </w:tabs>
        <w:ind w:left="-567" w:right="-852" w:firstLine="0"/>
        <w:jc w:val="both"/>
        <w:rPr>
          <w:sz w:val="24"/>
          <w:szCs w:val="24"/>
        </w:rPr>
      </w:pPr>
      <w:r>
        <w:rPr>
          <w:color w:val="000000"/>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"art9%C2%A71" \h </w:instrText>
      </w:r>
      <w:r>
        <w:fldChar w:fldCharType="separate"/>
      </w:r>
      <w:r>
        <w:rPr>
          <w:color w:val="000000"/>
          <w:sz w:val="24"/>
          <w:szCs w:val="24"/>
        </w:rPr>
        <w:t>§ 1º do art. 9º da Lei n.º 14.133, de 2021</w:t>
      </w:r>
      <w:r>
        <w:rPr>
          <w:color w:val="000000"/>
          <w:sz w:val="24"/>
          <w:szCs w:val="24"/>
        </w:rPr>
        <w:fldChar w:fldCharType="end"/>
      </w:r>
      <w:r>
        <w:rPr>
          <w:color w:val="000000"/>
          <w:sz w:val="24"/>
          <w:szCs w:val="24"/>
        </w:rPr>
        <w:t>.</w:t>
      </w:r>
    </w:p>
    <w:p w14:paraId="2B65555A">
      <w:pPr>
        <w:numPr>
          <w:ilvl w:val="1"/>
          <w:numId w:val="3"/>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O impedimento de que trata o item 4.3.4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44D0A6E">
      <w:pPr>
        <w:numPr>
          <w:ilvl w:val="1"/>
          <w:numId w:val="3"/>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bookmarkStart w:id="7" w:name="bookmark=id.1t3h5sf" w:colFirst="0" w:colLast="0"/>
      <w:bookmarkEnd w:id="7"/>
      <w:r>
        <w:rPr>
          <w:color w:val="000000"/>
          <w:sz w:val="24"/>
          <w:szCs w:val="24"/>
        </w:rPr>
        <w:t>A critério da Administração e exclusivamente a seu serviço, o autor dos projetos e a empresa a que se referem os itens 4.3.2 e 4.3.3 poderão participar no apoio das atividades de planejamento da contratação, de execução da licitação ou de gestão do contrato, desde que sob supervisão exclusiva de agentes públicos do órgão ou entidade.</w:t>
      </w:r>
    </w:p>
    <w:p w14:paraId="6736B17F">
      <w:pPr>
        <w:numPr>
          <w:ilvl w:val="1"/>
          <w:numId w:val="3"/>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bookmarkStart w:id="8" w:name="bookmark=id.4d34og8" w:colFirst="0" w:colLast="0"/>
      <w:bookmarkEnd w:id="8"/>
      <w:r>
        <w:rPr>
          <w:color w:val="000000"/>
          <w:sz w:val="24"/>
          <w:szCs w:val="24"/>
        </w:rPr>
        <w:t>Equiparam-se aos autores do projeto as empresas integrantes do mesmo grupo econômico.</w:t>
      </w:r>
    </w:p>
    <w:p w14:paraId="18EA68AB">
      <w:pPr>
        <w:numPr>
          <w:ilvl w:val="1"/>
          <w:numId w:val="3"/>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bookmarkStart w:id="9" w:name="bookmark=id.2s8eyo1" w:colFirst="0" w:colLast="0"/>
      <w:bookmarkEnd w:id="9"/>
      <w:r>
        <w:rPr>
          <w:color w:val="000000"/>
          <w:sz w:val="24"/>
          <w:szCs w:val="24"/>
        </w:rPr>
        <w:t>O disposto nos itens 4.3.2 e 4.3.3 não impede a licitação ou a contratação de serviço que inclua como encargo do contratado a elaboração do projeto básico e do projeto executivo, nas contratações integradas, e do projeto executivo, nos demais regimes de execução.</w:t>
      </w:r>
    </w:p>
    <w:p w14:paraId="751C259F">
      <w:pPr>
        <w:numPr>
          <w:ilvl w:val="1"/>
          <w:numId w:val="3"/>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bookmarkStart w:id="10" w:name="bookmark=id.17dp8vu" w:colFirst="0" w:colLast="0"/>
      <w:bookmarkEnd w:id="10"/>
      <w:r>
        <w:rPr>
          <w:color w:val="000000"/>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00"/>
          <w:sz w:val="24"/>
          <w:szCs w:val="24"/>
        </w:rPr>
        <w:t>Lei nº 14.133/2021</w:t>
      </w:r>
      <w:r>
        <w:rPr>
          <w:color w:val="000000"/>
          <w:sz w:val="24"/>
          <w:szCs w:val="24"/>
        </w:rPr>
        <w:fldChar w:fldCharType="end"/>
      </w:r>
      <w:r>
        <w:rPr>
          <w:color w:val="000000"/>
          <w:sz w:val="24"/>
          <w:szCs w:val="24"/>
        </w:rPr>
        <w:t>.</w:t>
      </w:r>
    </w:p>
    <w:p w14:paraId="27AC79C2">
      <w:pPr>
        <w:numPr>
          <w:ilvl w:val="1"/>
          <w:numId w:val="3"/>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A vedação de que trata o item 4.3.8 estende-se a terceiro que auxilie a condução da contratação na qualidade de integrante de equipe de apoio, profissional especializado ou funcionário ou representante de empresa que preste assessoria técnica.</w:t>
      </w:r>
    </w:p>
    <w:p w14:paraId="1088913E">
      <w:pPr>
        <w:pBdr>
          <w:top w:val="none" w:color="auto" w:sz="0" w:space="0"/>
          <w:left w:val="none" w:color="auto" w:sz="0" w:space="0"/>
          <w:bottom w:val="none" w:color="auto" w:sz="0" w:space="0"/>
          <w:right w:val="none" w:color="auto" w:sz="0" w:space="0"/>
          <w:between w:val="none" w:color="auto" w:sz="0" w:space="0"/>
        </w:pBdr>
        <w:ind w:left="-567" w:right="-852" w:hanging="432"/>
        <w:jc w:val="both"/>
        <w:rPr>
          <w:color w:val="000000"/>
          <w:sz w:val="24"/>
          <w:szCs w:val="24"/>
        </w:rPr>
      </w:pPr>
    </w:p>
    <w:p w14:paraId="63BBBB6C">
      <w:pPr>
        <w:keepNext/>
        <w:keepLines/>
        <w:numPr>
          <w:ilvl w:val="0"/>
          <w:numId w:val="3"/>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b/>
          <w:color w:val="000000"/>
          <w:sz w:val="24"/>
          <w:szCs w:val="24"/>
        </w:rPr>
        <w:t>DA APRESENTAÇÃO DA PROPOSTA E DOS DOCUMENTOS DE HABILITAÇÃO</w:t>
      </w:r>
    </w:p>
    <w:p w14:paraId="759FB945">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426"/>
        </w:tabs>
        <w:ind w:left="-567" w:right="-852" w:firstLine="0"/>
        <w:jc w:val="both"/>
        <w:rPr>
          <w:color w:val="000000"/>
          <w:sz w:val="24"/>
          <w:szCs w:val="24"/>
        </w:rPr>
      </w:pPr>
      <w:r>
        <w:rPr>
          <w:color w:val="000000"/>
          <w:sz w:val="24"/>
          <w:szCs w:val="24"/>
        </w:rPr>
        <w:t xml:space="preserve">Na presente licitação, a fase de habilitação sucederá as fases de apresentação de propostas e lances e de julgamento. </w:t>
      </w:r>
    </w:p>
    <w:p w14:paraId="2892E86E">
      <w:pPr>
        <w:numPr>
          <w:ilvl w:val="1"/>
          <w:numId w:val="3"/>
        </w:numPr>
        <w:ind w:left="-567" w:right="-852" w:firstLine="0"/>
        <w:jc w:val="both"/>
        <w:rPr>
          <w:color w:val="000000"/>
          <w:sz w:val="24"/>
          <w:szCs w:val="24"/>
        </w:rPr>
      </w:pPr>
      <w:r>
        <w:rPr>
          <w:color w:val="000000"/>
          <w:sz w:val="24"/>
          <w:szCs w:val="24"/>
        </w:rPr>
        <w:t>Os licitantes encaminharão, exclusivamente por meio do sistema eletrônico, a proposta com o preço ou o percentual de desconto, conforme o critério de julgamento adotado neste Edital, até a data e o horário estabelecidos para abertura da sessão pública, quando, então, encerrar-se-á automaticamente a etapa de envio dessa documentação.</w:t>
      </w:r>
    </w:p>
    <w:p w14:paraId="1B84FF55">
      <w:pPr>
        <w:numPr>
          <w:ilvl w:val="1"/>
          <w:numId w:val="3"/>
        </w:numPr>
        <w:ind w:left="-567" w:right="-852" w:firstLine="0"/>
        <w:jc w:val="both"/>
        <w:rPr>
          <w:color w:val="000000"/>
          <w:sz w:val="24"/>
          <w:szCs w:val="24"/>
        </w:rPr>
      </w:pPr>
      <w:bookmarkStart w:id="11" w:name="_heading=h.3rdcrjn" w:colFirst="0" w:colLast="0"/>
      <w:bookmarkEnd w:id="11"/>
      <w:r>
        <w:rPr>
          <w:color w:val="000000"/>
          <w:sz w:val="24"/>
          <w:szCs w:val="24"/>
        </w:rPr>
        <w:t>No cadastramento da proposta inicial</w:t>
      </w:r>
      <w:r>
        <w:rPr>
          <w:sz w:val="24"/>
          <w:szCs w:val="24"/>
        </w:rPr>
        <w:t>, o licitante declarará, em campo próprio do sistema, que:</w:t>
      </w:r>
    </w:p>
    <w:p w14:paraId="3D3199A7">
      <w:pPr>
        <w:ind w:left="-567" w:right="-852"/>
        <w:jc w:val="both"/>
        <w:rPr>
          <w:color w:val="000000"/>
          <w:sz w:val="24"/>
          <w:szCs w:val="24"/>
        </w:rPr>
      </w:pPr>
      <w:r>
        <w:rPr>
          <w:b/>
          <w:color w:val="000000"/>
          <w:sz w:val="24"/>
          <w:szCs w:val="24"/>
        </w:rPr>
        <w:t>5.5.1</w:t>
      </w:r>
      <w:r>
        <w:rPr>
          <w:color w:val="000000"/>
          <w:sz w:val="24"/>
          <w:szCs w:val="24"/>
        </w:rPr>
        <w:t xml:space="preserve"> </w:t>
      </w:r>
      <w:r>
        <w:rPr>
          <w:sz w:val="24"/>
          <w:szCs w:val="24"/>
        </w:rPr>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w:t>
      </w:r>
      <w:r>
        <w:rPr>
          <w:color w:val="000000"/>
          <w:sz w:val="24"/>
          <w:szCs w:val="24"/>
        </w:rPr>
        <w:t>habilitação definidos no instrumento convocatório</w:t>
      </w:r>
    </w:p>
    <w:p w14:paraId="538B837D">
      <w:pPr>
        <w:pBdr>
          <w:top w:val="none" w:color="auto" w:sz="0" w:space="0"/>
          <w:left w:val="none" w:color="auto" w:sz="0" w:space="0"/>
          <w:bottom w:val="none" w:color="auto" w:sz="0" w:space="0"/>
          <w:right w:val="none" w:color="auto" w:sz="0" w:space="0"/>
          <w:between w:val="none" w:color="auto" w:sz="0" w:space="0"/>
        </w:pBdr>
        <w:ind w:left="-567" w:right="-852"/>
        <w:jc w:val="both"/>
        <w:rPr>
          <w:color w:val="000000"/>
          <w:sz w:val="24"/>
          <w:szCs w:val="24"/>
        </w:rPr>
      </w:pPr>
      <w:r>
        <w:rPr>
          <w:b/>
          <w:color w:val="000000"/>
          <w:sz w:val="24"/>
          <w:szCs w:val="24"/>
        </w:rPr>
        <w:t>5.5.2</w:t>
      </w:r>
      <w:r>
        <w:rPr>
          <w:color w:val="000000"/>
          <w:sz w:val="24"/>
          <w:szCs w:val="24"/>
        </w:rPr>
        <w:t xml:space="preserve"> 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\h </w:instrText>
      </w:r>
      <w:r>
        <w:fldChar w:fldCharType="separate"/>
      </w:r>
      <w:r>
        <w:rPr>
          <w:color w:val="000000"/>
          <w:sz w:val="24"/>
          <w:szCs w:val="24"/>
        </w:rPr>
        <w:t>artigo 7°, XXXIII, da Constituição</w:t>
      </w:r>
      <w:r>
        <w:rPr>
          <w:color w:val="000000"/>
          <w:sz w:val="24"/>
          <w:szCs w:val="24"/>
        </w:rPr>
        <w:fldChar w:fldCharType="end"/>
      </w:r>
      <w:r>
        <w:rPr>
          <w:color w:val="000000"/>
          <w:sz w:val="24"/>
          <w:szCs w:val="24"/>
        </w:rPr>
        <w:t>;</w:t>
      </w:r>
    </w:p>
    <w:p w14:paraId="779FE496">
      <w:pPr>
        <w:pBdr>
          <w:top w:val="none" w:color="auto" w:sz="0" w:space="0"/>
          <w:left w:val="none" w:color="auto" w:sz="0" w:space="0"/>
          <w:bottom w:val="none" w:color="auto" w:sz="0" w:space="0"/>
          <w:right w:val="none" w:color="auto" w:sz="0" w:space="0"/>
          <w:between w:val="none" w:color="auto" w:sz="0" w:space="0"/>
        </w:pBdr>
        <w:ind w:left="-567" w:right="-852"/>
        <w:jc w:val="both"/>
        <w:rPr>
          <w:color w:val="000000"/>
          <w:sz w:val="24"/>
          <w:szCs w:val="24"/>
        </w:rPr>
      </w:pPr>
      <w:r>
        <w:rPr>
          <w:b/>
          <w:color w:val="000000"/>
          <w:sz w:val="24"/>
          <w:szCs w:val="24"/>
        </w:rPr>
        <w:t>5.5.3</w:t>
      </w:r>
      <w:r>
        <w:rPr>
          <w:color w:val="000000"/>
          <w:sz w:val="24"/>
          <w:szCs w:val="24"/>
        </w:rPr>
        <w:t xml:space="preserve"> não possui, em sua cadeia produtiva, empregados executando trabalho degradante ou forçado, observando o disposto nos </w:t>
      </w:r>
      <w:r>
        <w:fldChar w:fldCharType="begin"/>
      </w:r>
      <w:r>
        <w:instrText xml:space="preserve"> HYPERLINK "https://www.planalto.gov.br/ccivil_03/constituicao/constituicaocompilado.htm" \h </w:instrText>
      </w:r>
      <w:r>
        <w:fldChar w:fldCharType="separate"/>
      </w:r>
      <w:r>
        <w:rPr>
          <w:color w:val="000000"/>
          <w:sz w:val="24"/>
          <w:szCs w:val="24"/>
        </w:rPr>
        <w:t>incisos III e IV do art. 1º e no inciso III do art. 5º da Constituição Federal</w:t>
      </w:r>
      <w:r>
        <w:rPr>
          <w:color w:val="000000"/>
          <w:sz w:val="24"/>
          <w:szCs w:val="24"/>
        </w:rPr>
        <w:fldChar w:fldCharType="end"/>
      </w:r>
      <w:r>
        <w:rPr>
          <w:color w:val="000000"/>
          <w:sz w:val="24"/>
          <w:szCs w:val="24"/>
        </w:rPr>
        <w:t>;</w:t>
      </w:r>
    </w:p>
    <w:p w14:paraId="66587FFE">
      <w:pPr>
        <w:pBdr>
          <w:top w:val="none" w:color="auto" w:sz="0" w:space="0"/>
          <w:left w:val="none" w:color="auto" w:sz="0" w:space="0"/>
          <w:bottom w:val="none" w:color="auto" w:sz="0" w:space="0"/>
          <w:right w:val="none" w:color="auto" w:sz="0" w:space="0"/>
          <w:between w:val="none" w:color="auto" w:sz="0" w:space="0"/>
        </w:pBdr>
        <w:tabs>
          <w:tab w:val="left" w:pos="993"/>
        </w:tabs>
        <w:ind w:left="-567" w:right="-852"/>
        <w:jc w:val="both"/>
        <w:rPr>
          <w:color w:val="000000"/>
          <w:sz w:val="24"/>
          <w:szCs w:val="24"/>
        </w:rPr>
      </w:pPr>
      <w:r>
        <w:rPr>
          <w:b/>
          <w:color w:val="000000"/>
          <w:sz w:val="24"/>
          <w:szCs w:val="24"/>
        </w:rPr>
        <w:t>5.5.4.</w:t>
      </w:r>
      <w:r>
        <w:rPr>
          <w:color w:val="000000"/>
          <w:sz w:val="24"/>
          <w:szCs w:val="24"/>
        </w:rPr>
        <w:t xml:space="preserve"> cumpre as exigências de reserva de cargos para pessoa com deficiência e para reabilitado da Previdência Social, previstas em lei e em outras normas específicas.</w:t>
      </w:r>
    </w:p>
    <w:p w14:paraId="3CFF93A6">
      <w:pPr>
        <w:pBdr>
          <w:top w:val="none" w:color="auto" w:sz="0" w:space="0"/>
          <w:left w:val="none" w:color="auto" w:sz="0" w:space="0"/>
          <w:bottom w:val="none" w:color="auto" w:sz="0" w:space="0"/>
          <w:right w:val="none" w:color="auto" w:sz="0" w:space="0"/>
          <w:between w:val="none" w:color="auto" w:sz="0" w:space="0"/>
        </w:pBdr>
        <w:tabs>
          <w:tab w:val="left" w:pos="993"/>
        </w:tabs>
        <w:ind w:left="-567" w:right="-852"/>
        <w:jc w:val="both"/>
        <w:rPr>
          <w:color w:val="000000"/>
          <w:sz w:val="24"/>
          <w:szCs w:val="24"/>
        </w:rPr>
      </w:pPr>
    </w:p>
    <w:p w14:paraId="542BFF09">
      <w:pPr>
        <w:numPr>
          <w:ilvl w:val="1"/>
          <w:numId w:val="3"/>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\h </w:instrText>
      </w:r>
      <w:r>
        <w:fldChar w:fldCharType="separate"/>
      </w:r>
      <w:r>
        <w:rPr>
          <w:color w:val="000000"/>
          <w:sz w:val="24"/>
          <w:szCs w:val="24"/>
        </w:rPr>
        <w:t>artigo 16 da Lei nº 14.133, de 2021</w:t>
      </w:r>
      <w:r>
        <w:rPr>
          <w:color w:val="000000"/>
          <w:sz w:val="24"/>
          <w:szCs w:val="24"/>
        </w:rPr>
        <w:fldChar w:fldCharType="end"/>
      </w:r>
      <w:r>
        <w:rPr>
          <w:color w:val="000000"/>
          <w:sz w:val="24"/>
          <w:szCs w:val="24"/>
        </w:rPr>
        <w:t>.</w:t>
      </w:r>
    </w:p>
    <w:p w14:paraId="08EAD6D6">
      <w:pPr>
        <w:numPr>
          <w:ilvl w:val="1"/>
          <w:numId w:val="3"/>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\h </w:instrText>
      </w:r>
      <w:r>
        <w:fldChar w:fldCharType="separate"/>
      </w:r>
      <w:r>
        <w:rPr>
          <w:color w:val="000000"/>
          <w:sz w:val="24"/>
          <w:szCs w:val="24"/>
        </w:rPr>
        <w:t>artigo 3° da Lei Complementar nº 123, de 2006</w:t>
      </w:r>
      <w:r>
        <w:rPr>
          <w:color w:val="000000"/>
          <w:sz w:val="24"/>
          <w:szCs w:val="24"/>
        </w:rPr>
        <w:fldChar w:fldCharType="end"/>
      </w:r>
      <w:r>
        <w:rPr>
          <w:color w:val="000000"/>
          <w:sz w:val="24"/>
          <w:szCs w:val="24"/>
        </w:rPr>
        <w:t xml:space="preserve">, estando apto a usufruir do tratamento favorecido estabelecido em seus </w:t>
      </w:r>
      <w:r>
        <w:fldChar w:fldCharType="begin"/>
      </w:r>
      <w:r>
        <w:instrText xml:space="preserve"> HYPERLINK "https://www.planalto.gov.br/ccivil_03/leis/lcp/lcp123.htm" \l "art42" \h </w:instrText>
      </w:r>
      <w:r>
        <w:fldChar w:fldCharType="separate"/>
      </w:r>
      <w:r>
        <w:rPr>
          <w:color w:val="000000"/>
          <w:sz w:val="24"/>
          <w:szCs w:val="24"/>
        </w:rPr>
        <w:t>arts. 42 a 49</w:t>
      </w:r>
      <w:r>
        <w:rPr>
          <w:color w:val="000000"/>
          <w:sz w:val="24"/>
          <w:szCs w:val="24"/>
        </w:rPr>
        <w:fldChar w:fldCharType="end"/>
      </w:r>
      <w:r>
        <w:rPr>
          <w:color w:val="000000"/>
          <w:sz w:val="24"/>
          <w:szCs w:val="24"/>
        </w:rPr>
        <w:t xml:space="preserve">, observado o disposto nos </w:t>
      </w:r>
      <w:r>
        <w:fldChar w:fldCharType="begin"/>
      </w:r>
      <w:r>
        <w:instrText xml:space="preserve"> HYPERLINK "http://www.planalto.gov.br/ccivil_03/_ato2019-2022/2021/lei/L14133.htm" \l "art4%C2%A71" \h </w:instrText>
      </w:r>
      <w:r>
        <w:fldChar w:fldCharType="separate"/>
      </w:r>
      <w:r>
        <w:rPr>
          <w:color w:val="000000"/>
          <w:sz w:val="24"/>
          <w:szCs w:val="24"/>
        </w:rPr>
        <w:t>§§ 1º ao 3º do art. 4º, da Lei n.º 14.133, de 2021.</w:t>
      </w:r>
      <w:r>
        <w:rPr>
          <w:color w:val="000000"/>
          <w:sz w:val="24"/>
          <w:szCs w:val="24"/>
        </w:rPr>
        <w:fldChar w:fldCharType="end"/>
      </w:r>
    </w:p>
    <w:p w14:paraId="08B3DC74">
      <w:pPr>
        <w:pBdr>
          <w:top w:val="none" w:color="auto" w:sz="0" w:space="0"/>
          <w:left w:val="none" w:color="auto" w:sz="0" w:space="0"/>
          <w:bottom w:val="none" w:color="auto" w:sz="0" w:space="0"/>
          <w:right w:val="none" w:color="auto" w:sz="0" w:space="0"/>
          <w:between w:val="none" w:color="auto" w:sz="0" w:space="0"/>
        </w:pBdr>
        <w:ind w:left="-567" w:right="-852"/>
        <w:jc w:val="both"/>
        <w:rPr>
          <w:color w:val="000000"/>
          <w:sz w:val="24"/>
          <w:szCs w:val="24"/>
        </w:rPr>
      </w:pPr>
      <w:bookmarkStart w:id="12" w:name="_heading=h.26in1rg" w:colFirst="0" w:colLast="0"/>
      <w:bookmarkEnd w:id="12"/>
      <w:r>
        <w:rPr>
          <w:b/>
          <w:color w:val="000000"/>
          <w:sz w:val="24"/>
          <w:szCs w:val="24"/>
        </w:rPr>
        <w:t>5.7.1.</w:t>
      </w:r>
      <w:r>
        <w:rPr>
          <w:color w:val="000000"/>
          <w:sz w:val="24"/>
          <w:szCs w:val="24"/>
        </w:rPr>
        <w:t xml:space="preserve"> No item exclusivo para participação de microempresas e empresas de pequeno porte, a assinalação do campo “não” impedirá o prosseguimento no certame, para aquele item;</w:t>
      </w:r>
    </w:p>
    <w:p w14:paraId="26ED2915">
      <w:pPr>
        <w:pBdr>
          <w:top w:val="none" w:color="auto" w:sz="0" w:space="0"/>
          <w:left w:val="none" w:color="auto" w:sz="0" w:space="0"/>
          <w:bottom w:val="none" w:color="auto" w:sz="0" w:space="0"/>
          <w:right w:val="none" w:color="auto" w:sz="0" w:space="0"/>
          <w:between w:val="none" w:color="auto" w:sz="0" w:space="0"/>
        </w:pBdr>
        <w:ind w:left="-567" w:right="-852"/>
        <w:jc w:val="both"/>
        <w:rPr>
          <w:color w:val="000000"/>
          <w:sz w:val="24"/>
          <w:szCs w:val="24"/>
        </w:rPr>
      </w:pPr>
      <w:r>
        <w:rPr>
          <w:b/>
          <w:color w:val="000000"/>
          <w:sz w:val="24"/>
          <w:szCs w:val="24"/>
        </w:rPr>
        <w:t>5.7.2</w:t>
      </w:r>
      <w:r>
        <w:rPr>
          <w:color w:val="000000"/>
          <w:sz w:val="24"/>
          <w:szCs w:val="24"/>
        </w:rPr>
        <w:t xml:space="preserve"> 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\h </w:instrText>
      </w:r>
      <w:r>
        <w:fldChar w:fldCharType="separate"/>
      </w:r>
      <w:r>
        <w:rPr>
          <w:color w:val="000000"/>
          <w:sz w:val="24"/>
          <w:szCs w:val="24"/>
        </w:rPr>
        <w:t>Lei Complementar nº 123, de 2006</w:t>
      </w:r>
      <w:r>
        <w:rPr>
          <w:color w:val="000000"/>
          <w:sz w:val="24"/>
          <w:szCs w:val="24"/>
        </w:rPr>
        <w:fldChar w:fldCharType="end"/>
      </w:r>
      <w:r>
        <w:rPr>
          <w:color w:val="000000"/>
          <w:sz w:val="24"/>
          <w:szCs w:val="24"/>
        </w:rPr>
        <w:t>, mesmo que microempresa, empresa de pequeno porte ou sociedade cooperativa.</w:t>
      </w:r>
    </w:p>
    <w:p w14:paraId="3D514BD1">
      <w:pPr>
        <w:numPr>
          <w:ilvl w:val="1"/>
          <w:numId w:val="3"/>
        </w:numPr>
        <w:ind w:left="-567" w:right="-852" w:firstLine="0"/>
        <w:jc w:val="both"/>
        <w:rPr>
          <w:color w:val="000000"/>
          <w:sz w:val="24"/>
          <w:szCs w:val="24"/>
        </w:rPr>
      </w:pPr>
      <w:r>
        <w:rPr>
          <w:color w:val="000000"/>
          <w:sz w:val="24"/>
          <w:szCs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1F8E0322">
      <w:pPr>
        <w:numPr>
          <w:ilvl w:val="1"/>
          <w:numId w:val="3"/>
        </w:numPr>
        <w:ind w:left="-567" w:right="-852" w:firstLine="0"/>
        <w:jc w:val="both"/>
        <w:rPr>
          <w:color w:val="000000"/>
          <w:sz w:val="24"/>
          <w:szCs w:val="24"/>
        </w:rPr>
      </w:pPr>
      <w:r>
        <w:rPr>
          <w:sz w:val="24"/>
          <w:szCs w:val="24"/>
        </w:rPr>
        <w:t xml:space="preserve">Até a abertura da sessão pública, os licitantes poderão retirar ou substituir </w:t>
      </w:r>
      <w:r>
        <w:rPr>
          <w:color w:val="000000"/>
          <w:sz w:val="24"/>
          <w:szCs w:val="24"/>
        </w:rPr>
        <w:t>a proposta e os documentos de habilitação anteriormente inseridos no sistema.</w:t>
      </w:r>
    </w:p>
    <w:p w14:paraId="4DC91283">
      <w:pPr>
        <w:numPr>
          <w:ilvl w:val="1"/>
          <w:numId w:val="3"/>
        </w:numPr>
        <w:ind w:left="-567" w:right="-852" w:firstLine="0"/>
        <w:jc w:val="both"/>
        <w:rPr>
          <w:color w:val="000000"/>
          <w:sz w:val="24"/>
          <w:szCs w:val="24"/>
        </w:rPr>
      </w:pPr>
      <w:r>
        <w:rPr>
          <w:color w:val="000000"/>
          <w:sz w:val="24"/>
          <w:szCs w:val="24"/>
        </w:rPr>
        <w:t>Não será estabelecida, nessa etapa do certame, ordem de classificação entre as propostas apresentadas, o que somente ocorrerá após a realização dos procedimentos de negociação e julgamento da proposta.</w:t>
      </w:r>
    </w:p>
    <w:p w14:paraId="6081A265">
      <w:pPr>
        <w:numPr>
          <w:ilvl w:val="1"/>
          <w:numId w:val="3"/>
        </w:numPr>
        <w:ind w:left="-567" w:right="-852" w:firstLine="0"/>
        <w:jc w:val="both"/>
        <w:rPr>
          <w:color w:val="000000"/>
          <w:sz w:val="24"/>
          <w:szCs w:val="24"/>
        </w:rPr>
      </w:pPr>
      <w:r>
        <w:rPr>
          <w:color w:val="000000"/>
          <w:sz w:val="24"/>
          <w:szCs w:val="24"/>
        </w:rPr>
        <w:t>Os documentos que compõem a proposta e a habilitação do licitante melhor classificado somente serão disponibilizados para avaliação do pregoeiro e para acesso público após o encerramento do envio de lances.</w:t>
      </w:r>
    </w:p>
    <w:p w14:paraId="189276BA">
      <w:pPr>
        <w:numPr>
          <w:ilvl w:val="1"/>
          <w:numId w:val="3"/>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 xml:space="preserve">A falsidade da declaração de que trata os itens 5.5 e 5.7 sujeitará o licitante às sanções previstas na </w:t>
      </w:r>
      <w:r>
        <w:fldChar w:fldCharType="begin"/>
      </w:r>
      <w:r>
        <w:instrText xml:space="preserve"> HYPERLINK "http://www.planalto.gov.br/ccivil_03/_ato2019-2022/2021/lei/L14133.htm" \h </w:instrText>
      </w:r>
      <w:r>
        <w:fldChar w:fldCharType="separate"/>
      </w:r>
      <w:r>
        <w:rPr>
          <w:color w:val="000000"/>
          <w:sz w:val="24"/>
          <w:szCs w:val="24"/>
        </w:rPr>
        <w:t>Lei nº 14.133, de 2021</w:t>
      </w:r>
      <w:r>
        <w:rPr>
          <w:color w:val="000000"/>
          <w:sz w:val="24"/>
          <w:szCs w:val="24"/>
        </w:rPr>
        <w:fldChar w:fldCharType="end"/>
      </w:r>
      <w:r>
        <w:rPr>
          <w:color w:val="000000"/>
          <w:sz w:val="24"/>
          <w:szCs w:val="24"/>
        </w:rPr>
        <w:t>, e neste Edital.</w:t>
      </w:r>
    </w:p>
    <w:p w14:paraId="117FF0DF">
      <w:pPr>
        <w:numPr>
          <w:ilvl w:val="1"/>
          <w:numId w:val="3"/>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240DA07">
      <w:pPr>
        <w:numPr>
          <w:ilvl w:val="1"/>
          <w:numId w:val="3"/>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01384911">
      <w:pPr>
        <w:numPr>
          <w:ilvl w:val="1"/>
          <w:numId w:val="3"/>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sz w:val="24"/>
          <w:szCs w:val="24"/>
        </w:rPr>
        <w:t>Serão disponibilizados para acesso público os documentos que compõem a proposta dos licitantes convocados para apresentação de propostas, após a fase de envio de lances.</w:t>
      </w:r>
    </w:p>
    <w:p w14:paraId="026F2A00">
      <w:pPr>
        <w:numPr>
          <w:ilvl w:val="1"/>
          <w:numId w:val="3"/>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sz w:val="24"/>
          <w:szCs w:val="24"/>
        </w:rPr>
        <w:t>Desde que disponibilizada a funcionalidade no sistema, o licitante poderá parametrizar o seu valor final mínimo ou o seu percentual de desconto máximo quando do cadastramento da proposta e obedecerá às seguintes regras:</w:t>
      </w:r>
    </w:p>
    <w:p w14:paraId="1AFDA047">
      <w:pPr>
        <w:numPr>
          <w:ilvl w:val="2"/>
          <w:numId w:val="4"/>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a aplicação do intervalo mínimo de diferença de valores ou de percentuais entre os lances, que incidirá tanto em relação aos lances intermediários quanto em relação ao lance que cobrir a melhor oferta; e</w:t>
      </w:r>
    </w:p>
    <w:p w14:paraId="4752202B">
      <w:pPr>
        <w:numPr>
          <w:ilvl w:val="2"/>
          <w:numId w:val="4"/>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os lances serão de envio automático pelo sistema, respeitado o valor final mínimo, caso estabelecido, e o intervalo de que trata o subitem acima.</w:t>
      </w:r>
    </w:p>
    <w:p w14:paraId="3E78F961">
      <w:pPr>
        <w:numPr>
          <w:ilvl w:val="1"/>
          <w:numId w:val="4"/>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O valor final mínimo ou o percentual de desconto final máximo parametrizado no sistema poderá ser alterado pelo fornecedor durante a fase de disputa, sendo vedado:</w:t>
      </w:r>
    </w:p>
    <w:p w14:paraId="7E1608DD">
      <w:pPr>
        <w:numPr>
          <w:ilvl w:val="2"/>
          <w:numId w:val="4"/>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valor superior a lance já registrado pelo fornecedor no sistema, quando adotado o critério de julgamento por menor preço; e</w:t>
      </w:r>
    </w:p>
    <w:p w14:paraId="0F71AC1A">
      <w:pPr>
        <w:numPr>
          <w:ilvl w:val="2"/>
          <w:numId w:val="4"/>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percentual de desconto inferior a lance já registrado pelo fornecedor no sistema, quando adotado o critério de julgamento por maior desconto.</w:t>
      </w:r>
    </w:p>
    <w:p w14:paraId="66FA6639">
      <w:pPr>
        <w:pBdr>
          <w:top w:val="none" w:color="auto" w:sz="0" w:space="0"/>
          <w:left w:val="none" w:color="auto" w:sz="0" w:space="0"/>
          <w:bottom w:val="none" w:color="auto" w:sz="0" w:space="0"/>
          <w:right w:val="none" w:color="auto" w:sz="0" w:space="0"/>
          <w:between w:val="none" w:color="auto" w:sz="0" w:space="0"/>
        </w:pBdr>
        <w:ind w:left="-567" w:right="-852"/>
        <w:jc w:val="both"/>
        <w:rPr>
          <w:color w:val="000000"/>
          <w:sz w:val="24"/>
          <w:szCs w:val="24"/>
        </w:rPr>
      </w:pPr>
    </w:p>
    <w:p w14:paraId="3A0F7664">
      <w:pPr>
        <w:numPr>
          <w:ilvl w:val="1"/>
          <w:numId w:val="4"/>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O valor final mínimo ou o percentual de desconto final máximo parametrizado na forma do item 5.16 possuirá caráter sigiloso para os demais fornecedores e para o órgão ou entidade promotora da licitação, podendo ser disponibilizado estrita e permanentemente aos órgãos de controle externo e interno.</w:t>
      </w:r>
    </w:p>
    <w:p w14:paraId="7DD7E52D">
      <w:pPr>
        <w:numPr>
          <w:ilvl w:val="1"/>
          <w:numId w:val="4"/>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7E79F12B">
      <w:pPr>
        <w:numPr>
          <w:ilvl w:val="1"/>
          <w:numId w:val="4"/>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O licitante deverá comunicar imediatamente ao provedor do sistema qualquer acontecimento que possa comprometer o sigilo ou a segurança, para imediato bloqueio de acesso.</w:t>
      </w:r>
    </w:p>
    <w:p w14:paraId="52D5E110">
      <w:pPr>
        <w:pBdr>
          <w:top w:val="none" w:color="auto" w:sz="0" w:space="0"/>
          <w:left w:val="none" w:color="auto" w:sz="0" w:space="0"/>
          <w:bottom w:val="none" w:color="auto" w:sz="0" w:space="0"/>
          <w:right w:val="none" w:color="auto" w:sz="0" w:space="0"/>
          <w:between w:val="none" w:color="auto" w:sz="0" w:space="0"/>
        </w:pBdr>
        <w:ind w:left="-567" w:right="-852"/>
        <w:jc w:val="both"/>
        <w:rPr>
          <w:color w:val="000000"/>
          <w:sz w:val="24"/>
          <w:szCs w:val="24"/>
        </w:rPr>
      </w:pPr>
    </w:p>
    <w:p w14:paraId="42EBBD9D">
      <w:pPr>
        <w:keepNext/>
        <w:keepLines/>
        <w:numPr>
          <w:ilvl w:val="0"/>
          <w:numId w:val="3"/>
        </w:numPr>
        <w:pBdr>
          <w:top w:val="none" w:color="auto" w:sz="0" w:space="0"/>
          <w:left w:val="none" w:color="auto" w:sz="0" w:space="0"/>
          <w:bottom w:val="none" w:color="auto" w:sz="0" w:space="0"/>
          <w:right w:val="none" w:color="auto" w:sz="0" w:space="0"/>
          <w:between w:val="none" w:color="auto" w:sz="0" w:space="0"/>
        </w:pBdr>
        <w:ind w:left="-567" w:right="-852" w:firstLine="0"/>
        <w:jc w:val="both"/>
        <w:rPr>
          <w:b/>
          <w:color w:val="000000"/>
          <w:sz w:val="24"/>
          <w:szCs w:val="24"/>
        </w:rPr>
      </w:pPr>
      <w:r>
        <w:rPr>
          <w:b/>
          <w:color w:val="000000"/>
          <w:sz w:val="24"/>
          <w:szCs w:val="24"/>
        </w:rPr>
        <w:t>DO PREENCHIMENTO DA PROPOSTA</w:t>
      </w:r>
    </w:p>
    <w:p w14:paraId="72FC677F">
      <w:pPr>
        <w:numPr>
          <w:ilvl w:val="1"/>
          <w:numId w:val="2"/>
        </w:numPr>
        <w:pBdr>
          <w:top w:val="none" w:color="auto" w:sz="0" w:space="0"/>
          <w:left w:val="none" w:color="auto" w:sz="0" w:space="0"/>
          <w:bottom w:val="none" w:color="auto" w:sz="0" w:space="0"/>
          <w:right w:val="none" w:color="auto" w:sz="0" w:space="0"/>
          <w:between w:val="none" w:color="auto" w:sz="0" w:space="0"/>
        </w:pBdr>
        <w:ind w:left="-567" w:right="-852" w:firstLine="0"/>
        <w:jc w:val="both"/>
        <w:rPr>
          <w:sz w:val="24"/>
          <w:szCs w:val="24"/>
        </w:rPr>
      </w:pPr>
      <w:r>
        <w:rPr>
          <w:color w:val="000000"/>
          <w:sz w:val="24"/>
          <w:szCs w:val="24"/>
        </w:rPr>
        <w:t xml:space="preserve">O </w:t>
      </w:r>
      <w:r>
        <w:rPr>
          <w:sz w:val="24"/>
          <w:szCs w:val="24"/>
        </w:rPr>
        <w:t>licitante deverá enviar sua proposta mediante o preenchimento, no sistema eletrônico, dos seguintes campos:</w:t>
      </w:r>
    </w:p>
    <w:p w14:paraId="11BE29AB">
      <w:pPr>
        <w:numPr>
          <w:ilvl w:val="2"/>
          <w:numId w:val="2"/>
        </w:numPr>
        <w:pBdr>
          <w:top w:val="none" w:color="auto" w:sz="0" w:space="0"/>
          <w:left w:val="none" w:color="auto" w:sz="0" w:space="0"/>
          <w:bottom w:val="none" w:color="auto" w:sz="0" w:space="0"/>
          <w:right w:val="none" w:color="auto" w:sz="0" w:space="0"/>
          <w:between w:val="none" w:color="auto" w:sz="0" w:space="0"/>
        </w:pBdr>
        <w:tabs>
          <w:tab w:val="left" w:pos="0"/>
        </w:tabs>
        <w:ind w:left="-567" w:right="-852" w:firstLine="0"/>
        <w:rPr>
          <w:sz w:val="24"/>
          <w:szCs w:val="24"/>
        </w:rPr>
      </w:pPr>
      <w:r>
        <w:rPr>
          <w:sz w:val="24"/>
          <w:szCs w:val="24"/>
        </w:rPr>
        <w:t>valor  unitário e total.</w:t>
      </w:r>
    </w:p>
    <w:p w14:paraId="0C81A167">
      <w:pPr>
        <w:numPr>
          <w:ilvl w:val="2"/>
          <w:numId w:val="2"/>
        </w:numPr>
        <w:ind w:left="-567" w:right="-852" w:firstLine="0"/>
        <w:jc w:val="both"/>
        <w:rPr>
          <w:sz w:val="24"/>
          <w:szCs w:val="24"/>
        </w:rPr>
      </w:pPr>
      <w:r>
        <w:rPr>
          <w:sz w:val="24"/>
          <w:szCs w:val="24"/>
        </w:rPr>
        <w:t>Marca.</w:t>
      </w:r>
    </w:p>
    <w:p w14:paraId="35640269">
      <w:pPr>
        <w:numPr>
          <w:ilvl w:val="2"/>
          <w:numId w:val="2"/>
        </w:numPr>
        <w:ind w:left="-567" w:right="-852" w:firstLine="0"/>
        <w:jc w:val="both"/>
      </w:pPr>
      <w:r>
        <w:rPr>
          <w:sz w:val="24"/>
          <w:szCs w:val="24"/>
        </w:rPr>
        <w:t>Fabricante</w:t>
      </w:r>
      <w:r>
        <w:t>;</w:t>
      </w:r>
    </w:p>
    <w:p w14:paraId="0593D9F0">
      <w:pPr>
        <w:numPr>
          <w:ilvl w:val="2"/>
          <w:numId w:val="2"/>
        </w:numPr>
        <w:tabs>
          <w:tab w:val="left" w:pos="0"/>
        </w:tabs>
        <w:ind w:left="-567" w:right="-852" w:firstLine="0"/>
        <w:jc w:val="both"/>
        <w:rPr>
          <w:sz w:val="24"/>
          <w:szCs w:val="24"/>
        </w:rPr>
      </w:pPr>
      <w:r>
        <w:rPr>
          <w:sz w:val="24"/>
          <w:szCs w:val="24"/>
        </w:rPr>
        <w:t xml:space="preserve">Descrição do objeto, contendo as informações similares à especificação do Termo de Referência. </w:t>
      </w:r>
    </w:p>
    <w:p w14:paraId="1674E9B4">
      <w:pPr>
        <w:numPr>
          <w:ilvl w:val="1"/>
          <w:numId w:val="2"/>
        </w:numPr>
        <w:ind w:left="-567" w:right="-852" w:firstLine="0"/>
        <w:jc w:val="both"/>
        <w:rPr>
          <w:color w:val="000000"/>
          <w:sz w:val="24"/>
          <w:szCs w:val="24"/>
        </w:rPr>
      </w:pPr>
      <w:r>
        <w:rPr>
          <w:color w:val="000000"/>
          <w:sz w:val="24"/>
          <w:szCs w:val="24"/>
        </w:rPr>
        <w:t>Todas as especificações do objeto contidas na proposta vinculam a Contratada.</w:t>
      </w:r>
    </w:p>
    <w:p w14:paraId="67CB97DE">
      <w:pPr>
        <w:numPr>
          <w:ilvl w:val="1"/>
          <w:numId w:val="2"/>
        </w:numPr>
        <w:ind w:left="-567" w:right="-852" w:firstLine="0"/>
        <w:jc w:val="both"/>
        <w:rPr>
          <w:color w:val="000000"/>
          <w:sz w:val="24"/>
          <w:szCs w:val="24"/>
        </w:rPr>
      </w:pPr>
      <w:r>
        <w:rPr>
          <w:color w:val="000000"/>
          <w:sz w:val="24"/>
          <w:szCs w:val="24"/>
        </w:rPr>
        <w:t>Nos valores propostos estarão inclusos todos os custos operacionais, encargos previdenciários, trabalhistas, tributários, comerciais e quaisquer outros que incidam direta ou indiretamente no fornecimento, apurados mediante o preenchimento do modelo de Planilha de Custos e Formação de Preços, conforme anexo deste Edital;</w:t>
      </w:r>
    </w:p>
    <w:p w14:paraId="57FCAB8E">
      <w:pPr>
        <w:numPr>
          <w:ilvl w:val="1"/>
          <w:numId w:val="2"/>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bookmarkStart w:id="13" w:name="_heading=h.lnxbz9" w:colFirst="0" w:colLast="0"/>
      <w:bookmarkEnd w:id="13"/>
      <w:r>
        <w:rPr>
          <w:color w:val="000000"/>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6DD054ED">
      <w:pPr>
        <w:numPr>
          <w:ilvl w:val="2"/>
          <w:numId w:val="2"/>
        </w:numPr>
        <w:tabs>
          <w:tab w:val="left" w:pos="0"/>
        </w:tabs>
        <w:ind w:left="-567" w:right="-852" w:firstLine="0"/>
        <w:jc w:val="both"/>
        <w:rPr>
          <w:sz w:val="24"/>
          <w:szCs w:val="24"/>
        </w:rPr>
      </w:pPr>
      <w:r>
        <w:rPr>
          <w:sz w:val="24"/>
          <w:szCs w:val="24"/>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observado as disposições da Lei nº 14.133/2021.</w:t>
      </w:r>
    </w:p>
    <w:p w14:paraId="0C64AFD9">
      <w:pPr>
        <w:numPr>
          <w:ilvl w:val="2"/>
          <w:numId w:val="2"/>
        </w:numPr>
        <w:tabs>
          <w:tab w:val="left" w:pos="0"/>
        </w:tabs>
        <w:ind w:left="-567" w:right="-852" w:firstLine="0"/>
        <w:jc w:val="both"/>
        <w:rPr>
          <w:sz w:val="24"/>
          <w:szCs w:val="24"/>
        </w:rPr>
      </w:pPr>
      <w:r>
        <w:rPr>
          <w:sz w:val="24"/>
          <w:szCs w:val="24"/>
        </w:rPr>
        <w:t xml:space="preserve">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124 da Lei nº 14.133/21. </w:t>
      </w:r>
    </w:p>
    <w:p w14:paraId="115FCFFC">
      <w:pPr>
        <w:numPr>
          <w:ilvl w:val="1"/>
          <w:numId w:val="2"/>
        </w:numPr>
        <w:ind w:left="-567" w:right="-852" w:firstLine="0"/>
        <w:jc w:val="both"/>
        <w:rPr>
          <w:color w:val="000000"/>
          <w:sz w:val="24"/>
          <w:szCs w:val="24"/>
        </w:rPr>
      </w:pPr>
      <w:r>
        <w:rPr>
          <w:color w:val="000000"/>
          <w:sz w:val="24"/>
          <w:szCs w:val="24"/>
        </w:rPr>
        <w:t>A empresa é a única responsável pela cotação correta dos encargos tributários. Em caso de erro ou cotação incompatível com o regime tributário a que se submete, serão adotadas as orientações a seguir:</w:t>
      </w:r>
    </w:p>
    <w:p w14:paraId="757FE286">
      <w:pPr>
        <w:numPr>
          <w:ilvl w:val="2"/>
          <w:numId w:val="2"/>
        </w:numPr>
        <w:tabs>
          <w:tab w:val="left" w:pos="0"/>
        </w:tabs>
        <w:ind w:left="-567" w:right="-852" w:firstLine="0"/>
        <w:jc w:val="both"/>
        <w:rPr>
          <w:sz w:val="24"/>
          <w:szCs w:val="24"/>
        </w:rPr>
      </w:pPr>
      <w:r>
        <w:rPr>
          <w:sz w:val="24"/>
          <w:szCs w:val="24"/>
        </w:rPr>
        <w:t>cotação de percentual menor que o adequado: o percentual será mantido durante toda a execução contratual;</w:t>
      </w:r>
    </w:p>
    <w:p w14:paraId="61EA5875">
      <w:pPr>
        <w:numPr>
          <w:ilvl w:val="2"/>
          <w:numId w:val="2"/>
        </w:numPr>
        <w:tabs>
          <w:tab w:val="left" w:pos="0"/>
        </w:tabs>
        <w:ind w:left="-567" w:right="-852" w:firstLine="0"/>
        <w:jc w:val="both"/>
        <w:rPr>
          <w:sz w:val="24"/>
          <w:szCs w:val="24"/>
        </w:rPr>
      </w:pPr>
      <w:r>
        <w:rPr>
          <w:sz w:val="24"/>
          <w:szCs w:val="24"/>
        </w:rPr>
        <w:t>cotação de percentual maior que o adequado: o excesso será suprimido, unilateralmente, da planilha e haverá glosa, quando do pagamento, e/ou redução, quando da repactuação, para fins de total ressarcimento do débito.</w:t>
      </w:r>
    </w:p>
    <w:p w14:paraId="4A272B99">
      <w:pPr>
        <w:numPr>
          <w:ilvl w:val="1"/>
          <w:numId w:val="2"/>
        </w:numPr>
        <w:ind w:left="-567" w:right="-852" w:firstLine="0"/>
        <w:jc w:val="both"/>
        <w:rPr>
          <w:color w:val="000000"/>
          <w:sz w:val="24"/>
          <w:szCs w:val="24"/>
        </w:rPr>
      </w:pPr>
      <w:r>
        <w:rPr>
          <w:color w:val="000000"/>
          <w:sz w:val="24"/>
          <w:szCs w:val="24"/>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14:paraId="3C3A340B">
      <w:pPr>
        <w:numPr>
          <w:ilvl w:val="1"/>
          <w:numId w:val="2"/>
        </w:numPr>
        <w:ind w:left="-567" w:right="-852" w:firstLine="0"/>
        <w:jc w:val="both"/>
        <w:rPr>
          <w:color w:val="000000"/>
          <w:sz w:val="24"/>
          <w:szCs w:val="24"/>
        </w:rPr>
      </w:pPr>
      <w:r>
        <w:rPr>
          <w:color w:val="000000"/>
          <w:sz w:val="24"/>
          <w:szCs w:val="24"/>
        </w:rPr>
        <w:t>Independentemente do percentual de tributo inserido na planilha, no pagamento dos serviços, serão retidos na fonte os percentuais estabelecidos na legislação vigente.</w:t>
      </w:r>
    </w:p>
    <w:p w14:paraId="7D59FAD5">
      <w:pPr>
        <w:numPr>
          <w:ilvl w:val="1"/>
          <w:numId w:val="2"/>
        </w:numPr>
        <w:ind w:left="-567" w:right="-852" w:firstLine="0"/>
        <w:jc w:val="both"/>
        <w:rPr>
          <w:color w:val="000000"/>
          <w:sz w:val="24"/>
          <w:szCs w:val="24"/>
        </w:rPr>
      </w:pPr>
      <w:r>
        <w:rPr>
          <w:color w:val="000000"/>
          <w:sz w:val="24"/>
          <w:szCs w:val="24"/>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6CB8CE9C">
      <w:pPr>
        <w:numPr>
          <w:ilvl w:val="1"/>
          <w:numId w:val="2"/>
        </w:numPr>
        <w:ind w:left="-567" w:right="-852" w:firstLine="0"/>
        <w:jc w:val="both"/>
        <w:rPr>
          <w:color w:val="000000"/>
          <w:sz w:val="24"/>
          <w:szCs w:val="24"/>
        </w:rPr>
      </w:pPr>
      <w:r>
        <w:rPr>
          <w:color w:val="000000"/>
          <w:sz w:val="24"/>
          <w:szCs w:val="24"/>
        </w:rPr>
        <w:t xml:space="preserve">O prazo de validade da proposta não será inferior a 60 (sessenta) dias, a contar da data de sua apresentação. </w:t>
      </w:r>
    </w:p>
    <w:p w14:paraId="784BD8E9">
      <w:pPr>
        <w:numPr>
          <w:ilvl w:val="1"/>
          <w:numId w:val="2"/>
        </w:numPr>
        <w:ind w:left="-567" w:right="-852" w:firstLine="0"/>
        <w:jc w:val="both"/>
        <w:rPr>
          <w:color w:val="000000"/>
          <w:sz w:val="24"/>
          <w:szCs w:val="24"/>
        </w:rPr>
      </w:pPr>
      <w:r>
        <w:rPr>
          <w:color w:val="000000"/>
          <w:sz w:val="24"/>
          <w:szCs w:val="24"/>
        </w:rPr>
        <w:t xml:space="preserve">Os licitantes devem respeitar os preços máximos estabelecidos nas normas de regência de contratações públicas, quando participarem de licitações públicas.  </w:t>
      </w:r>
    </w:p>
    <w:p w14:paraId="1BDC1545">
      <w:pPr>
        <w:numPr>
          <w:ilvl w:val="2"/>
          <w:numId w:val="2"/>
        </w:numPr>
        <w:tabs>
          <w:tab w:val="left" w:pos="0"/>
        </w:tabs>
        <w:ind w:left="-567" w:right="-852" w:firstLine="0"/>
        <w:jc w:val="both"/>
        <w:rPr>
          <w:sz w:val="24"/>
          <w:szCs w:val="24"/>
        </w:rPr>
      </w:pPr>
      <w:r>
        <w:rPr>
          <w:sz w:val="24"/>
          <w:szCs w:val="24"/>
        </w:rPr>
        <w:t>O descumprimento das regras supramencionadas pela Administração por parte dos contratados pode ensejar a responsabilização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6440E67">
      <w:pPr>
        <w:tabs>
          <w:tab w:val="left" w:pos="0"/>
        </w:tabs>
        <w:ind w:left="-567" w:right="-852"/>
        <w:jc w:val="both"/>
        <w:rPr>
          <w:sz w:val="24"/>
          <w:szCs w:val="24"/>
        </w:rPr>
      </w:pPr>
    </w:p>
    <w:p w14:paraId="1384035E">
      <w:pPr>
        <w:keepNext/>
        <w:keepLines/>
        <w:numPr>
          <w:ilvl w:val="0"/>
          <w:numId w:val="5"/>
        </w:numPr>
        <w:pBdr>
          <w:top w:val="none" w:color="auto" w:sz="0" w:space="0"/>
          <w:left w:val="none" w:color="auto" w:sz="0" w:space="0"/>
          <w:bottom w:val="none" w:color="auto" w:sz="0" w:space="0"/>
          <w:right w:val="none" w:color="auto" w:sz="0" w:space="0"/>
          <w:between w:val="none" w:color="auto" w:sz="0" w:space="0"/>
        </w:pBdr>
        <w:ind w:left="-567" w:right="-852" w:firstLine="0"/>
        <w:jc w:val="both"/>
        <w:rPr>
          <w:b/>
          <w:color w:val="000000"/>
          <w:sz w:val="24"/>
          <w:szCs w:val="24"/>
        </w:rPr>
      </w:pPr>
      <w:r>
        <w:rPr>
          <w:b/>
          <w:color w:val="000000"/>
          <w:sz w:val="24"/>
          <w:szCs w:val="24"/>
        </w:rPr>
        <w:t>DA ABERTURA DA SESSÃO, CLASSIFICAÇÃO DAS PROPOSTAS E FORMULAÇÃO DE LANCES</w:t>
      </w:r>
    </w:p>
    <w:p w14:paraId="069E2DEB">
      <w:pPr>
        <w:numPr>
          <w:ilvl w:val="1"/>
          <w:numId w:val="6"/>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 xml:space="preserve">A abertura da presente licitação dar-se-á automaticamente em sessão pública, por meio de sistema eletrônico, na data, horário e local indicados neste Edital. </w:t>
      </w:r>
    </w:p>
    <w:p w14:paraId="77E0BA4E">
      <w:pPr>
        <w:numPr>
          <w:ilvl w:val="1"/>
          <w:numId w:val="6"/>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sz w:val="24"/>
          <w:szCs w:val="24"/>
        </w:rPr>
        <w:t>Os licitantes poderão retirar ou substituir a proposta ou os documentos de habilitação, quando for o caso, anteriormente inseridos no sistema, até a abertura da sessão pública.</w:t>
      </w:r>
    </w:p>
    <w:p w14:paraId="26E74B2F">
      <w:pPr>
        <w:numPr>
          <w:ilvl w:val="1"/>
          <w:numId w:val="6"/>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6C4676F5">
      <w:pPr>
        <w:numPr>
          <w:ilvl w:val="2"/>
          <w:numId w:val="6"/>
        </w:numPr>
        <w:tabs>
          <w:tab w:val="left" w:pos="0"/>
        </w:tabs>
        <w:ind w:left="-567" w:right="-852" w:firstLine="0"/>
        <w:jc w:val="both"/>
        <w:rPr>
          <w:sz w:val="24"/>
          <w:szCs w:val="24"/>
        </w:rPr>
      </w:pPr>
      <w:r>
        <w:rPr>
          <w:sz w:val="24"/>
          <w:szCs w:val="24"/>
        </w:rPr>
        <w:t>Também será desclassificada a proposta que identifique o licitante.</w:t>
      </w:r>
    </w:p>
    <w:p w14:paraId="6957511A">
      <w:pPr>
        <w:numPr>
          <w:ilvl w:val="2"/>
          <w:numId w:val="6"/>
        </w:numPr>
        <w:tabs>
          <w:tab w:val="left" w:pos="0"/>
        </w:tabs>
        <w:ind w:left="-567" w:right="-852" w:firstLine="0"/>
        <w:jc w:val="both"/>
        <w:rPr>
          <w:sz w:val="24"/>
          <w:szCs w:val="24"/>
        </w:rPr>
      </w:pPr>
      <w:r>
        <w:rPr>
          <w:sz w:val="24"/>
          <w:szCs w:val="24"/>
        </w:rPr>
        <w:t>A desclassificação será sempre fundamentada e registrada no sistema, com acompanhamento em tempo real por todos os participantes.</w:t>
      </w:r>
    </w:p>
    <w:p w14:paraId="340AB808">
      <w:pPr>
        <w:numPr>
          <w:ilvl w:val="2"/>
          <w:numId w:val="6"/>
        </w:numPr>
        <w:tabs>
          <w:tab w:val="left" w:pos="0"/>
        </w:tabs>
        <w:ind w:left="-567" w:right="-852" w:firstLine="0"/>
        <w:jc w:val="both"/>
        <w:rPr>
          <w:sz w:val="24"/>
          <w:szCs w:val="24"/>
        </w:rPr>
      </w:pPr>
      <w:r>
        <w:rPr>
          <w:sz w:val="24"/>
          <w:szCs w:val="24"/>
        </w:rPr>
        <w:t>A não desclassificação da proposta não impede o seu julgamento definitivo em sentido contrário, levado a efeito na fase de aceitação.</w:t>
      </w:r>
    </w:p>
    <w:p w14:paraId="64292550">
      <w:pPr>
        <w:numPr>
          <w:ilvl w:val="1"/>
          <w:numId w:val="6"/>
        </w:numPr>
        <w:ind w:left="-567" w:right="-852" w:firstLine="0"/>
        <w:jc w:val="both"/>
        <w:rPr>
          <w:color w:val="000000"/>
          <w:sz w:val="24"/>
          <w:szCs w:val="24"/>
        </w:rPr>
      </w:pPr>
      <w:r>
        <w:rPr>
          <w:color w:val="000000"/>
          <w:sz w:val="24"/>
          <w:szCs w:val="24"/>
        </w:rPr>
        <w:t>O sistema ordenará automaticamente as propostas classificadas, sendo que somente estas participarão da fase de lances.</w:t>
      </w:r>
    </w:p>
    <w:p w14:paraId="23867C4D">
      <w:pPr>
        <w:numPr>
          <w:ilvl w:val="1"/>
          <w:numId w:val="6"/>
        </w:numPr>
        <w:ind w:left="-567" w:right="-852" w:firstLine="0"/>
        <w:jc w:val="both"/>
        <w:rPr>
          <w:color w:val="000000"/>
          <w:sz w:val="24"/>
          <w:szCs w:val="24"/>
        </w:rPr>
      </w:pPr>
      <w:r>
        <w:rPr>
          <w:color w:val="000000"/>
          <w:sz w:val="24"/>
          <w:szCs w:val="24"/>
        </w:rPr>
        <w:t>O sistema disponibilizará campo próprio para troca de mensagens entre o Pregoeiro e os licitantes.</w:t>
      </w:r>
    </w:p>
    <w:p w14:paraId="0AEA153E">
      <w:pPr>
        <w:numPr>
          <w:ilvl w:val="1"/>
          <w:numId w:val="6"/>
        </w:numPr>
        <w:ind w:left="-567" w:right="-852" w:firstLine="0"/>
        <w:jc w:val="both"/>
        <w:rPr>
          <w:sz w:val="24"/>
          <w:szCs w:val="24"/>
        </w:rPr>
      </w:pPr>
      <w:r>
        <w:rPr>
          <w:color w:val="000000"/>
          <w:sz w:val="24"/>
          <w:szCs w:val="24"/>
        </w:rPr>
        <w:t xml:space="preserve"> Iniciada a etapa competitiva, os licitantes deverão encaminhar lances exclusivamente por meio de sistema eletrônico, sendo </w:t>
      </w:r>
      <w:r>
        <w:rPr>
          <w:sz w:val="24"/>
          <w:szCs w:val="24"/>
        </w:rPr>
        <w:t>imediatamente informados do seu recebimento e do valor consignado no registro.</w:t>
      </w:r>
    </w:p>
    <w:p w14:paraId="35CAA739">
      <w:pPr>
        <w:numPr>
          <w:ilvl w:val="1"/>
          <w:numId w:val="6"/>
        </w:numPr>
        <w:ind w:left="-567" w:right="-852" w:firstLine="0"/>
        <w:jc w:val="both"/>
        <w:rPr>
          <w:sz w:val="24"/>
          <w:szCs w:val="24"/>
        </w:rPr>
      </w:pPr>
      <w:r>
        <w:rPr>
          <w:sz w:val="24"/>
          <w:szCs w:val="24"/>
        </w:rPr>
        <w:t>O lance deverá ser ofertado pelo valor total do lote.</w:t>
      </w:r>
    </w:p>
    <w:p w14:paraId="5C7B342B">
      <w:pPr>
        <w:numPr>
          <w:ilvl w:val="1"/>
          <w:numId w:val="6"/>
        </w:numPr>
        <w:ind w:left="-567" w:right="-852" w:firstLine="0"/>
        <w:jc w:val="both"/>
        <w:rPr>
          <w:color w:val="000000"/>
          <w:sz w:val="24"/>
          <w:szCs w:val="24"/>
        </w:rPr>
      </w:pPr>
      <w:r>
        <w:rPr>
          <w:color w:val="000000"/>
          <w:sz w:val="24"/>
          <w:szCs w:val="24"/>
        </w:rPr>
        <w:t>Caso seja atribuído o critério de julgamento de maior desconto, o lance a ser aplicado deverá ser expresso em moeda real, correspondente de maior desconto atribuído na sua proposta, quando for o caso.</w:t>
      </w:r>
    </w:p>
    <w:p w14:paraId="3F7E9BC6">
      <w:pPr>
        <w:numPr>
          <w:ilvl w:val="1"/>
          <w:numId w:val="6"/>
        </w:numPr>
        <w:ind w:left="-567" w:right="-852" w:firstLine="0"/>
        <w:jc w:val="both"/>
        <w:rPr>
          <w:color w:val="000000"/>
          <w:sz w:val="24"/>
          <w:szCs w:val="24"/>
        </w:rPr>
      </w:pPr>
      <w:r>
        <w:rPr>
          <w:color w:val="000000"/>
          <w:sz w:val="24"/>
          <w:szCs w:val="24"/>
        </w:rPr>
        <w:t>Os licitantes poderão oferecer lances sucessivos, observando o horário fixado para abertura da sessão e as regras estabelecidas no Edital.</w:t>
      </w:r>
    </w:p>
    <w:p w14:paraId="73B187A3">
      <w:pPr>
        <w:numPr>
          <w:ilvl w:val="1"/>
          <w:numId w:val="6"/>
        </w:numPr>
        <w:ind w:left="-567" w:right="-852" w:firstLine="0"/>
        <w:jc w:val="both"/>
        <w:rPr>
          <w:color w:val="000000"/>
          <w:sz w:val="24"/>
          <w:szCs w:val="24"/>
        </w:rPr>
      </w:pPr>
      <w:r>
        <w:rPr>
          <w:color w:val="000000"/>
          <w:sz w:val="24"/>
          <w:szCs w:val="24"/>
        </w:rPr>
        <w:t>O licitante somente poderá oferecer lance de valor inferior ou percentual de desconto</w:t>
      </w:r>
      <w:r>
        <w:rPr>
          <w:i/>
          <w:color w:val="000000"/>
          <w:sz w:val="24"/>
          <w:szCs w:val="24"/>
        </w:rPr>
        <w:t xml:space="preserve"> </w:t>
      </w:r>
      <w:r>
        <w:rPr>
          <w:color w:val="000000"/>
          <w:sz w:val="24"/>
          <w:szCs w:val="24"/>
        </w:rPr>
        <w:t xml:space="preserve">superior ao último por ele ofertado e registrado pelo sistema. </w:t>
      </w:r>
    </w:p>
    <w:p w14:paraId="6210F7AF">
      <w:pPr>
        <w:numPr>
          <w:ilvl w:val="1"/>
          <w:numId w:val="6"/>
        </w:numPr>
        <w:ind w:left="-567" w:right="-852" w:firstLine="0"/>
        <w:jc w:val="both"/>
        <w:rPr>
          <w:color w:val="000000"/>
          <w:sz w:val="24"/>
          <w:szCs w:val="24"/>
        </w:rPr>
      </w:pPr>
      <w:r>
        <w:rPr>
          <w:color w:val="000000"/>
          <w:sz w:val="24"/>
          <w:szCs w:val="24"/>
        </w:rPr>
        <w:t>O intervalo mínimo de diferença de valores ou percentuais entre os lances, que incidirá tanto em relação aos lances intermediários quanto em relação à proposta que cobrir a melhor oferta deverá ser de R$ 0,01 (um centavo)</w:t>
      </w:r>
    </w:p>
    <w:p w14:paraId="27683081">
      <w:pPr>
        <w:numPr>
          <w:ilvl w:val="1"/>
          <w:numId w:val="6"/>
        </w:numPr>
        <w:ind w:left="-567" w:right="-852" w:firstLine="0"/>
        <w:jc w:val="both"/>
        <w:rPr>
          <w:color w:val="000000"/>
          <w:sz w:val="24"/>
          <w:szCs w:val="24"/>
        </w:rPr>
      </w:pPr>
      <w:r>
        <w:rPr>
          <w:sz w:val="24"/>
          <w:szCs w:val="24"/>
        </w:rPr>
        <w:t>O licitante poderá, uma única vez, excluir seu último lance ofertado, no intervalo de quinze segundos após o registro no sistema, na hipótese de lance inconsistente ou inexequível.</w:t>
      </w:r>
    </w:p>
    <w:p w14:paraId="431082FD">
      <w:pPr>
        <w:numPr>
          <w:ilvl w:val="1"/>
          <w:numId w:val="6"/>
        </w:numPr>
        <w:ind w:left="-567" w:right="-852" w:firstLine="0"/>
        <w:jc w:val="both"/>
        <w:rPr>
          <w:color w:val="000000"/>
          <w:sz w:val="24"/>
          <w:szCs w:val="24"/>
        </w:rPr>
      </w:pPr>
      <w:r>
        <w:rPr>
          <w:sz w:val="24"/>
          <w:szCs w:val="24"/>
        </w:rPr>
        <w:t>O procedimento seguirá de acordo com o modo de disputa adotado.</w:t>
      </w:r>
    </w:p>
    <w:p w14:paraId="13FE079E">
      <w:pPr>
        <w:numPr>
          <w:ilvl w:val="1"/>
          <w:numId w:val="6"/>
        </w:numPr>
        <w:ind w:left="-567" w:right="-852" w:firstLine="0"/>
        <w:jc w:val="both"/>
        <w:rPr>
          <w:color w:val="000000"/>
          <w:sz w:val="24"/>
          <w:szCs w:val="24"/>
        </w:rPr>
      </w:pPr>
      <w:r>
        <w:rPr>
          <w:color w:val="000000"/>
          <w:sz w:val="24"/>
          <w:szCs w:val="24"/>
        </w:rPr>
        <w:t xml:space="preserve">Será adotado para o envio de lances no pregão eletrônico o modo de disputa </w:t>
      </w:r>
      <w:r>
        <w:rPr>
          <w:b/>
          <w:color w:val="000000"/>
          <w:sz w:val="24"/>
          <w:szCs w:val="24"/>
        </w:rPr>
        <w:t>“aberto”</w:t>
      </w:r>
      <w:r>
        <w:rPr>
          <w:color w:val="000000"/>
          <w:sz w:val="24"/>
          <w:szCs w:val="24"/>
        </w:rPr>
        <w:t>, em que os licitantes apresentarão lances públicos e sucessivos, com prorrogações.</w:t>
      </w:r>
    </w:p>
    <w:p w14:paraId="3736426C">
      <w:pPr>
        <w:numPr>
          <w:ilvl w:val="1"/>
          <w:numId w:val="6"/>
        </w:numPr>
        <w:ind w:left="-567" w:right="-852" w:firstLine="0"/>
        <w:jc w:val="both"/>
        <w:rPr>
          <w:color w:val="000000"/>
          <w:sz w:val="24"/>
          <w:szCs w:val="24"/>
        </w:rPr>
      </w:pPr>
      <w:r>
        <w:rPr>
          <w:color w:val="000000"/>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52948503">
      <w:pPr>
        <w:numPr>
          <w:ilvl w:val="1"/>
          <w:numId w:val="6"/>
        </w:numPr>
        <w:ind w:left="-567" w:right="-852" w:firstLine="0"/>
        <w:jc w:val="both"/>
        <w:rPr>
          <w:color w:val="000000"/>
          <w:sz w:val="24"/>
          <w:szCs w:val="24"/>
        </w:rPr>
      </w:pPr>
      <w:r>
        <w:rPr>
          <w:color w:val="000000"/>
          <w:sz w:val="24"/>
          <w:szCs w:val="24"/>
        </w:rPr>
        <w:t>A prorrogação automática da etapa de lances, de que trata o item anterior, será de dois minutos e ocorrerá sucessivamente sempre que houver lances enviados nesse período de prorrogação, inclusive no caso de lances intermediários.</w:t>
      </w:r>
    </w:p>
    <w:p w14:paraId="1CE5B8D1">
      <w:pPr>
        <w:numPr>
          <w:ilvl w:val="1"/>
          <w:numId w:val="6"/>
        </w:numPr>
        <w:ind w:left="-567" w:right="-852" w:firstLine="0"/>
        <w:jc w:val="both"/>
        <w:rPr>
          <w:color w:val="000000"/>
          <w:sz w:val="24"/>
          <w:szCs w:val="24"/>
        </w:rPr>
      </w:pPr>
      <w:r>
        <w:rPr>
          <w:color w:val="000000"/>
          <w:sz w:val="24"/>
          <w:szCs w:val="24"/>
        </w:rPr>
        <w:t>Não havendo novos lances na forma estabelecida nos itens anteriores, a sessão pública encerrar-se-á automaticamente.</w:t>
      </w:r>
    </w:p>
    <w:p w14:paraId="43301B41">
      <w:pPr>
        <w:numPr>
          <w:ilvl w:val="1"/>
          <w:numId w:val="6"/>
        </w:numPr>
        <w:ind w:left="-567" w:right="-852" w:firstLine="0"/>
        <w:jc w:val="both"/>
        <w:rPr>
          <w:color w:val="000000"/>
          <w:sz w:val="24"/>
          <w:szCs w:val="24"/>
        </w:rPr>
      </w:pPr>
      <w:r>
        <w:rPr>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9EB94A5">
      <w:pPr>
        <w:numPr>
          <w:ilvl w:val="1"/>
          <w:numId w:val="6"/>
        </w:numPr>
        <w:ind w:left="-567" w:right="-852" w:firstLine="0"/>
        <w:jc w:val="both"/>
        <w:rPr>
          <w:color w:val="000000"/>
          <w:sz w:val="24"/>
          <w:szCs w:val="24"/>
        </w:rPr>
      </w:pPr>
      <w:bookmarkStart w:id="14" w:name="_heading=h.35nkun2" w:colFirst="0" w:colLast="0"/>
      <w:bookmarkEnd w:id="14"/>
      <w:r>
        <w:rPr>
          <w:sz w:val="24"/>
          <w:szCs w:val="24"/>
        </w:rPr>
        <w:t>Após o reinício previsto no item supra, os licitantes serão convocados para apresentar lances intermediários.</w:t>
      </w:r>
    </w:p>
    <w:p w14:paraId="3EA3DDBD">
      <w:pPr>
        <w:numPr>
          <w:ilvl w:val="1"/>
          <w:numId w:val="6"/>
        </w:numPr>
        <w:ind w:left="-567" w:right="-852" w:firstLine="0"/>
        <w:jc w:val="both"/>
        <w:rPr>
          <w:color w:val="000000"/>
          <w:sz w:val="24"/>
          <w:szCs w:val="24"/>
        </w:rPr>
      </w:pPr>
      <w:r>
        <w:rPr>
          <w:color w:val="000000"/>
          <w:sz w:val="24"/>
          <w:szCs w:val="24"/>
        </w:rPr>
        <w:t xml:space="preserve">Não serão aceitos dois ou mais lances de mesmo valor, prevalecendo aquele que for recebido e registrado em primeiro lugar. </w:t>
      </w:r>
    </w:p>
    <w:p w14:paraId="2CF89027">
      <w:pPr>
        <w:numPr>
          <w:ilvl w:val="1"/>
          <w:numId w:val="6"/>
        </w:numPr>
        <w:ind w:left="-567" w:right="-852" w:firstLine="0"/>
        <w:jc w:val="both"/>
        <w:rPr>
          <w:color w:val="000000"/>
          <w:sz w:val="24"/>
          <w:szCs w:val="24"/>
        </w:rPr>
      </w:pPr>
      <w:r>
        <w:rPr>
          <w:color w:val="000000"/>
          <w:sz w:val="24"/>
          <w:szCs w:val="24"/>
        </w:rPr>
        <w:t xml:space="preserve">Durante o transcurso da sessão pública, os licitantes serão informados, em tempo real, do valor do menor lance registrado, vedada a identificação do licitante. </w:t>
      </w:r>
    </w:p>
    <w:p w14:paraId="1DBA2BF5">
      <w:pPr>
        <w:numPr>
          <w:ilvl w:val="1"/>
          <w:numId w:val="6"/>
        </w:numPr>
        <w:ind w:left="-567" w:right="-852" w:firstLine="0"/>
        <w:jc w:val="both"/>
        <w:rPr>
          <w:color w:val="000000"/>
          <w:sz w:val="24"/>
          <w:szCs w:val="24"/>
        </w:rPr>
      </w:pPr>
      <w:r>
        <w:rPr>
          <w:color w:val="000000"/>
          <w:sz w:val="24"/>
          <w:szCs w:val="24"/>
        </w:rPr>
        <w:t>No caso de desconexão com o Pregoeiro, no decorrer da etapa competitiva do Pregão, o sistema eletrônico poderá permanecer acessível aos licitantes para a recepção dos lances.</w:t>
      </w:r>
    </w:p>
    <w:p w14:paraId="0C5C3A2D">
      <w:pPr>
        <w:numPr>
          <w:ilvl w:val="1"/>
          <w:numId w:val="6"/>
        </w:numPr>
        <w:ind w:left="-567" w:right="-852" w:firstLine="0"/>
        <w:jc w:val="both"/>
        <w:rPr>
          <w:color w:val="000000"/>
          <w:sz w:val="24"/>
          <w:szCs w:val="24"/>
        </w:rPr>
      </w:pPr>
      <w:r>
        <w:rPr>
          <w:color w:val="000000"/>
          <w:sz w:val="24"/>
          <w:szCs w:val="24"/>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7066314E">
      <w:pPr>
        <w:numPr>
          <w:ilvl w:val="1"/>
          <w:numId w:val="6"/>
        </w:numPr>
        <w:ind w:left="-567" w:right="-852" w:firstLine="0"/>
        <w:jc w:val="both"/>
        <w:rPr>
          <w:color w:val="000000"/>
          <w:sz w:val="24"/>
          <w:szCs w:val="24"/>
        </w:rPr>
      </w:pPr>
      <w:r>
        <w:rPr>
          <w:color w:val="000000"/>
          <w:sz w:val="24"/>
          <w:szCs w:val="24"/>
        </w:rPr>
        <w:t>Caso o licitante não apresente lances, concorrerá com o valor de sua proposta.</w:t>
      </w:r>
    </w:p>
    <w:p w14:paraId="6EF4D6A0">
      <w:pPr>
        <w:numPr>
          <w:ilvl w:val="1"/>
          <w:numId w:val="6"/>
        </w:numPr>
        <w:ind w:left="-567" w:right="-852" w:firstLine="0"/>
        <w:jc w:val="both"/>
        <w:rPr>
          <w:color w:val="000000"/>
          <w:sz w:val="24"/>
          <w:szCs w:val="24"/>
        </w:rPr>
      </w:pPr>
      <w:r>
        <w:rPr>
          <w:color w:val="000000"/>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e esta for empresa de maior porte, assim como das demais classificadas, para o fim de aplicar-se o disposto nos arts. 44 e 45 da LC nº 123, de 2006, regulamentada pelo Decreto nº 8.538, de 2015.</w:t>
      </w:r>
    </w:p>
    <w:p w14:paraId="08B31246">
      <w:pPr>
        <w:numPr>
          <w:ilvl w:val="1"/>
          <w:numId w:val="6"/>
        </w:numPr>
        <w:ind w:left="-567" w:right="-852" w:firstLine="0"/>
        <w:jc w:val="both"/>
        <w:rPr>
          <w:color w:val="000000"/>
          <w:sz w:val="24"/>
          <w:szCs w:val="24"/>
        </w:rPr>
      </w:pPr>
      <w:r>
        <w:rPr>
          <w:color w:val="000000"/>
          <w:sz w:val="24"/>
          <w:szCs w:val="24"/>
        </w:rPr>
        <w:t>Nessas condições, as propostas de microempresas e empresas de pequeno porte que se encontrarem na faixa de até 5% (cinco por cento) acima do melhor lance serão consideradas empatadas com a primeira colocada.</w:t>
      </w:r>
    </w:p>
    <w:p w14:paraId="17CD6E9F">
      <w:pPr>
        <w:numPr>
          <w:ilvl w:val="1"/>
          <w:numId w:val="6"/>
        </w:numPr>
        <w:ind w:left="-567" w:right="-852" w:firstLine="0"/>
        <w:jc w:val="both"/>
        <w:rPr>
          <w:color w:val="000000"/>
          <w:sz w:val="24"/>
          <w:szCs w:val="24"/>
        </w:rPr>
      </w:pPr>
      <w:r>
        <w:rPr>
          <w:color w:val="000000"/>
          <w:sz w:val="24"/>
          <w:szCs w:val="24"/>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10CC45E">
      <w:pPr>
        <w:numPr>
          <w:ilvl w:val="1"/>
          <w:numId w:val="6"/>
        </w:numPr>
        <w:ind w:left="-567" w:right="-852" w:firstLine="0"/>
        <w:jc w:val="both"/>
        <w:rPr>
          <w:color w:val="000000"/>
          <w:sz w:val="24"/>
          <w:szCs w:val="24"/>
        </w:rPr>
      </w:pPr>
      <w:r>
        <w:rPr>
          <w:color w:val="000000"/>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64CF9B70">
      <w:pPr>
        <w:numPr>
          <w:ilvl w:val="1"/>
          <w:numId w:val="6"/>
        </w:numPr>
        <w:ind w:left="-567" w:right="-852" w:firstLine="0"/>
        <w:jc w:val="both"/>
        <w:rPr>
          <w:color w:val="000000"/>
          <w:sz w:val="24"/>
          <w:szCs w:val="24"/>
        </w:rPr>
      </w:pPr>
      <w:r>
        <w:rPr>
          <w:color w:val="000000"/>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85F8776">
      <w:pPr>
        <w:numPr>
          <w:ilvl w:val="1"/>
          <w:numId w:val="6"/>
        </w:numPr>
        <w:ind w:left="-567" w:right="-852" w:firstLine="0"/>
        <w:jc w:val="both"/>
        <w:rPr>
          <w:color w:val="000000"/>
          <w:sz w:val="24"/>
          <w:szCs w:val="24"/>
        </w:rPr>
      </w:pPr>
      <w:r>
        <w:rPr>
          <w:color w:val="000000"/>
          <w:sz w:val="24"/>
          <w:szCs w:val="24"/>
        </w:rPr>
        <w:t xml:space="preserve">Só poderá haver empate entre propostas iguais (não seguidas de lances), ou entre lances finais da fase fechada do modo de disputa aberto e fechado. </w:t>
      </w:r>
    </w:p>
    <w:p w14:paraId="00890E4C">
      <w:pPr>
        <w:numPr>
          <w:ilvl w:val="2"/>
          <w:numId w:val="6"/>
        </w:numPr>
        <w:tabs>
          <w:tab w:val="left" w:pos="993"/>
        </w:tabs>
        <w:ind w:left="-567" w:right="-852" w:firstLine="0"/>
        <w:jc w:val="both"/>
        <w:rPr>
          <w:color w:val="000000"/>
          <w:sz w:val="24"/>
          <w:szCs w:val="24"/>
        </w:rPr>
      </w:pPr>
      <w:bookmarkStart w:id="15" w:name="_heading=h.44sinio" w:colFirst="0" w:colLast="0"/>
      <w:bookmarkEnd w:id="15"/>
      <w:r>
        <w:rPr>
          <w:color w:val="000000"/>
          <w:sz w:val="24"/>
          <w:szCs w:val="24"/>
        </w:rPr>
        <w:t xml:space="preserve">Havendo eventual empate entre propostas ou lances, o critério de desempate será aquele previsto no art. 60, da Lei nº 14.133 de 2021, nesta ordem: </w:t>
      </w:r>
    </w:p>
    <w:p w14:paraId="1D7F52A5">
      <w:pPr>
        <w:numPr>
          <w:ilvl w:val="2"/>
          <w:numId w:val="6"/>
        </w:numPr>
        <w:tabs>
          <w:tab w:val="left" w:pos="993"/>
        </w:tabs>
        <w:ind w:left="-567" w:right="-852" w:firstLine="0"/>
        <w:jc w:val="both"/>
        <w:rPr>
          <w:color w:val="000000"/>
          <w:sz w:val="24"/>
          <w:szCs w:val="24"/>
        </w:rPr>
      </w:pPr>
      <w:r>
        <w:rPr>
          <w:sz w:val="24"/>
          <w:szCs w:val="24"/>
        </w:rPr>
        <w:t>disputa final, hipótese em que os licitantes empatados poderão apresentar nova proposta em ato contínuo à classificação.</w:t>
      </w:r>
    </w:p>
    <w:p w14:paraId="546D0D8E">
      <w:pPr>
        <w:numPr>
          <w:ilvl w:val="3"/>
          <w:numId w:val="6"/>
        </w:numPr>
        <w:pBdr>
          <w:top w:val="none" w:color="auto" w:sz="0" w:space="0"/>
          <w:left w:val="none" w:color="auto" w:sz="0" w:space="0"/>
          <w:bottom w:val="none" w:color="auto" w:sz="0" w:space="0"/>
          <w:right w:val="none" w:color="auto" w:sz="0" w:space="0"/>
          <w:between w:val="none" w:color="auto" w:sz="0" w:space="0"/>
        </w:pBdr>
        <w:tabs>
          <w:tab w:val="left" w:pos="993"/>
        </w:tabs>
        <w:ind w:left="-567" w:right="-852" w:firstLine="0"/>
        <w:jc w:val="both"/>
        <w:rPr>
          <w:color w:val="000000"/>
          <w:sz w:val="24"/>
          <w:szCs w:val="24"/>
        </w:rPr>
      </w:pPr>
      <w:bookmarkStart w:id="16" w:name="_heading=h.2jxsxqh" w:colFirst="0" w:colLast="0"/>
      <w:bookmarkEnd w:id="16"/>
      <w:r>
        <w:rPr>
          <w:color w:val="000000"/>
          <w:sz w:val="24"/>
          <w:szCs w:val="24"/>
        </w:rPr>
        <w:t>avaliação do desempenho contratual prévio dos licitantes, para a qual deverão preferencialmente ser utilizados registros cadastrais para efeito de atesto de cumprimento de obrigações previstos nesta Lei;</w:t>
      </w:r>
    </w:p>
    <w:p w14:paraId="6EAB4BE9">
      <w:pPr>
        <w:numPr>
          <w:ilvl w:val="3"/>
          <w:numId w:val="6"/>
        </w:numPr>
        <w:pBdr>
          <w:top w:val="none" w:color="auto" w:sz="0" w:space="0"/>
          <w:left w:val="none" w:color="auto" w:sz="0" w:space="0"/>
          <w:bottom w:val="none" w:color="auto" w:sz="0" w:space="0"/>
          <w:right w:val="none" w:color="auto" w:sz="0" w:space="0"/>
          <w:between w:val="none" w:color="auto" w:sz="0" w:space="0"/>
        </w:pBdr>
        <w:tabs>
          <w:tab w:val="left" w:pos="993"/>
        </w:tabs>
        <w:ind w:left="-567" w:right="-852" w:firstLine="0"/>
        <w:jc w:val="both"/>
        <w:rPr>
          <w:color w:val="000000"/>
          <w:sz w:val="24"/>
          <w:szCs w:val="24"/>
        </w:rPr>
      </w:pPr>
      <w:bookmarkStart w:id="17" w:name="_heading=h.z337ya" w:colFirst="0" w:colLast="0"/>
      <w:bookmarkEnd w:id="17"/>
      <w:r>
        <w:rPr>
          <w:color w:val="000000"/>
          <w:sz w:val="24"/>
          <w:szCs w:val="24"/>
        </w:rPr>
        <w:t>desenvolvimento pelo licitante de ações de equidade entre homens e mulheres no ambiente de trabalho, conforme regulamento;</w:t>
      </w:r>
    </w:p>
    <w:p w14:paraId="0F13AECE">
      <w:pPr>
        <w:numPr>
          <w:ilvl w:val="3"/>
          <w:numId w:val="6"/>
        </w:numPr>
        <w:pBdr>
          <w:top w:val="none" w:color="auto" w:sz="0" w:space="0"/>
          <w:left w:val="none" w:color="auto" w:sz="0" w:space="0"/>
          <w:bottom w:val="none" w:color="auto" w:sz="0" w:space="0"/>
          <w:right w:val="none" w:color="auto" w:sz="0" w:space="0"/>
          <w:between w:val="none" w:color="auto" w:sz="0" w:space="0"/>
        </w:pBdr>
        <w:tabs>
          <w:tab w:val="left" w:pos="993"/>
        </w:tabs>
        <w:ind w:left="-567" w:right="-852" w:firstLine="0"/>
        <w:jc w:val="both"/>
        <w:rPr>
          <w:color w:val="000000"/>
          <w:sz w:val="24"/>
          <w:szCs w:val="24"/>
        </w:rPr>
      </w:pPr>
      <w:bookmarkStart w:id="18" w:name="_heading=h.3j2qqm3" w:colFirst="0" w:colLast="0"/>
      <w:bookmarkEnd w:id="18"/>
      <w:r>
        <w:rPr>
          <w:color w:val="000000"/>
          <w:sz w:val="24"/>
          <w:szCs w:val="24"/>
        </w:rPr>
        <w:t>desenvolvimento pelo licitante de programa de integridade, conforme orientações dos órgãos de controle.</w:t>
      </w:r>
    </w:p>
    <w:p w14:paraId="3478589B">
      <w:pPr>
        <w:numPr>
          <w:ilvl w:val="1"/>
          <w:numId w:val="6"/>
        </w:numPr>
        <w:pBdr>
          <w:top w:val="none" w:color="auto" w:sz="0" w:space="0"/>
          <w:left w:val="none" w:color="auto" w:sz="0" w:space="0"/>
          <w:bottom w:val="none" w:color="auto" w:sz="0" w:space="0"/>
          <w:right w:val="none" w:color="auto" w:sz="0" w:space="0"/>
          <w:between w:val="none" w:color="auto" w:sz="0" w:space="0"/>
        </w:pBdr>
        <w:tabs>
          <w:tab w:val="left" w:pos="993"/>
        </w:tabs>
        <w:ind w:left="-567" w:right="-852" w:firstLine="0"/>
        <w:jc w:val="both"/>
        <w:rPr>
          <w:color w:val="000000"/>
          <w:sz w:val="24"/>
          <w:szCs w:val="24"/>
        </w:rPr>
      </w:pPr>
      <w:bookmarkStart w:id="19" w:name="_heading=h.1y810tw" w:colFirst="0" w:colLast="0"/>
      <w:bookmarkEnd w:id="19"/>
      <w:r>
        <w:rPr>
          <w:color w:val="000000"/>
          <w:sz w:val="24"/>
          <w:szCs w:val="24"/>
        </w:rPr>
        <w:t xml:space="preserve">Persistindo o empate, será assegurado preferência, sucessivamente, aos bens e serviços produzidos ou prestados por: </w:t>
      </w:r>
    </w:p>
    <w:p w14:paraId="4C31F2BC">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993"/>
        </w:tabs>
        <w:ind w:left="-567" w:right="-852" w:firstLine="0"/>
        <w:jc w:val="both"/>
        <w:rPr>
          <w:color w:val="000000"/>
          <w:sz w:val="24"/>
          <w:szCs w:val="24"/>
        </w:rPr>
      </w:pPr>
      <w:r>
        <w:rPr>
          <w:color w:val="000000"/>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DD242C5">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993"/>
        </w:tabs>
        <w:ind w:left="-567" w:right="-852" w:firstLine="0"/>
        <w:jc w:val="both"/>
        <w:rPr>
          <w:color w:val="000000"/>
          <w:sz w:val="24"/>
          <w:szCs w:val="24"/>
        </w:rPr>
      </w:pPr>
      <w:r>
        <w:rPr>
          <w:color w:val="000000"/>
          <w:sz w:val="24"/>
          <w:szCs w:val="24"/>
        </w:rPr>
        <w:t xml:space="preserve">empresas brasileiras; </w:t>
      </w:r>
    </w:p>
    <w:p w14:paraId="524E037B">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993"/>
        </w:tabs>
        <w:ind w:left="-567" w:right="-852" w:firstLine="0"/>
        <w:jc w:val="both"/>
        <w:rPr>
          <w:color w:val="000000"/>
          <w:sz w:val="24"/>
          <w:szCs w:val="24"/>
        </w:rPr>
      </w:pPr>
      <w:bookmarkStart w:id="20" w:name="_heading=h.4i7ojhp" w:colFirst="0" w:colLast="0"/>
      <w:bookmarkEnd w:id="20"/>
      <w:r>
        <w:rPr>
          <w:color w:val="000000"/>
          <w:sz w:val="24"/>
          <w:szCs w:val="24"/>
        </w:rPr>
        <w:t>empresas que invistam em pesquisa e no desenvolvimento de tecnologia no País;</w:t>
      </w:r>
    </w:p>
    <w:p w14:paraId="5AA9505E">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993"/>
        </w:tabs>
        <w:ind w:left="-567" w:right="-852" w:firstLine="0"/>
        <w:jc w:val="both"/>
        <w:rPr>
          <w:color w:val="000000"/>
          <w:sz w:val="24"/>
          <w:szCs w:val="24"/>
        </w:rPr>
      </w:pPr>
      <w:r>
        <w:rPr>
          <w:color w:val="000000"/>
          <w:sz w:val="24"/>
          <w:szCs w:val="24"/>
        </w:rPr>
        <w:t>empresas que comprovem a prática de mitigação, nos termos da Lei nº 12.187, de 29 de dezembro de 2009.</w:t>
      </w:r>
    </w:p>
    <w:p w14:paraId="247F314A">
      <w:pPr>
        <w:numPr>
          <w:ilvl w:val="1"/>
          <w:numId w:val="6"/>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 xml:space="preserve">Persistindo o empate, a proposta vencedora será sorteada pelo sistema eletrônico dentre as propostas ou os lances empatados. </w:t>
      </w:r>
    </w:p>
    <w:p w14:paraId="7EE774E4">
      <w:pPr>
        <w:numPr>
          <w:ilvl w:val="1"/>
          <w:numId w:val="6"/>
        </w:numPr>
        <w:ind w:left="-567" w:right="-852" w:firstLine="0"/>
        <w:jc w:val="both"/>
        <w:rPr>
          <w:color w:val="000000"/>
          <w:sz w:val="24"/>
          <w:szCs w:val="24"/>
        </w:rPr>
      </w:pPr>
      <w:bookmarkStart w:id="21" w:name="_heading=h.2xcytpi" w:colFirst="0" w:colLast="0"/>
      <w:bookmarkEnd w:id="21"/>
      <w:r>
        <w:rPr>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07E7CBE">
      <w:pPr>
        <w:numPr>
          <w:ilvl w:val="1"/>
          <w:numId w:val="6"/>
        </w:numPr>
        <w:tabs>
          <w:tab w:val="left" w:pos="993"/>
        </w:tabs>
        <w:ind w:left="-567" w:right="-852" w:firstLine="0"/>
        <w:jc w:val="both"/>
        <w:rPr>
          <w:color w:val="000000"/>
          <w:sz w:val="24"/>
          <w:szCs w:val="24"/>
        </w:rPr>
      </w:pPr>
      <w:r>
        <w:rPr>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0F168FFE">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993"/>
        </w:tabs>
        <w:ind w:left="-567" w:right="-852" w:firstLine="0"/>
        <w:jc w:val="both"/>
        <w:rPr>
          <w:color w:val="000000"/>
          <w:sz w:val="24"/>
          <w:szCs w:val="24"/>
        </w:rPr>
      </w:pPr>
      <w:r>
        <w:rPr>
          <w:color w:val="000000"/>
          <w:sz w:val="24"/>
          <w:szCs w:val="24"/>
        </w:rPr>
        <w:t>A negociação será realizada por meio do sistema, podendo ser acompanhada pelos demais licitantes.</w:t>
      </w:r>
    </w:p>
    <w:p w14:paraId="11595C4C">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993"/>
        </w:tabs>
        <w:ind w:left="-567" w:right="-852" w:firstLine="0"/>
        <w:jc w:val="both"/>
        <w:rPr>
          <w:color w:val="000000"/>
          <w:sz w:val="24"/>
          <w:szCs w:val="24"/>
        </w:rPr>
      </w:pPr>
      <w:r>
        <w:rPr>
          <w:color w:val="000000"/>
          <w:sz w:val="24"/>
          <w:szCs w:val="24"/>
        </w:rPr>
        <w:t>O resultado da negociação será divulgado a todos os licitantes e anexado aos autos no processo licitatório.</w:t>
      </w:r>
    </w:p>
    <w:p w14:paraId="5CBC9D88">
      <w:pPr>
        <w:numPr>
          <w:ilvl w:val="2"/>
          <w:numId w:val="6"/>
        </w:numPr>
        <w:tabs>
          <w:tab w:val="left" w:pos="0"/>
          <w:tab w:val="left" w:pos="993"/>
        </w:tabs>
        <w:ind w:left="-567" w:right="-852" w:firstLine="0"/>
        <w:jc w:val="both"/>
        <w:rPr>
          <w:sz w:val="24"/>
          <w:szCs w:val="24"/>
        </w:rPr>
      </w:pPr>
      <w:r>
        <w:rPr>
          <w:sz w:val="24"/>
          <w:szCs w:val="24"/>
        </w:rPr>
        <w:t xml:space="preserve">O pregoeiro solicitará ao licitante melhor classificado que, no prazo de 02:00 horas, envie a proposta adequada ao último lance ofertado após a negociação realizada, acompanhada, se for o caso, dos documentos complementares, quando necessários à confirmação daqueles exigidos neste Edital e já apresentados. </w:t>
      </w:r>
    </w:p>
    <w:p w14:paraId="56B88B1D">
      <w:pPr>
        <w:numPr>
          <w:ilvl w:val="2"/>
          <w:numId w:val="6"/>
        </w:numPr>
        <w:tabs>
          <w:tab w:val="left" w:pos="0"/>
          <w:tab w:val="left" w:pos="993"/>
        </w:tabs>
        <w:ind w:left="-567" w:right="-852" w:firstLine="0"/>
        <w:jc w:val="both"/>
        <w:rPr>
          <w:sz w:val="24"/>
          <w:szCs w:val="24"/>
        </w:rPr>
      </w:pPr>
      <w:r>
        <w:rPr>
          <w:sz w:val="24"/>
          <w:szCs w:val="24"/>
        </w:rPr>
        <w:t>É facultado ao pregoeiro prorrogar o prazo estabelecido, a partir de solicitação fundamentada feita no chat pelo licitante, antes de findo o prazo.</w:t>
      </w:r>
    </w:p>
    <w:p w14:paraId="206E3655">
      <w:pPr>
        <w:numPr>
          <w:ilvl w:val="1"/>
          <w:numId w:val="6"/>
        </w:numPr>
        <w:tabs>
          <w:tab w:val="left" w:pos="993"/>
        </w:tabs>
        <w:ind w:left="-567" w:right="-852" w:firstLine="0"/>
        <w:jc w:val="both"/>
        <w:rPr>
          <w:color w:val="000000"/>
          <w:sz w:val="24"/>
          <w:szCs w:val="24"/>
        </w:rPr>
      </w:pPr>
      <w:r>
        <w:rPr>
          <w:color w:val="000000"/>
          <w:sz w:val="24"/>
          <w:szCs w:val="24"/>
        </w:rPr>
        <w:t>Após a negociação do preço, o Pregoeiro iniciará a fase de aceitação e julgamento da proposta.</w:t>
      </w:r>
    </w:p>
    <w:p w14:paraId="733BFCD4">
      <w:pPr>
        <w:ind w:left="-567" w:right="-852"/>
        <w:jc w:val="both"/>
        <w:rPr>
          <w:color w:val="000000"/>
          <w:sz w:val="24"/>
          <w:szCs w:val="24"/>
        </w:rPr>
      </w:pPr>
    </w:p>
    <w:p w14:paraId="6F77E44F">
      <w:pPr>
        <w:keepNext/>
        <w:keepLines/>
        <w:numPr>
          <w:ilvl w:val="0"/>
          <w:numId w:val="6"/>
        </w:numPr>
        <w:pBdr>
          <w:top w:val="none" w:color="auto" w:sz="0" w:space="0"/>
          <w:left w:val="none" w:color="auto" w:sz="0" w:space="0"/>
          <w:bottom w:val="none" w:color="auto" w:sz="0" w:space="0"/>
          <w:right w:val="none" w:color="auto" w:sz="0" w:space="0"/>
          <w:between w:val="none" w:color="auto" w:sz="0" w:space="0"/>
        </w:pBdr>
        <w:ind w:left="-567" w:right="-852" w:firstLine="0"/>
        <w:jc w:val="both"/>
        <w:rPr>
          <w:b/>
          <w:color w:val="000000"/>
          <w:sz w:val="24"/>
          <w:szCs w:val="24"/>
        </w:rPr>
      </w:pPr>
      <w:r>
        <w:rPr>
          <w:b/>
          <w:color w:val="000000"/>
          <w:sz w:val="24"/>
          <w:szCs w:val="24"/>
        </w:rPr>
        <w:t>DA FASE DE JULGAMENTO</w:t>
      </w:r>
    </w:p>
    <w:p w14:paraId="0B261B99">
      <w:pPr>
        <w:numPr>
          <w:ilvl w:val="1"/>
          <w:numId w:val="7"/>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bookmarkStart w:id="22" w:name="bookmark=id.1ci93xb" w:colFirst="0" w:colLast="0"/>
      <w:bookmarkEnd w:id="22"/>
      <w:bookmarkStart w:id="23" w:name="_heading=h.3whwml4" w:colFirst="0" w:colLast="0"/>
      <w:bookmarkEnd w:id="23"/>
      <w:r>
        <w:rPr>
          <w:color w:val="000000"/>
          <w:sz w:val="24"/>
          <w:szCs w:val="24"/>
        </w:rPr>
        <w:t>Encerrada a etapa de negociação, o pregoeiro examinará a proposta provisoriamente classificada em primeiro lugar quanto à adequação ao objeto e à compatibilidade do preço em relação ao máximo estipulado para contratação neste Edital e em seus anexos, e conforme a previsão do art. 14 da lei nº14.133/2021, legislação correlata e no item 4.3 do edital, especialmente quanto à existência de sanção que impeça a participação no certame ou a futura contratação, mediante a consulta aos seguintes cadastros:</w:t>
      </w:r>
    </w:p>
    <w:p w14:paraId="2743D96A">
      <w:pPr>
        <w:numPr>
          <w:ilvl w:val="2"/>
          <w:numId w:val="7"/>
        </w:numPr>
        <w:pBdr>
          <w:top w:val="none" w:color="auto" w:sz="0" w:space="0"/>
          <w:left w:val="none" w:color="auto" w:sz="0" w:space="0"/>
          <w:bottom w:val="none" w:color="auto" w:sz="0" w:space="0"/>
          <w:right w:val="none" w:color="auto" w:sz="0" w:space="0"/>
          <w:between w:val="none" w:color="auto" w:sz="0" w:space="0"/>
        </w:pBdr>
        <w:ind w:left="-567" w:right="-852" w:firstLine="0"/>
        <w:rPr>
          <w:color w:val="000000"/>
          <w:sz w:val="24"/>
          <w:szCs w:val="24"/>
        </w:rPr>
      </w:pPr>
      <w:r>
        <w:rPr>
          <w:color w:val="000000"/>
          <w:sz w:val="24"/>
          <w:szCs w:val="24"/>
        </w:rPr>
        <w:t>Cadastro Nacional de Empresas Inidôneas e Suspensas - CEIS, mantido pela Controladoria-Geral da União (</w:t>
      </w:r>
      <w:r>
        <w:fldChar w:fldCharType="begin"/>
      </w:r>
      <w:r>
        <w:instrText xml:space="preserve"> HYPERLINK "https://www.portaltransparencia.gov.br/sancoes/ceis" \h </w:instrText>
      </w:r>
      <w:r>
        <w:fldChar w:fldCharType="separate"/>
      </w:r>
      <w:r>
        <w:rPr>
          <w:color w:val="000000"/>
          <w:sz w:val="24"/>
          <w:szCs w:val="24"/>
        </w:rPr>
        <w:t>https://www.portaltransparencia.gov.br/sancoes/ceis</w:t>
      </w:r>
      <w:r>
        <w:rPr>
          <w:color w:val="000000"/>
          <w:sz w:val="24"/>
          <w:szCs w:val="24"/>
        </w:rPr>
        <w:fldChar w:fldCharType="end"/>
      </w:r>
      <w:r>
        <w:rPr>
          <w:color w:val="000000"/>
          <w:sz w:val="24"/>
          <w:szCs w:val="24"/>
        </w:rPr>
        <w:t xml:space="preserve">); e </w:t>
      </w:r>
    </w:p>
    <w:p w14:paraId="4AAE6C6A">
      <w:pPr>
        <w:numPr>
          <w:ilvl w:val="2"/>
          <w:numId w:val="7"/>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Cadastro Nacional de Empresas Punidas – CNEP, mantido pela Controladoria-Geral da União (</w:t>
      </w:r>
      <w:r>
        <w:fldChar w:fldCharType="begin"/>
      </w:r>
      <w:r>
        <w:instrText xml:space="preserve"> HYPERLINK "https://www.portaltransparencia.gov.br/sancoes/cnep" \h </w:instrText>
      </w:r>
      <w:r>
        <w:fldChar w:fldCharType="separate"/>
      </w:r>
      <w:r>
        <w:rPr>
          <w:color w:val="000000"/>
          <w:sz w:val="24"/>
          <w:szCs w:val="24"/>
        </w:rPr>
        <w:t>https://www.portaltransparencia.gov.br/sancoes/cnep</w:t>
      </w:r>
      <w:r>
        <w:rPr>
          <w:color w:val="000000"/>
          <w:sz w:val="24"/>
          <w:szCs w:val="24"/>
        </w:rPr>
        <w:fldChar w:fldCharType="end"/>
      </w:r>
      <w:r>
        <w:rPr>
          <w:color w:val="000000"/>
          <w:sz w:val="24"/>
          <w:szCs w:val="24"/>
        </w:rPr>
        <w:t>).</w:t>
      </w:r>
    </w:p>
    <w:p w14:paraId="0D00A190">
      <w:pPr>
        <w:numPr>
          <w:ilvl w:val="1"/>
          <w:numId w:val="7"/>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\h </w:instrText>
      </w:r>
      <w:r>
        <w:fldChar w:fldCharType="separate"/>
      </w:r>
      <w:r>
        <w:rPr>
          <w:color w:val="000080"/>
          <w:sz w:val="24"/>
          <w:szCs w:val="24"/>
          <w:u w:val="single"/>
        </w:rPr>
        <w:t>artigo 12 da Lei n° 8.429, de 1992</w:t>
      </w:r>
      <w:r>
        <w:rPr>
          <w:color w:val="000080"/>
          <w:sz w:val="24"/>
          <w:szCs w:val="24"/>
          <w:u w:val="single"/>
        </w:rPr>
        <w:fldChar w:fldCharType="end"/>
      </w:r>
      <w:r>
        <w:rPr>
          <w:color w:val="000000"/>
          <w:sz w:val="24"/>
          <w:szCs w:val="24"/>
        </w:rPr>
        <w:t>.</w:t>
      </w:r>
    </w:p>
    <w:p w14:paraId="677A0D6D">
      <w:pPr>
        <w:numPr>
          <w:ilvl w:val="2"/>
          <w:numId w:val="7"/>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\h </w:instrText>
      </w:r>
      <w:r>
        <w:fldChar w:fldCharType="separate"/>
      </w:r>
      <w:r>
        <w:rPr>
          <w:color w:val="000080"/>
          <w:sz w:val="24"/>
          <w:szCs w:val="24"/>
          <w:u w:val="single"/>
        </w:rPr>
        <w:t>IN nº 3/2018, art. 29, §2º</w:t>
      </w:r>
      <w:r>
        <w:rPr>
          <w:color w:val="000080"/>
          <w:sz w:val="24"/>
          <w:szCs w:val="24"/>
          <w:u w:val="single"/>
        </w:rPr>
        <w:fldChar w:fldCharType="end"/>
      </w:r>
      <w:r>
        <w:rPr>
          <w:color w:val="000000"/>
          <w:sz w:val="24"/>
          <w:szCs w:val="24"/>
        </w:rPr>
        <w:t>).</w:t>
      </w:r>
    </w:p>
    <w:p w14:paraId="3255D0E6">
      <w:pPr>
        <w:numPr>
          <w:ilvl w:val="2"/>
          <w:numId w:val="7"/>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Constatada a existência de sanção, o licitante será reputado inabilitado, por falta de condição de participação.</w:t>
      </w:r>
    </w:p>
    <w:p w14:paraId="2367691E">
      <w:pPr>
        <w:numPr>
          <w:ilvl w:val="1"/>
          <w:numId w:val="7"/>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bookmarkStart w:id="24" w:name="_heading=h.2bn6wsx" w:colFirst="0" w:colLast="0"/>
      <w:bookmarkEnd w:id="24"/>
      <w:r>
        <w:rPr>
          <w:color w:val="000000"/>
          <w:sz w:val="24"/>
          <w:szCs w:val="24"/>
        </w:rPr>
        <w:t>Na hipótese de inversão das fases de habilitação e julgamento, caso atendidas as condições de participação, será iniciado o procedimento de habilitação.</w:t>
      </w:r>
    </w:p>
    <w:p w14:paraId="1A64072D">
      <w:pPr>
        <w:numPr>
          <w:ilvl w:val="1"/>
          <w:numId w:val="7"/>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Caso o licitante provisoriamente classificado em primeiro lugar tenha se utilizado de algum tratamento favorecido às ME/EPPs, o pregoeiro verificará se faz jus ao benefício, em conformidade com os itens 4.2 e 5.7 deste edital.</w:t>
      </w:r>
    </w:p>
    <w:p w14:paraId="5A298A14">
      <w:pPr>
        <w:numPr>
          <w:ilvl w:val="1"/>
          <w:numId w:val="7"/>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 92 a art. 98 do Decreto Municipal nº 296/2023. </w:t>
      </w:r>
    </w:p>
    <w:p w14:paraId="55496924">
      <w:pPr>
        <w:numPr>
          <w:ilvl w:val="1"/>
          <w:numId w:val="7"/>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Nos itens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09D3C544">
      <w:pPr>
        <w:numPr>
          <w:ilvl w:val="1"/>
          <w:numId w:val="7"/>
        </w:numPr>
        <w:pBdr>
          <w:top w:val="none" w:color="auto" w:sz="0" w:space="0"/>
          <w:left w:val="none" w:color="auto" w:sz="0" w:space="0"/>
          <w:bottom w:val="none" w:color="auto" w:sz="0" w:space="0"/>
          <w:right w:val="none" w:color="auto" w:sz="0" w:space="0"/>
          <w:between w:val="none" w:color="auto" w:sz="0" w:space="0"/>
        </w:pBdr>
        <w:ind w:left="-567" w:right="-852" w:firstLine="0"/>
        <w:jc w:val="both"/>
        <w:rPr>
          <w:b/>
          <w:color w:val="000000"/>
          <w:sz w:val="24"/>
          <w:szCs w:val="24"/>
        </w:rPr>
      </w:pPr>
      <w:r>
        <w:rPr>
          <w:color w:val="000000"/>
          <w:sz w:val="24"/>
          <w:szCs w:val="24"/>
        </w:rPr>
        <w:t>A exclusividade de participação em certames até R$ 80.000,00 reais, circunscrita a microempresas ou empresas de pequeno porte pode ser afastada quando não houver nenhum fornecedor enquadrado como microempresas ou empresas de pequeno. Podendo, nesse caso, o edital prever a possibilidade de participação de qualquer fornecedor que atenda às condições do edital; sem necessidade de republicação do mesmo.</w:t>
      </w:r>
    </w:p>
    <w:p w14:paraId="528C6224">
      <w:pPr>
        <w:numPr>
          <w:ilvl w:val="1"/>
          <w:numId w:val="7"/>
        </w:numPr>
        <w:pBdr>
          <w:top w:val="none" w:color="auto" w:sz="0" w:space="0"/>
          <w:left w:val="none" w:color="auto" w:sz="0" w:space="0"/>
          <w:bottom w:val="none" w:color="auto" w:sz="0" w:space="0"/>
          <w:right w:val="none" w:color="auto" w:sz="0" w:space="0"/>
          <w:between w:val="none" w:color="auto" w:sz="0" w:space="0"/>
        </w:pBdr>
        <w:ind w:left="-567" w:right="-852" w:firstLine="0"/>
        <w:jc w:val="both"/>
        <w:rPr>
          <w:b/>
          <w:color w:val="000000"/>
          <w:sz w:val="24"/>
          <w:szCs w:val="24"/>
        </w:rPr>
      </w:pPr>
      <w:r>
        <w:rPr>
          <w:color w:val="000000"/>
          <w:sz w:val="24"/>
          <w:szCs w:val="24"/>
        </w:rPr>
        <w:t xml:space="preserve">Na hipótese de não haver vencedor para a cota reservada, que esta pode ser adjudicada ao vencedor da cota principal ou, diante de sua recusa, aos licitantes remanescentes, desde que pratiquem o preço do primeiro colocado da cota principal; </w:t>
      </w:r>
    </w:p>
    <w:p w14:paraId="418126D1">
      <w:pPr>
        <w:numPr>
          <w:ilvl w:val="1"/>
          <w:numId w:val="7"/>
        </w:numPr>
        <w:pBdr>
          <w:top w:val="none" w:color="auto" w:sz="0" w:space="0"/>
          <w:left w:val="none" w:color="auto" w:sz="0" w:space="0"/>
          <w:bottom w:val="none" w:color="auto" w:sz="0" w:space="0"/>
          <w:right w:val="none" w:color="auto" w:sz="0" w:space="0"/>
          <w:between w:val="none" w:color="auto" w:sz="0" w:space="0"/>
        </w:pBdr>
        <w:ind w:left="-567" w:right="-852" w:firstLine="0"/>
        <w:jc w:val="both"/>
        <w:rPr>
          <w:b/>
          <w:color w:val="000000"/>
          <w:sz w:val="24"/>
          <w:szCs w:val="24"/>
        </w:rPr>
      </w:pPr>
      <w:r>
        <w:rPr>
          <w:color w:val="000000"/>
          <w:sz w:val="24"/>
          <w:szCs w:val="24"/>
        </w:rPr>
        <w:t xml:space="preserve">Se a mesma microempresa ou empresa de pequeno porte vencer a cota reservada e a cota principal, que a contratação de ambas as cotas deve ocorrer pelo menor preço; </w:t>
      </w:r>
    </w:p>
    <w:p w14:paraId="14AF2B61">
      <w:pPr>
        <w:numPr>
          <w:ilvl w:val="1"/>
          <w:numId w:val="7"/>
        </w:numPr>
        <w:ind w:left="-567" w:right="-852" w:firstLine="0"/>
        <w:jc w:val="both"/>
        <w:rPr>
          <w:color w:val="000000"/>
          <w:sz w:val="24"/>
          <w:szCs w:val="24"/>
        </w:rPr>
      </w:pPr>
      <w:bookmarkStart w:id="25" w:name="_heading=h.qsh70q" w:colFirst="0" w:colLast="0"/>
      <w:bookmarkEnd w:id="25"/>
      <w:r>
        <w:rPr>
          <w:color w:val="000000"/>
          <w:sz w:val="24"/>
          <w:szCs w:val="24"/>
        </w:rPr>
        <w:t xml:space="preserve">Serão desclassificadas as propostas mais bem classificadas, nos termos do art. 59, da Lei nº 14.133/2021, que: </w:t>
      </w:r>
    </w:p>
    <w:p w14:paraId="472B99F9">
      <w:pPr>
        <w:numPr>
          <w:ilvl w:val="2"/>
          <w:numId w:val="7"/>
        </w:numPr>
        <w:ind w:left="-567" w:right="-852" w:firstLine="0"/>
        <w:jc w:val="both"/>
        <w:rPr>
          <w:color w:val="000000"/>
          <w:sz w:val="24"/>
          <w:szCs w:val="24"/>
        </w:rPr>
      </w:pPr>
      <w:r>
        <w:rPr>
          <w:color w:val="000000"/>
          <w:sz w:val="24"/>
          <w:szCs w:val="24"/>
        </w:rPr>
        <w:t>contiverem vícios insanáveis;</w:t>
      </w:r>
    </w:p>
    <w:p w14:paraId="6B0B31CE">
      <w:pPr>
        <w:numPr>
          <w:ilvl w:val="2"/>
          <w:numId w:val="7"/>
        </w:numPr>
        <w:ind w:left="-567" w:right="-852" w:firstLine="0"/>
        <w:jc w:val="both"/>
        <w:rPr>
          <w:color w:val="000000"/>
          <w:sz w:val="24"/>
          <w:szCs w:val="24"/>
        </w:rPr>
      </w:pPr>
      <w:r>
        <w:rPr>
          <w:color w:val="000000"/>
          <w:sz w:val="24"/>
          <w:szCs w:val="24"/>
        </w:rPr>
        <w:t>não obedecerem às especificações técnicas pormenorizadas no edital;</w:t>
      </w:r>
    </w:p>
    <w:p w14:paraId="71E7BAC8">
      <w:pPr>
        <w:numPr>
          <w:ilvl w:val="2"/>
          <w:numId w:val="7"/>
        </w:numPr>
        <w:ind w:left="-567" w:right="-852" w:firstLine="0"/>
        <w:jc w:val="both"/>
        <w:rPr>
          <w:color w:val="000000"/>
          <w:sz w:val="24"/>
          <w:szCs w:val="24"/>
        </w:rPr>
      </w:pPr>
      <w:r>
        <w:rPr>
          <w:color w:val="000000"/>
          <w:sz w:val="24"/>
          <w:szCs w:val="24"/>
        </w:rPr>
        <w:t>apresentarem desconformidade com quaisquer outras exigências do edital, desde que insanável.</w:t>
      </w:r>
    </w:p>
    <w:p w14:paraId="52D04882">
      <w:pPr>
        <w:numPr>
          <w:ilvl w:val="2"/>
          <w:numId w:val="7"/>
        </w:numPr>
        <w:ind w:left="-567" w:right="-852" w:firstLine="0"/>
        <w:jc w:val="both"/>
        <w:rPr>
          <w:color w:val="000000"/>
          <w:sz w:val="24"/>
          <w:szCs w:val="24"/>
        </w:rPr>
      </w:pPr>
      <w:r>
        <w:rPr>
          <w:color w:val="000000"/>
          <w:sz w:val="24"/>
          <w:szCs w:val="24"/>
        </w:rPr>
        <w:t xml:space="preserve">apresentarem preços inexequíveis ou permanecerem acima do orçamento estimado para a contratação; </w:t>
      </w:r>
    </w:p>
    <w:p w14:paraId="6E01596F">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709"/>
        </w:tabs>
        <w:ind w:left="-567" w:right="-852" w:firstLine="0"/>
        <w:jc w:val="both"/>
        <w:rPr>
          <w:color w:val="000000"/>
          <w:sz w:val="24"/>
          <w:szCs w:val="24"/>
        </w:rPr>
      </w:pPr>
      <w:r>
        <w:rPr>
          <w:color w:val="000000"/>
          <w:sz w:val="24"/>
          <w:szCs w:val="24"/>
        </w:rPr>
        <w:t xml:space="preserve">não tiverem sua exequibilidade demonstrada, quando exigido pela Administração; </w:t>
      </w:r>
    </w:p>
    <w:p w14:paraId="012CB31A">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709"/>
        </w:tabs>
        <w:ind w:left="-567" w:right="-852" w:firstLine="0"/>
        <w:jc w:val="both"/>
        <w:rPr>
          <w:color w:val="000000"/>
          <w:sz w:val="24"/>
          <w:szCs w:val="24"/>
        </w:rPr>
      </w:pPr>
      <w:r>
        <w:rPr>
          <w:color w:val="000000"/>
          <w:sz w:val="24"/>
          <w:szCs w:val="24"/>
        </w:rPr>
        <w:t xml:space="preserve">A Administração poderá realizar diligências para aferir a exequibilidade das propostas ou exigir dos licitantes que ela seja demonstrada, nos termos do §2º, do artigo 59, da Lei nº 14.133/2021 e deste edital. </w:t>
      </w:r>
    </w:p>
    <w:p w14:paraId="69A4699A">
      <w:pPr>
        <w:numPr>
          <w:ilvl w:val="1"/>
          <w:numId w:val="7"/>
        </w:numPr>
        <w:pBdr>
          <w:top w:val="none" w:color="auto" w:sz="0" w:space="0"/>
          <w:left w:val="none" w:color="auto" w:sz="0" w:space="0"/>
          <w:bottom w:val="none" w:color="auto" w:sz="0" w:space="0"/>
          <w:right w:val="none" w:color="auto" w:sz="0" w:space="0"/>
          <w:between w:val="none" w:color="auto" w:sz="0" w:space="0"/>
        </w:pBdr>
        <w:tabs>
          <w:tab w:val="left" w:pos="709"/>
        </w:tabs>
        <w:ind w:left="-567" w:right="-852" w:firstLine="0"/>
        <w:jc w:val="both"/>
        <w:rPr>
          <w:color w:val="000000"/>
          <w:sz w:val="24"/>
          <w:szCs w:val="24"/>
        </w:rPr>
      </w:pPr>
      <w:r>
        <w:rPr>
          <w:color w:val="000000"/>
          <w:sz w:val="24"/>
          <w:szCs w:val="24"/>
        </w:rPr>
        <w:t xml:space="preserve">No caso de bens e serviços em geral, é indício de inexequibilidade das propostas valores inferiores a 50% (cinquenta por cento) do valor orçado pela Administração </w:t>
      </w:r>
    </w:p>
    <w:p w14:paraId="56BEB07A">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709"/>
        </w:tabs>
        <w:ind w:left="-567" w:right="-852" w:firstLine="0"/>
        <w:jc w:val="both"/>
        <w:rPr>
          <w:color w:val="000000"/>
          <w:sz w:val="24"/>
          <w:szCs w:val="24"/>
        </w:rPr>
      </w:pPr>
      <w:r>
        <w:rPr>
          <w:color w:val="000000"/>
          <w:sz w:val="24"/>
          <w:szCs w:val="24"/>
        </w:rPr>
        <w:t xml:space="preserve">A inexequibilidade, na hipótese de que trata o caput, só será considerada após diligência do pregoeiro, que comprove: </w:t>
      </w:r>
    </w:p>
    <w:p w14:paraId="13C905EF">
      <w:pPr>
        <w:numPr>
          <w:ilvl w:val="3"/>
          <w:numId w:val="7"/>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que o custo do licitante ultrapassa o valor da proposta; e</w:t>
      </w:r>
    </w:p>
    <w:p w14:paraId="5909DCE1">
      <w:pPr>
        <w:numPr>
          <w:ilvl w:val="3"/>
          <w:numId w:val="7"/>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inexistirem custos de oportunidade capazes de justificar o vulto da oferta.</w:t>
      </w:r>
    </w:p>
    <w:p w14:paraId="6C56F7BD">
      <w:pPr>
        <w:numPr>
          <w:ilvl w:val="1"/>
          <w:numId w:val="7"/>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Se houver indícios de inexequibilidade da proposta de preço, ou em caso da necessidade de esclarecimentos complementares, poderão ser efetuadas diligências, para que a empresa comprove a exequibilidade da proposta.</w:t>
      </w:r>
    </w:p>
    <w:p w14:paraId="3E1B2E23">
      <w:pPr>
        <w:numPr>
          <w:ilvl w:val="1"/>
          <w:numId w:val="7"/>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62CF11C1">
      <w:pPr>
        <w:numPr>
          <w:ilvl w:val="1"/>
          <w:numId w:val="7"/>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 xml:space="preserve">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312DCA44">
      <w:pPr>
        <w:numPr>
          <w:ilvl w:val="1"/>
          <w:numId w:val="7"/>
        </w:numPr>
        <w:ind w:left="-567" w:right="-852" w:firstLine="0"/>
        <w:jc w:val="both"/>
        <w:rPr>
          <w:color w:val="000000"/>
          <w:sz w:val="24"/>
          <w:szCs w:val="24"/>
        </w:rPr>
      </w:pPr>
      <w:r>
        <w:rPr>
          <w:color w:val="000000"/>
          <w:sz w:val="24"/>
          <w:szCs w:val="24"/>
        </w:rPr>
        <w:t>A Planilha de Custos e Formação de Preços deverá ser encaminhada pelo licitante exclusivamente via sistema, no prazo de 02:00 horas, contado da solicitação do pregoeiro, com os respectivos valores readequados ao lance vencedor, e será analisada pelo Pregoeiro no momento da aceitação do lance vencedor.</w:t>
      </w:r>
    </w:p>
    <w:p w14:paraId="7CB47A1B">
      <w:pPr>
        <w:numPr>
          <w:ilvl w:val="1"/>
          <w:numId w:val="7"/>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É facultado ao pregoeiro prorrogar o prazo estabelecido, a partir de solicitação fundamentada feita no chat pelo licitante, antes de findo o prazo</w:t>
      </w:r>
    </w:p>
    <w:p w14:paraId="2D97E0A9">
      <w:pPr>
        <w:numPr>
          <w:ilvl w:val="1"/>
          <w:numId w:val="7"/>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Todos os dados informados pelo licitante em sua planilha deverão refletir com fidelidade os custos especificados e a margem de lucro pretendida.</w:t>
      </w:r>
    </w:p>
    <w:p w14:paraId="377C330A">
      <w:pPr>
        <w:numPr>
          <w:ilvl w:val="1"/>
          <w:numId w:val="7"/>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O Pregoeiro analisará a compatibilidade dos preços unitários apresentados na Planilha de Custos e Formação de Preços com aqueles praticados no mercado em relação aos insumos e também quanto aos salários das categorias envolvidas na contratação;</w:t>
      </w:r>
    </w:p>
    <w:p w14:paraId="3D1ECCA0">
      <w:pPr>
        <w:numPr>
          <w:ilvl w:val="1"/>
          <w:numId w:val="7"/>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bookmarkStart w:id="26" w:name="_heading=h.3as4poj" w:colFirst="0" w:colLast="0"/>
      <w:bookmarkEnd w:id="26"/>
      <w:r>
        <w:rPr>
          <w:color w:val="000000"/>
          <w:sz w:val="24"/>
          <w:szCs w:val="24"/>
        </w:rPr>
        <w:t>Erros no preenchimento da planilha não constituem motivo para a desclassificação da proposta. A planilha poderá́ ser ajustada pelo fornecedor, no prazo indicado pelo sistema, desde que não haja majoração do preço.</w:t>
      </w:r>
    </w:p>
    <w:p w14:paraId="0124B7D0">
      <w:pPr>
        <w:numPr>
          <w:ilvl w:val="2"/>
          <w:numId w:val="7"/>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O ajuste de que trata este dispositivo se limita a sanar erros ou falhas que não alterem a substância das propostas;</w:t>
      </w:r>
    </w:p>
    <w:p w14:paraId="1CF74CA1">
      <w:pPr>
        <w:numPr>
          <w:ilvl w:val="2"/>
          <w:numId w:val="7"/>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bookmarkStart w:id="27" w:name="_heading=h.1pxezwc" w:colFirst="0" w:colLast="0"/>
      <w:bookmarkEnd w:id="27"/>
      <w:r>
        <w:rPr>
          <w:color w:val="000000"/>
          <w:sz w:val="24"/>
          <w:szCs w:val="24"/>
        </w:rPr>
        <w:t>Considera-se erro no preenchimento da planilha passível de correção a indicação de recolhimento de impostos e contribuições na forma do Simples Nacional, quando não cabível esse regime.</w:t>
      </w:r>
    </w:p>
    <w:p w14:paraId="052DE506">
      <w:pPr>
        <w:numPr>
          <w:ilvl w:val="1"/>
          <w:numId w:val="7"/>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Para fins de análise da proposta quanto ao cumprimento das especificações do objeto, poderá ser colhida a manifestação escrita do setor requisitante do serviço ou da área especializada no objeto.</w:t>
      </w:r>
    </w:p>
    <w:p w14:paraId="5F8DD9F7">
      <w:pPr>
        <w:numPr>
          <w:ilvl w:val="1"/>
          <w:numId w:val="7"/>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Caso o Termo de Referência exija a apresentação de amostra, o licitante classificado em primeiro lugar deverá apresentá-la, conforme disciplinado no Termo de Referência, sob pena de não aceitação da proposta.</w:t>
      </w:r>
    </w:p>
    <w:p w14:paraId="6A63ADEB">
      <w:pPr>
        <w:numPr>
          <w:ilvl w:val="1"/>
          <w:numId w:val="7"/>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Por meio de mensagem no sistema, será divulgado o local e horário de realização do procedimento para a avaliação das amostras, cuja presença será facultada a todos os interessados, incluindo os demais licitantes.</w:t>
      </w:r>
    </w:p>
    <w:p w14:paraId="3DF665FD">
      <w:pPr>
        <w:numPr>
          <w:ilvl w:val="1"/>
          <w:numId w:val="7"/>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Os resultados das avaliações serão divulgados por meio de mensagem no sistema.</w:t>
      </w:r>
    </w:p>
    <w:p w14:paraId="373AD77C">
      <w:pPr>
        <w:numPr>
          <w:ilvl w:val="1"/>
          <w:numId w:val="7"/>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080CB54E">
      <w:pPr>
        <w:numPr>
          <w:ilvl w:val="1"/>
          <w:numId w:val="7"/>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2D76673A">
      <w:pPr>
        <w:numPr>
          <w:ilvl w:val="1"/>
          <w:numId w:val="7"/>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Se a proposta ou lance vencedor for desclassificado, o Pregoeiro examinará a proposta ou lance subsequente, e, assim sucessivamente, na ordem de classificação.</w:t>
      </w:r>
    </w:p>
    <w:p w14:paraId="2FB08170">
      <w:pPr>
        <w:numPr>
          <w:ilvl w:val="1"/>
          <w:numId w:val="7"/>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Havendo necessidade, o Pregoeiro suspenderá a sessão, informando no “chat” a nova data e horário para a continuidade da mesma.</w:t>
      </w:r>
    </w:p>
    <w:p w14:paraId="5242E08C">
      <w:pPr>
        <w:numPr>
          <w:ilvl w:val="1"/>
          <w:numId w:val="7"/>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Encerrada a análise quanto à aceitação da proposta, o pregoeiro verificará a habilitação do licitante, observado o disposto neste Edital.</w:t>
      </w:r>
    </w:p>
    <w:p w14:paraId="2D6616BC">
      <w:pPr>
        <w:pBdr>
          <w:top w:val="none" w:color="auto" w:sz="0" w:space="0"/>
          <w:left w:val="none" w:color="auto" w:sz="0" w:space="0"/>
          <w:bottom w:val="none" w:color="auto" w:sz="0" w:space="0"/>
          <w:right w:val="none" w:color="auto" w:sz="0" w:space="0"/>
          <w:between w:val="none" w:color="auto" w:sz="0" w:space="0"/>
        </w:pBdr>
        <w:shd w:val="clear" w:color="auto" w:fill="FFFFFF"/>
        <w:ind w:left="-567" w:right="-852"/>
        <w:jc w:val="both"/>
        <w:rPr>
          <w:color w:val="000000"/>
          <w:sz w:val="24"/>
          <w:szCs w:val="24"/>
        </w:rPr>
      </w:pPr>
    </w:p>
    <w:p w14:paraId="650AE1BF">
      <w:pPr>
        <w:keepNext/>
        <w:keepLines/>
        <w:numPr>
          <w:ilvl w:val="0"/>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b/>
          <w:color w:val="000000"/>
          <w:sz w:val="24"/>
          <w:szCs w:val="24"/>
        </w:rPr>
      </w:pPr>
      <w:r>
        <w:rPr>
          <w:b/>
          <w:color w:val="000000"/>
          <w:sz w:val="24"/>
          <w:szCs w:val="24"/>
        </w:rPr>
        <w:t xml:space="preserve">DA FASE DE HABILITAÇÃO </w:t>
      </w:r>
    </w:p>
    <w:p w14:paraId="3765E93B">
      <w:pPr>
        <w:keepNext/>
        <w:keepLines/>
        <w:numPr>
          <w:ilvl w:val="1"/>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\h </w:instrText>
      </w:r>
      <w:r>
        <w:fldChar w:fldCharType="separate"/>
      </w:r>
      <w:r>
        <w:rPr>
          <w:color w:val="000000"/>
          <w:sz w:val="24"/>
          <w:szCs w:val="24"/>
        </w:rPr>
        <w:t>arts. 62 a 70 da Lei nº 14.133, de 2021</w:t>
      </w:r>
      <w:r>
        <w:rPr>
          <w:color w:val="000000"/>
          <w:sz w:val="24"/>
          <w:szCs w:val="24"/>
        </w:rPr>
        <w:fldChar w:fldCharType="end"/>
      </w:r>
      <w:r>
        <w:rPr>
          <w:color w:val="000000"/>
          <w:sz w:val="24"/>
          <w:szCs w:val="24"/>
        </w:rPr>
        <w:t>.</w:t>
      </w:r>
    </w:p>
    <w:p w14:paraId="38D36BA0">
      <w:pPr>
        <w:numPr>
          <w:ilvl w:val="1"/>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Constatada a existência de sanção, após consulta prevista conforme o disposto no item 8.1, o Pregoeiro reputará o licitante inabilitado, por falta de condição de participação.</w:t>
      </w:r>
    </w:p>
    <w:p w14:paraId="30869ADD">
      <w:pPr>
        <w:numPr>
          <w:ilvl w:val="1"/>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sz w:val="24"/>
          <w:szCs w:val="24"/>
        </w:rPr>
        <w:t>Caso atendidas as condições de participação, a habilitação dos licitantes será verificada por por meio da análise dos documentos apresentados e por eles abrangidos, em relação à habilitação jurídica, à regularidade fiscal, à qualificação econômico-financeira e habilitação técnica.</w:t>
      </w:r>
    </w:p>
    <w:p w14:paraId="1B9BB584">
      <w:pPr>
        <w:numPr>
          <w:ilvl w:val="1"/>
          <w:numId w:val="8"/>
        </w:numPr>
        <w:pBdr>
          <w:top w:val="none" w:color="auto" w:sz="0" w:space="0"/>
          <w:left w:val="none" w:color="auto" w:sz="0" w:space="0"/>
          <w:bottom w:val="none" w:color="auto" w:sz="0" w:space="0"/>
          <w:right w:val="none" w:color="auto" w:sz="0" w:space="0"/>
          <w:between w:val="none" w:color="auto" w:sz="0" w:space="0"/>
        </w:pBdr>
        <w:shd w:val="clear" w:color="auto" w:fill="FFFFFF"/>
        <w:ind w:left="-567" w:right="-852" w:firstLine="0"/>
        <w:jc w:val="both"/>
        <w:rPr>
          <w:color w:val="000000"/>
          <w:sz w:val="24"/>
          <w:szCs w:val="24"/>
        </w:rPr>
      </w:pPr>
      <w:r>
        <w:rPr>
          <w:color w:val="000000"/>
          <w:sz w:val="24"/>
          <w:szCs w:val="24"/>
        </w:rPr>
        <w:t xml:space="preserve">Havendo a necessidade de envio de documentos de habilitação complementares, necessários à confirmação daqueles exigidos neste Edital e já </w:t>
      </w:r>
      <w:r>
        <w:rPr>
          <w:sz w:val="24"/>
          <w:szCs w:val="24"/>
        </w:rPr>
        <w:t>apresentados, o licitante será convocado a encaminhá-los, em formato digital, via sistema, no prazo de até 02:00</w:t>
      </w:r>
      <w:r>
        <w:rPr>
          <w:i/>
          <w:sz w:val="24"/>
          <w:szCs w:val="24"/>
        </w:rPr>
        <w:t xml:space="preserve"> </w:t>
      </w:r>
      <w:r>
        <w:rPr>
          <w:sz w:val="24"/>
          <w:szCs w:val="24"/>
        </w:rPr>
        <w:t>horas, sob pena de inabilitação, conforme art. 64, da Lei nº 14.133/2021.</w:t>
      </w:r>
    </w:p>
    <w:p w14:paraId="149CEC76">
      <w:pPr>
        <w:numPr>
          <w:ilvl w:val="1"/>
          <w:numId w:val="8"/>
        </w:numPr>
        <w:ind w:left="-567" w:right="-852" w:firstLine="0"/>
        <w:jc w:val="both"/>
        <w:rPr>
          <w:sz w:val="24"/>
          <w:szCs w:val="24"/>
        </w:rPr>
      </w:pPr>
      <w:r>
        <w:rPr>
          <w:sz w:val="24"/>
          <w:szCs w:val="24"/>
        </w:rPr>
        <w:t>Somente haverá a necessidade de comprovação do preenchimento de requisitos mediante apresentação dos documentos originais não-digitais quando houver dúvida em relação à integridade do documento digital.</w:t>
      </w:r>
    </w:p>
    <w:p w14:paraId="1F60F9AE">
      <w:pPr>
        <w:numPr>
          <w:ilvl w:val="1"/>
          <w:numId w:val="8"/>
        </w:numPr>
        <w:ind w:left="-567" w:right="-852" w:firstLine="0"/>
        <w:jc w:val="both"/>
        <w:rPr>
          <w:sz w:val="24"/>
          <w:szCs w:val="24"/>
        </w:rPr>
      </w:pPr>
      <w:r>
        <w:rPr>
          <w:sz w:val="24"/>
          <w:szCs w:val="24"/>
        </w:rPr>
        <w:t>Não serão aceitos documentos de habilitação com indicação de CNPJ/CPF diferentes, salvo aqueles legalmente permitidos.</w:t>
      </w:r>
    </w:p>
    <w:p w14:paraId="18617B7D">
      <w:pPr>
        <w:numPr>
          <w:ilvl w:val="1"/>
          <w:numId w:val="8"/>
        </w:numPr>
        <w:ind w:left="-567" w:right="-852" w:firstLine="0"/>
        <w:jc w:val="both"/>
        <w:rPr>
          <w:sz w:val="24"/>
          <w:szCs w:val="24"/>
        </w:rPr>
      </w:pPr>
      <w:r>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7704FF8">
      <w:pPr>
        <w:numPr>
          <w:ilvl w:val="2"/>
          <w:numId w:val="8"/>
        </w:numPr>
        <w:pBdr>
          <w:top w:val="none" w:color="auto" w:sz="0" w:space="0"/>
          <w:left w:val="none" w:color="auto" w:sz="0" w:space="0"/>
          <w:bottom w:val="none" w:color="auto" w:sz="0" w:space="0"/>
          <w:right w:val="none" w:color="auto" w:sz="0" w:space="0"/>
          <w:between w:val="none" w:color="auto" w:sz="0" w:space="0"/>
        </w:pBdr>
        <w:shd w:val="clear" w:color="auto" w:fill="FFFFFF"/>
        <w:ind w:left="-567" w:right="-852" w:firstLine="0"/>
        <w:jc w:val="both"/>
        <w:rPr>
          <w:color w:val="000000"/>
          <w:sz w:val="24"/>
          <w:szCs w:val="24"/>
        </w:rPr>
      </w:pPr>
      <w:r>
        <w:rPr>
          <w:color w:val="000000"/>
          <w:sz w:val="24"/>
          <w:szCs w:val="24"/>
        </w:rPr>
        <w:t>Serão aceitos registros de CNPJ de licitante matriz e filial com diferenças de números de documentos pertinentes ao CND e ao CRF/FGTS, quando for comprovada a centralização do recolhimento dessas contribuições.</w:t>
      </w:r>
    </w:p>
    <w:p w14:paraId="11921987">
      <w:pPr>
        <w:numPr>
          <w:ilvl w:val="1"/>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i/>
          <w:color w:val="000000"/>
          <w:sz w:val="24"/>
          <w:szCs w:val="24"/>
        </w:rPr>
      </w:pPr>
      <w:r>
        <w:rPr>
          <w:color w:val="000000"/>
          <w:sz w:val="24"/>
          <w:szCs w:val="24"/>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33B6C1A9">
      <w:pPr>
        <w:numPr>
          <w:ilvl w:val="2"/>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i/>
          <w:color w:val="000000"/>
          <w:sz w:val="24"/>
          <w:szCs w:val="24"/>
        </w:rPr>
      </w:pPr>
      <w:r>
        <w:rPr>
          <w:color w:val="000000"/>
          <w:sz w:val="24"/>
          <w:szCs w:val="24"/>
        </w:rPr>
        <w:t xml:space="preserve">Se o consórcio não for formado integralmente por microempresas ou empresas de pequeno porte e o termo </w:t>
      </w:r>
      <w:r>
        <w:rPr>
          <w:sz w:val="24"/>
          <w:szCs w:val="24"/>
        </w:rPr>
        <w:t>de referência exigir requisitos de habilitação econômico-financeira, haverá um acréscimo de 10%, para o consórcio em relação ao valor exigido para os licitantes individuais.</w:t>
      </w:r>
    </w:p>
    <w:p w14:paraId="0A4D8241">
      <w:pPr>
        <w:numPr>
          <w:ilvl w:val="1"/>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i/>
          <w:color w:val="000000"/>
          <w:sz w:val="24"/>
          <w:szCs w:val="24"/>
        </w:rPr>
      </w:pPr>
      <w:r>
        <w:rPr>
          <w:color w:val="000000"/>
          <w:sz w:val="24"/>
          <w:szCs w:val="24"/>
        </w:rPr>
        <w:t>Os documentos exigidos para fins de habilitação poderão ser substituídos por registro cadastral emitido por órgão ou entidade pública, desde que o registro tenha sido feito em obediência ao disposto na Lei nº 14.133/2021.</w:t>
      </w:r>
    </w:p>
    <w:p w14:paraId="51C71EDA">
      <w:pPr>
        <w:numPr>
          <w:ilvl w:val="1"/>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\h </w:instrText>
      </w:r>
      <w:r>
        <w:fldChar w:fldCharType="separate"/>
      </w:r>
      <w:r>
        <w:rPr>
          <w:color w:val="000080"/>
          <w:sz w:val="24"/>
          <w:szCs w:val="24"/>
          <w:u w:val="single"/>
        </w:rPr>
        <w:t>art. 63, I, da Lei nº 14.133/2021</w:t>
      </w:r>
      <w:r>
        <w:rPr>
          <w:color w:val="000080"/>
          <w:sz w:val="24"/>
          <w:szCs w:val="24"/>
          <w:u w:val="single"/>
        </w:rPr>
        <w:fldChar w:fldCharType="end"/>
      </w:r>
      <w:r>
        <w:rPr>
          <w:color w:val="000000"/>
          <w:sz w:val="24"/>
          <w:szCs w:val="24"/>
        </w:rPr>
        <w:t>).</w:t>
      </w:r>
    </w:p>
    <w:p w14:paraId="0EA88ABF">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852" w:firstLine="0"/>
        <w:jc w:val="both"/>
        <w:rPr>
          <w:color w:val="000000"/>
          <w:sz w:val="24"/>
          <w:szCs w:val="24"/>
        </w:rPr>
      </w:pPr>
      <w:r>
        <w:rPr>
          <w:color w:val="000000"/>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52079562">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852" w:firstLine="0"/>
        <w:jc w:val="both"/>
        <w:rPr>
          <w:color w:val="000000"/>
          <w:sz w:val="24"/>
          <w:szCs w:val="24"/>
        </w:rPr>
      </w:pPr>
      <w:r>
        <w:rPr>
          <w:color w:val="000000"/>
          <w:sz w:val="24"/>
          <w:szCs w:val="24"/>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9F83F70">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852" w:firstLine="0"/>
        <w:jc w:val="both"/>
        <w:rPr>
          <w:color w:val="000000"/>
          <w:sz w:val="24"/>
          <w:szCs w:val="24"/>
        </w:rPr>
      </w:pPr>
      <w:r>
        <w:rPr>
          <w:color w:val="000000"/>
          <w:sz w:val="24"/>
          <w:szCs w:val="24"/>
        </w:rPr>
        <w:t>A verificação pelo pregoeiro, em sítios eletrônicos oficiais de órgãos e entidades emissores de certidões constitui meio legal de prova, para fins de habilitação.</w:t>
      </w:r>
    </w:p>
    <w:p w14:paraId="587B6E0A">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852" w:firstLine="0"/>
        <w:jc w:val="both"/>
        <w:rPr>
          <w:color w:val="000000"/>
          <w:sz w:val="24"/>
          <w:szCs w:val="24"/>
        </w:rPr>
      </w:pPr>
      <w:r>
        <w:rPr>
          <w:color w:val="000000"/>
          <w:sz w:val="24"/>
          <w:szCs w:val="24"/>
        </w:rPr>
        <w:t>Na hipótese de a fase de habilitação anteceder a fase de apresentação de propostas e lances, os licitantes encaminharão, por meio do sistema, simultaneamente os documentos de habilitação e a proposta com o preço ou o percentual de desconto.</w:t>
      </w:r>
    </w:p>
    <w:p w14:paraId="258239F7">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852" w:firstLine="0"/>
        <w:jc w:val="both"/>
        <w:rPr>
          <w:color w:val="000000"/>
          <w:sz w:val="24"/>
          <w:szCs w:val="24"/>
        </w:rPr>
      </w:pPr>
      <w:r>
        <w:rPr>
          <w:color w:val="000000"/>
          <w:sz w:val="24"/>
          <w:szCs w:val="24"/>
        </w:rPr>
        <w:t>Os documentos relativos à regularidade fiscal que constem do Termo de Referência somente serão exigidos, em qualquer caso, em momento posterior ao julgamento das propostas, e apenas do licitante mais bem classificado.</w:t>
      </w:r>
    </w:p>
    <w:p w14:paraId="111F9578">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852" w:firstLine="0"/>
        <w:jc w:val="both"/>
        <w:rPr>
          <w:color w:val="000000"/>
          <w:sz w:val="24"/>
          <w:szCs w:val="24"/>
        </w:rPr>
      </w:pPr>
      <w:r>
        <w:rPr>
          <w:color w:val="000000"/>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7CE42ABA">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852" w:firstLine="0"/>
        <w:jc w:val="both"/>
        <w:rPr>
          <w:color w:val="000000"/>
          <w:sz w:val="24"/>
          <w:szCs w:val="24"/>
        </w:rPr>
      </w:pPr>
      <w:r>
        <w:rPr>
          <w:color w:val="000000"/>
          <w:sz w:val="24"/>
          <w:szCs w:val="24"/>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color w:val="000080"/>
          <w:sz w:val="24"/>
          <w:szCs w:val="24"/>
          <w:u w:val="single"/>
        </w:rPr>
        <w:t>Lei 14.133/21, art. 64</w:t>
      </w:r>
      <w:r>
        <w:rPr>
          <w:color w:val="000080"/>
          <w:sz w:val="24"/>
          <w:szCs w:val="24"/>
          <w:u w:val="single"/>
        </w:rPr>
        <w:fldChar w:fldCharType="end"/>
      </w:r>
      <w:r>
        <w:rPr>
          <w:color w:val="000000"/>
          <w:sz w:val="24"/>
          <w:szCs w:val="24"/>
        </w:rPr>
        <w:t>, e art. 102, §3º do Decreto Municipal nº 296/2023.</w:t>
      </w:r>
    </w:p>
    <w:p w14:paraId="70B175FB">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852" w:firstLine="0"/>
        <w:jc w:val="both"/>
        <w:rPr>
          <w:color w:val="000000"/>
          <w:sz w:val="24"/>
          <w:szCs w:val="24"/>
        </w:rPr>
      </w:pPr>
      <w:r>
        <w:rPr>
          <w:color w:val="000000"/>
          <w:sz w:val="24"/>
          <w:szCs w:val="24"/>
        </w:rPr>
        <w:t>complementação de informações acerca dos documentos já apresentados pelos licitantes e desde que necessária para apurar fatos existentes à época da abertura do certame; e</w:t>
      </w:r>
    </w:p>
    <w:p w14:paraId="53043CDC">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852" w:firstLine="0"/>
        <w:jc w:val="both"/>
        <w:rPr>
          <w:color w:val="000000"/>
          <w:sz w:val="24"/>
          <w:szCs w:val="24"/>
        </w:rPr>
      </w:pPr>
      <w:r>
        <w:rPr>
          <w:color w:val="000000"/>
          <w:sz w:val="24"/>
          <w:szCs w:val="24"/>
        </w:rPr>
        <w:t>atualização de documentos cuja validade tenha expirado após a data de recebimento das propostas;</w:t>
      </w:r>
    </w:p>
    <w:p w14:paraId="77CDE165">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852" w:firstLine="0"/>
        <w:jc w:val="both"/>
        <w:rPr>
          <w:color w:val="000000"/>
          <w:sz w:val="24"/>
          <w:szCs w:val="24"/>
        </w:rPr>
      </w:pPr>
      <w:r>
        <w:rPr>
          <w:color w:val="000000"/>
          <w:sz w:val="24"/>
          <w:szCs w:val="24"/>
        </w:rPr>
        <w:t>aferição das condições de habilitação ou de classificação do licitante decorrentes de fatos ou condições preexistentes ao momento da abertura do certame.</w:t>
      </w:r>
    </w:p>
    <w:p w14:paraId="45F69505">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852" w:firstLine="0"/>
        <w:jc w:val="both"/>
        <w:rPr>
          <w:color w:val="000000"/>
          <w:sz w:val="24"/>
          <w:szCs w:val="24"/>
        </w:rPr>
      </w:pPr>
      <w:bookmarkStart w:id="28" w:name="_heading=h.49x2ik5" w:colFirst="0" w:colLast="0"/>
      <w:bookmarkEnd w:id="28"/>
      <w:r>
        <w:rPr>
          <w:color w:val="000000"/>
          <w:sz w:val="24"/>
          <w:szCs w:val="24"/>
        </w:rPr>
        <w:t>Os documentos deverão ser apresentados em formato digital, após solicitação do agente de contratação ou da comissão de contratação, quando o substituir, no sistema eletrônico, no prazo de, no mínimo, duas horas, prorrogável por igual período.</w:t>
      </w:r>
    </w:p>
    <w:p w14:paraId="4483166B">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852" w:firstLine="0"/>
        <w:jc w:val="both"/>
        <w:rPr>
          <w:color w:val="000000"/>
          <w:sz w:val="24"/>
          <w:szCs w:val="24"/>
        </w:rPr>
      </w:pPr>
      <w:r>
        <w:rPr>
          <w:color w:val="000000"/>
          <w:sz w:val="24"/>
          <w:szCs w:val="24"/>
        </w:rPr>
        <w:t>A realização ou não de diligência não configura direito subjetivo do licitante a juntada de documentos após o encerramento do prazo estabelecido nos itens, restando preclusa, em caráter definitivo, a possibilidade de o licitante juntar novos documentos, o que implicará na sua inabilitação ou desclassificação do certame.</w:t>
      </w:r>
    </w:p>
    <w:p w14:paraId="14F9F323">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852" w:firstLine="0"/>
        <w:jc w:val="both"/>
        <w:rPr>
          <w:color w:val="000000"/>
          <w:sz w:val="24"/>
          <w:szCs w:val="24"/>
        </w:rPr>
      </w:pPr>
      <w:r>
        <w:rPr>
          <w:color w:val="000000"/>
          <w:sz w:val="24"/>
          <w:szCs w:val="24"/>
        </w:rPr>
        <w:t>Na análise dos documentos de habilitação, o agente de contratação e/ou comissão de contratação poderá sanar erros ou falhas, que não alterem a substância dos documentos e sua validade jurídica, atribuindo-lhes eﬁcácia para fins de habilitação e classificação.</w:t>
      </w:r>
    </w:p>
    <w:p w14:paraId="4E4ACDE1">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852" w:firstLine="0"/>
        <w:jc w:val="both"/>
        <w:rPr>
          <w:i/>
          <w:color w:val="000000"/>
          <w:sz w:val="24"/>
          <w:szCs w:val="24"/>
        </w:rPr>
      </w:pPr>
      <w:bookmarkStart w:id="29" w:name="_heading=h.2p2csry" w:colFirst="0" w:colLast="0"/>
      <w:bookmarkEnd w:id="29"/>
      <w:r>
        <w:rPr>
          <w:color w:val="000000"/>
          <w:sz w:val="24"/>
          <w:szCs w:val="24"/>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de </w:t>
      </w:r>
      <w:r>
        <w:rPr>
          <w:sz w:val="24"/>
          <w:szCs w:val="24"/>
        </w:rPr>
        <w:t>no mínimo, duas horas</w:t>
      </w:r>
      <w:r>
        <w:rPr>
          <w:color w:val="FF0000"/>
          <w:sz w:val="24"/>
          <w:szCs w:val="24"/>
        </w:rPr>
        <w:t xml:space="preserve">, </w:t>
      </w:r>
      <w:r>
        <w:rPr>
          <w:color w:val="000000"/>
          <w:sz w:val="24"/>
          <w:szCs w:val="24"/>
        </w:rPr>
        <w:t>prorrogável por igual período, contado da solicitação do pregoeiro.</w:t>
      </w:r>
    </w:p>
    <w:p w14:paraId="7EF85847">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852" w:firstLine="0"/>
        <w:jc w:val="both"/>
        <w:rPr>
          <w:color w:val="000000"/>
          <w:sz w:val="24"/>
          <w:szCs w:val="24"/>
        </w:rPr>
      </w:pPr>
      <w:r>
        <w:rPr>
          <w:color w:val="000000"/>
          <w:sz w:val="24"/>
          <w:szCs w:val="24"/>
        </w:rPr>
        <w:t>Somente serão disponibilizados para acesso público os documentos de habilitação do licitante cuja proposta atenda ao edital de licitação, após concluídos os procedimentos de que trata o subitem anterior.</w:t>
      </w:r>
    </w:p>
    <w:p w14:paraId="2EC6AA72">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852" w:firstLine="0"/>
        <w:jc w:val="both"/>
        <w:rPr>
          <w:color w:val="000000"/>
          <w:sz w:val="24"/>
          <w:szCs w:val="24"/>
        </w:rPr>
      </w:pPr>
      <w:r>
        <w:rPr>
          <w:color w:val="000000"/>
          <w:sz w:val="24"/>
          <w:szCs w:val="24"/>
        </w:rPr>
        <w:t>A comprovação de regularidade fiscal e trabalhista das microempresas e das empresas de pequeno porte somente será exigida para efeito de contratação, e não como condição para participação na licitação (</w:t>
      </w:r>
      <w:r>
        <w:fldChar w:fldCharType="begin"/>
      </w:r>
      <w:r>
        <w:instrText xml:space="preserve"> HYPERLINK "https://www.planalto.gov.br/ccivil_03/_ato2015-2018/2015/decreto/d8538.htm" \l "art4" \h </w:instrText>
      </w:r>
      <w:r>
        <w:fldChar w:fldCharType="separate"/>
      </w:r>
      <w:r>
        <w:rPr>
          <w:color w:val="000080"/>
          <w:sz w:val="24"/>
          <w:szCs w:val="24"/>
          <w:u w:val="single"/>
        </w:rPr>
        <w:t>art. 4º do Decreto nº 8.538/2015</w:t>
      </w:r>
      <w:r>
        <w:rPr>
          <w:color w:val="000080"/>
          <w:sz w:val="24"/>
          <w:szCs w:val="24"/>
          <w:u w:val="single"/>
        </w:rPr>
        <w:fldChar w:fldCharType="end"/>
      </w:r>
      <w:r>
        <w:rPr>
          <w:color w:val="000000"/>
          <w:sz w:val="24"/>
          <w:szCs w:val="24"/>
        </w:rPr>
        <w:t>).</w:t>
      </w:r>
    </w:p>
    <w:p w14:paraId="3912B195">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852" w:firstLine="0"/>
        <w:jc w:val="both"/>
        <w:rPr>
          <w:color w:val="000000"/>
          <w:sz w:val="24"/>
          <w:szCs w:val="24"/>
        </w:rPr>
      </w:pPr>
      <w:r>
        <w:rPr>
          <w:color w:val="000000"/>
          <w:sz w:val="24"/>
          <w:szCs w:val="24"/>
        </w:rPr>
        <w:t>Quando a fase de habilitação anteceder a de julgamento e já tiver sido encerrada, não caberá exclusão de licitante por motivo relacionado à habilitação, salvo em razão de fatos supervenientes ou só conhecidos após o julgamento.</w:t>
      </w:r>
    </w:p>
    <w:p w14:paraId="43430D6A">
      <w:pPr>
        <w:ind w:left="-567" w:right="-852"/>
        <w:jc w:val="both"/>
        <w:rPr>
          <w:sz w:val="24"/>
          <w:szCs w:val="24"/>
        </w:rPr>
      </w:pPr>
    </w:p>
    <w:p w14:paraId="3324A18C">
      <w:pPr>
        <w:numPr>
          <w:ilvl w:val="1"/>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b/>
          <w:color w:val="000000"/>
          <w:sz w:val="24"/>
          <w:szCs w:val="24"/>
        </w:rPr>
        <w:t xml:space="preserve">Habilitação jurídica: </w:t>
      </w:r>
    </w:p>
    <w:p w14:paraId="44450D82">
      <w:pPr>
        <w:numPr>
          <w:ilvl w:val="2"/>
          <w:numId w:val="8"/>
        </w:numPr>
        <w:pBdr>
          <w:top w:val="none" w:color="auto" w:sz="0" w:space="0"/>
          <w:left w:val="none" w:color="auto" w:sz="0" w:space="0"/>
          <w:bottom w:val="none" w:color="auto" w:sz="0" w:space="0"/>
          <w:right w:val="none" w:color="auto" w:sz="0" w:space="0"/>
          <w:between w:val="none" w:color="auto" w:sz="0" w:space="0"/>
        </w:pBdr>
        <w:shd w:val="clear" w:color="auto" w:fill="FFFFFF"/>
        <w:ind w:left="-567" w:right="-852" w:firstLine="0"/>
        <w:jc w:val="both"/>
        <w:rPr>
          <w:color w:val="000000"/>
          <w:sz w:val="24"/>
          <w:szCs w:val="24"/>
        </w:rPr>
      </w:pPr>
      <w:r>
        <w:rPr>
          <w:color w:val="000000"/>
          <w:sz w:val="24"/>
          <w:szCs w:val="24"/>
        </w:rPr>
        <w:t>No caso de empresário individual, inscrição no Registro Público de Empresas Mercantis, a cargo da Junta Comercial da respectiva sede;</w:t>
      </w:r>
    </w:p>
    <w:p w14:paraId="20C5E521">
      <w:pPr>
        <w:numPr>
          <w:ilvl w:val="2"/>
          <w:numId w:val="8"/>
        </w:numPr>
        <w:pBdr>
          <w:top w:val="none" w:color="auto" w:sz="0" w:space="0"/>
          <w:left w:val="none" w:color="auto" w:sz="0" w:space="0"/>
          <w:bottom w:val="none" w:color="auto" w:sz="0" w:space="0"/>
          <w:right w:val="none" w:color="auto" w:sz="0" w:space="0"/>
          <w:between w:val="none" w:color="auto" w:sz="0" w:space="0"/>
        </w:pBdr>
        <w:shd w:val="clear" w:color="auto" w:fill="FFFFFF"/>
        <w:ind w:left="-567" w:right="-852" w:firstLine="0"/>
        <w:jc w:val="both"/>
        <w:rPr>
          <w:color w:val="000000"/>
          <w:sz w:val="24"/>
          <w:szCs w:val="24"/>
        </w:rPr>
      </w:pPr>
      <w:r>
        <w:rPr>
          <w:color w:val="000000"/>
          <w:sz w:val="24"/>
          <w:szCs w:val="24"/>
        </w:rPr>
        <w:t>Em se tratando de microempreendedor individual – MEI: Certificado da Condição de Microempreendedor Individual - CCMEI, cuja aceitação ficará condicionada à verificação da autenticidade no sítio www.portaldoempreendedor.gov.br;</w:t>
      </w:r>
    </w:p>
    <w:p w14:paraId="059CBF17">
      <w:pPr>
        <w:numPr>
          <w:ilvl w:val="2"/>
          <w:numId w:val="8"/>
        </w:numPr>
        <w:pBdr>
          <w:top w:val="none" w:color="auto" w:sz="0" w:space="0"/>
          <w:left w:val="none" w:color="auto" w:sz="0" w:space="0"/>
          <w:bottom w:val="none" w:color="auto" w:sz="0" w:space="0"/>
          <w:right w:val="none" w:color="auto" w:sz="0" w:space="0"/>
          <w:between w:val="none" w:color="auto" w:sz="0" w:space="0"/>
        </w:pBdr>
        <w:shd w:val="clear" w:color="auto" w:fill="FFFFFF"/>
        <w:ind w:left="-567" w:right="-852" w:firstLine="0"/>
        <w:jc w:val="both"/>
        <w:rPr>
          <w:color w:val="000000"/>
          <w:sz w:val="24"/>
          <w:szCs w:val="24"/>
        </w:rPr>
      </w:pPr>
      <w:r>
        <w:rPr>
          <w:color w:val="000000"/>
          <w:sz w:val="24"/>
          <w:szCs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0A83F40">
      <w:pPr>
        <w:numPr>
          <w:ilvl w:val="2"/>
          <w:numId w:val="8"/>
        </w:numPr>
        <w:pBdr>
          <w:top w:val="none" w:color="auto" w:sz="0" w:space="0"/>
          <w:left w:val="none" w:color="auto" w:sz="0" w:space="0"/>
          <w:bottom w:val="none" w:color="auto" w:sz="0" w:space="0"/>
          <w:right w:val="none" w:color="auto" w:sz="0" w:space="0"/>
          <w:between w:val="none" w:color="auto" w:sz="0" w:space="0"/>
        </w:pBdr>
        <w:shd w:val="clear" w:color="auto" w:fill="FFFFFF"/>
        <w:ind w:left="-567" w:right="-852" w:firstLine="0"/>
        <w:jc w:val="both"/>
        <w:rPr>
          <w:color w:val="000000"/>
          <w:sz w:val="24"/>
          <w:szCs w:val="24"/>
        </w:rPr>
      </w:pPr>
      <w:r>
        <w:rPr>
          <w:color w:val="000000"/>
          <w:sz w:val="24"/>
          <w:szCs w:val="24"/>
        </w:rPr>
        <w:t>Inscrição no Registro Público de Empresas Mercantis onde opera, com averbação no Registro onde tem sede a matriz, no caso de ser o participante sucursal, filial ou agência;</w:t>
      </w:r>
    </w:p>
    <w:p w14:paraId="014CF3F9">
      <w:pPr>
        <w:numPr>
          <w:ilvl w:val="2"/>
          <w:numId w:val="8"/>
        </w:numPr>
        <w:pBdr>
          <w:top w:val="none" w:color="auto" w:sz="0" w:space="0"/>
          <w:left w:val="none" w:color="auto" w:sz="0" w:space="0"/>
          <w:bottom w:val="none" w:color="auto" w:sz="0" w:space="0"/>
          <w:right w:val="none" w:color="auto" w:sz="0" w:space="0"/>
          <w:between w:val="none" w:color="auto" w:sz="0" w:space="0"/>
        </w:pBdr>
        <w:shd w:val="clear" w:color="auto" w:fill="FFFFFF"/>
        <w:ind w:left="-567" w:right="-852" w:firstLine="0"/>
        <w:jc w:val="both"/>
        <w:rPr>
          <w:color w:val="000000"/>
          <w:sz w:val="24"/>
          <w:szCs w:val="24"/>
        </w:rPr>
      </w:pPr>
      <w:r>
        <w:rPr>
          <w:color w:val="000000"/>
          <w:sz w:val="24"/>
          <w:szCs w:val="24"/>
        </w:rPr>
        <w:t>No caso de sociedade simples: inscrição do ato constitutivo no Registro Civil das Pessoas Jurídicas do local de sua sede, acompanhada de prova da indicação dos seus administradores;</w:t>
      </w:r>
    </w:p>
    <w:p w14:paraId="5B7A7B4D">
      <w:pPr>
        <w:numPr>
          <w:ilvl w:val="2"/>
          <w:numId w:val="8"/>
        </w:numPr>
        <w:pBdr>
          <w:top w:val="none" w:color="auto" w:sz="0" w:space="0"/>
          <w:left w:val="none" w:color="auto" w:sz="0" w:space="0"/>
          <w:bottom w:val="none" w:color="auto" w:sz="0" w:space="0"/>
          <w:right w:val="none" w:color="auto" w:sz="0" w:space="0"/>
          <w:between w:val="none" w:color="auto" w:sz="0" w:space="0"/>
        </w:pBdr>
        <w:shd w:val="clear" w:color="auto" w:fill="FFFFFF"/>
        <w:ind w:left="-567" w:right="-852" w:firstLine="0"/>
        <w:jc w:val="both"/>
        <w:rPr>
          <w:color w:val="000000"/>
          <w:sz w:val="24"/>
          <w:szCs w:val="24"/>
        </w:rPr>
      </w:pPr>
      <w:r>
        <w:rPr>
          <w:color w:val="000000"/>
          <w:sz w:val="24"/>
          <w:szCs w:val="24"/>
        </w:rPr>
        <w:t>Decreto de autorização, em se tratando de sociedade empresária estrangeira em funcionamento no País;</w:t>
      </w:r>
    </w:p>
    <w:p w14:paraId="348A337D">
      <w:pPr>
        <w:numPr>
          <w:ilvl w:val="2"/>
          <w:numId w:val="8"/>
        </w:numPr>
        <w:pBdr>
          <w:top w:val="none" w:color="auto" w:sz="0" w:space="0"/>
          <w:left w:val="none" w:color="auto" w:sz="0" w:space="0"/>
          <w:bottom w:val="none" w:color="auto" w:sz="0" w:space="0"/>
          <w:right w:val="none" w:color="auto" w:sz="0" w:space="0"/>
          <w:between w:val="none" w:color="auto" w:sz="0" w:space="0"/>
        </w:pBdr>
        <w:shd w:val="clear" w:color="auto" w:fill="FFFFFF"/>
        <w:ind w:left="-567" w:right="-852" w:firstLine="0"/>
        <w:jc w:val="both"/>
        <w:rPr>
          <w:color w:val="000000"/>
          <w:sz w:val="24"/>
          <w:szCs w:val="24"/>
        </w:rPr>
      </w:pPr>
      <w:r>
        <w:rPr>
          <w:color w:val="000000"/>
          <w:sz w:val="24"/>
          <w:szCs w:val="24"/>
        </w:rPr>
        <w:t>No caso de exercício de atividade não listadas nos itens acima: ato de registro ou autorização para funcionamento expedido pelo órgão competente, nos termos da legislação pertinente.</w:t>
      </w:r>
    </w:p>
    <w:p w14:paraId="733B9DA7">
      <w:pPr>
        <w:numPr>
          <w:ilvl w:val="2"/>
          <w:numId w:val="8"/>
        </w:numPr>
        <w:pBdr>
          <w:top w:val="none" w:color="auto" w:sz="0" w:space="0"/>
          <w:left w:val="none" w:color="auto" w:sz="0" w:space="0"/>
          <w:bottom w:val="none" w:color="auto" w:sz="0" w:space="0"/>
          <w:right w:val="none" w:color="auto" w:sz="0" w:space="0"/>
          <w:between w:val="none" w:color="auto" w:sz="0" w:space="0"/>
        </w:pBdr>
        <w:shd w:val="clear" w:color="auto" w:fill="FFFFFF"/>
        <w:ind w:left="-567" w:right="-852" w:firstLine="0"/>
        <w:jc w:val="both"/>
        <w:rPr>
          <w:color w:val="000000"/>
          <w:sz w:val="24"/>
          <w:szCs w:val="24"/>
        </w:rPr>
      </w:pPr>
      <w:r>
        <w:rPr>
          <w:color w:val="000000"/>
          <w:sz w:val="24"/>
          <w:szCs w:val="24"/>
        </w:rPr>
        <w:t xml:space="preserve">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14:paraId="33FEFB82">
      <w:pPr>
        <w:numPr>
          <w:ilvl w:val="2"/>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Os documentos acima deverão estar acompanhados de todas as alterações ou da consolidação respectiva.</w:t>
      </w:r>
    </w:p>
    <w:p w14:paraId="3804DDAE">
      <w:pPr>
        <w:pBdr>
          <w:top w:val="none" w:color="auto" w:sz="0" w:space="0"/>
          <w:left w:val="none" w:color="auto" w:sz="0" w:space="0"/>
          <w:bottom w:val="none" w:color="auto" w:sz="0" w:space="0"/>
          <w:right w:val="none" w:color="auto" w:sz="0" w:space="0"/>
          <w:between w:val="none" w:color="auto" w:sz="0" w:space="0"/>
        </w:pBdr>
        <w:ind w:left="-567" w:right="-852"/>
        <w:jc w:val="both"/>
        <w:rPr>
          <w:color w:val="000000"/>
          <w:sz w:val="24"/>
          <w:szCs w:val="24"/>
        </w:rPr>
      </w:pPr>
    </w:p>
    <w:p w14:paraId="11650C71">
      <w:pPr>
        <w:numPr>
          <w:ilvl w:val="1"/>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b/>
          <w:color w:val="000000"/>
          <w:sz w:val="24"/>
          <w:szCs w:val="24"/>
        </w:rPr>
        <w:t xml:space="preserve">  Regularidade fiscal, social e trabalhista:</w:t>
      </w:r>
    </w:p>
    <w:p w14:paraId="45424020">
      <w:pPr>
        <w:numPr>
          <w:ilvl w:val="2"/>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Prova de inscrição no Cadastro de Pessoas Físicas (CPF) e/ou no Cadastro Nacional de Pessoas Jurídicas;</w:t>
      </w:r>
    </w:p>
    <w:p w14:paraId="491AA4FF">
      <w:pPr>
        <w:numPr>
          <w:ilvl w:val="2"/>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Certidão negativa de débitos relativos aos tributos federais e à dívida ativa da União;</w:t>
      </w:r>
    </w:p>
    <w:p w14:paraId="2414F56D">
      <w:pPr>
        <w:numPr>
          <w:ilvl w:val="2"/>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prova de regularidade com o Fundo de Garantia do Tempo de Serviço (FGTS);</w:t>
      </w:r>
    </w:p>
    <w:p w14:paraId="4BF7E2FE">
      <w:pPr>
        <w:numPr>
          <w:ilvl w:val="2"/>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F287D10">
      <w:pPr>
        <w:numPr>
          <w:ilvl w:val="2"/>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O cumprimento do disposto no </w:t>
      </w:r>
      <w:r>
        <w:fldChar w:fldCharType="begin"/>
      </w:r>
      <w:r>
        <w:instrText xml:space="preserve"> HYPERLINK "https://www.planalto.gov.br/ccivil_03/Constituicao/Constituicao.htm" \l "art7xxxiii" \h </w:instrText>
      </w:r>
      <w:r>
        <w:fldChar w:fldCharType="separate"/>
      </w:r>
      <w:r>
        <w:rPr>
          <w:color w:val="000000"/>
          <w:sz w:val="24"/>
          <w:szCs w:val="24"/>
        </w:rPr>
        <w:t>inciso XXXIII do art. 7º da Constituição Federal.</w:t>
      </w:r>
      <w:r>
        <w:rPr>
          <w:color w:val="000000"/>
          <w:sz w:val="24"/>
          <w:szCs w:val="24"/>
        </w:rPr>
        <w:fldChar w:fldCharType="end"/>
      </w:r>
    </w:p>
    <w:p w14:paraId="53BAB27A">
      <w:pPr>
        <w:numPr>
          <w:ilvl w:val="2"/>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 xml:space="preserve">prova de inscrição no cadastro de contribuintes municipal ou estadual, relativo ao domicílio ou sede do licitante, pertinente ao seu ramo de atividade e compatível com o objeto contratual; </w:t>
      </w:r>
    </w:p>
    <w:p w14:paraId="73405EF1">
      <w:pPr>
        <w:numPr>
          <w:ilvl w:val="2"/>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prova de regularidade com a Fazenda Estadual do domicílio ou sede do licitante, relativa à atividade em cujo exercício contrata ou concorre;</w:t>
      </w:r>
    </w:p>
    <w:p w14:paraId="4ED226BB">
      <w:pPr>
        <w:numPr>
          <w:ilvl w:val="2"/>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 xml:space="preserve">prova de regularidade com a Fazenda Municipal do domicílio ou sede do licitante, relativa à atividade em cujo exercício contrata ou concorre; </w:t>
      </w:r>
    </w:p>
    <w:p w14:paraId="15FB3010">
      <w:pPr>
        <w:numPr>
          <w:ilvl w:val="2"/>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14:paraId="3D6CF85A">
      <w:pPr>
        <w:numPr>
          <w:ilvl w:val="2"/>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5DEE04D7">
      <w:pPr>
        <w:pBdr>
          <w:top w:val="none" w:color="auto" w:sz="0" w:space="0"/>
          <w:left w:val="none" w:color="auto" w:sz="0" w:space="0"/>
          <w:bottom w:val="none" w:color="auto" w:sz="0" w:space="0"/>
          <w:right w:val="none" w:color="auto" w:sz="0" w:space="0"/>
          <w:between w:val="none" w:color="auto" w:sz="0" w:space="0"/>
        </w:pBdr>
        <w:ind w:left="-567" w:right="-852"/>
        <w:jc w:val="both"/>
        <w:rPr>
          <w:color w:val="000000"/>
          <w:sz w:val="24"/>
          <w:szCs w:val="24"/>
        </w:rPr>
      </w:pPr>
    </w:p>
    <w:p w14:paraId="4E7F287E">
      <w:pPr>
        <w:numPr>
          <w:ilvl w:val="1"/>
          <w:numId w:val="8"/>
        </w:numPr>
        <w:tabs>
          <w:tab w:val="left" w:pos="567"/>
        </w:tabs>
        <w:ind w:left="-567" w:right="-852" w:firstLine="0"/>
        <w:jc w:val="both"/>
        <w:rPr>
          <w:color w:val="000000"/>
          <w:sz w:val="24"/>
          <w:szCs w:val="24"/>
        </w:rPr>
      </w:pPr>
      <w:r>
        <w:rPr>
          <w:b/>
          <w:color w:val="000000"/>
          <w:sz w:val="24"/>
          <w:szCs w:val="24"/>
        </w:rPr>
        <w:t xml:space="preserve"> Qualificação Econômico-Financeira: </w:t>
      </w:r>
    </w:p>
    <w:p w14:paraId="296ACEEC">
      <w:pPr>
        <w:numPr>
          <w:ilvl w:val="2"/>
          <w:numId w:val="8"/>
        </w:numPr>
        <w:tabs>
          <w:tab w:val="left" w:pos="709"/>
          <w:tab w:val="left" w:pos="993"/>
        </w:tabs>
        <w:ind w:left="-567" w:right="-852" w:firstLine="0"/>
        <w:jc w:val="both"/>
        <w:rPr>
          <w:color w:val="000000"/>
          <w:sz w:val="24"/>
          <w:szCs w:val="24"/>
        </w:rPr>
      </w:pPr>
      <w:bookmarkStart w:id="30" w:name="_heading=h.147n2zr" w:colFirst="0" w:colLast="0"/>
      <w:bookmarkEnd w:id="30"/>
      <w:r>
        <w:rPr>
          <w:color w:val="000000"/>
          <w:sz w:val="24"/>
          <w:szCs w:val="24"/>
        </w:rPr>
        <w:t>Certidão negativa de falência expedida pelo distribuidor da sede do licitante;</w:t>
      </w:r>
    </w:p>
    <w:p w14:paraId="5B3478A7">
      <w:pPr>
        <w:numPr>
          <w:ilvl w:val="2"/>
          <w:numId w:val="8"/>
        </w:numPr>
        <w:tabs>
          <w:tab w:val="left" w:pos="709"/>
          <w:tab w:val="left" w:pos="993"/>
        </w:tabs>
        <w:ind w:left="-567" w:right="-852" w:firstLine="0"/>
        <w:jc w:val="both"/>
        <w:rPr>
          <w:color w:val="000000"/>
          <w:sz w:val="24"/>
          <w:szCs w:val="24"/>
        </w:rPr>
      </w:pPr>
      <w:r>
        <w:rPr>
          <w:color w:val="000000"/>
          <w:sz w:val="24"/>
          <w:szCs w:val="24"/>
        </w:rPr>
        <w:t>Balanço patrimonial, demonstração de resultado de exercício e demais demonstrações contábeis dos 2 (dois) últimos exercícios sociais;</w:t>
      </w:r>
    </w:p>
    <w:p w14:paraId="71737CB8">
      <w:pPr>
        <w:numPr>
          <w:ilvl w:val="2"/>
          <w:numId w:val="8"/>
        </w:numPr>
        <w:tabs>
          <w:tab w:val="left" w:pos="709"/>
          <w:tab w:val="left" w:pos="993"/>
        </w:tabs>
        <w:ind w:left="-567" w:right="-852" w:firstLine="0"/>
        <w:jc w:val="both"/>
        <w:rPr>
          <w:color w:val="000000"/>
          <w:sz w:val="24"/>
          <w:szCs w:val="24"/>
        </w:rPr>
      </w:pPr>
      <w:r>
        <w:rPr>
          <w:color w:val="000000"/>
          <w:sz w:val="24"/>
          <w:szCs w:val="24"/>
        </w:rPr>
        <w:t xml:space="preserve">Os documentos referidos no subitem anterior, limitar-se-ão ao último exercício no caso de a pessoa jurídica ter sido constituída há menos de 2 (dois) anos. </w:t>
      </w:r>
    </w:p>
    <w:p w14:paraId="5DE4C058">
      <w:pPr>
        <w:numPr>
          <w:ilvl w:val="2"/>
          <w:numId w:val="8"/>
        </w:numPr>
        <w:tabs>
          <w:tab w:val="left" w:pos="709"/>
          <w:tab w:val="left" w:pos="993"/>
        </w:tabs>
        <w:ind w:left="-567" w:right="-852" w:firstLine="0"/>
        <w:jc w:val="both"/>
        <w:rPr>
          <w:color w:val="000000"/>
          <w:sz w:val="24"/>
          <w:szCs w:val="24"/>
        </w:rPr>
      </w:pPr>
      <w:r>
        <w:rPr>
          <w:color w:val="000000"/>
          <w:sz w:val="24"/>
          <w:szCs w:val="24"/>
        </w:rPr>
        <w:t>As empresas criadas no exercício financeiro da licitação, ficarão autorizadas a substituir os demonstrativos contábeis pelo balanço de abertura, conforme artigo 65, §1º, da Lei nº 14.133/2021.</w:t>
      </w:r>
    </w:p>
    <w:p w14:paraId="1F0B0CE7">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s>
        <w:ind w:left="-567" w:right="-852" w:firstLine="0"/>
        <w:jc w:val="both"/>
        <w:rPr>
          <w:color w:val="000000"/>
          <w:sz w:val="24"/>
          <w:szCs w:val="24"/>
        </w:rPr>
      </w:pPr>
      <w:r>
        <w:rPr>
          <w:color w:val="000000"/>
          <w:sz w:val="24"/>
          <w:szCs w:val="24"/>
        </w:rPr>
        <w:t>É admissível o balanço intermediário, se decorrer de lei ou contrato/estatuto social</w:t>
      </w:r>
    </w:p>
    <w:p w14:paraId="7CE9A2D6">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s>
        <w:ind w:left="-567" w:right="-852" w:firstLine="0"/>
        <w:jc w:val="both"/>
        <w:rPr>
          <w:color w:val="000000"/>
          <w:sz w:val="24"/>
          <w:szCs w:val="24"/>
        </w:rPr>
      </w:pPr>
      <w:r>
        <w:rPr>
          <w:color w:val="000000"/>
          <w:sz w:val="24"/>
          <w:szCs w:val="24"/>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2454CC29">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s>
        <w:ind w:left="-567" w:right="-852" w:firstLine="0"/>
        <w:jc w:val="both"/>
        <w:rPr>
          <w:color w:val="000000"/>
          <w:sz w:val="24"/>
          <w:szCs w:val="24"/>
        </w:rPr>
      </w:pPr>
      <w:r>
        <w:rPr>
          <w:color w:val="000000"/>
          <w:sz w:val="24"/>
          <w:szCs w:val="24"/>
        </w:rPr>
        <w:t xml:space="preserve">Comprovação da boa situação financeira da empresa mediante obtenção de índices de Liquidez Geral (LG), Solvência Geral (SG) e Liquidez Corrente (LC), superiores a 1 (um), obtidos  pela aplicação das seguintes fórmulas: </w:t>
      </w:r>
    </w:p>
    <w:tbl>
      <w:tblPr>
        <w:tblStyle w:val="9"/>
        <w:tblW w:w="7797"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94"/>
        <w:gridCol w:w="5103"/>
      </w:tblGrid>
      <w:tr w14:paraId="0C70D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94" w:type="dxa"/>
            <w:vMerge w:val="restart"/>
            <w:vAlign w:val="center"/>
          </w:tcPr>
          <w:p w14:paraId="076509B0">
            <w:pPr>
              <w:tabs>
                <w:tab w:val="left" w:pos="1440"/>
              </w:tabs>
              <w:ind w:left="-567" w:right="-852"/>
              <w:jc w:val="both"/>
              <w:rPr>
                <w:sz w:val="24"/>
                <w:szCs w:val="24"/>
              </w:rPr>
            </w:pPr>
            <w:r>
              <w:rPr>
                <w:sz w:val="24"/>
                <w:szCs w:val="24"/>
              </w:rPr>
              <w:t xml:space="preserve">         LG =                          </w:t>
            </w:r>
          </w:p>
        </w:tc>
        <w:tc>
          <w:tcPr>
            <w:tcW w:w="5103" w:type="dxa"/>
            <w:tcBorders>
              <w:bottom w:val="single" w:color="000000" w:sz="4" w:space="0"/>
            </w:tcBorders>
            <w:vAlign w:val="bottom"/>
          </w:tcPr>
          <w:p w14:paraId="421D9A2F">
            <w:pPr>
              <w:tabs>
                <w:tab w:val="left" w:pos="1440"/>
              </w:tabs>
              <w:ind w:left="-567" w:right="-852"/>
              <w:jc w:val="both"/>
              <w:rPr>
                <w:color w:val="000000"/>
                <w:sz w:val="24"/>
                <w:szCs w:val="24"/>
              </w:rPr>
            </w:pPr>
            <w:r>
              <w:rPr>
                <w:color w:val="000000"/>
                <w:sz w:val="24"/>
                <w:szCs w:val="24"/>
              </w:rPr>
              <w:t xml:space="preserve">        Ativo Circulante + Realizável a Longo Prazo</w:t>
            </w:r>
          </w:p>
        </w:tc>
      </w:tr>
      <w:tr w14:paraId="11B94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94" w:type="dxa"/>
            <w:vMerge w:val="continue"/>
            <w:vAlign w:val="center"/>
          </w:tcPr>
          <w:p w14:paraId="0B3D5EC2">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567" w:right="-852"/>
              <w:rPr>
                <w:color w:val="000000"/>
                <w:sz w:val="24"/>
                <w:szCs w:val="24"/>
              </w:rPr>
            </w:pPr>
          </w:p>
        </w:tc>
        <w:tc>
          <w:tcPr>
            <w:tcW w:w="5103" w:type="dxa"/>
            <w:tcBorders>
              <w:top w:val="single" w:color="000000" w:sz="4" w:space="0"/>
            </w:tcBorders>
          </w:tcPr>
          <w:p w14:paraId="02B88F79">
            <w:pPr>
              <w:tabs>
                <w:tab w:val="left" w:pos="1440"/>
              </w:tabs>
              <w:ind w:left="-567" w:right="-852"/>
              <w:jc w:val="both"/>
              <w:rPr>
                <w:color w:val="000000"/>
                <w:sz w:val="24"/>
                <w:szCs w:val="24"/>
              </w:rPr>
            </w:pPr>
            <w:r>
              <w:rPr>
                <w:color w:val="000000"/>
                <w:sz w:val="24"/>
                <w:szCs w:val="24"/>
              </w:rPr>
              <w:t xml:space="preserve">       Passivo Circulante + Passivo Não Circulante</w:t>
            </w:r>
          </w:p>
        </w:tc>
      </w:tr>
    </w:tbl>
    <w:p w14:paraId="6035F9A1">
      <w:pPr>
        <w:tabs>
          <w:tab w:val="left" w:pos="1440"/>
        </w:tabs>
        <w:ind w:left="-567" w:right="-852"/>
        <w:jc w:val="both"/>
        <w:rPr>
          <w:color w:val="000000"/>
          <w:sz w:val="24"/>
          <w:szCs w:val="24"/>
        </w:rPr>
      </w:pPr>
    </w:p>
    <w:tbl>
      <w:tblPr>
        <w:tblStyle w:val="9"/>
        <w:tblW w:w="7371"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5"/>
        <w:gridCol w:w="5136"/>
      </w:tblGrid>
      <w:tr w14:paraId="1290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Pr>
        <w:tc>
          <w:tcPr>
            <w:tcW w:w="2235" w:type="dxa"/>
            <w:vMerge w:val="restart"/>
            <w:vAlign w:val="center"/>
          </w:tcPr>
          <w:p w14:paraId="79F61293">
            <w:pPr>
              <w:tabs>
                <w:tab w:val="left" w:pos="1440"/>
              </w:tabs>
              <w:ind w:left="-567" w:right="-852"/>
              <w:jc w:val="both"/>
              <w:rPr>
                <w:color w:val="000000"/>
                <w:sz w:val="24"/>
                <w:szCs w:val="24"/>
              </w:rPr>
            </w:pPr>
            <w:r>
              <w:rPr>
                <w:color w:val="000000"/>
                <w:sz w:val="24"/>
                <w:szCs w:val="24"/>
              </w:rPr>
              <w:t xml:space="preserve">          SG =</w:t>
            </w:r>
          </w:p>
        </w:tc>
        <w:tc>
          <w:tcPr>
            <w:tcW w:w="5136" w:type="dxa"/>
            <w:tcBorders>
              <w:bottom w:val="single" w:color="000000" w:sz="4" w:space="0"/>
            </w:tcBorders>
            <w:vAlign w:val="bottom"/>
          </w:tcPr>
          <w:p w14:paraId="616AF281">
            <w:pPr>
              <w:tabs>
                <w:tab w:val="left" w:pos="1440"/>
              </w:tabs>
              <w:ind w:left="-567" w:right="-852"/>
              <w:jc w:val="both"/>
              <w:rPr>
                <w:color w:val="000000"/>
                <w:sz w:val="24"/>
                <w:szCs w:val="24"/>
              </w:rPr>
            </w:pPr>
            <w:r>
              <w:rPr>
                <w:color w:val="000000"/>
                <w:sz w:val="24"/>
                <w:szCs w:val="24"/>
              </w:rPr>
              <w:t xml:space="preserve">                   Ativo Total</w:t>
            </w:r>
          </w:p>
        </w:tc>
      </w:tr>
      <w:tr w14:paraId="75073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Pr>
        <w:tc>
          <w:tcPr>
            <w:tcW w:w="2235" w:type="dxa"/>
            <w:vMerge w:val="continue"/>
            <w:vAlign w:val="center"/>
          </w:tcPr>
          <w:p w14:paraId="18AB6DEB">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567" w:right="-852"/>
              <w:rPr>
                <w:color w:val="000000"/>
                <w:sz w:val="24"/>
                <w:szCs w:val="24"/>
              </w:rPr>
            </w:pPr>
          </w:p>
        </w:tc>
        <w:tc>
          <w:tcPr>
            <w:tcW w:w="5136" w:type="dxa"/>
            <w:tcBorders>
              <w:top w:val="single" w:color="000000" w:sz="4" w:space="0"/>
            </w:tcBorders>
          </w:tcPr>
          <w:p w14:paraId="66292B0E">
            <w:pPr>
              <w:tabs>
                <w:tab w:val="left" w:pos="1440"/>
              </w:tabs>
              <w:ind w:left="-567" w:right="-852"/>
              <w:jc w:val="both"/>
              <w:rPr>
                <w:color w:val="000000"/>
                <w:sz w:val="24"/>
                <w:szCs w:val="24"/>
              </w:rPr>
            </w:pPr>
            <w:r>
              <w:rPr>
                <w:color w:val="000000"/>
                <w:sz w:val="24"/>
                <w:szCs w:val="24"/>
              </w:rPr>
              <w:t xml:space="preserve">       Passivo Circulante + Passivo Não Circulante</w:t>
            </w:r>
          </w:p>
        </w:tc>
      </w:tr>
    </w:tbl>
    <w:p w14:paraId="03FC9A6E">
      <w:pPr>
        <w:tabs>
          <w:tab w:val="left" w:pos="1440"/>
        </w:tabs>
        <w:ind w:left="-567" w:right="-852"/>
        <w:jc w:val="both"/>
        <w:rPr>
          <w:color w:val="000000"/>
          <w:sz w:val="24"/>
          <w:szCs w:val="24"/>
        </w:rPr>
      </w:pPr>
    </w:p>
    <w:tbl>
      <w:tblPr>
        <w:tblStyle w:val="9"/>
        <w:tblW w:w="4786"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5"/>
        <w:gridCol w:w="2551"/>
      </w:tblGrid>
      <w:tr w14:paraId="1DBB1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restart"/>
            <w:vAlign w:val="center"/>
          </w:tcPr>
          <w:p w14:paraId="21CFA480">
            <w:pPr>
              <w:tabs>
                <w:tab w:val="left" w:pos="1440"/>
              </w:tabs>
              <w:ind w:left="-567" w:right="-852"/>
              <w:jc w:val="both"/>
              <w:rPr>
                <w:color w:val="000000"/>
                <w:sz w:val="24"/>
                <w:szCs w:val="24"/>
              </w:rPr>
            </w:pPr>
            <w:r>
              <w:rPr>
                <w:color w:val="000000"/>
                <w:sz w:val="24"/>
                <w:szCs w:val="24"/>
              </w:rPr>
              <w:t xml:space="preserve">          LC =</w:t>
            </w:r>
          </w:p>
        </w:tc>
        <w:tc>
          <w:tcPr>
            <w:tcW w:w="2551" w:type="dxa"/>
            <w:tcBorders>
              <w:bottom w:val="single" w:color="000000" w:sz="4" w:space="0"/>
            </w:tcBorders>
            <w:vAlign w:val="bottom"/>
          </w:tcPr>
          <w:p w14:paraId="38CE087D">
            <w:pPr>
              <w:tabs>
                <w:tab w:val="left" w:pos="1440"/>
              </w:tabs>
              <w:ind w:left="-567" w:right="-852"/>
              <w:jc w:val="both"/>
              <w:rPr>
                <w:color w:val="000000"/>
                <w:sz w:val="24"/>
                <w:szCs w:val="24"/>
              </w:rPr>
            </w:pPr>
            <w:r>
              <w:rPr>
                <w:color w:val="000000"/>
                <w:sz w:val="24"/>
                <w:szCs w:val="24"/>
              </w:rPr>
              <w:t xml:space="preserve">           Ativo Circulante</w:t>
            </w:r>
          </w:p>
        </w:tc>
      </w:tr>
      <w:tr w14:paraId="28DBE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continue"/>
            <w:vAlign w:val="center"/>
          </w:tcPr>
          <w:p w14:paraId="18C9BC4B">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567" w:right="-852"/>
              <w:rPr>
                <w:color w:val="000000"/>
                <w:sz w:val="24"/>
                <w:szCs w:val="24"/>
              </w:rPr>
            </w:pPr>
          </w:p>
        </w:tc>
        <w:tc>
          <w:tcPr>
            <w:tcW w:w="2551" w:type="dxa"/>
            <w:tcBorders>
              <w:top w:val="single" w:color="000000" w:sz="4" w:space="0"/>
            </w:tcBorders>
          </w:tcPr>
          <w:p w14:paraId="0B8B3F36">
            <w:pPr>
              <w:tabs>
                <w:tab w:val="left" w:pos="1440"/>
              </w:tabs>
              <w:ind w:left="-567" w:right="-852"/>
              <w:jc w:val="both"/>
              <w:rPr>
                <w:color w:val="000000"/>
                <w:sz w:val="24"/>
                <w:szCs w:val="24"/>
              </w:rPr>
            </w:pPr>
            <w:r>
              <w:rPr>
                <w:color w:val="000000"/>
                <w:sz w:val="24"/>
                <w:szCs w:val="24"/>
              </w:rPr>
              <w:t xml:space="preserve">           Passivo Circulante</w:t>
            </w:r>
          </w:p>
        </w:tc>
      </w:tr>
    </w:tbl>
    <w:p w14:paraId="4E9ADAFF">
      <w:pPr>
        <w:ind w:left="-567" w:right="-852"/>
        <w:jc w:val="both"/>
        <w:rPr>
          <w:b/>
          <w:sz w:val="24"/>
          <w:szCs w:val="24"/>
        </w:rPr>
      </w:pPr>
    </w:p>
    <w:p w14:paraId="78F5F752">
      <w:pPr>
        <w:numPr>
          <w:ilvl w:val="2"/>
          <w:numId w:val="8"/>
        </w:numPr>
        <w:tabs>
          <w:tab w:val="left" w:pos="709"/>
          <w:tab w:val="left" w:pos="993"/>
          <w:tab w:val="left" w:pos="1134"/>
        </w:tabs>
        <w:ind w:left="-567" w:right="-852" w:firstLine="0"/>
        <w:jc w:val="both"/>
        <w:rPr>
          <w:color w:val="000000"/>
          <w:sz w:val="24"/>
          <w:szCs w:val="24"/>
        </w:rPr>
      </w:pPr>
      <w:r>
        <w:rPr>
          <w:color w:val="000000"/>
          <w:sz w:val="24"/>
          <w:szCs w:val="24"/>
        </w:rPr>
        <w:t xml:space="preserve">As empresas, que apresentarem resultado inferior ou igual a 1(um) em qualquer dos índices de Liquidez Geral (LG), Solvência Geral (SG) e Liquidez Corrente (LC), deverão comprovar patrimônio líquido de 10% (dez por centro) do valor estimado da contratação ou do item pertinente. </w:t>
      </w:r>
    </w:p>
    <w:p w14:paraId="6CB8F8CF">
      <w:pPr>
        <w:numPr>
          <w:ilvl w:val="2"/>
          <w:numId w:val="8"/>
        </w:numPr>
        <w:tabs>
          <w:tab w:val="left" w:pos="709"/>
          <w:tab w:val="left" w:pos="993"/>
          <w:tab w:val="left" w:pos="1134"/>
        </w:tabs>
        <w:ind w:left="-567" w:right="-852" w:firstLine="0"/>
        <w:jc w:val="both"/>
        <w:rPr>
          <w:color w:val="000000"/>
          <w:sz w:val="24"/>
          <w:szCs w:val="24"/>
        </w:rPr>
      </w:pPr>
      <w:r>
        <w:rPr>
          <w:sz w:val="24"/>
          <w:szCs w:val="24"/>
        </w:rPr>
        <w:t>Os índices estabelecidos atendem ao disposto no art. 69, caput e §5º, da Lei 14.133/21, pois permitem a comprovação de uma avaliação mais precisa da situação financeira da empresa de forma objetiva, os mesmos foram estabelecidos observando percentuais usualmente adotados no mercado para a avaliação da situação financeira das empresas e não frustram ou restringem o caráter competitivo do certame, pois foram estabelecidos em patamares mínimos aceitáveis, com intuito de garantir a continuidade da execução dos serviços, objeto desta licitação.</w:t>
      </w:r>
    </w:p>
    <w:p w14:paraId="1E8B1118">
      <w:pPr>
        <w:ind w:left="-567" w:right="-852"/>
        <w:jc w:val="both"/>
        <w:rPr>
          <w:color w:val="FF0000"/>
          <w:sz w:val="24"/>
          <w:szCs w:val="24"/>
        </w:rPr>
      </w:pPr>
    </w:p>
    <w:p w14:paraId="41037395">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567"/>
        </w:tabs>
        <w:ind w:left="-567" w:right="-852" w:firstLine="0"/>
        <w:jc w:val="both"/>
        <w:rPr>
          <w:color w:val="000000"/>
          <w:sz w:val="24"/>
          <w:szCs w:val="24"/>
        </w:rPr>
      </w:pPr>
      <w:r>
        <w:rPr>
          <w:b/>
          <w:color w:val="000000"/>
          <w:sz w:val="24"/>
          <w:szCs w:val="24"/>
        </w:rPr>
        <w:t xml:space="preserve">Qualificação Técnica: </w:t>
      </w:r>
    </w:p>
    <w:p w14:paraId="2459F0B4">
      <w:pPr>
        <w:numPr>
          <w:ilvl w:val="2"/>
          <w:numId w:val="8"/>
        </w:numPr>
        <w:tabs>
          <w:tab w:val="left" w:pos="851"/>
        </w:tabs>
        <w:ind w:left="-567" w:right="-852" w:firstLine="0"/>
        <w:jc w:val="both"/>
        <w:rPr>
          <w:color w:val="000000"/>
          <w:sz w:val="24"/>
          <w:szCs w:val="24"/>
        </w:rPr>
      </w:pPr>
      <w:bookmarkStart w:id="31" w:name="_heading=h.3o7alnk" w:colFirst="0" w:colLast="0"/>
      <w:bookmarkEnd w:id="31"/>
      <w:r>
        <w:rPr>
          <w:color w:val="000000"/>
          <w:sz w:val="24"/>
          <w:szCs w:val="24"/>
        </w:rPr>
        <w:t xml:space="preserve">Apresentação de um ou mais atestados fornecidos por pessoas jurídicas de direito público ou privado, que comprove que a licitante executou ou está executando, de maneira satisfatória e a contento, fornecimentos da natureza e vulto similares com o objeto da presente licitação. </w:t>
      </w:r>
    </w:p>
    <w:p w14:paraId="04EC0FE9">
      <w:pPr>
        <w:numPr>
          <w:ilvl w:val="2"/>
          <w:numId w:val="8"/>
        </w:numPr>
        <w:tabs>
          <w:tab w:val="left" w:pos="851"/>
        </w:tabs>
        <w:ind w:left="-567" w:right="-852" w:firstLine="0"/>
        <w:jc w:val="both"/>
        <w:rPr>
          <w:color w:val="000000"/>
          <w:sz w:val="24"/>
          <w:szCs w:val="24"/>
        </w:rPr>
      </w:pPr>
      <w:r>
        <w:rPr>
          <w:color w:val="000000"/>
          <w:sz w:val="24"/>
          <w:szCs w:val="24"/>
        </w:rPr>
        <w:t>Será admitida, para fins de comprovação de quantitativo mínimo, a apresentação e o somatório de diferentes atestados executados de forma concomitante. Os atestados de capacidade técnica poderão ser apresentados em nome da matriz ou da filial do fornecedor.</w:t>
      </w:r>
    </w:p>
    <w:p w14:paraId="04D5618B">
      <w:pPr>
        <w:numPr>
          <w:ilvl w:val="2"/>
          <w:numId w:val="8"/>
        </w:numPr>
        <w:tabs>
          <w:tab w:val="left" w:pos="851"/>
        </w:tabs>
        <w:ind w:left="-567" w:right="-852" w:firstLine="0"/>
        <w:jc w:val="both"/>
        <w:rPr>
          <w:color w:val="000000"/>
          <w:sz w:val="24"/>
          <w:szCs w:val="24"/>
        </w:rPr>
      </w:pPr>
      <w:r>
        <w:rPr>
          <w:color w:val="000000"/>
          <w:sz w:val="24"/>
          <w:szCs w:val="24"/>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0276C5EA">
      <w:pPr>
        <w:tabs>
          <w:tab w:val="left" w:pos="851"/>
          <w:tab w:val="left" w:pos="1276"/>
        </w:tabs>
        <w:ind w:left="-567" w:right="-852"/>
        <w:jc w:val="both"/>
        <w:rPr>
          <w:color w:val="000000"/>
          <w:sz w:val="24"/>
          <w:szCs w:val="24"/>
        </w:rPr>
      </w:pPr>
    </w:p>
    <w:p w14:paraId="649EBDF2">
      <w:pPr>
        <w:numPr>
          <w:ilvl w:val="1"/>
          <w:numId w:val="8"/>
        </w:numPr>
        <w:ind w:left="-567" w:right="-852" w:firstLine="0"/>
        <w:jc w:val="both"/>
        <w:rPr>
          <w:sz w:val="24"/>
          <w:szCs w:val="24"/>
        </w:rPr>
      </w:pPr>
      <w:r>
        <w:rPr>
          <w:b/>
          <w:sz w:val="24"/>
          <w:szCs w:val="24"/>
        </w:rPr>
        <w:t>Documentações complementares</w:t>
      </w:r>
    </w:p>
    <w:p w14:paraId="05F3C402">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852" w:firstLine="0"/>
        <w:jc w:val="both"/>
        <w:rPr>
          <w:color w:val="000000"/>
          <w:sz w:val="24"/>
          <w:szCs w:val="24"/>
        </w:rPr>
      </w:pPr>
      <w:r>
        <w:rPr>
          <w:color w:val="000000"/>
          <w:sz w:val="24"/>
          <w:szCs w:val="24"/>
        </w:rPr>
        <w:t>Declaração de cumprimento dos requisitos de habilitação, conforme art. 63, inciso I, da Lei 14.133/2021.</w:t>
      </w:r>
    </w:p>
    <w:p w14:paraId="16046CFA">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852" w:firstLine="0"/>
        <w:jc w:val="both"/>
        <w:rPr>
          <w:color w:val="000000"/>
          <w:sz w:val="24"/>
          <w:szCs w:val="24"/>
        </w:rPr>
      </w:pPr>
      <w:r>
        <w:rPr>
          <w:color w:val="000000"/>
          <w:sz w:val="24"/>
          <w:szCs w:val="24"/>
        </w:rPr>
        <w:t>Declaração de que cumpre as exigências de reserva de cargos para pessoa com deficiência e para reabilitado da Previdência Social, previstas em lei e em outras normas específicas, conforme art. 63, inciso IV, da Lei 14.133/2021.</w:t>
      </w:r>
    </w:p>
    <w:p w14:paraId="06468C4B">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852" w:firstLine="0"/>
        <w:jc w:val="both"/>
        <w:rPr>
          <w:color w:val="000000"/>
          <w:sz w:val="24"/>
          <w:szCs w:val="24"/>
        </w:rPr>
      </w:pPr>
      <w:r>
        <w:rPr>
          <w:color w:val="000000"/>
          <w:sz w:val="24"/>
          <w:szCs w:val="24"/>
        </w:rPr>
        <w:t>Declaração de microempresa e empresa de pequeno porte, ou cooperativa enquadrada no artigo 34 da Lei nº 11.488, de 2007, se for o caso.</w:t>
      </w:r>
    </w:p>
    <w:p w14:paraId="31D8FB03">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852" w:firstLine="0"/>
        <w:jc w:val="both"/>
        <w:rPr>
          <w:color w:val="000000"/>
          <w:sz w:val="24"/>
          <w:szCs w:val="24"/>
        </w:rPr>
      </w:pPr>
      <w:r>
        <w:rPr>
          <w:sz w:val="24"/>
          <w:szCs w:val="24"/>
        </w:rPr>
        <w:t>Em relação às licitantes cooperativas será, ainda, exigida a seguinte documentação complementar:</w:t>
      </w:r>
    </w:p>
    <w:p w14:paraId="776C0E3B">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852" w:firstLine="0"/>
        <w:jc w:val="both"/>
        <w:rPr>
          <w:color w:val="000000"/>
          <w:sz w:val="24"/>
          <w:szCs w:val="24"/>
        </w:rPr>
      </w:pPr>
      <w:r>
        <w:rPr>
          <w:color w:val="000000"/>
          <w:sz w:val="24"/>
          <w:szCs w:val="24"/>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4338A112">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852" w:firstLine="0"/>
        <w:jc w:val="both"/>
        <w:rPr>
          <w:color w:val="000000"/>
          <w:sz w:val="24"/>
          <w:szCs w:val="24"/>
        </w:rPr>
      </w:pPr>
      <w:r>
        <w:rPr>
          <w:color w:val="000000"/>
          <w:sz w:val="24"/>
          <w:szCs w:val="24"/>
        </w:rPr>
        <w:t>A declaração de regularidade de situação do contribuinte individual – DRSCI, para cada um dos cooperados indicados;</w:t>
      </w:r>
    </w:p>
    <w:p w14:paraId="0862DC0A">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852" w:firstLine="0"/>
        <w:jc w:val="both"/>
        <w:rPr>
          <w:color w:val="000000"/>
          <w:sz w:val="24"/>
          <w:szCs w:val="24"/>
        </w:rPr>
      </w:pPr>
      <w:r>
        <w:rPr>
          <w:color w:val="000000"/>
          <w:sz w:val="24"/>
          <w:szCs w:val="24"/>
        </w:rPr>
        <w:t xml:space="preserve">A comprovação do capital social proporcional ao número de cooperados necessários ao objeto; </w:t>
      </w:r>
    </w:p>
    <w:p w14:paraId="7568574F">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852" w:firstLine="0"/>
        <w:jc w:val="both"/>
        <w:rPr>
          <w:color w:val="000000"/>
          <w:sz w:val="24"/>
          <w:szCs w:val="24"/>
        </w:rPr>
      </w:pPr>
      <w:r>
        <w:rPr>
          <w:color w:val="000000"/>
          <w:sz w:val="24"/>
          <w:szCs w:val="24"/>
        </w:rPr>
        <w:t>O registro previsto na Lei n. 5.764/71, art. 107;</w:t>
      </w:r>
    </w:p>
    <w:p w14:paraId="6E29F2D2">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852" w:firstLine="0"/>
        <w:jc w:val="both"/>
        <w:rPr>
          <w:color w:val="000000"/>
          <w:sz w:val="24"/>
          <w:szCs w:val="24"/>
        </w:rPr>
      </w:pPr>
      <w:r>
        <w:rPr>
          <w:color w:val="000000"/>
          <w:sz w:val="24"/>
          <w:szCs w:val="24"/>
        </w:rPr>
        <w:t>A comprovação de integração das respectivas quotas-partes por parte dos cooperados que executarão o contrato; e</w:t>
      </w:r>
    </w:p>
    <w:p w14:paraId="4E4BEF86">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852" w:firstLine="0"/>
        <w:jc w:val="both"/>
        <w:rPr>
          <w:color w:val="000000"/>
          <w:sz w:val="24"/>
          <w:szCs w:val="24"/>
        </w:rPr>
      </w:pPr>
      <w:r>
        <w:rPr>
          <w:color w:val="000000"/>
          <w:sz w:val="24"/>
          <w:szCs w:val="24"/>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34D605EC">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852" w:firstLine="0"/>
        <w:jc w:val="both"/>
        <w:rPr>
          <w:color w:val="000000"/>
          <w:sz w:val="24"/>
          <w:szCs w:val="24"/>
        </w:rPr>
      </w:pPr>
      <w:r>
        <w:rPr>
          <w:color w:val="000000"/>
          <w:sz w:val="24"/>
          <w:szCs w:val="24"/>
        </w:rPr>
        <w:t>A última auditoria contábil-financeira da cooperativa, conforme dispõe o art. 112 da Lei nº 5.764/71 ou uma declaração, sob as penas da lei, de que tal auditoria não foi exigida pelo órgão fiscalizador.</w:t>
      </w:r>
    </w:p>
    <w:p w14:paraId="055075EF">
      <w:pPr>
        <w:numPr>
          <w:ilvl w:val="1"/>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62579157">
      <w:pPr>
        <w:numPr>
          <w:ilvl w:val="1"/>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A existência de restrição relativamente à regularidade fiscal e trabalhista não impede que a licitante qualificada como microempresa ou empresa de pequeno porte seja declarada vencedora, uma vez que atenda a todas as demais exigências do edital.</w:t>
      </w:r>
    </w:p>
    <w:p w14:paraId="7D98EA16">
      <w:pPr>
        <w:numPr>
          <w:ilvl w:val="1"/>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A declaração do vencedor acontecerá no momento imediatamente posterior à fase de habilitação.</w:t>
      </w:r>
    </w:p>
    <w:p w14:paraId="3C2BCAAA">
      <w:pPr>
        <w:numPr>
          <w:ilvl w:val="1"/>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\h </w:instrText>
      </w:r>
      <w:r>
        <w:fldChar w:fldCharType="separate"/>
      </w:r>
      <w:r>
        <w:rPr>
          <w:color w:val="000000"/>
          <w:sz w:val="24"/>
          <w:szCs w:val="24"/>
        </w:rPr>
        <w:t>art. 63, I, da Lei nº 14.133/2021</w:t>
      </w:r>
      <w:r>
        <w:rPr>
          <w:color w:val="000000"/>
          <w:sz w:val="24"/>
          <w:szCs w:val="24"/>
        </w:rPr>
        <w:fldChar w:fldCharType="end"/>
      </w:r>
      <w:r>
        <w:rPr>
          <w:color w:val="000000"/>
          <w:sz w:val="24"/>
          <w:szCs w:val="24"/>
        </w:rPr>
        <w:t>).</w:t>
      </w:r>
    </w:p>
    <w:p w14:paraId="21907E07">
      <w:pPr>
        <w:numPr>
          <w:ilvl w:val="1"/>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715542BE">
      <w:pPr>
        <w:numPr>
          <w:ilvl w:val="1"/>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65A1335E">
      <w:pPr>
        <w:numPr>
          <w:ilvl w:val="1"/>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Havendo necessidade de analisar minuciosamente os documentos exigidos, o Pregoeiro suspenderá a sessão, informando no “chat” a nova data e horário para a continuidade da mesma.</w:t>
      </w:r>
    </w:p>
    <w:p w14:paraId="71390902">
      <w:pPr>
        <w:numPr>
          <w:ilvl w:val="1"/>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Será inabilitado o licitante que não comprovar sua habilitação, seja por não apresentar quaisquer dos documentos exigidos, ou apresentá-los em desacordo com o estabelecido neste Edital.</w:t>
      </w:r>
    </w:p>
    <w:p w14:paraId="0FC9E84C">
      <w:pPr>
        <w:numPr>
          <w:ilvl w:val="1"/>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5589F70A">
      <w:pPr>
        <w:numPr>
          <w:ilvl w:val="1"/>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2E9AECD5">
      <w:pPr>
        <w:numPr>
          <w:ilvl w:val="1"/>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Não havendo a comprovação cumulativa dos requisitos de habilitação, a inabilitação recairá sobre o(s) item(ns) de menor(es) valor(es), cuja retirada(s) seja(m) suficiente(s) para a habilitação do licitante nos remanescentes.</w:t>
      </w:r>
    </w:p>
    <w:p w14:paraId="3A597A43">
      <w:pPr>
        <w:numPr>
          <w:ilvl w:val="1"/>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color w:val="000080"/>
          <w:sz w:val="24"/>
          <w:szCs w:val="24"/>
          <w:u w:val="single"/>
        </w:rPr>
        <w:t>Lei 14.133/21, art. 64</w:t>
      </w:r>
      <w:r>
        <w:rPr>
          <w:color w:val="000080"/>
          <w:sz w:val="24"/>
          <w:szCs w:val="24"/>
          <w:u w:val="single"/>
        </w:rPr>
        <w:fldChar w:fldCharType="end"/>
      </w:r>
      <w:r>
        <w:rPr>
          <w:color w:val="000000"/>
          <w:sz w:val="24"/>
          <w:szCs w:val="24"/>
        </w:rPr>
        <w:t>).</w:t>
      </w:r>
    </w:p>
    <w:p w14:paraId="42BE00B4">
      <w:pPr>
        <w:numPr>
          <w:ilvl w:val="1"/>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Constatado o atendimento às exigências de habilitação fixadas no Edital, o licitante será declarado vencedor.</w:t>
      </w:r>
    </w:p>
    <w:p w14:paraId="30F2F646">
      <w:pPr>
        <w:ind w:left="-567" w:right="-852"/>
        <w:jc w:val="both"/>
        <w:rPr>
          <w:sz w:val="24"/>
          <w:szCs w:val="24"/>
        </w:rPr>
      </w:pPr>
    </w:p>
    <w:p w14:paraId="6FC8BB8D">
      <w:pPr>
        <w:keepNext/>
        <w:keepLines/>
        <w:numPr>
          <w:ilvl w:val="0"/>
          <w:numId w:val="9"/>
        </w:numPr>
        <w:pBdr>
          <w:top w:val="none" w:color="auto" w:sz="0" w:space="0"/>
          <w:left w:val="none" w:color="auto" w:sz="0" w:space="0"/>
          <w:bottom w:val="none" w:color="auto" w:sz="0" w:space="0"/>
          <w:right w:val="none" w:color="auto" w:sz="0" w:space="0"/>
          <w:between w:val="none" w:color="auto" w:sz="0" w:space="0"/>
        </w:pBdr>
        <w:ind w:left="-567" w:right="-852" w:firstLine="0"/>
        <w:jc w:val="both"/>
        <w:rPr>
          <w:b/>
          <w:color w:val="000000"/>
          <w:sz w:val="24"/>
          <w:szCs w:val="24"/>
        </w:rPr>
      </w:pPr>
      <w:r>
        <w:rPr>
          <w:b/>
          <w:color w:val="000000"/>
          <w:sz w:val="24"/>
          <w:szCs w:val="24"/>
        </w:rPr>
        <w:t>DO ENCAMINHAMENTO DA PROPOSTA VENCEDORA</w:t>
      </w:r>
    </w:p>
    <w:p w14:paraId="23025DE3">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567" w:right="-852" w:firstLine="0"/>
        <w:jc w:val="both"/>
        <w:rPr>
          <w:color w:val="000000"/>
          <w:sz w:val="24"/>
          <w:szCs w:val="24"/>
        </w:rPr>
      </w:pPr>
      <w:r>
        <w:rPr>
          <w:sz w:val="24"/>
          <w:szCs w:val="24"/>
        </w:rPr>
        <w:t>A proposta final do licitante declarado vencedor deverá ser encaminhada no prazo de até 02:00 horas</w:t>
      </w:r>
      <w:r>
        <w:rPr>
          <w:color w:val="000000"/>
          <w:sz w:val="24"/>
          <w:szCs w:val="24"/>
        </w:rPr>
        <w:t>, a contar da solicitação do Pregoeiro no sistema eletrônico e deverá:</w:t>
      </w:r>
    </w:p>
    <w:p w14:paraId="4F593320">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567" w:right="-852" w:firstLine="0"/>
        <w:jc w:val="both"/>
        <w:rPr>
          <w:color w:val="000000"/>
          <w:sz w:val="24"/>
          <w:szCs w:val="24"/>
        </w:rPr>
      </w:pPr>
      <w:r>
        <w:rPr>
          <w:color w:val="000000"/>
          <w:sz w:val="24"/>
          <w:szCs w:val="24"/>
        </w:rPr>
        <w:t>ser redigida em língua portuguesa, datilografada ou digitada, em uma via, sem emendas, rasuras, entrelinhas ou ressalvas, devendo a última folha ser assinada e as demais rubricadas pelo licitante ou seu representante legal.</w:t>
      </w:r>
    </w:p>
    <w:p w14:paraId="0D85DE7F">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567" w:right="-852" w:firstLine="0"/>
        <w:jc w:val="both"/>
        <w:rPr>
          <w:color w:val="000000"/>
          <w:sz w:val="24"/>
          <w:szCs w:val="24"/>
        </w:rPr>
      </w:pPr>
      <w:r>
        <w:rPr>
          <w:color w:val="000000"/>
          <w:sz w:val="24"/>
          <w:szCs w:val="24"/>
        </w:rPr>
        <w:t>apresentar a planilha de custos e formação de preços, devidamente ajustada ao lance vencedor;</w:t>
      </w:r>
    </w:p>
    <w:p w14:paraId="2DECE85C">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567" w:right="-852" w:firstLine="0"/>
        <w:jc w:val="both"/>
        <w:rPr>
          <w:color w:val="000000"/>
          <w:sz w:val="24"/>
          <w:szCs w:val="24"/>
        </w:rPr>
      </w:pPr>
      <w:r>
        <w:rPr>
          <w:color w:val="000000"/>
          <w:sz w:val="24"/>
          <w:szCs w:val="24"/>
        </w:rPr>
        <w:t>conter a indicação do banco, número da conta e agência do licitante  vencedor, para fins de pagamento.</w:t>
      </w:r>
    </w:p>
    <w:p w14:paraId="0086E30D">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567" w:right="-852" w:firstLine="0"/>
        <w:jc w:val="both"/>
        <w:rPr>
          <w:color w:val="000000"/>
          <w:sz w:val="24"/>
          <w:szCs w:val="24"/>
        </w:rPr>
      </w:pPr>
      <w:r>
        <w:rPr>
          <w:color w:val="000000"/>
          <w:sz w:val="24"/>
          <w:szCs w:val="24"/>
        </w:rPr>
        <w:t>A proposta final deverá ser documentada nos autos e será levada em consideração no decorrer da execução do contrato e aplicação de eventual sanção à Contratada, se for o caso.</w:t>
      </w:r>
    </w:p>
    <w:p w14:paraId="42CCBFC6">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567" w:right="-852" w:firstLine="0"/>
        <w:jc w:val="both"/>
        <w:rPr>
          <w:color w:val="000000"/>
          <w:sz w:val="24"/>
          <w:szCs w:val="24"/>
        </w:rPr>
      </w:pPr>
      <w:r>
        <w:rPr>
          <w:color w:val="000000"/>
          <w:sz w:val="24"/>
          <w:szCs w:val="24"/>
        </w:rPr>
        <w:t>Todas as especificações do objeto contidas na proposta vinculam a Contratada.</w:t>
      </w:r>
    </w:p>
    <w:p w14:paraId="1365E89E">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567" w:right="-852" w:firstLine="0"/>
        <w:jc w:val="both"/>
        <w:rPr>
          <w:color w:val="000000"/>
          <w:sz w:val="24"/>
          <w:szCs w:val="24"/>
        </w:rPr>
      </w:pPr>
      <w:r>
        <w:rPr>
          <w:color w:val="000000"/>
          <w:sz w:val="24"/>
          <w:szCs w:val="24"/>
        </w:rPr>
        <w:t>Os preços deverão ser expressos em moeda corrente nacional, o valor unitário em algarismos e o valor global em algarismos e por extenso (art. 12, inciso II da Lei nº 14.133/21).</w:t>
      </w:r>
    </w:p>
    <w:p w14:paraId="68F87818">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567" w:right="-852" w:firstLine="0"/>
        <w:jc w:val="both"/>
        <w:rPr>
          <w:color w:val="000000"/>
          <w:sz w:val="24"/>
          <w:szCs w:val="24"/>
        </w:rPr>
      </w:pPr>
      <w:r>
        <w:rPr>
          <w:color w:val="000000"/>
          <w:sz w:val="24"/>
          <w:szCs w:val="24"/>
        </w:rPr>
        <w:t>Ocorrendo divergência entre os preços unitários e o preço global, prevalecerão os primeiros; no caso de divergência entre os valores numéricos e os valores expressos por extenso, prevalecerão estes últimos.</w:t>
      </w:r>
    </w:p>
    <w:p w14:paraId="145C549E">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567" w:right="-852" w:firstLine="0"/>
        <w:jc w:val="both"/>
        <w:rPr>
          <w:color w:val="000000"/>
          <w:sz w:val="24"/>
          <w:szCs w:val="24"/>
        </w:rPr>
      </w:pPr>
      <w:r>
        <w:rPr>
          <w:color w:val="000000"/>
          <w:sz w:val="24"/>
          <w:szCs w:val="24"/>
        </w:rPr>
        <w:t>A oferta deverá ser firme e precisa, limitada, rigorosamente, ao objeto deste Edital, sem conter alternativas de preço ou de qualquer outra condição que induza o julgamento a mais de um resultado, sob pena de desclassificação.</w:t>
      </w:r>
    </w:p>
    <w:p w14:paraId="69C2AE8F">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567" w:right="-852" w:firstLine="0"/>
        <w:jc w:val="both"/>
        <w:rPr>
          <w:color w:val="000000"/>
          <w:sz w:val="24"/>
          <w:szCs w:val="24"/>
        </w:rPr>
      </w:pPr>
      <w:r>
        <w:rPr>
          <w:color w:val="000000"/>
          <w:sz w:val="24"/>
          <w:szCs w:val="24"/>
        </w:rPr>
        <w:t>A proposta deverá obedecer aos termos deste Edital e seus Anexos, não sendo considerada aquela que não corresponda às especificações ali contidas ou que estabeleça vínculo à proposta de outro licitante.</w:t>
      </w:r>
    </w:p>
    <w:p w14:paraId="7C84D524">
      <w:pPr>
        <w:numPr>
          <w:ilvl w:val="1"/>
          <w:numId w:val="8"/>
        </w:numPr>
        <w:tabs>
          <w:tab w:val="left" w:pos="567"/>
          <w:tab w:val="left" w:pos="709"/>
        </w:tabs>
        <w:ind w:left="-567" w:right="-852" w:firstLine="0"/>
        <w:jc w:val="both"/>
        <w:rPr>
          <w:sz w:val="24"/>
          <w:szCs w:val="24"/>
        </w:rPr>
      </w:pPr>
      <w:r>
        <w:rPr>
          <w:sz w:val="24"/>
          <w:szCs w:val="24"/>
        </w:rPr>
        <w:t>As propostas que contenham a descrição do objeto, o valor e os documentos complementares estarão disponíveis na internet, após a homologação.</w:t>
      </w:r>
    </w:p>
    <w:p w14:paraId="41A33ADE">
      <w:pPr>
        <w:ind w:left="-567" w:right="-852"/>
        <w:jc w:val="both"/>
        <w:rPr>
          <w:sz w:val="24"/>
          <w:szCs w:val="24"/>
        </w:rPr>
      </w:pPr>
    </w:p>
    <w:p w14:paraId="31595EE9">
      <w:pPr>
        <w:keepNext/>
        <w:keepLines/>
        <w:numPr>
          <w:ilvl w:val="0"/>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b/>
          <w:color w:val="000000"/>
          <w:sz w:val="24"/>
          <w:szCs w:val="24"/>
        </w:rPr>
      </w:pPr>
      <w:r>
        <w:rPr>
          <w:b/>
          <w:color w:val="000000"/>
          <w:sz w:val="24"/>
          <w:szCs w:val="24"/>
        </w:rPr>
        <w:t>DOS RECURSOS</w:t>
      </w:r>
    </w:p>
    <w:p w14:paraId="0FA03323">
      <w:pPr>
        <w:numPr>
          <w:ilvl w:val="1"/>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 xml:space="preserve">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\h </w:instrText>
      </w:r>
      <w:r>
        <w:fldChar w:fldCharType="separate"/>
      </w:r>
      <w:r>
        <w:rPr>
          <w:color w:val="000080"/>
          <w:sz w:val="24"/>
          <w:szCs w:val="24"/>
          <w:u w:val="single"/>
        </w:rPr>
        <w:t>art. 165 da Lei nº 14.133, de 2021</w:t>
      </w:r>
      <w:r>
        <w:rPr>
          <w:color w:val="000080"/>
          <w:sz w:val="24"/>
          <w:szCs w:val="24"/>
          <w:u w:val="single"/>
        </w:rPr>
        <w:fldChar w:fldCharType="end"/>
      </w:r>
      <w:r>
        <w:rPr>
          <w:color w:val="000000"/>
          <w:sz w:val="24"/>
          <w:szCs w:val="24"/>
        </w:rPr>
        <w:t>.</w:t>
      </w:r>
    </w:p>
    <w:p w14:paraId="7DF6E356">
      <w:pPr>
        <w:numPr>
          <w:ilvl w:val="1"/>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O prazo recursal é de 3 (três) dias úteis, contados da data de intimação ou de lavratura da ata.</w:t>
      </w:r>
    </w:p>
    <w:p w14:paraId="70DC221A">
      <w:pPr>
        <w:numPr>
          <w:ilvl w:val="1"/>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Quando o recurso apresentado impugnar o julgamento das propostas ou o ato de habilitação ou inabilitação do licitante:</w:t>
      </w:r>
    </w:p>
    <w:p w14:paraId="037056C8">
      <w:pPr>
        <w:numPr>
          <w:ilvl w:val="2"/>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bookmarkStart w:id="32" w:name="_heading=h.23ckvvd" w:colFirst="0" w:colLast="0"/>
      <w:bookmarkEnd w:id="32"/>
      <w:r>
        <w:rPr>
          <w:color w:val="000000"/>
          <w:sz w:val="24"/>
          <w:szCs w:val="24"/>
        </w:rPr>
        <w:t>a intenção de recorrer deverá ser manifestada imediatamente, sob pena de preclusão;</w:t>
      </w:r>
    </w:p>
    <w:p w14:paraId="50436568">
      <w:pPr>
        <w:numPr>
          <w:ilvl w:val="2"/>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o prazo para a manifestação da intenção de recorrer será de 30 (trinta) minutos.</w:t>
      </w:r>
    </w:p>
    <w:p w14:paraId="63E0D234">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426"/>
          <w:tab w:val="left" w:pos="851"/>
        </w:tabs>
        <w:ind w:left="-567" w:right="-852" w:firstLine="0"/>
        <w:jc w:val="both"/>
        <w:rPr>
          <w:color w:val="000000"/>
          <w:sz w:val="24"/>
          <w:szCs w:val="24"/>
        </w:rPr>
      </w:pPr>
      <w:r>
        <w:rPr>
          <w:color w:val="000000"/>
          <w:sz w:val="24"/>
          <w:szCs w:val="24"/>
        </w:rPr>
        <w:t>Nesse momento o Pregoeiro não adentrará no mérito recursal, mas apenas verificará as condições de admissibilidade do recurso.</w:t>
      </w:r>
    </w:p>
    <w:p w14:paraId="3DA0C9FF">
      <w:pPr>
        <w:numPr>
          <w:ilvl w:val="2"/>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o prazo para apresentação das razões recursais será iniciado na data de intimação ou de lavratura da ata de habilitação ou inabilitação;</w:t>
      </w:r>
    </w:p>
    <w:p w14:paraId="1EAE8EEB">
      <w:pPr>
        <w:numPr>
          <w:ilvl w:val="2"/>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na hipótese de adoção da inversão de fases prevista no </w:t>
      </w:r>
      <w:r>
        <w:fldChar w:fldCharType="begin"/>
      </w:r>
      <w:r>
        <w:instrText xml:space="preserve"> HYPERLINK "http://www.planalto.gov.br/ccivil_03/_ato2019-2022/2021/lei/L14133.htm" \l "art17%C2%A71" \h </w:instrText>
      </w:r>
      <w:r>
        <w:fldChar w:fldCharType="separate"/>
      </w:r>
      <w:r>
        <w:rPr>
          <w:color w:val="000080"/>
          <w:sz w:val="24"/>
          <w:szCs w:val="24"/>
          <w:u w:val="single"/>
        </w:rPr>
        <w:t>§ 1º do art. 17 da Lei nº 14.133, de 2021</w:t>
      </w:r>
      <w:r>
        <w:rPr>
          <w:color w:val="000080"/>
          <w:sz w:val="24"/>
          <w:szCs w:val="24"/>
          <w:u w:val="single"/>
        </w:rPr>
        <w:fldChar w:fldCharType="end"/>
      </w:r>
      <w:r>
        <w:rPr>
          <w:color w:val="000000"/>
          <w:sz w:val="24"/>
          <w:szCs w:val="24"/>
        </w:rPr>
        <w:t>, o prazo para apresentação das razões recursais será iniciado na data de intimação da ata de julgamento.</w:t>
      </w:r>
    </w:p>
    <w:p w14:paraId="1B2B3D74">
      <w:pPr>
        <w:numPr>
          <w:ilvl w:val="1"/>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Os recursos deverão ser encaminhados em campo próprio do sistema.</w:t>
      </w:r>
    </w:p>
    <w:p w14:paraId="7C9F17EC">
      <w:pPr>
        <w:numPr>
          <w:ilvl w:val="1"/>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O recurso será dirigido ao responsável pela condução do edital, o qual poderá reconsiderar sua decisão no prazo de 3 (três) dias úteis, ou, nesse mesmo prazo, encaminhar recurso para a autoridade superior, a qual deverá proferir sua decisão no prazo de 10 (dez) dias úteis, contado do recebimento dos autos.</w:t>
      </w:r>
    </w:p>
    <w:p w14:paraId="7C175B6A">
      <w:pPr>
        <w:numPr>
          <w:ilvl w:val="1"/>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 xml:space="preserve">Os recursos interpostos fora do prazo não serão conhecidos. </w:t>
      </w:r>
    </w:p>
    <w:p w14:paraId="68E87A42">
      <w:pPr>
        <w:numPr>
          <w:ilvl w:val="1"/>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B6E37AD">
      <w:pPr>
        <w:numPr>
          <w:ilvl w:val="1"/>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 xml:space="preserve">O recurso e o pedido de reconsideração terão efeito suspensivo do ato ou da decisão recorrida até que sobrevenha decisão final da autoridade competente. </w:t>
      </w:r>
    </w:p>
    <w:p w14:paraId="3F7CF305">
      <w:pPr>
        <w:numPr>
          <w:ilvl w:val="1"/>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 xml:space="preserve">O acolhimento do recurso invalida tão somente os atos insuscetíveis de aproveitamento. </w:t>
      </w:r>
    </w:p>
    <w:p w14:paraId="73724237">
      <w:pPr>
        <w:numPr>
          <w:ilvl w:val="1"/>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 xml:space="preserve">Os autos do processo permanecerão com </w:t>
      </w:r>
      <w:r>
        <w:rPr>
          <w:sz w:val="24"/>
          <w:szCs w:val="24"/>
        </w:rPr>
        <w:t>vista franqueada aos interessados no sítio eletrônico no site https://bnc.org.br/.</w:t>
      </w:r>
    </w:p>
    <w:p w14:paraId="690D74B8">
      <w:pPr>
        <w:pBdr>
          <w:top w:val="none" w:color="auto" w:sz="0" w:space="0"/>
          <w:left w:val="none" w:color="auto" w:sz="0" w:space="0"/>
          <w:bottom w:val="none" w:color="auto" w:sz="0" w:space="0"/>
          <w:right w:val="none" w:color="auto" w:sz="0" w:space="0"/>
          <w:between w:val="none" w:color="auto" w:sz="0" w:space="0"/>
        </w:pBdr>
        <w:ind w:left="-567" w:right="-852"/>
        <w:jc w:val="both"/>
        <w:rPr>
          <w:color w:val="000000"/>
          <w:sz w:val="24"/>
          <w:szCs w:val="24"/>
        </w:rPr>
      </w:pPr>
    </w:p>
    <w:p w14:paraId="11B6FDA2">
      <w:pPr>
        <w:keepNext/>
        <w:keepLines/>
        <w:numPr>
          <w:ilvl w:val="0"/>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b/>
          <w:color w:val="000000"/>
          <w:sz w:val="24"/>
          <w:szCs w:val="24"/>
        </w:rPr>
      </w:pPr>
      <w:r>
        <w:rPr>
          <w:b/>
          <w:color w:val="000000"/>
          <w:sz w:val="24"/>
          <w:szCs w:val="24"/>
        </w:rPr>
        <w:t>DA REABERTURA DA SESSÃO PÚBLICA</w:t>
      </w:r>
    </w:p>
    <w:p w14:paraId="26F50433">
      <w:pPr>
        <w:numPr>
          <w:ilvl w:val="1"/>
          <w:numId w:val="8"/>
        </w:numPr>
        <w:ind w:left="-567" w:right="-852" w:firstLine="0"/>
        <w:jc w:val="both"/>
        <w:rPr>
          <w:color w:val="000000"/>
          <w:sz w:val="24"/>
          <w:szCs w:val="24"/>
        </w:rPr>
      </w:pPr>
      <w:r>
        <w:rPr>
          <w:sz w:val="24"/>
          <w:szCs w:val="24"/>
        </w:rPr>
        <w:t>A sessão pública poderá ser reaberta:</w:t>
      </w:r>
    </w:p>
    <w:p w14:paraId="5E4BAC8D">
      <w:pPr>
        <w:numPr>
          <w:ilvl w:val="2"/>
          <w:numId w:val="8"/>
        </w:numPr>
        <w:tabs>
          <w:tab w:val="left" w:pos="1440"/>
        </w:tabs>
        <w:ind w:left="-567" w:right="-852" w:firstLine="0"/>
        <w:jc w:val="both"/>
        <w:rPr>
          <w:color w:val="000000"/>
          <w:sz w:val="24"/>
          <w:szCs w:val="24"/>
        </w:rPr>
      </w:pPr>
      <w:r>
        <w:rPr>
          <w:color w:val="000000"/>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221DC851">
      <w:pPr>
        <w:numPr>
          <w:ilvl w:val="2"/>
          <w:numId w:val="8"/>
        </w:numPr>
        <w:tabs>
          <w:tab w:val="left" w:pos="1440"/>
        </w:tabs>
        <w:ind w:left="-567" w:right="-852" w:firstLine="0"/>
        <w:jc w:val="both"/>
        <w:rPr>
          <w:color w:val="000000"/>
          <w:sz w:val="24"/>
          <w:szCs w:val="24"/>
        </w:rPr>
      </w:pPr>
      <w:r>
        <w:rPr>
          <w:color w:val="000000"/>
          <w:sz w:val="24"/>
          <w:szCs w:val="24"/>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serão adotados os procedimentos imediatamente posteriores ao encerramento da etapa de lances. </w:t>
      </w:r>
    </w:p>
    <w:p w14:paraId="32BF687F">
      <w:pPr>
        <w:numPr>
          <w:ilvl w:val="1"/>
          <w:numId w:val="8"/>
        </w:numPr>
        <w:ind w:left="-567" w:right="-852" w:firstLine="0"/>
        <w:jc w:val="both"/>
        <w:rPr>
          <w:sz w:val="24"/>
          <w:szCs w:val="24"/>
        </w:rPr>
      </w:pPr>
      <w:r>
        <w:rPr>
          <w:sz w:val="24"/>
          <w:szCs w:val="24"/>
        </w:rPr>
        <w:t>Todos os licitantes remanescentes deverão ser convocados para acompanhar a sessão reaberta.</w:t>
      </w:r>
    </w:p>
    <w:p w14:paraId="12849D91">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567"/>
        </w:tabs>
        <w:ind w:left="-567" w:right="-852" w:firstLine="0"/>
        <w:jc w:val="both"/>
        <w:rPr>
          <w:color w:val="000000"/>
          <w:sz w:val="24"/>
          <w:szCs w:val="24"/>
        </w:rPr>
      </w:pPr>
      <w:r>
        <w:rPr>
          <w:color w:val="000000"/>
          <w:sz w:val="24"/>
          <w:szCs w:val="24"/>
        </w:rPr>
        <w:t>A convocação se dará por meio do sistema eletrônico (“chat”) ou e-mail de acordo com a fase do procedimento licitatório.</w:t>
      </w:r>
    </w:p>
    <w:p w14:paraId="5B38893E">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567"/>
        </w:tabs>
        <w:ind w:left="-567" w:right="-852" w:firstLine="0"/>
        <w:jc w:val="both"/>
        <w:rPr>
          <w:color w:val="000000"/>
          <w:sz w:val="24"/>
          <w:szCs w:val="24"/>
        </w:rPr>
      </w:pPr>
      <w:r>
        <w:rPr>
          <w:color w:val="000000"/>
          <w:sz w:val="24"/>
          <w:szCs w:val="24"/>
        </w:rPr>
        <w:t>A convocação feita por e-mail dar-se-á de acordo com os dados contidos no BNC, sendo responsabilidade do licitante manter seus dados cadastrais atualizados.</w:t>
      </w:r>
    </w:p>
    <w:p w14:paraId="4DFC7F57">
      <w:pPr>
        <w:ind w:left="-567" w:right="-852"/>
      </w:pPr>
    </w:p>
    <w:p w14:paraId="2338A4D5">
      <w:pPr>
        <w:keepNext/>
        <w:keepLines/>
        <w:numPr>
          <w:ilvl w:val="0"/>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b/>
          <w:color w:val="000000"/>
          <w:sz w:val="24"/>
          <w:szCs w:val="24"/>
        </w:rPr>
      </w:pPr>
      <w:r>
        <w:rPr>
          <w:b/>
          <w:color w:val="000000"/>
          <w:sz w:val="24"/>
          <w:szCs w:val="24"/>
        </w:rPr>
        <w:t>DA ADJUDICAÇÃO E HOMOLOGAÇÃO</w:t>
      </w:r>
    </w:p>
    <w:p w14:paraId="724446E6">
      <w:pPr>
        <w:numPr>
          <w:ilvl w:val="1"/>
          <w:numId w:val="8"/>
        </w:numPr>
        <w:ind w:left="-567" w:right="-852" w:firstLine="0"/>
        <w:jc w:val="both"/>
        <w:rPr>
          <w:sz w:val="24"/>
          <w:szCs w:val="24"/>
        </w:rPr>
      </w:pPr>
      <w:r>
        <w:rPr>
          <w:sz w:val="24"/>
          <w:szCs w:val="24"/>
        </w:rPr>
        <w:t>O objeto da licitação será adjudicado e homologado ao licitante declarado vencedor, por ato da autoridade competente, após a regular decisão dos recursos apresentados.</w:t>
      </w:r>
    </w:p>
    <w:p w14:paraId="155B7A91">
      <w:pPr>
        <w:ind w:left="-567" w:right="-852"/>
        <w:jc w:val="both"/>
        <w:rPr>
          <w:sz w:val="24"/>
          <w:szCs w:val="24"/>
        </w:rPr>
      </w:pPr>
    </w:p>
    <w:p w14:paraId="1D88C072">
      <w:pPr>
        <w:keepNext/>
        <w:keepLines/>
        <w:numPr>
          <w:ilvl w:val="0"/>
          <w:numId w:val="8"/>
        </w:numPr>
        <w:pBdr>
          <w:top w:val="none" w:color="auto" w:sz="0" w:space="0"/>
          <w:left w:val="none" w:color="auto" w:sz="0" w:space="0"/>
          <w:bottom w:val="none" w:color="auto" w:sz="0" w:space="0"/>
          <w:right w:val="none" w:color="auto" w:sz="0" w:space="0"/>
          <w:between w:val="none" w:color="auto" w:sz="0" w:space="0"/>
        </w:pBdr>
        <w:ind w:left="-567" w:right="-852" w:firstLine="0"/>
        <w:jc w:val="both"/>
        <w:rPr>
          <w:b/>
          <w:color w:val="000000"/>
          <w:sz w:val="24"/>
          <w:szCs w:val="24"/>
        </w:rPr>
      </w:pPr>
      <w:r>
        <w:rPr>
          <w:b/>
          <w:color w:val="000000"/>
          <w:sz w:val="24"/>
          <w:szCs w:val="24"/>
        </w:rPr>
        <w:t>DA GARANTIA DE EXECUÇÃO</w:t>
      </w:r>
    </w:p>
    <w:p w14:paraId="7D4F58DA">
      <w:pPr>
        <w:numPr>
          <w:ilvl w:val="1"/>
          <w:numId w:val="10"/>
        </w:numPr>
        <w:pBdr>
          <w:top w:val="none" w:color="auto" w:sz="0" w:space="0"/>
          <w:left w:val="none" w:color="auto" w:sz="0" w:space="0"/>
          <w:bottom w:val="none" w:color="auto" w:sz="0" w:space="0"/>
          <w:right w:val="none" w:color="auto" w:sz="0" w:space="0"/>
          <w:between w:val="none" w:color="auto" w:sz="0" w:space="0"/>
        </w:pBdr>
        <w:ind w:left="-567" w:right="-852" w:firstLine="0"/>
        <w:jc w:val="both"/>
        <w:rPr>
          <w:sz w:val="24"/>
          <w:szCs w:val="24"/>
        </w:rPr>
      </w:pPr>
      <w:r>
        <w:rPr>
          <w:color w:val="000000"/>
          <w:sz w:val="24"/>
          <w:szCs w:val="24"/>
        </w:rPr>
        <w:t>Não haverá exigência de garantia de execução para a presente contratação.</w:t>
      </w:r>
    </w:p>
    <w:p w14:paraId="0A203BCF">
      <w:pPr>
        <w:pBdr>
          <w:top w:val="none" w:color="auto" w:sz="0" w:space="0"/>
          <w:left w:val="none" w:color="auto" w:sz="0" w:space="0"/>
          <w:bottom w:val="none" w:color="auto" w:sz="0" w:space="0"/>
          <w:right w:val="none" w:color="auto" w:sz="0" w:space="0"/>
          <w:between w:val="none" w:color="auto" w:sz="0" w:space="0"/>
        </w:pBdr>
        <w:ind w:left="-567" w:right="-852"/>
        <w:jc w:val="center"/>
        <w:rPr>
          <w:b/>
          <w:color w:val="FF0000"/>
          <w:sz w:val="24"/>
          <w:szCs w:val="24"/>
          <w:u w:val="single"/>
        </w:rPr>
      </w:pPr>
    </w:p>
    <w:p w14:paraId="1D298837">
      <w:pPr>
        <w:keepNext/>
        <w:keepLines/>
        <w:numPr>
          <w:ilvl w:val="0"/>
          <w:numId w:val="10"/>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b/>
          <w:color w:val="000000"/>
          <w:sz w:val="24"/>
          <w:szCs w:val="24"/>
        </w:rPr>
        <w:t>DA ATA DE REGISTRO DE PREÇOS</w:t>
      </w:r>
    </w:p>
    <w:p w14:paraId="09ED1099">
      <w:pPr>
        <w:numPr>
          <w:ilvl w:val="1"/>
          <w:numId w:val="10"/>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 xml:space="preserve">Homologado o resultado da licitação, terá o adjudicatário o prazo de 5 (cinco) dias úteis, contados a partir da data de sua convocação, para assinar a Ata de Registro de Preços, cujo prazo de validade encontra-se nela fixado, sob pena de decair do direito à contratação, sem prejuízo das sanções previstas neste Edital. </w:t>
      </w:r>
    </w:p>
    <w:p w14:paraId="093DA182">
      <w:pPr>
        <w:numPr>
          <w:ilvl w:val="1"/>
          <w:numId w:val="10"/>
        </w:numPr>
        <w:ind w:left="-567" w:right="-852" w:firstLine="0"/>
        <w:jc w:val="both"/>
        <w:rPr>
          <w:sz w:val="24"/>
          <w:szCs w:val="24"/>
        </w:rPr>
      </w:pPr>
      <w:r>
        <w:rPr>
          <w:color w:val="000000"/>
          <w:sz w:val="24"/>
          <w:szCs w:val="24"/>
        </w:rPr>
        <w:t>Alternativamente à convocação para comparecer perante o órgão ou entidade para a assinatura da Ata de Registro de Preços, a Administração poderá encaminhá-la para assinatura, mediante correspondência postal com aviso de recebimento (AR) ou meio eletrônico, para que seja assinada e devolvida no prazo de 5 (cinco) dias úteis, a contar da data de seu recebimento.</w:t>
      </w:r>
    </w:p>
    <w:p w14:paraId="598411F4">
      <w:pPr>
        <w:numPr>
          <w:ilvl w:val="1"/>
          <w:numId w:val="10"/>
        </w:numPr>
        <w:ind w:left="-567" w:right="-852" w:firstLine="0"/>
        <w:jc w:val="both"/>
        <w:rPr>
          <w:sz w:val="24"/>
          <w:szCs w:val="24"/>
        </w:rPr>
      </w:pPr>
      <w:r>
        <w:rPr>
          <w:color w:val="000000"/>
          <w:sz w:val="24"/>
          <w:szCs w:val="24"/>
        </w:rPr>
        <w:t>O prazo estabelecido no subitem anterior para assinatura da Ata de Registro de Preços poderá ser prorrogado uma única vez, por igual período, quando solicitado pelo(s) licitante(s) vencedor(s), durante o seu transcurso, e desde que devidamente aceito.</w:t>
      </w:r>
    </w:p>
    <w:p w14:paraId="15A8DF11">
      <w:pPr>
        <w:numPr>
          <w:ilvl w:val="1"/>
          <w:numId w:val="10"/>
        </w:numPr>
        <w:ind w:left="-567" w:right="-852" w:firstLine="0"/>
        <w:jc w:val="both"/>
        <w:rPr>
          <w:sz w:val="24"/>
          <w:szCs w:val="24"/>
        </w:rPr>
      </w:pPr>
      <w:r>
        <w:rPr>
          <w:color w:val="000000"/>
          <w:sz w:val="24"/>
          <w:szCs w:val="24"/>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14:paraId="727564AB">
      <w:pPr>
        <w:numPr>
          <w:ilvl w:val="1"/>
          <w:numId w:val="10"/>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O preço registrado, com a indicação dos fornecedores, será divulgado no PNCP e disponibilizado durante a vigência da ata de registro de preços.</w:t>
      </w:r>
    </w:p>
    <w:p w14:paraId="71CCB636">
      <w:pPr>
        <w:numPr>
          <w:ilvl w:val="1"/>
          <w:numId w:val="10"/>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93F7006">
      <w:pPr>
        <w:numPr>
          <w:ilvl w:val="1"/>
          <w:numId w:val="10"/>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695F0BA2">
      <w:pPr>
        <w:pBdr>
          <w:top w:val="none" w:color="auto" w:sz="0" w:space="0"/>
          <w:left w:val="none" w:color="auto" w:sz="0" w:space="0"/>
          <w:bottom w:val="none" w:color="auto" w:sz="0" w:space="0"/>
          <w:right w:val="none" w:color="auto" w:sz="0" w:space="0"/>
          <w:between w:val="none" w:color="auto" w:sz="0" w:space="0"/>
        </w:pBdr>
        <w:ind w:left="-567" w:right="-852"/>
        <w:jc w:val="both"/>
        <w:rPr>
          <w:color w:val="000000"/>
          <w:sz w:val="24"/>
          <w:szCs w:val="24"/>
        </w:rPr>
      </w:pPr>
    </w:p>
    <w:p w14:paraId="51F06C5B">
      <w:pPr>
        <w:keepNext/>
        <w:keepLines/>
        <w:numPr>
          <w:ilvl w:val="0"/>
          <w:numId w:val="10"/>
        </w:numPr>
        <w:pBdr>
          <w:top w:val="none" w:color="auto" w:sz="0" w:space="0"/>
          <w:left w:val="none" w:color="auto" w:sz="0" w:space="0"/>
          <w:bottom w:val="none" w:color="auto" w:sz="0" w:space="0"/>
          <w:right w:val="none" w:color="auto" w:sz="0" w:space="0"/>
          <w:between w:val="none" w:color="auto" w:sz="0" w:space="0"/>
        </w:pBdr>
        <w:tabs>
          <w:tab w:val="left" w:pos="567"/>
        </w:tabs>
        <w:ind w:left="-567" w:right="-852" w:firstLine="0"/>
        <w:jc w:val="both"/>
        <w:rPr>
          <w:b/>
          <w:color w:val="000000"/>
          <w:sz w:val="24"/>
          <w:szCs w:val="24"/>
        </w:rPr>
      </w:pPr>
      <w:bookmarkStart w:id="33" w:name="_heading=h.ihv636" w:colFirst="0" w:colLast="0"/>
      <w:bookmarkEnd w:id="33"/>
      <w:r>
        <w:rPr>
          <w:b/>
          <w:color w:val="000000"/>
          <w:sz w:val="24"/>
          <w:szCs w:val="24"/>
        </w:rPr>
        <w:t xml:space="preserve">DA FORMAÇÃO DO CADASTRO DE RESERVA </w:t>
      </w:r>
    </w:p>
    <w:p w14:paraId="43EC09F9">
      <w:pPr>
        <w:numPr>
          <w:ilvl w:val="1"/>
          <w:numId w:val="10"/>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Após a homologação da licitação, será incluído na ata, na forma de anexo, o registro:</w:t>
      </w:r>
    </w:p>
    <w:p w14:paraId="59978AC3">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709"/>
          <w:tab w:val="left" w:pos="993"/>
        </w:tabs>
        <w:ind w:left="-567" w:right="-852" w:firstLine="0"/>
        <w:jc w:val="both"/>
        <w:rPr>
          <w:color w:val="000000"/>
          <w:sz w:val="24"/>
          <w:szCs w:val="24"/>
        </w:rPr>
      </w:pPr>
      <w:bookmarkStart w:id="34" w:name="_heading=h.32hioqz" w:colFirst="0" w:colLast="0"/>
      <w:bookmarkEnd w:id="34"/>
      <w:r>
        <w:rPr>
          <w:color w:val="000000"/>
          <w:sz w:val="24"/>
          <w:szCs w:val="24"/>
        </w:rPr>
        <w:t xml:space="preserve">dos licitantes que aceitarem cotar o objeto com preço igual ao do adjudicatário, observada a classificação na licitação; e </w:t>
      </w:r>
    </w:p>
    <w:p w14:paraId="220D302E">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709"/>
          <w:tab w:val="left" w:pos="993"/>
        </w:tabs>
        <w:ind w:left="-567" w:right="-852" w:firstLine="0"/>
        <w:jc w:val="both"/>
        <w:rPr>
          <w:color w:val="000000"/>
          <w:sz w:val="24"/>
          <w:szCs w:val="24"/>
        </w:rPr>
      </w:pPr>
      <w:r>
        <w:rPr>
          <w:color w:val="000000"/>
          <w:sz w:val="24"/>
          <w:szCs w:val="24"/>
        </w:rPr>
        <w:t>dos licitantes que mantiverem sua proposta original.</w:t>
      </w:r>
    </w:p>
    <w:p w14:paraId="741012E1">
      <w:pPr>
        <w:numPr>
          <w:ilvl w:val="1"/>
          <w:numId w:val="10"/>
        </w:numPr>
        <w:pBdr>
          <w:top w:val="none" w:color="auto" w:sz="0" w:space="0"/>
          <w:left w:val="none" w:color="auto" w:sz="0" w:space="0"/>
          <w:bottom w:val="none" w:color="auto" w:sz="0" w:space="0"/>
          <w:right w:val="none" w:color="auto" w:sz="0" w:space="0"/>
          <w:between w:val="none" w:color="auto" w:sz="0" w:space="0"/>
        </w:pBdr>
        <w:tabs>
          <w:tab w:val="left" w:pos="709"/>
          <w:tab w:val="left" w:pos="993"/>
        </w:tabs>
        <w:ind w:left="-567" w:right="-852" w:firstLine="0"/>
        <w:jc w:val="both"/>
        <w:rPr>
          <w:i/>
          <w:color w:val="000000"/>
          <w:sz w:val="24"/>
          <w:szCs w:val="24"/>
        </w:rPr>
      </w:pPr>
      <w:r>
        <w:rPr>
          <w:color w:val="000000"/>
          <w:sz w:val="24"/>
          <w:szCs w:val="24"/>
        </w:rPr>
        <w:t>Será respeitada, nas contratações, a ordem de classificação dos licitantes ou fornecedores registrados na ata.</w:t>
      </w:r>
    </w:p>
    <w:p w14:paraId="45F051C6">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993"/>
          <w:tab w:val="left" w:pos="1276"/>
        </w:tabs>
        <w:ind w:left="-567" w:right="-852" w:firstLine="0"/>
        <w:jc w:val="both"/>
        <w:rPr>
          <w:color w:val="000000"/>
          <w:sz w:val="24"/>
          <w:szCs w:val="24"/>
        </w:rPr>
      </w:pPr>
      <w:r>
        <w:rPr>
          <w:color w:val="000000"/>
          <w:sz w:val="24"/>
          <w:szCs w:val="24"/>
        </w:rPr>
        <w:t>A apresentação de novas propostas na forma deste item não prejudicará o resultado do certame em relação ao licitante mais bem classificado.</w:t>
      </w:r>
    </w:p>
    <w:p w14:paraId="447EA927">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993"/>
          <w:tab w:val="left" w:pos="1276"/>
        </w:tabs>
        <w:ind w:left="-567" w:right="-852" w:firstLine="0"/>
        <w:jc w:val="both"/>
        <w:rPr>
          <w:color w:val="000000"/>
          <w:sz w:val="24"/>
          <w:szCs w:val="24"/>
        </w:rPr>
      </w:pPr>
      <w:r>
        <w:rPr>
          <w:color w:val="000000"/>
          <w:sz w:val="24"/>
          <w:szCs w:val="24"/>
        </w:rPr>
        <w:t>Para fins da ordem de classificação, os licitantes ou fornecedores que aceitarem cotar o objeto com preço igual ao do adjudicatário antecederão aqueles que mantiverem sua proposta original.</w:t>
      </w:r>
    </w:p>
    <w:p w14:paraId="2D82CC17">
      <w:pPr>
        <w:numPr>
          <w:ilvl w:val="1"/>
          <w:numId w:val="10"/>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FF0000"/>
          <w:sz w:val="24"/>
          <w:szCs w:val="24"/>
        </w:rPr>
      </w:pPr>
      <w:r>
        <w:rPr>
          <w:color w:val="FF0000"/>
          <w:sz w:val="24"/>
          <w:szCs w:val="24"/>
        </w:rPr>
        <w:t xml:space="preserve"> </w:t>
      </w:r>
      <w:r>
        <w:rPr>
          <w:color w:val="000000"/>
          <w:sz w:val="24"/>
          <w:szCs w:val="24"/>
        </w:rPr>
        <w:t>A habilitação dos licitantes que comporão o cadastro de reserva será efetuada quando houver necessidade de contratação dos licitantes remanescentes, nas seguintes hipóteses:</w:t>
      </w:r>
    </w:p>
    <w:p w14:paraId="28366FF6">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993"/>
        </w:tabs>
        <w:ind w:left="-567" w:right="-852" w:firstLine="0"/>
        <w:jc w:val="both"/>
        <w:rPr>
          <w:color w:val="000000"/>
          <w:sz w:val="24"/>
          <w:szCs w:val="24"/>
        </w:rPr>
      </w:pPr>
      <w:r>
        <w:rPr>
          <w:color w:val="000000"/>
          <w:sz w:val="24"/>
          <w:szCs w:val="24"/>
        </w:rPr>
        <w:t xml:space="preserve"> quando o licitante vencedor não assinar a ata de registro de preços no prazo e nas condições estabelecidos no edital; ou</w:t>
      </w:r>
    </w:p>
    <w:p w14:paraId="6F5DC836">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993"/>
        </w:tabs>
        <w:ind w:left="-567" w:right="-852" w:firstLine="0"/>
        <w:jc w:val="both"/>
        <w:rPr>
          <w:color w:val="000000"/>
          <w:sz w:val="24"/>
          <w:szCs w:val="24"/>
        </w:rPr>
      </w:pPr>
      <w:r>
        <w:rPr>
          <w:color w:val="000000"/>
          <w:sz w:val="24"/>
          <w:szCs w:val="24"/>
        </w:rPr>
        <w:t>quando houver o cancelamento do registro do fornecedor ou do registro de preços, nas hipóteses previstas Decreto Municipal nº 296/2023.</w:t>
      </w:r>
    </w:p>
    <w:p w14:paraId="35717747">
      <w:pPr>
        <w:numPr>
          <w:ilvl w:val="1"/>
          <w:numId w:val="10"/>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382F6D38">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993"/>
        </w:tabs>
        <w:ind w:left="-567" w:right="-852" w:firstLine="0"/>
        <w:jc w:val="both"/>
        <w:rPr>
          <w:color w:val="000000"/>
          <w:sz w:val="24"/>
          <w:szCs w:val="24"/>
        </w:rPr>
      </w:pPr>
      <w:r>
        <w:rPr>
          <w:color w:val="000000"/>
          <w:sz w:val="24"/>
          <w:szCs w:val="24"/>
        </w:rPr>
        <w:t xml:space="preserve"> convocar os licitantes que mantiveram sua proposta original para negociação, na ordem de classificação, com vistas à obtenção de preço melhor, mesmo que acima do preço do adjudicatário; ou</w:t>
      </w:r>
    </w:p>
    <w:p w14:paraId="67EE96CB">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993"/>
        </w:tabs>
        <w:ind w:left="-567" w:right="-852" w:firstLine="0"/>
        <w:jc w:val="both"/>
        <w:rPr>
          <w:color w:val="000000"/>
          <w:sz w:val="24"/>
          <w:szCs w:val="24"/>
        </w:rPr>
      </w:pPr>
      <w:r>
        <w:rPr>
          <w:color w:val="000000"/>
          <w:sz w:val="24"/>
          <w:szCs w:val="24"/>
        </w:rPr>
        <w:t xml:space="preserve"> adjudicar e firmar o contrato nas condições ofertadas pelos licitantes remanescentes, observada a ordem de classificação, quando frustrada a negociação de melhor condição.</w:t>
      </w:r>
    </w:p>
    <w:p w14:paraId="2086698A">
      <w:pPr>
        <w:pBdr>
          <w:top w:val="none" w:color="auto" w:sz="0" w:space="0"/>
          <w:left w:val="none" w:color="auto" w:sz="0" w:space="0"/>
          <w:bottom w:val="none" w:color="auto" w:sz="0" w:space="0"/>
          <w:right w:val="none" w:color="auto" w:sz="0" w:space="0"/>
          <w:between w:val="none" w:color="auto" w:sz="0" w:space="0"/>
        </w:pBdr>
        <w:ind w:left="-567" w:right="-852"/>
        <w:jc w:val="both"/>
        <w:rPr>
          <w:color w:val="000000"/>
          <w:sz w:val="24"/>
          <w:szCs w:val="24"/>
        </w:rPr>
      </w:pPr>
    </w:p>
    <w:p w14:paraId="46198F53">
      <w:pPr>
        <w:keepNext/>
        <w:keepLines/>
        <w:numPr>
          <w:ilvl w:val="0"/>
          <w:numId w:val="10"/>
        </w:numPr>
        <w:pBdr>
          <w:top w:val="none" w:color="auto" w:sz="0" w:space="0"/>
          <w:left w:val="none" w:color="auto" w:sz="0" w:space="0"/>
          <w:bottom w:val="none" w:color="auto" w:sz="0" w:space="0"/>
          <w:right w:val="none" w:color="auto" w:sz="0" w:space="0"/>
          <w:between w:val="none" w:color="auto" w:sz="0" w:space="0"/>
        </w:pBdr>
        <w:ind w:left="-567" w:right="-852" w:firstLine="0"/>
        <w:jc w:val="both"/>
        <w:rPr>
          <w:b/>
          <w:color w:val="000000"/>
          <w:sz w:val="24"/>
          <w:szCs w:val="24"/>
        </w:rPr>
      </w:pPr>
      <w:r>
        <w:rPr>
          <w:b/>
          <w:color w:val="000000"/>
          <w:sz w:val="24"/>
          <w:szCs w:val="24"/>
        </w:rPr>
        <w:t>DO TERMO DE CONTRATO</w:t>
      </w:r>
    </w:p>
    <w:p w14:paraId="583AD1A6">
      <w:pPr>
        <w:numPr>
          <w:ilvl w:val="1"/>
          <w:numId w:val="10"/>
        </w:numPr>
        <w:ind w:left="-567" w:right="-852" w:firstLine="0"/>
        <w:jc w:val="both"/>
        <w:rPr>
          <w:sz w:val="24"/>
          <w:szCs w:val="24"/>
        </w:rPr>
      </w:pPr>
      <w:r>
        <w:rPr>
          <w:sz w:val="24"/>
          <w:szCs w:val="24"/>
        </w:rPr>
        <w:t>Após a homologação da licitação, em sendo realizada a contratação, será firmado Termo de Contrato ou emitido instrumento equivalente.</w:t>
      </w:r>
    </w:p>
    <w:p w14:paraId="2D6A3B17">
      <w:pPr>
        <w:numPr>
          <w:ilvl w:val="1"/>
          <w:numId w:val="10"/>
        </w:numPr>
        <w:ind w:left="-567" w:right="-852" w:firstLine="0"/>
        <w:jc w:val="both"/>
        <w:rPr>
          <w:sz w:val="24"/>
          <w:szCs w:val="24"/>
        </w:rPr>
      </w:pPr>
      <w:r>
        <w:rPr>
          <w:sz w:val="24"/>
          <w:szCs w:val="24"/>
        </w:rPr>
        <w:t xml:space="preserve">O adjudicatário terá o prazo de 05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4FAB8D58">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567"/>
        </w:tabs>
        <w:ind w:left="-567" w:right="-852" w:firstLine="0"/>
        <w:jc w:val="both"/>
        <w:rPr>
          <w:color w:val="000000"/>
          <w:sz w:val="24"/>
          <w:szCs w:val="24"/>
        </w:rPr>
      </w:pPr>
      <w:r>
        <w:rPr>
          <w:color w:val="000000"/>
          <w:sz w:val="24"/>
          <w:szCs w:val="24"/>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úteis, a contar da data de seu recebimento. </w:t>
      </w:r>
    </w:p>
    <w:p w14:paraId="2C7B830D">
      <w:pPr>
        <w:numPr>
          <w:ilvl w:val="2"/>
          <w:numId w:val="10"/>
        </w:numPr>
        <w:ind w:left="-567" w:right="-852" w:firstLine="0"/>
        <w:jc w:val="both"/>
        <w:rPr>
          <w:color w:val="000000"/>
          <w:sz w:val="24"/>
          <w:szCs w:val="24"/>
        </w:rPr>
      </w:pPr>
      <w:r>
        <w:rPr>
          <w:color w:val="000000"/>
          <w:sz w:val="24"/>
          <w:szCs w:val="24"/>
        </w:rPr>
        <w:t>O prazo previsto no subitem anterior poderá ser prorrogado 1 (uma) vez, por igual período, mediante solicitação da parte durante seu transcurso, devidamente justificada, e desde que o motivo apresentado seja aceito pela Administração.</w:t>
      </w:r>
    </w:p>
    <w:p w14:paraId="33730ED7">
      <w:pPr>
        <w:numPr>
          <w:ilvl w:val="1"/>
          <w:numId w:val="10"/>
        </w:numPr>
        <w:ind w:left="-567" w:right="-852" w:firstLine="0"/>
        <w:jc w:val="both"/>
        <w:rPr>
          <w:sz w:val="24"/>
          <w:szCs w:val="24"/>
        </w:rPr>
      </w:pPr>
      <w:r>
        <w:rPr>
          <w:sz w:val="24"/>
          <w:szCs w:val="24"/>
        </w:rPr>
        <w:t>O Aceite da Nota de Empenho ou do instrumento equivalente, emitida à empresa adjudicada, implica no reconhecimento de que:</w:t>
      </w:r>
    </w:p>
    <w:p w14:paraId="564E88A1">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567"/>
        </w:tabs>
        <w:ind w:left="-567" w:right="-852" w:firstLine="0"/>
        <w:jc w:val="both"/>
        <w:rPr>
          <w:color w:val="000000"/>
          <w:sz w:val="24"/>
          <w:szCs w:val="24"/>
        </w:rPr>
      </w:pPr>
      <w:r>
        <w:rPr>
          <w:color w:val="000000"/>
          <w:sz w:val="24"/>
          <w:szCs w:val="24"/>
        </w:rPr>
        <w:t>referida Nota está substituindo o contrato, aplicando-se à relação de negócios ali estabelecida as disposições da Lei nº 14.133, de 2021;</w:t>
      </w:r>
    </w:p>
    <w:p w14:paraId="48E75046">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567"/>
        </w:tabs>
        <w:ind w:left="-567" w:right="-852" w:firstLine="0"/>
        <w:jc w:val="both"/>
        <w:rPr>
          <w:color w:val="000000"/>
          <w:sz w:val="24"/>
          <w:szCs w:val="24"/>
        </w:rPr>
      </w:pPr>
      <w:r>
        <w:rPr>
          <w:color w:val="000000"/>
          <w:sz w:val="24"/>
          <w:szCs w:val="24"/>
        </w:rPr>
        <w:t>a contratada se vincula à sua proposta e às previsões contidas no edital e seus anexos;</w:t>
      </w:r>
    </w:p>
    <w:p w14:paraId="6E5E816B">
      <w:pPr>
        <w:numPr>
          <w:ilvl w:val="2"/>
          <w:numId w:val="10"/>
        </w:numPr>
        <w:ind w:left="-567" w:right="-852" w:firstLine="0"/>
        <w:jc w:val="both"/>
        <w:rPr>
          <w:sz w:val="24"/>
          <w:szCs w:val="24"/>
        </w:rPr>
      </w:pPr>
      <w:r>
        <w:rPr>
          <w:color w:val="000000"/>
          <w:sz w:val="24"/>
          <w:szCs w:val="24"/>
        </w:rPr>
        <w:t>A contratada reconhece que as hipóteses de extinção são aquelas previstas nos artigos 137 e 138 da Lei nº 14.133/21 e reconhece os direitos da Administração previstos no artigo 139 da mesma Lei.</w:t>
      </w:r>
    </w:p>
    <w:p w14:paraId="465EDDC3">
      <w:pPr>
        <w:numPr>
          <w:ilvl w:val="1"/>
          <w:numId w:val="10"/>
        </w:numPr>
        <w:pBdr>
          <w:top w:val="none" w:color="auto" w:sz="0" w:space="0"/>
          <w:left w:val="none" w:color="auto" w:sz="0" w:space="0"/>
          <w:bottom w:val="none" w:color="auto" w:sz="0" w:space="0"/>
          <w:right w:val="none" w:color="auto" w:sz="0" w:space="0"/>
          <w:between w:val="none" w:color="auto" w:sz="0" w:space="0"/>
        </w:pBdr>
        <w:ind w:left="-567" w:right="-852" w:firstLine="0"/>
        <w:jc w:val="both"/>
        <w:rPr>
          <w:sz w:val="24"/>
          <w:szCs w:val="24"/>
        </w:rPr>
      </w:pPr>
      <w:r>
        <w:rPr>
          <w:sz w:val="24"/>
          <w:szCs w:val="24"/>
        </w:rPr>
        <w:t xml:space="preserve">O prazo de vigência da contratação é de 12 meses, prorrogável conforme previsão no instrumento contratual e no termo de referência. </w:t>
      </w:r>
    </w:p>
    <w:p w14:paraId="00D74ED7">
      <w:pPr>
        <w:ind w:left="-567" w:right="-852"/>
        <w:jc w:val="both"/>
        <w:rPr>
          <w:color w:val="000000"/>
          <w:sz w:val="24"/>
          <w:szCs w:val="24"/>
        </w:rPr>
      </w:pPr>
      <w:r>
        <w:rPr>
          <w:b/>
          <w:color w:val="000000"/>
          <w:sz w:val="24"/>
          <w:szCs w:val="24"/>
        </w:rPr>
        <w:t>15.4.1</w:t>
      </w:r>
      <w:r>
        <w:rPr>
          <w:color w:val="000000"/>
          <w:sz w:val="24"/>
          <w:szCs w:val="24"/>
        </w:rPr>
        <w:t xml:space="preserve"> A duração dos contratos regidos pelo art. 105, caput, da Lei 14.133, de 2021, pode ultrapassar o exercício financeiro em que celebrados, desde que as despesas a eles referentes sejam integralmente empenhadas até 31 de dezembro, permitindo-se, assim, sua inscrição em restos a pagar.</w:t>
      </w:r>
    </w:p>
    <w:p w14:paraId="1A1680DB">
      <w:pPr>
        <w:numPr>
          <w:ilvl w:val="1"/>
          <w:numId w:val="10"/>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Na assinatura do contrato, será exigida a comprovação das condições de habilitação consignadas no edital, que deverão ser mantidas pelo licitante durante a vigência do contrato ou da ata de registro de preços, bem como o disposto no art. 91</w:t>
      </w:r>
      <w:r>
        <w:rPr>
          <w:color w:val="000000"/>
        </w:rPr>
        <w:t xml:space="preserve"> </w:t>
      </w:r>
      <w:r>
        <w:rPr>
          <w:color w:val="000000"/>
          <w:sz w:val="24"/>
          <w:szCs w:val="24"/>
        </w:rPr>
        <w:t>§ 4º Lei n. 14.133/21.</w:t>
      </w:r>
    </w:p>
    <w:p w14:paraId="163B457B">
      <w:pPr>
        <w:numPr>
          <w:ilvl w:val="1"/>
          <w:numId w:val="10"/>
        </w:numPr>
        <w:ind w:left="-567" w:right="-852" w:firstLine="0"/>
        <w:jc w:val="both"/>
        <w:rPr>
          <w:sz w:val="24"/>
          <w:szCs w:val="24"/>
        </w:rPr>
      </w:pPr>
      <w:r>
        <w:rPr>
          <w:color w:val="000000"/>
          <w:sz w:val="24"/>
          <w:szCs w:val="24"/>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 celebração do contrato, inicialmente nas condições propostas pelo licitante vencedor.</w:t>
      </w:r>
      <w:r>
        <w:rPr>
          <w:color w:val="000000"/>
        </w:rPr>
        <w:t xml:space="preserve"> </w:t>
      </w:r>
      <w:r>
        <w:rPr>
          <w:color w:val="000000"/>
          <w:sz w:val="24"/>
          <w:szCs w:val="24"/>
        </w:rPr>
        <w:t>Em frustrando essa primeira tentativa, é possível negociar o valor com o licitante melhor classificado (e, se for o caso, com os demais, na ordem de classificação) ou mesmo celebrar o contrato pelo valor ofertado inicialmente por estes licitantes, após a comprovação dos requisitos para habilitação, analisada a proposta e eventuais documentos complementares.</w:t>
      </w:r>
    </w:p>
    <w:p w14:paraId="60327D9A">
      <w:pPr>
        <w:keepNext/>
        <w:keepLines/>
        <w:numPr>
          <w:ilvl w:val="0"/>
          <w:numId w:val="10"/>
        </w:numPr>
        <w:pBdr>
          <w:top w:val="none" w:color="auto" w:sz="0" w:space="0"/>
          <w:left w:val="none" w:color="auto" w:sz="0" w:space="0"/>
          <w:bottom w:val="none" w:color="auto" w:sz="0" w:space="0"/>
          <w:right w:val="none" w:color="auto" w:sz="0" w:space="0"/>
          <w:between w:val="none" w:color="auto" w:sz="0" w:space="0"/>
        </w:pBdr>
        <w:ind w:left="-567" w:right="-852" w:firstLine="0"/>
        <w:jc w:val="both"/>
        <w:rPr>
          <w:b/>
          <w:color w:val="000000"/>
          <w:sz w:val="24"/>
          <w:szCs w:val="24"/>
        </w:rPr>
      </w:pPr>
      <w:r>
        <w:rPr>
          <w:b/>
          <w:color w:val="000000"/>
          <w:sz w:val="24"/>
          <w:szCs w:val="24"/>
        </w:rPr>
        <w:t>DO REAJUSTE</w:t>
      </w:r>
    </w:p>
    <w:p w14:paraId="753BD2AE">
      <w:pPr>
        <w:numPr>
          <w:ilvl w:val="1"/>
          <w:numId w:val="10"/>
        </w:numPr>
        <w:ind w:left="-567" w:right="-852" w:firstLine="0"/>
        <w:jc w:val="both"/>
        <w:rPr>
          <w:sz w:val="24"/>
          <w:szCs w:val="24"/>
        </w:rPr>
      </w:pPr>
      <w:r>
        <w:rPr>
          <w:color w:val="000000"/>
          <w:sz w:val="24"/>
          <w:szCs w:val="24"/>
        </w:rPr>
        <w:t>As regras acerca do reajuste do valor contratual são as estabelecidas no Termo de Contrato, acompanhadas em anexo a este Edital.</w:t>
      </w:r>
    </w:p>
    <w:p w14:paraId="511649A9">
      <w:pPr>
        <w:keepNext/>
        <w:keepLines/>
        <w:numPr>
          <w:ilvl w:val="0"/>
          <w:numId w:val="10"/>
        </w:numPr>
        <w:pBdr>
          <w:top w:val="none" w:color="auto" w:sz="0" w:space="0"/>
          <w:left w:val="none" w:color="auto" w:sz="0" w:space="0"/>
          <w:bottom w:val="none" w:color="auto" w:sz="0" w:space="0"/>
          <w:right w:val="none" w:color="auto" w:sz="0" w:space="0"/>
          <w:between w:val="none" w:color="auto" w:sz="0" w:space="0"/>
        </w:pBdr>
        <w:ind w:left="-567" w:right="-852" w:firstLine="0"/>
        <w:jc w:val="both"/>
        <w:rPr>
          <w:b/>
          <w:color w:val="000000"/>
          <w:sz w:val="24"/>
          <w:szCs w:val="24"/>
        </w:rPr>
      </w:pPr>
      <w:r>
        <w:rPr>
          <w:b/>
          <w:color w:val="000000"/>
          <w:sz w:val="24"/>
          <w:szCs w:val="24"/>
        </w:rPr>
        <w:t>DA ACEITAÇÃO DO OBJETO E DA FISCALIZAÇÃO</w:t>
      </w:r>
    </w:p>
    <w:p w14:paraId="073DF7DF">
      <w:pPr>
        <w:numPr>
          <w:ilvl w:val="1"/>
          <w:numId w:val="10"/>
        </w:numPr>
        <w:ind w:left="-567" w:right="-852" w:firstLine="0"/>
        <w:jc w:val="both"/>
        <w:rPr>
          <w:sz w:val="24"/>
          <w:szCs w:val="24"/>
        </w:rPr>
      </w:pPr>
      <w:r>
        <w:rPr>
          <w:sz w:val="24"/>
          <w:szCs w:val="24"/>
        </w:rPr>
        <w:t xml:space="preserve">Os critérios de aceitação do objeto e de fiscalização estão previstos no Termo de Referência </w:t>
      </w:r>
      <w:r>
        <w:rPr>
          <w:color w:val="000000"/>
          <w:sz w:val="24"/>
          <w:szCs w:val="24"/>
        </w:rPr>
        <w:t>e no Termo de Contrato, anexos deste edital.</w:t>
      </w:r>
    </w:p>
    <w:p w14:paraId="603A4B9A">
      <w:pPr>
        <w:keepNext/>
        <w:keepLines/>
        <w:numPr>
          <w:ilvl w:val="0"/>
          <w:numId w:val="10"/>
        </w:numPr>
        <w:pBdr>
          <w:top w:val="none" w:color="auto" w:sz="0" w:space="0"/>
          <w:left w:val="none" w:color="auto" w:sz="0" w:space="0"/>
          <w:bottom w:val="none" w:color="auto" w:sz="0" w:space="0"/>
          <w:right w:val="none" w:color="auto" w:sz="0" w:space="0"/>
          <w:between w:val="none" w:color="auto" w:sz="0" w:space="0"/>
        </w:pBdr>
        <w:ind w:left="-567" w:right="-852" w:firstLine="0"/>
        <w:jc w:val="both"/>
        <w:rPr>
          <w:b/>
          <w:color w:val="000000"/>
          <w:sz w:val="24"/>
          <w:szCs w:val="24"/>
        </w:rPr>
      </w:pPr>
      <w:r>
        <w:rPr>
          <w:b/>
          <w:color w:val="000000"/>
          <w:sz w:val="24"/>
          <w:szCs w:val="24"/>
        </w:rPr>
        <w:t>DAS OBRIGAÇÕES DA CONTRATANTE E DA CONTRATADA</w:t>
      </w:r>
    </w:p>
    <w:p w14:paraId="27F25858">
      <w:pPr>
        <w:numPr>
          <w:ilvl w:val="1"/>
          <w:numId w:val="10"/>
        </w:numPr>
        <w:ind w:left="-567" w:right="-852" w:firstLine="0"/>
        <w:jc w:val="both"/>
        <w:rPr>
          <w:sz w:val="24"/>
          <w:szCs w:val="24"/>
        </w:rPr>
      </w:pPr>
      <w:r>
        <w:rPr>
          <w:sz w:val="24"/>
          <w:szCs w:val="24"/>
        </w:rPr>
        <w:t xml:space="preserve">As obrigações da Contratante e da Contratada são as estabelecidas no Termo de Referência </w:t>
      </w:r>
      <w:r>
        <w:rPr>
          <w:color w:val="000000"/>
          <w:sz w:val="24"/>
          <w:szCs w:val="24"/>
        </w:rPr>
        <w:t>e no Termo de Contrato, anexos deste edital.</w:t>
      </w:r>
    </w:p>
    <w:p w14:paraId="39399CBE">
      <w:pPr>
        <w:keepNext/>
        <w:keepLines/>
        <w:numPr>
          <w:ilvl w:val="0"/>
          <w:numId w:val="10"/>
        </w:numPr>
        <w:pBdr>
          <w:top w:val="none" w:color="auto" w:sz="0" w:space="0"/>
          <w:left w:val="none" w:color="auto" w:sz="0" w:space="0"/>
          <w:bottom w:val="none" w:color="auto" w:sz="0" w:space="0"/>
          <w:right w:val="none" w:color="auto" w:sz="0" w:space="0"/>
          <w:between w:val="none" w:color="auto" w:sz="0" w:space="0"/>
        </w:pBdr>
        <w:ind w:left="-567" w:right="-852" w:firstLine="0"/>
        <w:jc w:val="both"/>
        <w:rPr>
          <w:b/>
          <w:color w:val="000000"/>
          <w:sz w:val="24"/>
          <w:szCs w:val="24"/>
        </w:rPr>
      </w:pPr>
      <w:r>
        <w:rPr>
          <w:b/>
          <w:color w:val="000000"/>
          <w:sz w:val="24"/>
          <w:szCs w:val="24"/>
        </w:rPr>
        <w:t>DO PAGAMENTO</w:t>
      </w:r>
    </w:p>
    <w:p w14:paraId="4E03550A">
      <w:pPr>
        <w:numPr>
          <w:ilvl w:val="1"/>
          <w:numId w:val="10"/>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As regras acerca do pagamento são as estabelecidas no Termo de Referência e no Termo de Contrato, anexos deste edital.</w:t>
      </w:r>
    </w:p>
    <w:p w14:paraId="63C5F859">
      <w:pPr>
        <w:numPr>
          <w:ilvl w:val="0"/>
          <w:numId w:val="10"/>
        </w:numPr>
        <w:ind w:left="-567" w:right="-852" w:firstLine="0"/>
        <w:jc w:val="both"/>
        <w:rPr>
          <w:b/>
          <w:sz w:val="24"/>
          <w:szCs w:val="24"/>
        </w:rPr>
      </w:pPr>
      <w:r>
        <w:rPr>
          <w:b/>
          <w:sz w:val="24"/>
          <w:szCs w:val="24"/>
        </w:rPr>
        <w:t>DAS INFRAÇÕES ADMINISTRATIVAS E SANÇÕES</w:t>
      </w:r>
    </w:p>
    <w:p w14:paraId="52EFA5F1">
      <w:pPr>
        <w:numPr>
          <w:ilvl w:val="1"/>
          <w:numId w:val="10"/>
        </w:numPr>
        <w:ind w:left="-567" w:right="-852" w:firstLine="0"/>
        <w:jc w:val="both"/>
        <w:rPr>
          <w:sz w:val="24"/>
          <w:szCs w:val="24"/>
        </w:rPr>
      </w:pPr>
      <w:bookmarkStart w:id="35" w:name="_heading=h.1hmsyys" w:colFirst="0" w:colLast="0"/>
      <w:bookmarkEnd w:id="35"/>
      <w:r>
        <w:rPr>
          <w:color w:val="000000"/>
          <w:sz w:val="24"/>
          <w:szCs w:val="24"/>
        </w:rPr>
        <w:t xml:space="preserve">Comete infração administrativa, nos termos da Lei nº 14.133, de 2021, com dolo ou culpa o licitante/adjudicatário que: </w:t>
      </w:r>
    </w:p>
    <w:p w14:paraId="73877F6F">
      <w:pPr>
        <w:numPr>
          <w:ilvl w:val="2"/>
          <w:numId w:val="10"/>
        </w:numPr>
        <w:ind w:left="-567" w:right="-852" w:firstLine="0"/>
        <w:jc w:val="both"/>
        <w:rPr>
          <w:color w:val="000000"/>
          <w:sz w:val="24"/>
          <w:szCs w:val="24"/>
        </w:rPr>
      </w:pPr>
      <w:r>
        <w:rPr>
          <w:color w:val="000000"/>
          <w:sz w:val="24"/>
          <w:szCs w:val="24"/>
        </w:rPr>
        <w:t>dar causa à inexecução parcial do contrato;</w:t>
      </w:r>
    </w:p>
    <w:p w14:paraId="6B94B13F">
      <w:pPr>
        <w:numPr>
          <w:ilvl w:val="2"/>
          <w:numId w:val="10"/>
        </w:numPr>
        <w:tabs>
          <w:tab w:val="left" w:pos="993"/>
        </w:tabs>
        <w:ind w:left="-567" w:right="-852" w:firstLine="0"/>
        <w:jc w:val="both"/>
        <w:rPr>
          <w:color w:val="000000"/>
          <w:sz w:val="24"/>
          <w:szCs w:val="24"/>
        </w:rPr>
      </w:pPr>
      <w:r>
        <w:rPr>
          <w:color w:val="000000"/>
          <w:sz w:val="24"/>
          <w:szCs w:val="24"/>
        </w:rPr>
        <w:t>dar causa à inexecução parcial do contrato que cause grave dano à Administração, ao funcionamento dos serviços públicos ou ao interesse coletivo;</w:t>
      </w:r>
    </w:p>
    <w:p w14:paraId="0F6A48F3">
      <w:pPr>
        <w:numPr>
          <w:ilvl w:val="2"/>
          <w:numId w:val="10"/>
        </w:numPr>
        <w:tabs>
          <w:tab w:val="left" w:pos="993"/>
        </w:tabs>
        <w:ind w:left="-567" w:right="-852" w:firstLine="0"/>
        <w:jc w:val="both"/>
        <w:rPr>
          <w:color w:val="000000"/>
          <w:sz w:val="24"/>
          <w:szCs w:val="24"/>
        </w:rPr>
      </w:pPr>
      <w:r>
        <w:rPr>
          <w:color w:val="000000"/>
          <w:sz w:val="24"/>
          <w:szCs w:val="24"/>
        </w:rPr>
        <w:t>dar causa à inexecução total do contrato;</w:t>
      </w:r>
    </w:p>
    <w:p w14:paraId="4F1EF00D">
      <w:pPr>
        <w:numPr>
          <w:ilvl w:val="2"/>
          <w:numId w:val="10"/>
        </w:numPr>
        <w:tabs>
          <w:tab w:val="left" w:pos="993"/>
        </w:tabs>
        <w:ind w:left="-567" w:right="-852" w:firstLine="0"/>
        <w:jc w:val="both"/>
        <w:rPr>
          <w:color w:val="000000"/>
          <w:sz w:val="24"/>
          <w:szCs w:val="24"/>
        </w:rPr>
      </w:pPr>
      <w:r>
        <w:rPr>
          <w:color w:val="000000"/>
          <w:sz w:val="24"/>
          <w:szCs w:val="24"/>
        </w:rPr>
        <w:t>deixar de entregar a documentação exigida para o certame ou não entregar qualquer documento que tenha sido solicitado pelo pregoeiro durante o certame.</w:t>
      </w:r>
    </w:p>
    <w:p w14:paraId="5C1D5E96">
      <w:pPr>
        <w:numPr>
          <w:ilvl w:val="2"/>
          <w:numId w:val="10"/>
        </w:numPr>
        <w:tabs>
          <w:tab w:val="left" w:pos="993"/>
        </w:tabs>
        <w:ind w:left="-567" w:right="-852" w:firstLine="0"/>
        <w:jc w:val="both"/>
        <w:rPr>
          <w:color w:val="000000"/>
          <w:sz w:val="24"/>
          <w:szCs w:val="24"/>
        </w:rPr>
      </w:pPr>
      <w:r>
        <w:rPr>
          <w:color w:val="000000"/>
          <w:sz w:val="24"/>
          <w:szCs w:val="24"/>
        </w:rPr>
        <w:t xml:space="preserve">Salvo em decorrência de fato superveniente devidamente justificado, não mantiver a proposta em especial quando: </w:t>
      </w:r>
    </w:p>
    <w:p w14:paraId="34FA87D1">
      <w:pPr>
        <w:pBdr>
          <w:top w:val="none" w:color="auto" w:sz="0" w:space="0"/>
          <w:left w:val="none" w:color="auto" w:sz="0" w:space="0"/>
          <w:bottom w:val="none" w:color="auto" w:sz="0" w:space="0"/>
          <w:right w:val="none" w:color="auto" w:sz="0" w:space="0"/>
          <w:between w:val="none" w:color="auto" w:sz="0" w:space="0"/>
        </w:pBdr>
        <w:ind w:left="-567" w:right="-852"/>
        <w:jc w:val="both"/>
        <w:rPr>
          <w:color w:val="000000"/>
          <w:sz w:val="24"/>
          <w:szCs w:val="24"/>
        </w:rPr>
      </w:pPr>
      <w:r>
        <w:rPr>
          <w:b/>
          <w:color w:val="000000"/>
          <w:sz w:val="24"/>
          <w:szCs w:val="24"/>
        </w:rPr>
        <w:t>20.1.5.1</w:t>
      </w:r>
      <w:r>
        <w:rPr>
          <w:color w:val="000000"/>
          <w:sz w:val="24"/>
          <w:szCs w:val="24"/>
        </w:rPr>
        <w:t xml:space="preserve"> não enviar a proposta adequada ao último lance ofertado ou após a negociação; </w:t>
      </w:r>
    </w:p>
    <w:p w14:paraId="5B453338">
      <w:pPr>
        <w:pBdr>
          <w:top w:val="none" w:color="auto" w:sz="0" w:space="0"/>
          <w:left w:val="none" w:color="auto" w:sz="0" w:space="0"/>
          <w:bottom w:val="none" w:color="auto" w:sz="0" w:space="0"/>
          <w:right w:val="none" w:color="auto" w:sz="0" w:space="0"/>
          <w:between w:val="none" w:color="auto" w:sz="0" w:space="0"/>
        </w:pBdr>
        <w:ind w:left="-567" w:right="-852"/>
        <w:jc w:val="both"/>
        <w:rPr>
          <w:color w:val="000000"/>
          <w:sz w:val="24"/>
          <w:szCs w:val="24"/>
        </w:rPr>
      </w:pPr>
      <w:r>
        <w:rPr>
          <w:b/>
          <w:color w:val="000000"/>
          <w:sz w:val="24"/>
          <w:szCs w:val="24"/>
        </w:rPr>
        <w:t>20.1.5.2</w:t>
      </w:r>
      <w:r>
        <w:rPr>
          <w:color w:val="000000"/>
          <w:sz w:val="24"/>
          <w:szCs w:val="24"/>
        </w:rPr>
        <w:t xml:space="preserve"> recusar-se a enviar o detalhamento da proposta quando exigível; </w:t>
      </w:r>
    </w:p>
    <w:p w14:paraId="0D5AFCD5">
      <w:pPr>
        <w:pBdr>
          <w:top w:val="none" w:color="auto" w:sz="0" w:space="0"/>
          <w:left w:val="none" w:color="auto" w:sz="0" w:space="0"/>
          <w:bottom w:val="none" w:color="auto" w:sz="0" w:space="0"/>
          <w:right w:val="none" w:color="auto" w:sz="0" w:space="0"/>
          <w:between w:val="none" w:color="auto" w:sz="0" w:space="0"/>
        </w:pBdr>
        <w:ind w:left="-567" w:right="-852"/>
        <w:jc w:val="both"/>
        <w:rPr>
          <w:color w:val="000000"/>
          <w:sz w:val="24"/>
          <w:szCs w:val="24"/>
        </w:rPr>
      </w:pPr>
      <w:r>
        <w:rPr>
          <w:b/>
          <w:color w:val="000000"/>
          <w:sz w:val="24"/>
          <w:szCs w:val="24"/>
        </w:rPr>
        <w:t>20.1.5.3</w:t>
      </w:r>
      <w:r>
        <w:rPr>
          <w:color w:val="000000"/>
          <w:sz w:val="24"/>
          <w:szCs w:val="24"/>
        </w:rPr>
        <w:t xml:space="preserve"> pedir para ser desclassificado quando encerrada a etapa competitiva; ou </w:t>
      </w:r>
    </w:p>
    <w:p w14:paraId="557F5F35">
      <w:pPr>
        <w:pBdr>
          <w:top w:val="none" w:color="auto" w:sz="0" w:space="0"/>
          <w:left w:val="none" w:color="auto" w:sz="0" w:space="0"/>
          <w:bottom w:val="none" w:color="auto" w:sz="0" w:space="0"/>
          <w:right w:val="none" w:color="auto" w:sz="0" w:space="0"/>
          <w:between w:val="none" w:color="auto" w:sz="0" w:space="0"/>
        </w:pBdr>
        <w:ind w:left="-567" w:right="-852"/>
        <w:jc w:val="both"/>
        <w:rPr>
          <w:color w:val="000000"/>
          <w:sz w:val="24"/>
          <w:szCs w:val="24"/>
        </w:rPr>
      </w:pPr>
      <w:r>
        <w:rPr>
          <w:b/>
          <w:color w:val="000000"/>
          <w:sz w:val="24"/>
          <w:szCs w:val="24"/>
        </w:rPr>
        <w:t>20.1.5.4</w:t>
      </w:r>
      <w:r>
        <w:rPr>
          <w:color w:val="000000"/>
          <w:sz w:val="24"/>
          <w:szCs w:val="24"/>
        </w:rPr>
        <w:t xml:space="preserve"> deixar de apresentar amostra;</w:t>
      </w:r>
    </w:p>
    <w:p w14:paraId="08AFAF50">
      <w:pPr>
        <w:pBdr>
          <w:top w:val="none" w:color="auto" w:sz="0" w:space="0"/>
          <w:left w:val="none" w:color="auto" w:sz="0" w:space="0"/>
          <w:bottom w:val="none" w:color="auto" w:sz="0" w:space="0"/>
          <w:right w:val="none" w:color="auto" w:sz="0" w:space="0"/>
          <w:between w:val="none" w:color="auto" w:sz="0" w:space="0"/>
        </w:pBdr>
        <w:ind w:left="-567" w:right="-852"/>
        <w:jc w:val="both"/>
        <w:rPr>
          <w:color w:val="000000"/>
          <w:sz w:val="24"/>
          <w:szCs w:val="24"/>
        </w:rPr>
      </w:pPr>
      <w:r>
        <w:rPr>
          <w:b/>
          <w:color w:val="000000"/>
          <w:sz w:val="24"/>
          <w:szCs w:val="24"/>
        </w:rPr>
        <w:t>20.1.5.5</w:t>
      </w:r>
      <w:r>
        <w:rPr>
          <w:color w:val="000000"/>
          <w:sz w:val="24"/>
          <w:szCs w:val="24"/>
        </w:rPr>
        <w:t xml:space="preserve"> apresentar proposta ou amostra em desacordo com as especificações do edital; </w:t>
      </w:r>
    </w:p>
    <w:p w14:paraId="2BBE563A">
      <w:pPr>
        <w:numPr>
          <w:ilvl w:val="2"/>
          <w:numId w:val="10"/>
        </w:numPr>
        <w:tabs>
          <w:tab w:val="left" w:pos="993"/>
        </w:tabs>
        <w:ind w:left="-567" w:right="-852" w:firstLine="0"/>
        <w:jc w:val="both"/>
        <w:rPr>
          <w:color w:val="000000"/>
          <w:sz w:val="24"/>
          <w:szCs w:val="24"/>
        </w:rPr>
      </w:pPr>
      <w:r>
        <w:rPr>
          <w:color w:val="000000"/>
          <w:sz w:val="24"/>
          <w:szCs w:val="24"/>
        </w:rPr>
        <w:t>não celebrar o contrato ou não entregar a documentação exigida para a contratação, quando convocado dentro do prazo de validade de sua proposta;</w:t>
      </w:r>
    </w:p>
    <w:p w14:paraId="7BF0DB0F">
      <w:pPr>
        <w:numPr>
          <w:ilvl w:val="2"/>
          <w:numId w:val="10"/>
        </w:numPr>
        <w:tabs>
          <w:tab w:val="left" w:pos="993"/>
        </w:tabs>
        <w:ind w:left="-567" w:right="-852" w:firstLine="0"/>
        <w:jc w:val="both"/>
        <w:rPr>
          <w:color w:val="000000"/>
          <w:sz w:val="24"/>
          <w:szCs w:val="24"/>
        </w:rPr>
      </w:pPr>
      <w:r>
        <w:rPr>
          <w:color w:val="000000"/>
          <w:sz w:val="24"/>
          <w:szCs w:val="24"/>
        </w:rPr>
        <w:t xml:space="preserve">ensejar o retardamento da execução ou da entrega do objeto da licitação sem motivo justificado; </w:t>
      </w:r>
    </w:p>
    <w:p w14:paraId="1FF2708E">
      <w:pPr>
        <w:numPr>
          <w:ilvl w:val="2"/>
          <w:numId w:val="10"/>
        </w:numPr>
        <w:tabs>
          <w:tab w:val="left" w:pos="993"/>
        </w:tabs>
        <w:ind w:left="-567" w:right="-852" w:firstLine="0"/>
        <w:jc w:val="both"/>
        <w:rPr>
          <w:color w:val="000000"/>
          <w:sz w:val="24"/>
          <w:szCs w:val="24"/>
        </w:rPr>
      </w:pPr>
      <w:bookmarkStart w:id="36" w:name="_heading=h.41mghml" w:colFirst="0" w:colLast="0"/>
      <w:bookmarkEnd w:id="36"/>
      <w:r>
        <w:rPr>
          <w:sz w:val="24"/>
          <w:szCs w:val="24"/>
        </w:rPr>
        <w:t xml:space="preserve"> recusar-se, sem justificativa, a assinar o contrato ou a ata de registro de preço, ou a aceitar ou retirar o instrumento equivalente no prazo estabelecido pela Administração</w:t>
      </w:r>
    </w:p>
    <w:p w14:paraId="0E4FFD82">
      <w:pPr>
        <w:numPr>
          <w:ilvl w:val="2"/>
          <w:numId w:val="10"/>
        </w:numPr>
        <w:tabs>
          <w:tab w:val="left" w:pos="993"/>
        </w:tabs>
        <w:ind w:left="-567" w:right="-852" w:firstLine="0"/>
        <w:jc w:val="both"/>
        <w:rPr>
          <w:color w:val="000000"/>
          <w:sz w:val="24"/>
          <w:szCs w:val="24"/>
        </w:rPr>
      </w:pPr>
      <w:r>
        <w:rPr>
          <w:color w:val="000000"/>
          <w:sz w:val="24"/>
          <w:szCs w:val="24"/>
        </w:rPr>
        <w:t xml:space="preserve">apresentar declaração ou documentação falsa exigida para o certame ou prestar declaração falsa durante a licitação ou a execução do contrato; </w:t>
      </w:r>
    </w:p>
    <w:p w14:paraId="4CBB3326">
      <w:pPr>
        <w:numPr>
          <w:ilvl w:val="2"/>
          <w:numId w:val="10"/>
        </w:numPr>
        <w:tabs>
          <w:tab w:val="left" w:pos="993"/>
        </w:tabs>
        <w:ind w:left="-567" w:right="-852" w:firstLine="0"/>
        <w:jc w:val="both"/>
        <w:rPr>
          <w:color w:val="000000"/>
          <w:sz w:val="24"/>
          <w:szCs w:val="24"/>
        </w:rPr>
      </w:pPr>
      <w:r>
        <w:rPr>
          <w:color w:val="000000"/>
          <w:sz w:val="24"/>
          <w:szCs w:val="24"/>
        </w:rPr>
        <w:t>fraudar a licitação ou praticar ato fraudulento na execução do contrato;</w:t>
      </w:r>
    </w:p>
    <w:p w14:paraId="2FB9F2CC">
      <w:pPr>
        <w:numPr>
          <w:ilvl w:val="2"/>
          <w:numId w:val="10"/>
        </w:numPr>
        <w:tabs>
          <w:tab w:val="left" w:pos="851"/>
          <w:tab w:val="left" w:pos="993"/>
        </w:tabs>
        <w:ind w:left="-567" w:right="-852" w:firstLine="0"/>
        <w:jc w:val="both"/>
        <w:rPr>
          <w:color w:val="000000"/>
          <w:sz w:val="24"/>
          <w:szCs w:val="24"/>
        </w:rPr>
      </w:pPr>
      <w:r>
        <w:rPr>
          <w:color w:val="000000"/>
          <w:sz w:val="24"/>
          <w:szCs w:val="24"/>
        </w:rPr>
        <w:t>comportar-se de modo inidôneo ou cometer fraude de qualquer natureza;</w:t>
      </w:r>
    </w:p>
    <w:p w14:paraId="4D8B713B">
      <w:pPr>
        <w:numPr>
          <w:ilvl w:val="2"/>
          <w:numId w:val="10"/>
        </w:numPr>
        <w:tabs>
          <w:tab w:val="left" w:pos="851"/>
          <w:tab w:val="left" w:pos="993"/>
        </w:tabs>
        <w:ind w:left="-567" w:right="-852" w:firstLine="0"/>
        <w:jc w:val="both"/>
        <w:rPr>
          <w:color w:val="000000"/>
          <w:sz w:val="24"/>
          <w:szCs w:val="24"/>
        </w:rPr>
      </w:pPr>
      <w:r>
        <w:rPr>
          <w:color w:val="000000"/>
          <w:sz w:val="24"/>
          <w:szCs w:val="24"/>
        </w:rPr>
        <w:t>praticar atos ilícitos com vistas a frustrar os objetivos da licitação;</w:t>
      </w:r>
    </w:p>
    <w:p w14:paraId="5B4B57CD">
      <w:pPr>
        <w:numPr>
          <w:ilvl w:val="2"/>
          <w:numId w:val="10"/>
        </w:numPr>
        <w:tabs>
          <w:tab w:val="left" w:pos="851"/>
          <w:tab w:val="left" w:pos="993"/>
        </w:tabs>
        <w:ind w:left="-567" w:right="-852" w:firstLine="0"/>
        <w:jc w:val="both"/>
        <w:rPr>
          <w:color w:val="000000"/>
          <w:sz w:val="24"/>
          <w:szCs w:val="24"/>
        </w:rPr>
      </w:pPr>
      <w:r>
        <w:rPr>
          <w:color w:val="000000"/>
          <w:sz w:val="24"/>
          <w:szCs w:val="24"/>
        </w:rPr>
        <w:t xml:space="preserve">praticar ato lesivo previsto no art. 5º da Lei nº 12.846, de 1º de agosto de 2013. </w:t>
      </w:r>
    </w:p>
    <w:p w14:paraId="5F86FB77">
      <w:pPr>
        <w:numPr>
          <w:ilvl w:val="1"/>
          <w:numId w:val="10"/>
        </w:numPr>
        <w:ind w:left="-567" w:right="-852" w:firstLine="0"/>
        <w:jc w:val="both"/>
        <w:rPr>
          <w:sz w:val="24"/>
          <w:szCs w:val="24"/>
        </w:rPr>
      </w:pPr>
      <w:r>
        <w:rPr>
          <w:color w:val="000000"/>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6E6C6301">
      <w:pPr>
        <w:numPr>
          <w:ilvl w:val="1"/>
          <w:numId w:val="10"/>
        </w:numPr>
        <w:ind w:left="-567" w:right="-852" w:firstLine="0"/>
        <w:jc w:val="both"/>
        <w:rPr>
          <w:sz w:val="24"/>
          <w:szCs w:val="24"/>
        </w:rPr>
      </w:pPr>
      <w:bookmarkStart w:id="37" w:name="_heading=h.2grqrue" w:colFirst="0" w:colLast="0"/>
      <w:bookmarkEnd w:id="37"/>
      <w:r>
        <w:rPr>
          <w:color w:val="000000"/>
          <w:sz w:val="24"/>
          <w:szCs w:val="24"/>
        </w:rPr>
        <w:t xml:space="preserve">Com fulcro na Lei nº14.133 de 2021, </w:t>
      </w:r>
      <w:r>
        <w:rPr>
          <w:sz w:val="24"/>
          <w:szCs w:val="24"/>
        </w:rPr>
        <w:t>a Administração poderá, garantida a prévia defesa, aplicar aos licitantes e/ou adjudicatários as seguintes sanções, sem prejuízo das responsabilidades civil e criminal:</w:t>
      </w:r>
    </w:p>
    <w:p w14:paraId="78EA7143">
      <w:pPr>
        <w:numPr>
          <w:ilvl w:val="2"/>
          <w:numId w:val="10"/>
        </w:numPr>
        <w:tabs>
          <w:tab w:val="left" w:pos="851"/>
        </w:tabs>
        <w:ind w:left="-567" w:right="-852" w:firstLine="0"/>
        <w:jc w:val="both"/>
        <w:rPr>
          <w:color w:val="000000"/>
          <w:sz w:val="24"/>
          <w:szCs w:val="24"/>
        </w:rPr>
      </w:pPr>
      <w:r>
        <w:rPr>
          <w:color w:val="000000"/>
          <w:sz w:val="24"/>
          <w:szCs w:val="24"/>
        </w:rPr>
        <w:t xml:space="preserve">advertência; </w:t>
      </w:r>
    </w:p>
    <w:p w14:paraId="0005F128">
      <w:pPr>
        <w:numPr>
          <w:ilvl w:val="2"/>
          <w:numId w:val="10"/>
        </w:numPr>
        <w:tabs>
          <w:tab w:val="left" w:pos="851"/>
        </w:tabs>
        <w:ind w:left="-567" w:right="-852" w:firstLine="0"/>
        <w:jc w:val="both"/>
        <w:rPr>
          <w:color w:val="000000"/>
          <w:sz w:val="24"/>
          <w:szCs w:val="24"/>
        </w:rPr>
      </w:pPr>
      <w:r>
        <w:rPr>
          <w:color w:val="000000"/>
          <w:sz w:val="24"/>
          <w:szCs w:val="24"/>
        </w:rPr>
        <w:t xml:space="preserve">multa; </w:t>
      </w:r>
    </w:p>
    <w:p w14:paraId="77DEC3FD">
      <w:pPr>
        <w:numPr>
          <w:ilvl w:val="2"/>
          <w:numId w:val="10"/>
        </w:numPr>
        <w:tabs>
          <w:tab w:val="left" w:pos="851"/>
        </w:tabs>
        <w:ind w:left="-567" w:right="-852" w:firstLine="0"/>
        <w:jc w:val="both"/>
        <w:rPr>
          <w:color w:val="000000"/>
          <w:sz w:val="24"/>
          <w:szCs w:val="24"/>
        </w:rPr>
      </w:pPr>
      <w:r>
        <w:rPr>
          <w:color w:val="000000"/>
          <w:sz w:val="24"/>
          <w:szCs w:val="24"/>
        </w:rPr>
        <w:t xml:space="preserve">impedimento de licitar e contratar; </w:t>
      </w:r>
    </w:p>
    <w:p w14:paraId="46E96926">
      <w:pPr>
        <w:numPr>
          <w:ilvl w:val="2"/>
          <w:numId w:val="10"/>
        </w:numPr>
        <w:tabs>
          <w:tab w:val="left" w:pos="851"/>
        </w:tabs>
        <w:ind w:left="-567" w:right="-852" w:firstLine="0"/>
        <w:jc w:val="both"/>
        <w:rPr>
          <w:color w:val="000000"/>
          <w:sz w:val="24"/>
          <w:szCs w:val="24"/>
        </w:rPr>
      </w:pPr>
      <w:bookmarkStart w:id="38" w:name="_heading=h.vx1227" w:colFirst="0" w:colLast="0"/>
      <w:bookmarkEnd w:id="38"/>
      <w:r>
        <w:rPr>
          <w:color w:val="000000"/>
          <w:sz w:val="24"/>
          <w:szCs w:val="24"/>
        </w:rPr>
        <w:t xml:space="preserve">declaração de inidoneidade para licitar ou contratar, </w:t>
      </w:r>
      <w:r>
        <w:rPr>
          <w:sz w:val="24"/>
          <w:szCs w:val="24"/>
        </w:rPr>
        <w:t>enquanto perdurarem os motivos determinantes da punição ou até que seja promovida sua reabilitação perante a própria autoridade que aplicou a penalidade.</w:t>
      </w:r>
    </w:p>
    <w:p w14:paraId="7535F370">
      <w:pPr>
        <w:numPr>
          <w:ilvl w:val="1"/>
          <w:numId w:val="10"/>
        </w:numPr>
        <w:tabs>
          <w:tab w:val="left" w:pos="851"/>
        </w:tabs>
        <w:ind w:left="-567" w:right="-852" w:firstLine="0"/>
        <w:jc w:val="both"/>
        <w:rPr>
          <w:sz w:val="24"/>
          <w:szCs w:val="24"/>
        </w:rPr>
      </w:pPr>
      <w:r>
        <w:rPr>
          <w:color w:val="000000"/>
          <w:sz w:val="24"/>
          <w:szCs w:val="24"/>
        </w:rPr>
        <w:t>Na aplicação das sanções serão considerados:</w:t>
      </w:r>
    </w:p>
    <w:p w14:paraId="42A6582D">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851"/>
        </w:tabs>
        <w:ind w:left="-567" w:right="-852" w:firstLine="0"/>
        <w:jc w:val="both"/>
        <w:rPr>
          <w:color w:val="000000"/>
          <w:sz w:val="24"/>
          <w:szCs w:val="24"/>
        </w:rPr>
      </w:pPr>
      <w:r>
        <w:rPr>
          <w:color w:val="000000"/>
          <w:sz w:val="24"/>
          <w:szCs w:val="24"/>
        </w:rPr>
        <w:t>a natureza e a gravidade da infração cometida;</w:t>
      </w:r>
    </w:p>
    <w:p w14:paraId="6BE9D443">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851"/>
        </w:tabs>
        <w:ind w:left="-567" w:right="-852" w:firstLine="0"/>
        <w:jc w:val="both"/>
        <w:rPr>
          <w:color w:val="000000"/>
          <w:sz w:val="24"/>
          <w:szCs w:val="24"/>
        </w:rPr>
      </w:pPr>
      <w:r>
        <w:rPr>
          <w:color w:val="000000"/>
          <w:sz w:val="24"/>
          <w:szCs w:val="24"/>
        </w:rPr>
        <w:t>as peculiaridades do caso concreto;</w:t>
      </w:r>
    </w:p>
    <w:p w14:paraId="1C4C59D8">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851"/>
        </w:tabs>
        <w:ind w:left="-567" w:right="-852" w:firstLine="0"/>
        <w:jc w:val="both"/>
        <w:rPr>
          <w:color w:val="000000"/>
          <w:sz w:val="24"/>
          <w:szCs w:val="24"/>
        </w:rPr>
      </w:pPr>
      <w:r>
        <w:rPr>
          <w:color w:val="000000"/>
          <w:sz w:val="24"/>
          <w:szCs w:val="24"/>
        </w:rPr>
        <w:t>as circunstâncias agravantes ou atenuantes;</w:t>
      </w:r>
    </w:p>
    <w:p w14:paraId="71874D6B">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851"/>
        </w:tabs>
        <w:ind w:left="-567" w:right="-852" w:firstLine="0"/>
        <w:jc w:val="both"/>
        <w:rPr>
          <w:color w:val="000000"/>
          <w:sz w:val="24"/>
          <w:szCs w:val="24"/>
        </w:rPr>
      </w:pPr>
      <w:r>
        <w:rPr>
          <w:color w:val="000000"/>
          <w:sz w:val="24"/>
          <w:szCs w:val="24"/>
        </w:rPr>
        <w:t xml:space="preserve">os danos que dela provierem para a Administração Pública; </w:t>
      </w:r>
    </w:p>
    <w:p w14:paraId="4D078A85">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851"/>
        </w:tabs>
        <w:ind w:left="-567" w:right="-852" w:firstLine="0"/>
        <w:jc w:val="both"/>
        <w:rPr>
          <w:color w:val="000000"/>
          <w:sz w:val="24"/>
          <w:szCs w:val="24"/>
        </w:rPr>
      </w:pPr>
      <w:r>
        <w:rPr>
          <w:color w:val="000000"/>
          <w:sz w:val="24"/>
          <w:szCs w:val="24"/>
        </w:rPr>
        <w:t xml:space="preserve">a implantação ou o aperfeiçoamento de programa de integridade, conforme normas e orientações dos órgãos de controle. </w:t>
      </w:r>
    </w:p>
    <w:p w14:paraId="29F9933E">
      <w:pPr>
        <w:numPr>
          <w:ilvl w:val="1"/>
          <w:numId w:val="10"/>
        </w:numPr>
        <w:ind w:left="-567" w:right="-852" w:firstLine="0"/>
        <w:jc w:val="both"/>
        <w:rPr>
          <w:sz w:val="24"/>
          <w:szCs w:val="24"/>
        </w:rPr>
      </w:pPr>
      <w:r>
        <w:rPr>
          <w:color w:val="000000"/>
          <w:sz w:val="24"/>
          <w:szCs w:val="24"/>
        </w:rPr>
        <w:t>A sanção prevista na cláusula 22.3.1 será aplicada exclusivamente pela infração administrativa prevista na cláusula 22.1.1, quando não se justificar a imposição de penalidade mais grave.</w:t>
      </w:r>
    </w:p>
    <w:p w14:paraId="073C58BF">
      <w:pPr>
        <w:numPr>
          <w:ilvl w:val="1"/>
          <w:numId w:val="10"/>
        </w:numPr>
        <w:ind w:left="-567" w:right="-852" w:firstLine="0"/>
        <w:jc w:val="both"/>
        <w:rPr>
          <w:sz w:val="24"/>
          <w:szCs w:val="24"/>
        </w:rPr>
      </w:pPr>
      <w:r>
        <w:rPr>
          <w:color w:val="000000"/>
          <w:sz w:val="24"/>
          <w:szCs w:val="24"/>
        </w:rPr>
        <w:t xml:space="preserve">A sanção prevista na cláusula 22.3.2,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na cláusula 22, deste edital. </w:t>
      </w:r>
    </w:p>
    <w:p w14:paraId="3E7EC706">
      <w:pPr>
        <w:numPr>
          <w:ilvl w:val="1"/>
          <w:numId w:val="10"/>
        </w:numPr>
        <w:ind w:left="-567" w:right="-852" w:firstLine="0"/>
        <w:jc w:val="both"/>
        <w:rPr>
          <w:sz w:val="24"/>
          <w:szCs w:val="24"/>
        </w:rPr>
      </w:pPr>
      <w:r>
        <w:rPr>
          <w:color w:val="000000"/>
          <w:sz w:val="24"/>
          <w:szCs w:val="24"/>
        </w:rPr>
        <w:t xml:space="preserve">A sanção prevista na cláusula 22.3.3 será aplicada ao responsável pelas infrações administrativas previstas nas cláusulas 22.1.2, 22.1.3, 22.1.4, 22.1.5, 22.1.6 e 22.1.7, quando não se justificar a imposição de penalidade mais grave, e impedirá o responsável de licitar ou contratar no âmbito da Administração Pública do ente Municipal que tiver aplicado a sanção, pelo prazo máximo de 3 (três) anos. </w:t>
      </w:r>
    </w:p>
    <w:p w14:paraId="718EAB76">
      <w:pPr>
        <w:numPr>
          <w:ilvl w:val="1"/>
          <w:numId w:val="10"/>
        </w:numPr>
        <w:ind w:left="-567" w:right="-852" w:firstLine="0"/>
        <w:jc w:val="both"/>
        <w:rPr>
          <w:sz w:val="24"/>
          <w:szCs w:val="24"/>
        </w:rPr>
      </w:pPr>
      <w:r>
        <w:rPr>
          <w:color w:val="000000"/>
          <w:sz w:val="24"/>
          <w:szCs w:val="24"/>
        </w:rPr>
        <w:t>A sanção prevista na cláusula 22.3.4 será aplicada ao responsável pelas infrações administrativas previstas nas cláusulas 22.1.8, 22.1.9, 22.1.10, 22.1.11 e 22.1.12, bem como pelas infrações administrativas previstas nas cláusulas 22.1.2, 22.1.3, 22.1.4, 22.1.5, 22.1.6 e 22.1.7, que justifiquem a imposição de penalidade mais grave que a sanção referida na cláusula 22.7 deste edital, e impedirá o responsável de licitar ou contratar no âmbito da Administração Pública direta e indireta de todos os entes federativos pelo prazo mínimo de 3 (três) anos e máximo de 6 (seis) anos.</w:t>
      </w:r>
    </w:p>
    <w:p w14:paraId="45453376">
      <w:pPr>
        <w:numPr>
          <w:ilvl w:val="1"/>
          <w:numId w:val="10"/>
        </w:numPr>
        <w:ind w:left="-567" w:right="-852" w:firstLine="0"/>
        <w:jc w:val="both"/>
        <w:rPr>
          <w:sz w:val="24"/>
          <w:szCs w:val="24"/>
        </w:rPr>
      </w:pPr>
      <w:r>
        <w:rPr>
          <w:color w:val="000000"/>
          <w:sz w:val="24"/>
          <w:szCs w:val="24"/>
        </w:rPr>
        <w:t>As sanções previstas nas cláusulas 22.3.1, 22.3.3 e 22.3.4, poderão ser aplicadas cumulativamente com a prevista na cláusula 22.3.2.</w:t>
      </w:r>
    </w:p>
    <w:p w14:paraId="22B42BFB">
      <w:pPr>
        <w:numPr>
          <w:ilvl w:val="1"/>
          <w:numId w:val="10"/>
        </w:numPr>
        <w:ind w:left="-567" w:right="-852" w:firstLine="0"/>
        <w:jc w:val="both"/>
        <w:rPr>
          <w:sz w:val="24"/>
          <w:szCs w:val="24"/>
        </w:rPr>
      </w:pPr>
      <w:r>
        <w:rPr>
          <w:color w:val="000000"/>
          <w:sz w:val="24"/>
          <w:szCs w:val="24"/>
        </w:rPr>
        <w:t xml:space="preserve">Os atos previstos como infrações administrativas nesta Lei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w:t>
      </w:r>
    </w:p>
    <w:p w14:paraId="1FFAAC4D">
      <w:pPr>
        <w:numPr>
          <w:ilvl w:val="1"/>
          <w:numId w:val="10"/>
        </w:numPr>
        <w:ind w:left="-567" w:right="-852" w:firstLine="0"/>
        <w:jc w:val="both"/>
        <w:rPr>
          <w:sz w:val="24"/>
          <w:szCs w:val="24"/>
        </w:rPr>
      </w:pPr>
      <w:bookmarkStart w:id="39" w:name="_heading=h.3fwokq0" w:colFirst="0" w:colLast="0"/>
      <w:bookmarkEnd w:id="39"/>
      <w:r>
        <w:rPr>
          <w:color w:val="000000"/>
          <w:sz w:val="24"/>
          <w:szCs w:val="24"/>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77F383BE">
      <w:pPr>
        <w:numPr>
          <w:ilvl w:val="1"/>
          <w:numId w:val="10"/>
        </w:numPr>
        <w:ind w:left="-567" w:right="-852" w:firstLine="0"/>
        <w:jc w:val="both"/>
        <w:rPr>
          <w:sz w:val="24"/>
          <w:szCs w:val="24"/>
        </w:rPr>
      </w:pPr>
      <w:r>
        <w:rPr>
          <w:color w:val="000000"/>
          <w:sz w:val="24"/>
          <w:szCs w:val="24"/>
        </w:rPr>
        <w:t>A aplicação de qualquer das penalidades previstas realizar-se-á em processo administrativo que assegurará o contraditório e a ampla defesa ao licitante/adjudicatário, observando-se o procedimento previsto na Lei nº 14.133, de 2021, e subsidiariamente as legislações pertinentes.</w:t>
      </w:r>
    </w:p>
    <w:p w14:paraId="1DB06A3C">
      <w:pPr>
        <w:numPr>
          <w:ilvl w:val="1"/>
          <w:numId w:val="10"/>
        </w:numPr>
        <w:ind w:left="-567" w:right="-852" w:firstLine="0"/>
        <w:jc w:val="both"/>
        <w:rPr>
          <w:sz w:val="24"/>
          <w:szCs w:val="24"/>
        </w:rPr>
      </w:pPr>
      <w:r>
        <w:rPr>
          <w:color w:val="000000"/>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645D7DDE">
      <w:pPr>
        <w:numPr>
          <w:ilvl w:val="1"/>
          <w:numId w:val="10"/>
        </w:numPr>
        <w:ind w:left="-567" w:right="-852" w:firstLine="0"/>
        <w:jc w:val="both"/>
        <w:rPr>
          <w:sz w:val="24"/>
          <w:szCs w:val="24"/>
        </w:rPr>
      </w:pPr>
      <w:r>
        <w:rPr>
          <w:color w:val="000000"/>
          <w:sz w:val="24"/>
          <w:szCs w:val="24"/>
        </w:rPr>
        <w:t>As penalidades serão obrigatoriamente registradas no site de transparência do Município e no CEIS e CNEP.</w:t>
      </w:r>
    </w:p>
    <w:p w14:paraId="72BBBAEE">
      <w:pPr>
        <w:numPr>
          <w:ilvl w:val="1"/>
          <w:numId w:val="10"/>
        </w:numPr>
        <w:ind w:left="-567" w:right="-852" w:firstLine="0"/>
        <w:jc w:val="both"/>
        <w:rPr>
          <w:sz w:val="24"/>
          <w:szCs w:val="24"/>
        </w:rPr>
      </w:pPr>
      <w:r>
        <w:rPr>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2939A045">
      <w:pPr>
        <w:numPr>
          <w:ilvl w:val="1"/>
          <w:numId w:val="10"/>
        </w:numPr>
        <w:ind w:left="-567" w:right="-852" w:firstLine="0"/>
        <w:jc w:val="both"/>
        <w:rPr>
          <w:sz w:val="24"/>
          <w:szCs w:val="24"/>
        </w:rPr>
      </w:pPr>
      <w:r>
        <w:rPr>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2FAB494">
      <w:pPr>
        <w:numPr>
          <w:ilvl w:val="1"/>
          <w:numId w:val="10"/>
        </w:numPr>
        <w:pBdr>
          <w:top w:val="none" w:color="auto" w:sz="0" w:space="0"/>
          <w:left w:val="none" w:color="auto" w:sz="0" w:space="0"/>
          <w:bottom w:val="none" w:color="auto" w:sz="0" w:space="0"/>
          <w:right w:val="none" w:color="auto" w:sz="0" w:space="0"/>
          <w:between w:val="none" w:color="auto" w:sz="0" w:space="0"/>
        </w:pBdr>
        <w:ind w:left="-567" w:right="-852" w:firstLine="0"/>
        <w:jc w:val="both"/>
        <w:rPr>
          <w:sz w:val="24"/>
          <w:szCs w:val="24"/>
        </w:rPr>
      </w:pPr>
      <w:r>
        <w:rPr>
          <w:color w:val="000000"/>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CD3F931">
      <w:pPr>
        <w:numPr>
          <w:ilvl w:val="1"/>
          <w:numId w:val="10"/>
        </w:numPr>
        <w:pBdr>
          <w:top w:val="none" w:color="auto" w:sz="0" w:space="0"/>
          <w:left w:val="none" w:color="auto" w:sz="0" w:space="0"/>
          <w:bottom w:val="none" w:color="auto" w:sz="0" w:space="0"/>
          <w:right w:val="none" w:color="auto" w:sz="0" w:space="0"/>
          <w:between w:val="none" w:color="auto" w:sz="0" w:space="0"/>
        </w:pBdr>
        <w:ind w:left="-567" w:right="-852" w:firstLine="0"/>
        <w:jc w:val="both"/>
        <w:rPr>
          <w:sz w:val="24"/>
          <w:szCs w:val="24"/>
        </w:rPr>
      </w:pPr>
      <w:r>
        <w:rPr>
          <w:color w:val="000000"/>
          <w:sz w:val="24"/>
          <w:szCs w:val="24"/>
        </w:rPr>
        <w:t>O recurso e o pedido de reconsideração terão efeito suspensivo do ato ou da decisão recorrida até que sobrevenha decisão final da autoridade competente.</w:t>
      </w:r>
    </w:p>
    <w:p w14:paraId="6A99AE38">
      <w:pPr>
        <w:numPr>
          <w:ilvl w:val="1"/>
          <w:numId w:val="10"/>
        </w:numPr>
        <w:ind w:left="-567" w:right="-852" w:firstLine="0"/>
        <w:jc w:val="both"/>
        <w:rPr>
          <w:sz w:val="24"/>
          <w:szCs w:val="24"/>
        </w:rPr>
      </w:pPr>
      <w:r>
        <w:rPr>
          <w:sz w:val="24"/>
          <w:szCs w:val="24"/>
        </w:rPr>
        <w:t>A aplicação das sanções previstas neste edital não exclui, em hipótese alguma, a obrigação de reparação integral dos danos causados.</w:t>
      </w:r>
    </w:p>
    <w:p w14:paraId="72363D82">
      <w:pPr>
        <w:numPr>
          <w:ilvl w:val="1"/>
          <w:numId w:val="10"/>
        </w:numPr>
        <w:ind w:left="-567" w:right="-852" w:firstLine="0"/>
        <w:jc w:val="both"/>
        <w:rPr>
          <w:sz w:val="24"/>
          <w:szCs w:val="24"/>
        </w:rPr>
      </w:pPr>
      <w:r>
        <w:rPr>
          <w:sz w:val="24"/>
          <w:szCs w:val="24"/>
        </w:rPr>
        <w:t xml:space="preserve">A aplicação das sanções previstas neste edital não exclui, em hipótese alguma, a obrigação de reparação integral dos danos causados à </w:t>
      </w:r>
      <w:r>
        <w:rPr>
          <w:color w:val="000000"/>
          <w:sz w:val="24"/>
          <w:szCs w:val="24"/>
        </w:rPr>
        <w:t>Administração Pública municipal.</w:t>
      </w:r>
    </w:p>
    <w:p w14:paraId="376036A4">
      <w:pPr>
        <w:keepNext/>
        <w:keepLines/>
        <w:numPr>
          <w:ilvl w:val="0"/>
          <w:numId w:val="10"/>
        </w:numPr>
        <w:pBdr>
          <w:top w:val="none" w:color="auto" w:sz="0" w:space="0"/>
          <w:left w:val="none" w:color="auto" w:sz="0" w:space="0"/>
          <w:bottom w:val="none" w:color="auto" w:sz="0" w:space="0"/>
          <w:right w:val="none" w:color="auto" w:sz="0" w:space="0"/>
          <w:between w:val="none" w:color="auto" w:sz="0" w:space="0"/>
        </w:pBdr>
        <w:ind w:left="-567" w:right="-852" w:firstLine="0"/>
        <w:jc w:val="both"/>
        <w:rPr>
          <w:b/>
          <w:color w:val="000000"/>
          <w:sz w:val="24"/>
          <w:szCs w:val="24"/>
        </w:rPr>
      </w:pPr>
      <w:r>
        <w:rPr>
          <w:b/>
          <w:color w:val="000000"/>
          <w:sz w:val="24"/>
          <w:szCs w:val="24"/>
        </w:rPr>
        <w:t>DA IMPUGNAÇÃO AO EDITAL E DO PEDIDO DE ESCLARECIMENTO</w:t>
      </w:r>
    </w:p>
    <w:p w14:paraId="38D042BA">
      <w:pPr>
        <w:numPr>
          <w:ilvl w:val="1"/>
          <w:numId w:val="10"/>
        </w:numPr>
        <w:ind w:left="-567" w:right="-852" w:firstLine="0"/>
        <w:jc w:val="both"/>
        <w:rPr>
          <w:sz w:val="24"/>
          <w:szCs w:val="24"/>
        </w:rPr>
      </w:pPr>
      <w:r>
        <w:rPr>
          <w:color w:val="000000"/>
          <w:sz w:val="24"/>
          <w:szCs w:val="24"/>
        </w:rPr>
        <w:t>Até 3 (três) dias úteis antes da data de abertura do certame, qualquer pessoa poderá impugnar este Edital, por irregularidade na aplicação da lei 14.133 de 2021.</w:t>
      </w:r>
    </w:p>
    <w:p w14:paraId="40B5427C">
      <w:pPr>
        <w:numPr>
          <w:ilvl w:val="1"/>
          <w:numId w:val="10"/>
        </w:numPr>
        <w:ind w:left="-567" w:right="-852" w:firstLine="0"/>
        <w:jc w:val="both"/>
        <w:rPr>
          <w:sz w:val="24"/>
          <w:szCs w:val="24"/>
        </w:rPr>
      </w:pPr>
      <w:r>
        <w:rPr>
          <w:color w:val="000000"/>
          <w:sz w:val="24"/>
          <w:szCs w:val="24"/>
        </w:rPr>
        <w:t xml:space="preserve">A impugnação e o pedido de esclarecimento poderão ser realizados por forma eletrônica, pelo e-mail ipiralicitacao@gmail.com, ou por petição dirigida ou protocolada no endereço </w:t>
      </w:r>
      <w:r>
        <w:rPr>
          <w:sz w:val="24"/>
          <w:szCs w:val="24"/>
        </w:rPr>
        <w:t>Rod BA 052, KM 86, Centro Administrativo, CEP 44600-000, Ipirá - BA.</w:t>
      </w:r>
    </w:p>
    <w:p w14:paraId="6D5D7964">
      <w:pPr>
        <w:numPr>
          <w:ilvl w:val="1"/>
          <w:numId w:val="10"/>
        </w:numPr>
        <w:ind w:left="-567" w:right="-852" w:firstLine="0"/>
        <w:jc w:val="both"/>
        <w:rPr>
          <w:sz w:val="24"/>
          <w:szCs w:val="24"/>
        </w:rPr>
      </w:pPr>
      <w:r>
        <w:rPr>
          <w:color w:val="000000"/>
          <w:sz w:val="24"/>
          <w:szCs w:val="24"/>
        </w:rPr>
        <w:t>A resposta à impugnação ou ao pedido de esclarecimento será divulgada em sítio eletrônico oficial no prazo de até 3 (três) dias úteis, limitado ao último dia útil anterior à data da abertura do certame, podendo o Pregoeiro requisitar subsídios formais aos responsáveis pela elaboração do Edital e dos anexos.</w:t>
      </w:r>
    </w:p>
    <w:p w14:paraId="7FA2F1BC">
      <w:pPr>
        <w:numPr>
          <w:ilvl w:val="1"/>
          <w:numId w:val="10"/>
        </w:numPr>
        <w:ind w:left="-567" w:right="-852" w:firstLine="0"/>
        <w:jc w:val="both"/>
        <w:rPr>
          <w:sz w:val="24"/>
          <w:szCs w:val="24"/>
        </w:rPr>
      </w:pPr>
      <w:r>
        <w:rPr>
          <w:color w:val="000000"/>
          <w:sz w:val="24"/>
          <w:szCs w:val="24"/>
        </w:rPr>
        <w:t xml:space="preserve">Acolhida a impugnação, e esta impactar na reformulação da proposta, será definida e publicada nova data para a realização do certame, conforme art. 55, §1º, da Lei nº 14.133/21. </w:t>
      </w:r>
    </w:p>
    <w:p w14:paraId="16E3CB70">
      <w:pPr>
        <w:numPr>
          <w:ilvl w:val="1"/>
          <w:numId w:val="10"/>
        </w:numPr>
        <w:ind w:left="-567" w:right="-852" w:firstLine="0"/>
        <w:jc w:val="both"/>
        <w:rPr>
          <w:sz w:val="24"/>
          <w:szCs w:val="24"/>
        </w:rPr>
      </w:pPr>
      <w:r>
        <w:rPr>
          <w:sz w:val="24"/>
          <w:szCs w:val="24"/>
        </w:rPr>
        <w:t>As impugnações e pedidos de esclarecimentos não suspendem os prazos previstos no certame.</w:t>
      </w:r>
    </w:p>
    <w:p w14:paraId="30E11CE7">
      <w:pPr>
        <w:numPr>
          <w:ilvl w:val="1"/>
          <w:numId w:val="10"/>
        </w:numPr>
        <w:ind w:left="-567" w:right="-852" w:firstLine="0"/>
        <w:jc w:val="both"/>
        <w:rPr>
          <w:sz w:val="24"/>
          <w:szCs w:val="24"/>
        </w:rPr>
      </w:pPr>
      <w:r>
        <w:rPr>
          <w:color w:val="000000"/>
          <w:sz w:val="24"/>
          <w:szCs w:val="24"/>
        </w:rPr>
        <w:t>As impugnações e pedidos de esclarecimentos não suspendem os prazos previstos no certame.</w:t>
      </w:r>
    </w:p>
    <w:p w14:paraId="5EDF210B">
      <w:pPr>
        <w:numPr>
          <w:ilvl w:val="2"/>
          <w:numId w:val="10"/>
        </w:numPr>
        <w:ind w:left="-567" w:right="-852" w:firstLine="0"/>
        <w:jc w:val="both"/>
        <w:rPr>
          <w:color w:val="000000"/>
          <w:sz w:val="24"/>
          <w:szCs w:val="24"/>
        </w:rPr>
      </w:pPr>
      <w:r>
        <w:rPr>
          <w:color w:val="000000"/>
          <w:sz w:val="24"/>
          <w:szCs w:val="24"/>
        </w:rPr>
        <w:t>A concessão de efeito suspensivo à impugnação é medida excepcional e deverá ser motivada pelo pregoeiro, nos autos do processo de licitação, se houver impacto na formulação de propostas.</w:t>
      </w:r>
    </w:p>
    <w:p w14:paraId="2852F40D">
      <w:pPr>
        <w:keepNext/>
        <w:keepLines/>
        <w:numPr>
          <w:ilvl w:val="0"/>
          <w:numId w:val="10"/>
        </w:numPr>
        <w:pBdr>
          <w:top w:val="none" w:color="auto" w:sz="0" w:space="0"/>
          <w:left w:val="none" w:color="auto" w:sz="0" w:space="0"/>
          <w:bottom w:val="none" w:color="auto" w:sz="0" w:space="0"/>
          <w:right w:val="none" w:color="auto" w:sz="0" w:space="0"/>
          <w:between w:val="none" w:color="auto" w:sz="0" w:space="0"/>
        </w:pBdr>
        <w:ind w:left="-567" w:right="-852" w:firstLine="0"/>
        <w:jc w:val="both"/>
        <w:rPr>
          <w:b/>
          <w:color w:val="000000"/>
          <w:sz w:val="24"/>
          <w:szCs w:val="24"/>
        </w:rPr>
      </w:pPr>
      <w:r>
        <w:rPr>
          <w:b/>
          <w:color w:val="000000"/>
          <w:sz w:val="24"/>
          <w:szCs w:val="24"/>
        </w:rPr>
        <w:t>DAS DISPOSIÇÕES GERAIS</w:t>
      </w:r>
    </w:p>
    <w:p w14:paraId="3B4C0212">
      <w:pPr>
        <w:numPr>
          <w:ilvl w:val="1"/>
          <w:numId w:val="10"/>
        </w:numPr>
        <w:ind w:left="-567" w:right="-852" w:firstLine="0"/>
        <w:jc w:val="both"/>
        <w:rPr>
          <w:sz w:val="24"/>
          <w:szCs w:val="24"/>
        </w:rPr>
      </w:pPr>
      <w:r>
        <w:rPr>
          <w:color w:val="000000"/>
          <w:sz w:val="24"/>
          <w:szCs w:val="24"/>
        </w:rPr>
        <w:t>Da sessão pública do Pregão divulgar-se-á Ata no sistema eletrônico.</w:t>
      </w:r>
    </w:p>
    <w:p w14:paraId="118B1204">
      <w:pPr>
        <w:numPr>
          <w:ilvl w:val="1"/>
          <w:numId w:val="10"/>
        </w:numPr>
        <w:ind w:left="-567" w:right="-852" w:firstLine="0"/>
        <w:jc w:val="both"/>
        <w:rPr>
          <w:sz w:val="24"/>
          <w:szCs w:val="24"/>
        </w:rPr>
      </w:pPr>
      <w:r>
        <w:rPr>
          <w:color w:val="000000"/>
          <w:sz w:val="24"/>
          <w:szCs w:val="24"/>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4C0A8EDD">
      <w:pPr>
        <w:numPr>
          <w:ilvl w:val="1"/>
          <w:numId w:val="10"/>
        </w:numPr>
        <w:ind w:left="-567" w:right="-852" w:firstLine="0"/>
        <w:jc w:val="both"/>
        <w:rPr>
          <w:sz w:val="24"/>
          <w:szCs w:val="24"/>
        </w:rPr>
      </w:pPr>
      <w:r>
        <w:rPr>
          <w:color w:val="000000"/>
          <w:sz w:val="24"/>
          <w:szCs w:val="24"/>
        </w:rPr>
        <w:t>Todas as referências de tempo no Edital, no aviso e durante a sessão pública observarão o horário de Brasília – DF.</w:t>
      </w:r>
    </w:p>
    <w:p w14:paraId="7459374E">
      <w:pPr>
        <w:numPr>
          <w:ilvl w:val="1"/>
          <w:numId w:val="10"/>
        </w:numPr>
        <w:ind w:left="-567" w:right="-852" w:firstLine="0"/>
        <w:jc w:val="both"/>
        <w:rPr>
          <w:sz w:val="24"/>
          <w:szCs w:val="24"/>
        </w:rPr>
      </w:pPr>
      <w:r>
        <w:rPr>
          <w:color w:val="000000"/>
          <w:sz w:val="24"/>
          <w:szCs w:val="24"/>
        </w:rPr>
        <w:t>No julgamento das propostas e da habilitação, o Pregoeiro poderá sanar erros ou falhas que não alterem a substância das propostas, dos documentos e sua validade jurídica, atribuindo-lhes validade e eficácia para fins de habilitação e classificação.</w:t>
      </w:r>
    </w:p>
    <w:p w14:paraId="452F35A5">
      <w:pPr>
        <w:numPr>
          <w:ilvl w:val="1"/>
          <w:numId w:val="10"/>
        </w:numPr>
        <w:ind w:left="-567" w:right="-852" w:firstLine="0"/>
        <w:jc w:val="both"/>
        <w:rPr>
          <w:sz w:val="24"/>
          <w:szCs w:val="24"/>
        </w:rPr>
      </w:pPr>
      <w:r>
        <w:rPr>
          <w:color w:val="000000"/>
          <w:sz w:val="24"/>
          <w:szCs w:val="24"/>
        </w:rPr>
        <w:t>A homologação do resultado desta licitação não implicará direito à contratação.</w:t>
      </w:r>
    </w:p>
    <w:p w14:paraId="7A1BCFD1">
      <w:pPr>
        <w:numPr>
          <w:ilvl w:val="1"/>
          <w:numId w:val="10"/>
        </w:numPr>
        <w:ind w:left="-567" w:right="-852" w:firstLine="0"/>
        <w:jc w:val="both"/>
        <w:rPr>
          <w:sz w:val="24"/>
          <w:szCs w:val="24"/>
        </w:rPr>
      </w:pPr>
      <w:r>
        <w:rPr>
          <w:color w:val="000000"/>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7AABCC1">
      <w:pPr>
        <w:numPr>
          <w:ilvl w:val="1"/>
          <w:numId w:val="10"/>
        </w:numPr>
        <w:ind w:left="-567" w:right="-852" w:firstLine="0"/>
        <w:jc w:val="both"/>
        <w:rPr>
          <w:sz w:val="24"/>
          <w:szCs w:val="24"/>
        </w:rPr>
      </w:pPr>
      <w:r>
        <w:rPr>
          <w:color w:val="000000"/>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7B3A7E8">
      <w:pPr>
        <w:numPr>
          <w:ilvl w:val="1"/>
          <w:numId w:val="10"/>
        </w:numPr>
        <w:ind w:left="-567" w:right="-852" w:firstLine="0"/>
        <w:jc w:val="both"/>
        <w:rPr>
          <w:sz w:val="24"/>
          <w:szCs w:val="24"/>
        </w:rPr>
      </w:pPr>
      <w:r>
        <w:rPr>
          <w:color w:val="000000"/>
          <w:sz w:val="24"/>
          <w:szCs w:val="24"/>
        </w:rPr>
        <w:t>Na contagem dos prazos estabelecidos neste Edital e seus Anexos, excluir-se-á o dia do início e incluir-se-á o do vencimento. Só se iniciam e vencem os prazos em dias de expediente na Administração.</w:t>
      </w:r>
    </w:p>
    <w:p w14:paraId="79AC1C57">
      <w:pPr>
        <w:numPr>
          <w:ilvl w:val="1"/>
          <w:numId w:val="10"/>
        </w:numPr>
        <w:ind w:left="-567" w:right="-852" w:firstLine="0"/>
        <w:jc w:val="both"/>
        <w:rPr>
          <w:sz w:val="24"/>
          <w:szCs w:val="24"/>
        </w:rPr>
      </w:pPr>
      <w:r>
        <w:rPr>
          <w:color w:val="000000"/>
          <w:sz w:val="24"/>
          <w:szCs w:val="24"/>
        </w:rPr>
        <w:t>O desatendimento de exigências formais não essenciais não importará o afastamento do licitante, desde que seja possível o aproveitamento do ato, observado os princípios da isonomia e do interesse público.</w:t>
      </w:r>
    </w:p>
    <w:p w14:paraId="265A9C31">
      <w:pPr>
        <w:numPr>
          <w:ilvl w:val="1"/>
          <w:numId w:val="10"/>
        </w:numPr>
        <w:ind w:left="-567" w:right="-852" w:firstLine="0"/>
        <w:jc w:val="both"/>
        <w:rPr>
          <w:sz w:val="24"/>
          <w:szCs w:val="24"/>
        </w:rPr>
      </w:pPr>
      <w:r>
        <w:rPr>
          <w:color w:val="000000"/>
          <w:sz w:val="24"/>
          <w:szCs w:val="24"/>
        </w:rPr>
        <w:t>Em caso de divergência entre disposições deste Edital e de seus anexos ou demais peças que compõem o processo, prevalecerá as deste Edital.</w:t>
      </w:r>
    </w:p>
    <w:p w14:paraId="054508DE">
      <w:pPr>
        <w:pStyle w:val="36"/>
        <w:numPr>
          <w:ilvl w:val="1"/>
          <w:numId w:val="10"/>
        </w:numPr>
        <w:ind w:left="-567" w:right="-852" w:firstLine="0"/>
        <w:jc w:val="both"/>
        <w:rPr>
          <w:color w:val="000000"/>
          <w:sz w:val="24"/>
          <w:szCs w:val="24"/>
        </w:rPr>
      </w:pPr>
      <w:r>
        <w:rPr>
          <w:color w:val="000000"/>
          <w:sz w:val="24"/>
          <w:szCs w:val="24"/>
        </w:rPr>
        <w:t>O Edital está disponibilizado, na íntegra, no Portal Nacional de Contratações Públicas (PNCP) e no endereço eletrônico ipira.ba.gov.br e também poderão ser lidos e/ou obtidos no endereço Rod BA 052, KM 86, Centro Administrativo, CEP 44600-000, Ipirá - BA, nos dias úteis, no horário das 08 horas às 12 horas, mesmo endereço e período no qual os autos do processo administrativo permanecerão com vista franqueada aos interessados.</w:t>
      </w:r>
    </w:p>
    <w:p w14:paraId="5620584A">
      <w:pPr>
        <w:numPr>
          <w:ilvl w:val="1"/>
          <w:numId w:val="10"/>
        </w:numPr>
        <w:ind w:left="-567" w:right="-852" w:firstLine="0"/>
        <w:jc w:val="both"/>
        <w:rPr>
          <w:sz w:val="24"/>
          <w:szCs w:val="24"/>
        </w:rPr>
      </w:pPr>
      <w:r>
        <w:rPr>
          <w:color w:val="000000"/>
          <w:sz w:val="24"/>
          <w:szCs w:val="24"/>
        </w:rPr>
        <w:t>Integram este Edital, para todos os fins e efeitos, os seguintes anexos:</w:t>
      </w:r>
    </w:p>
    <w:p w14:paraId="5E7C86A9">
      <w:pPr>
        <w:numPr>
          <w:ilvl w:val="2"/>
          <w:numId w:val="10"/>
        </w:numPr>
        <w:tabs>
          <w:tab w:val="left" w:pos="851"/>
        </w:tabs>
        <w:ind w:left="-567" w:right="-852" w:firstLine="0"/>
        <w:jc w:val="both"/>
        <w:rPr>
          <w:color w:val="000000"/>
          <w:sz w:val="24"/>
          <w:szCs w:val="24"/>
        </w:rPr>
      </w:pPr>
      <w:r>
        <w:rPr>
          <w:color w:val="000000"/>
          <w:sz w:val="24"/>
          <w:szCs w:val="24"/>
        </w:rPr>
        <w:t>ANEXO I - Termo de Referência</w:t>
      </w:r>
    </w:p>
    <w:p w14:paraId="2E6A89E2">
      <w:pPr>
        <w:tabs>
          <w:tab w:val="left" w:pos="1440"/>
        </w:tabs>
        <w:ind w:left="-567" w:right="-852"/>
        <w:jc w:val="both"/>
        <w:rPr>
          <w:color w:val="000000"/>
          <w:sz w:val="24"/>
          <w:szCs w:val="24"/>
        </w:rPr>
      </w:pPr>
      <w:r>
        <w:rPr>
          <w:color w:val="000000"/>
          <w:sz w:val="24"/>
          <w:szCs w:val="24"/>
        </w:rPr>
        <w:t>22.12.1.1- Apêndice do Anexo I – Estudo Técnico Preliminar e Análise de Riscos, se for o caso</w:t>
      </w:r>
    </w:p>
    <w:p w14:paraId="06108A31">
      <w:pPr>
        <w:numPr>
          <w:ilvl w:val="2"/>
          <w:numId w:val="10"/>
        </w:numPr>
        <w:tabs>
          <w:tab w:val="left" w:pos="851"/>
        </w:tabs>
        <w:ind w:left="-567" w:right="-852" w:firstLine="0"/>
        <w:jc w:val="both"/>
        <w:rPr>
          <w:color w:val="000000"/>
          <w:sz w:val="24"/>
          <w:szCs w:val="24"/>
        </w:rPr>
      </w:pPr>
      <w:r>
        <w:rPr>
          <w:color w:val="000000"/>
          <w:sz w:val="24"/>
          <w:szCs w:val="24"/>
        </w:rPr>
        <w:t>ANEXO II - Modelo de Proposta de Preço</w:t>
      </w:r>
    </w:p>
    <w:p w14:paraId="507E5B57">
      <w:pPr>
        <w:tabs>
          <w:tab w:val="left" w:pos="851"/>
        </w:tabs>
        <w:ind w:left="-567" w:right="-852"/>
        <w:jc w:val="both"/>
        <w:rPr>
          <w:color w:val="000000"/>
          <w:sz w:val="24"/>
          <w:szCs w:val="24"/>
        </w:rPr>
      </w:pPr>
      <w:r>
        <w:rPr>
          <w:color w:val="000000"/>
          <w:sz w:val="24"/>
          <w:szCs w:val="24"/>
        </w:rPr>
        <w:t>22.12.2.1. Apêndice do Anexo II – Planilha de composição de Preços</w:t>
      </w:r>
    </w:p>
    <w:p w14:paraId="013A52D1">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851"/>
        </w:tabs>
        <w:ind w:left="-567" w:right="-852" w:firstLine="0"/>
        <w:rPr>
          <w:color w:val="000000"/>
          <w:sz w:val="24"/>
          <w:szCs w:val="24"/>
        </w:rPr>
      </w:pPr>
      <w:r>
        <w:rPr>
          <w:color w:val="000000"/>
          <w:sz w:val="24"/>
          <w:szCs w:val="24"/>
        </w:rPr>
        <w:t>ANEXO III - Minuta de Ata de Registro de Preços.</w:t>
      </w:r>
    </w:p>
    <w:p w14:paraId="08C680AE">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851"/>
        </w:tabs>
        <w:ind w:left="-567" w:right="-852" w:firstLine="0"/>
        <w:rPr>
          <w:color w:val="000000"/>
          <w:sz w:val="24"/>
          <w:szCs w:val="24"/>
        </w:rPr>
      </w:pPr>
      <w:r>
        <w:rPr>
          <w:color w:val="000000"/>
          <w:sz w:val="24"/>
          <w:szCs w:val="24"/>
        </w:rPr>
        <w:t>ANEXO III.1 – Minuta de Cadastro de Reserva</w:t>
      </w:r>
    </w:p>
    <w:p w14:paraId="32D51922">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851"/>
        </w:tabs>
        <w:ind w:left="-567" w:right="-852" w:firstLine="0"/>
        <w:rPr>
          <w:color w:val="000000"/>
          <w:sz w:val="24"/>
          <w:szCs w:val="24"/>
        </w:rPr>
      </w:pPr>
      <w:r>
        <w:rPr>
          <w:color w:val="000000"/>
          <w:sz w:val="24"/>
          <w:szCs w:val="24"/>
        </w:rPr>
        <w:t xml:space="preserve">ANEXO IV- Minuta de Termo de Contrato </w:t>
      </w:r>
    </w:p>
    <w:p w14:paraId="517587E7">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851"/>
        </w:tabs>
        <w:ind w:left="-567" w:right="-852" w:firstLine="0"/>
        <w:rPr>
          <w:color w:val="000000"/>
          <w:sz w:val="24"/>
          <w:szCs w:val="24"/>
        </w:rPr>
      </w:pPr>
      <w:r>
        <w:rPr>
          <w:color w:val="000000"/>
          <w:sz w:val="24"/>
          <w:szCs w:val="24"/>
        </w:rPr>
        <w:t>ANEXO V- Modelo de declaração de cumprimento dos requisitos de habilitação (art. 63, inciso I, da Lei 14.133/2021).</w:t>
      </w:r>
    </w:p>
    <w:p w14:paraId="7E7EDCC2">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993"/>
        </w:tabs>
        <w:ind w:left="-567" w:right="-852" w:firstLine="0"/>
        <w:rPr>
          <w:color w:val="000000"/>
          <w:sz w:val="24"/>
          <w:szCs w:val="24"/>
        </w:rPr>
      </w:pPr>
      <w:r>
        <w:rPr>
          <w:color w:val="000000"/>
          <w:sz w:val="24"/>
          <w:szCs w:val="24"/>
        </w:rPr>
        <w:t>ANEXO VI- Modelo de declaração de que cumpre as exigências de reserva de cargos para pessoa com deficiência e para reabilitado da Previdência Social, previstas em lei e em outras normas específicas (art. 63, inciso IV, da Lei 14.133/2021).</w:t>
      </w:r>
    </w:p>
    <w:p w14:paraId="1E0BD460">
      <w:pPr>
        <w:pBdr>
          <w:top w:val="none" w:color="auto" w:sz="0" w:space="0"/>
          <w:left w:val="none" w:color="auto" w:sz="0" w:space="0"/>
          <w:bottom w:val="none" w:color="auto" w:sz="0" w:space="0"/>
          <w:right w:val="none" w:color="auto" w:sz="0" w:space="0"/>
          <w:between w:val="none" w:color="auto" w:sz="0" w:space="0"/>
        </w:pBdr>
        <w:tabs>
          <w:tab w:val="left" w:pos="993"/>
        </w:tabs>
        <w:ind w:left="-567" w:right="-852"/>
        <w:rPr>
          <w:color w:val="000000"/>
          <w:sz w:val="24"/>
          <w:szCs w:val="24"/>
        </w:rPr>
      </w:pPr>
    </w:p>
    <w:p w14:paraId="716FB264">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993"/>
        </w:tabs>
        <w:ind w:left="-567" w:right="-852" w:firstLine="0"/>
        <w:rPr>
          <w:color w:val="000000"/>
          <w:sz w:val="24"/>
          <w:szCs w:val="24"/>
        </w:rPr>
      </w:pPr>
      <w:r>
        <w:rPr>
          <w:color w:val="000000"/>
          <w:sz w:val="24"/>
          <w:szCs w:val="24"/>
        </w:rPr>
        <w:t>ANEXO VII- Modelo de declaração de microempresa e empresa de pequeno porte, ou cooperativa enquadrada no artigo 34 da Lei nº 11.488, de 2007.</w:t>
      </w:r>
    </w:p>
    <w:p w14:paraId="125FFE99">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993"/>
        </w:tabs>
        <w:ind w:left="-567" w:right="-852" w:firstLine="0"/>
        <w:rPr>
          <w:color w:val="000000"/>
          <w:sz w:val="24"/>
          <w:szCs w:val="24"/>
        </w:rPr>
      </w:pPr>
      <w:r>
        <w:rPr>
          <w:color w:val="000000"/>
          <w:sz w:val="24"/>
          <w:szCs w:val="24"/>
        </w:rPr>
        <w:t xml:space="preserve">ANEXO VIII- Modelo Declaração da licitante de cumprimento ao artigo 7º, inciso XXXIII, da Constituição Federal (art. 68, inciso VI, da Lei 14.133/2021). </w:t>
      </w:r>
    </w:p>
    <w:p w14:paraId="69AB29EF">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993"/>
        </w:tabs>
        <w:ind w:left="-567" w:right="-852" w:firstLine="0"/>
        <w:jc w:val="both"/>
        <w:rPr>
          <w:color w:val="000000"/>
          <w:sz w:val="24"/>
          <w:szCs w:val="24"/>
        </w:rPr>
      </w:pPr>
      <w:r>
        <w:rPr>
          <w:color w:val="000000"/>
          <w:sz w:val="24"/>
          <w:szCs w:val="24"/>
        </w:rPr>
        <w:t>ANEXO IX - Modelo de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BA93FF7">
      <w:pPr>
        <w:pBdr>
          <w:top w:val="none" w:color="auto" w:sz="0" w:space="0"/>
          <w:left w:val="none" w:color="auto" w:sz="0" w:space="0"/>
          <w:bottom w:val="none" w:color="auto" w:sz="0" w:space="0"/>
          <w:right w:val="none" w:color="auto" w:sz="0" w:space="0"/>
          <w:between w:val="none" w:color="auto" w:sz="0" w:space="0"/>
        </w:pBdr>
        <w:tabs>
          <w:tab w:val="left" w:pos="993"/>
        </w:tabs>
        <w:ind w:left="-567" w:right="-852"/>
        <w:rPr>
          <w:color w:val="000000"/>
          <w:sz w:val="24"/>
          <w:szCs w:val="24"/>
        </w:rPr>
      </w:pPr>
    </w:p>
    <w:p w14:paraId="4ED00F2F">
      <w:pPr>
        <w:ind w:left="-567" w:right="-852"/>
        <w:jc w:val="both"/>
        <w:rPr>
          <w:color w:val="000000"/>
          <w:sz w:val="24"/>
          <w:szCs w:val="24"/>
        </w:rPr>
      </w:pPr>
    </w:p>
    <w:p w14:paraId="78F55EE0">
      <w:pPr>
        <w:ind w:left="-567" w:right="-852"/>
        <w:jc w:val="both"/>
        <w:rPr>
          <w:color w:val="000000"/>
          <w:sz w:val="24"/>
          <w:szCs w:val="24"/>
        </w:rPr>
      </w:pPr>
    </w:p>
    <w:p w14:paraId="48696FCE">
      <w:pPr>
        <w:spacing w:line="360" w:lineRule="auto"/>
        <w:jc w:val="both"/>
        <w:rPr>
          <w:color w:val="000000"/>
          <w:sz w:val="24"/>
          <w:szCs w:val="24"/>
        </w:rPr>
      </w:pPr>
      <w:r>
        <w:rPr>
          <w:color w:val="000000"/>
          <w:sz w:val="24"/>
          <w:szCs w:val="24"/>
        </w:rPr>
        <w:t>Ipirá-Ba, 01 de agosto de 2024.</w:t>
      </w:r>
    </w:p>
    <w:p w14:paraId="54FC3F5D">
      <w:pPr>
        <w:spacing w:line="360" w:lineRule="auto"/>
        <w:jc w:val="both"/>
        <w:rPr>
          <w:color w:val="000000"/>
          <w:sz w:val="24"/>
          <w:szCs w:val="24"/>
        </w:rPr>
      </w:pPr>
    </w:p>
    <w:p w14:paraId="4CBC08B6">
      <w:pPr>
        <w:spacing w:line="360" w:lineRule="auto"/>
        <w:jc w:val="center"/>
        <w:rPr>
          <w:color w:val="000000"/>
          <w:sz w:val="24"/>
          <w:szCs w:val="24"/>
        </w:rPr>
      </w:pPr>
      <w:r>
        <w:rPr>
          <w:color w:val="000000"/>
          <w:sz w:val="24"/>
          <w:szCs w:val="24"/>
        </w:rPr>
        <w:t>____________________________________________________</w:t>
      </w:r>
    </w:p>
    <w:p w14:paraId="17E58F83">
      <w:pPr>
        <w:spacing w:line="360" w:lineRule="auto"/>
        <w:jc w:val="center"/>
        <w:rPr>
          <w:sz w:val="24"/>
          <w:szCs w:val="24"/>
        </w:rPr>
      </w:pPr>
      <w:r>
        <w:rPr>
          <w:sz w:val="24"/>
          <w:szCs w:val="24"/>
        </w:rPr>
        <w:t>Maria Vanda Oliveira Barreto</w:t>
      </w:r>
    </w:p>
    <w:p w14:paraId="3213EB81">
      <w:pPr>
        <w:spacing w:line="360" w:lineRule="auto"/>
        <w:jc w:val="center"/>
        <w:rPr>
          <w:b/>
          <w:sz w:val="24"/>
          <w:szCs w:val="24"/>
        </w:rPr>
      </w:pPr>
      <w:r>
        <w:rPr>
          <w:sz w:val="24"/>
          <w:szCs w:val="24"/>
        </w:rPr>
        <w:t>Secretaria Municipal de Educação</w:t>
      </w:r>
    </w:p>
    <w:p w14:paraId="6F8A17DD">
      <w:pPr>
        <w:jc w:val="center"/>
        <w:rPr>
          <w:b/>
          <w:color w:val="000000"/>
          <w:sz w:val="24"/>
          <w:szCs w:val="24"/>
        </w:rPr>
      </w:pPr>
    </w:p>
    <w:p w14:paraId="315A486D">
      <w:pPr>
        <w:jc w:val="center"/>
        <w:rPr>
          <w:b/>
          <w:color w:val="000000"/>
          <w:sz w:val="24"/>
          <w:szCs w:val="24"/>
        </w:rPr>
      </w:pPr>
    </w:p>
    <w:p w14:paraId="53EF6F76">
      <w:pPr>
        <w:jc w:val="center"/>
        <w:rPr>
          <w:b/>
          <w:color w:val="000000"/>
          <w:sz w:val="24"/>
          <w:szCs w:val="24"/>
        </w:rPr>
      </w:pPr>
    </w:p>
    <w:p w14:paraId="67DE25AD">
      <w:pPr>
        <w:jc w:val="center"/>
        <w:rPr>
          <w:b/>
          <w:color w:val="000000"/>
          <w:sz w:val="24"/>
          <w:szCs w:val="24"/>
        </w:rPr>
      </w:pPr>
    </w:p>
    <w:p w14:paraId="7A133019">
      <w:pPr>
        <w:jc w:val="center"/>
        <w:rPr>
          <w:b/>
          <w:color w:val="000000"/>
          <w:sz w:val="24"/>
          <w:szCs w:val="24"/>
        </w:rPr>
      </w:pPr>
    </w:p>
    <w:p w14:paraId="48564E16">
      <w:pPr>
        <w:jc w:val="center"/>
        <w:rPr>
          <w:b/>
          <w:color w:val="000000"/>
          <w:sz w:val="24"/>
          <w:szCs w:val="24"/>
        </w:rPr>
      </w:pPr>
    </w:p>
    <w:p w14:paraId="0AF689FA">
      <w:pPr>
        <w:jc w:val="center"/>
        <w:rPr>
          <w:b/>
          <w:color w:val="000000"/>
          <w:sz w:val="24"/>
          <w:szCs w:val="24"/>
        </w:rPr>
      </w:pPr>
    </w:p>
    <w:p w14:paraId="1424B658">
      <w:pPr>
        <w:jc w:val="center"/>
        <w:rPr>
          <w:b/>
          <w:color w:val="000000"/>
          <w:sz w:val="24"/>
          <w:szCs w:val="24"/>
        </w:rPr>
      </w:pPr>
    </w:p>
    <w:p w14:paraId="1AE936E1">
      <w:pPr>
        <w:jc w:val="center"/>
        <w:rPr>
          <w:b/>
          <w:color w:val="000000"/>
          <w:sz w:val="24"/>
          <w:szCs w:val="24"/>
        </w:rPr>
      </w:pPr>
    </w:p>
    <w:p w14:paraId="13221D2F">
      <w:pPr>
        <w:jc w:val="center"/>
        <w:rPr>
          <w:b/>
          <w:color w:val="000000"/>
          <w:sz w:val="24"/>
          <w:szCs w:val="24"/>
        </w:rPr>
      </w:pPr>
    </w:p>
    <w:p w14:paraId="5E22C28C">
      <w:pPr>
        <w:jc w:val="center"/>
        <w:rPr>
          <w:b/>
          <w:color w:val="000000"/>
          <w:sz w:val="24"/>
          <w:szCs w:val="24"/>
        </w:rPr>
      </w:pPr>
    </w:p>
    <w:p w14:paraId="2F7D52AE">
      <w:pPr>
        <w:jc w:val="center"/>
        <w:rPr>
          <w:b/>
          <w:color w:val="000000"/>
          <w:sz w:val="24"/>
          <w:szCs w:val="24"/>
        </w:rPr>
      </w:pPr>
    </w:p>
    <w:p w14:paraId="2C4F94F5">
      <w:pPr>
        <w:jc w:val="center"/>
        <w:rPr>
          <w:b/>
          <w:color w:val="000000"/>
          <w:sz w:val="24"/>
          <w:szCs w:val="24"/>
        </w:rPr>
      </w:pPr>
    </w:p>
    <w:p w14:paraId="7EFEFFE9">
      <w:pPr>
        <w:jc w:val="center"/>
        <w:rPr>
          <w:b/>
          <w:color w:val="000000"/>
          <w:sz w:val="24"/>
          <w:szCs w:val="24"/>
        </w:rPr>
      </w:pPr>
    </w:p>
    <w:p w14:paraId="5945A41A">
      <w:pPr>
        <w:jc w:val="center"/>
        <w:rPr>
          <w:b/>
          <w:color w:val="000000"/>
          <w:sz w:val="24"/>
          <w:szCs w:val="24"/>
        </w:rPr>
      </w:pPr>
    </w:p>
    <w:p w14:paraId="3F0B85A8">
      <w:pPr>
        <w:jc w:val="center"/>
        <w:rPr>
          <w:b/>
          <w:color w:val="000000"/>
          <w:sz w:val="24"/>
          <w:szCs w:val="24"/>
        </w:rPr>
      </w:pPr>
    </w:p>
    <w:p w14:paraId="2B209916">
      <w:pPr>
        <w:jc w:val="center"/>
        <w:rPr>
          <w:b/>
          <w:color w:val="000000"/>
          <w:sz w:val="24"/>
          <w:szCs w:val="24"/>
        </w:rPr>
      </w:pPr>
    </w:p>
    <w:p w14:paraId="48BA18CE">
      <w:pPr>
        <w:jc w:val="center"/>
        <w:rPr>
          <w:b/>
          <w:color w:val="000000"/>
          <w:sz w:val="24"/>
          <w:szCs w:val="24"/>
        </w:rPr>
      </w:pPr>
    </w:p>
    <w:p w14:paraId="71F16BAD">
      <w:pPr>
        <w:jc w:val="center"/>
        <w:rPr>
          <w:b/>
          <w:color w:val="000000"/>
          <w:sz w:val="24"/>
          <w:szCs w:val="24"/>
        </w:rPr>
      </w:pPr>
    </w:p>
    <w:p w14:paraId="6878F276">
      <w:pPr>
        <w:jc w:val="center"/>
        <w:rPr>
          <w:b/>
          <w:color w:val="000000"/>
          <w:sz w:val="24"/>
          <w:szCs w:val="24"/>
        </w:rPr>
      </w:pPr>
    </w:p>
    <w:p w14:paraId="4179812D">
      <w:pPr>
        <w:jc w:val="center"/>
        <w:rPr>
          <w:b/>
          <w:color w:val="000000"/>
          <w:sz w:val="24"/>
          <w:szCs w:val="24"/>
        </w:rPr>
      </w:pPr>
    </w:p>
    <w:p w14:paraId="123FFABF">
      <w:pPr>
        <w:jc w:val="center"/>
        <w:rPr>
          <w:b/>
          <w:color w:val="000000"/>
          <w:sz w:val="24"/>
          <w:szCs w:val="24"/>
        </w:rPr>
      </w:pPr>
    </w:p>
    <w:p w14:paraId="6B9923B5">
      <w:pPr>
        <w:jc w:val="center"/>
        <w:rPr>
          <w:b/>
          <w:color w:val="000000"/>
          <w:sz w:val="24"/>
          <w:szCs w:val="24"/>
        </w:rPr>
      </w:pPr>
    </w:p>
    <w:p w14:paraId="390BBD09">
      <w:pPr>
        <w:jc w:val="center"/>
        <w:rPr>
          <w:b/>
          <w:color w:val="000000"/>
          <w:sz w:val="24"/>
          <w:szCs w:val="24"/>
        </w:rPr>
      </w:pPr>
    </w:p>
    <w:p w14:paraId="0BDA26AC">
      <w:pPr>
        <w:jc w:val="center"/>
        <w:rPr>
          <w:b/>
          <w:color w:val="000000"/>
          <w:sz w:val="24"/>
          <w:szCs w:val="24"/>
        </w:rPr>
      </w:pPr>
    </w:p>
    <w:p w14:paraId="0F0726B3">
      <w:pPr>
        <w:jc w:val="center"/>
        <w:rPr>
          <w:b/>
          <w:color w:val="000000"/>
          <w:sz w:val="24"/>
          <w:szCs w:val="24"/>
        </w:rPr>
      </w:pPr>
    </w:p>
    <w:p w14:paraId="3D78A272">
      <w:pPr>
        <w:jc w:val="center"/>
        <w:rPr>
          <w:b/>
          <w:color w:val="000000"/>
          <w:sz w:val="24"/>
          <w:szCs w:val="24"/>
        </w:rPr>
      </w:pPr>
    </w:p>
    <w:p w14:paraId="670E3693">
      <w:pPr>
        <w:jc w:val="center"/>
        <w:rPr>
          <w:b/>
          <w:color w:val="000000"/>
          <w:sz w:val="24"/>
          <w:szCs w:val="24"/>
        </w:rPr>
      </w:pPr>
    </w:p>
    <w:p w14:paraId="0043D826">
      <w:pPr>
        <w:jc w:val="center"/>
        <w:rPr>
          <w:b/>
          <w:color w:val="000000"/>
          <w:sz w:val="24"/>
          <w:szCs w:val="24"/>
        </w:rPr>
      </w:pPr>
    </w:p>
    <w:p w14:paraId="199CFE6E">
      <w:pPr>
        <w:jc w:val="center"/>
        <w:rPr>
          <w:b/>
          <w:color w:val="000000"/>
          <w:sz w:val="24"/>
          <w:szCs w:val="24"/>
        </w:rPr>
      </w:pPr>
    </w:p>
    <w:p w14:paraId="7086BBEE">
      <w:pPr>
        <w:jc w:val="center"/>
        <w:rPr>
          <w:b/>
          <w:color w:val="000000"/>
          <w:sz w:val="24"/>
          <w:szCs w:val="24"/>
        </w:rPr>
      </w:pPr>
    </w:p>
    <w:p w14:paraId="0DB5CAB0">
      <w:pPr>
        <w:jc w:val="center"/>
        <w:rPr>
          <w:b/>
          <w:color w:val="000000"/>
          <w:sz w:val="24"/>
          <w:szCs w:val="24"/>
        </w:rPr>
      </w:pPr>
    </w:p>
    <w:p w14:paraId="4ECB6A75">
      <w:pPr>
        <w:jc w:val="center"/>
        <w:rPr>
          <w:b/>
          <w:sz w:val="24"/>
          <w:szCs w:val="24"/>
        </w:rPr>
      </w:pPr>
      <w:r>
        <w:rPr>
          <w:b/>
          <w:sz w:val="24"/>
          <w:szCs w:val="24"/>
        </w:rPr>
        <w:t xml:space="preserve">ANEXO I – Termo de Referência </w:t>
      </w:r>
      <w:r>
        <w:rPr>
          <w:b/>
          <w:sz w:val="24"/>
          <w:szCs w:val="24"/>
        </w:rPr>
        <w:br w:type="textWrapping"/>
      </w:r>
    </w:p>
    <w:p w14:paraId="19B295BA">
      <w:pPr>
        <w:tabs>
          <w:tab w:val="left" w:pos="4185"/>
          <w:tab w:val="center" w:pos="4889"/>
        </w:tabs>
        <w:spacing w:line="360" w:lineRule="auto"/>
        <w:ind w:left="-567" w:right="-568"/>
        <w:jc w:val="center"/>
      </w:pPr>
      <w:r>
        <w:rPr>
          <w:b/>
        </w:rPr>
        <w:t>Órgão responsável: Secretaria Municipal de Educação e Cultura</w:t>
      </w:r>
    </w:p>
    <w:p w14:paraId="0979D534">
      <w:pPr>
        <w:spacing w:line="360" w:lineRule="auto"/>
        <w:ind w:left="-567" w:right="-568"/>
        <w:jc w:val="center"/>
      </w:pPr>
    </w:p>
    <w:p w14:paraId="32036F32">
      <w:pPr>
        <w:spacing w:line="360" w:lineRule="auto"/>
        <w:ind w:left="-567" w:right="-568"/>
        <w:rPr>
          <w:b/>
        </w:rPr>
      </w:pPr>
      <w:r>
        <w:rPr>
          <w:b/>
        </w:rPr>
        <w:t>1. DO OBJETO</w:t>
      </w:r>
    </w:p>
    <w:p w14:paraId="3EFA758F">
      <w:pPr>
        <w:spacing w:line="360" w:lineRule="auto"/>
        <w:ind w:left="-567" w:right="-568"/>
        <w:jc w:val="both"/>
        <w:rPr>
          <w:color w:val="000000"/>
        </w:rPr>
      </w:pPr>
      <w:r>
        <w:t xml:space="preserve">1.1. Contratação </w:t>
      </w:r>
      <w:r>
        <w:rPr>
          <w:color w:val="000000"/>
        </w:rPr>
        <w:t>de empresa para AQUISIÇÃO DE MATERIAIS DE HIGIENE PESSOAL PARA ATENDER AS CRIANÇAS DA EDUCAÇÃO INFANTIL DA REDE MUNICIPAL DE ENSINO.</w:t>
      </w:r>
    </w:p>
    <w:p w14:paraId="468C072A">
      <w:pPr>
        <w:spacing w:line="360" w:lineRule="auto"/>
        <w:ind w:left="-567" w:right="-568"/>
        <w:jc w:val="both"/>
        <w:rPr>
          <w:color w:val="000000"/>
        </w:rPr>
      </w:pPr>
      <w:r>
        <w:rPr>
          <w:color w:val="000000"/>
        </w:rPr>
        <w:t>1.2. Os bens são classificados como comuns uma vez que os padrões de desempenho e qualidade podem ser objetivamente definidos pelo edital, por meio de especificações usuais de mercado.</w:t>
      </w:r>
    </w:p>
    <w:p w14:paraId="374C6873">
      <w:pPr>
        <w:tabs>
          <w:tab w:val="left" w:pos="284"/>
        </w:tabs>
        <w:spacing w:line="360" w:lineRule="auto"/>
        <w:ind w:left="-567" w:right="-568"/>
        <w:jc w:val="both"/>
        <w:rPr>
          <w:color w:val="000000"/>
        </w:rPr>
      </w:pPr>
      <w:r>
        <w:t>1.3. O objeto desta contratação não se enquadra como sendo de bem de luxo, conforme Decreto municipal nº 296/2023.</w:t>
      </w:r>
    </w:p>
    <w:p w14:paraId="6309667D">
      <w:pPr>
        <w:spacing w:line="360" w:lineRule="auto"/>
        <w:ind w:left="-567" w:right="-568"/>
        <w:jc w:val="both"/>
      </w:pPr>
      <w:r>
        <w:t>1.4. A presente contratação ainda não está incluída no Plano de Contratações Anual em razão de sua superveniência, porém será encaminhada para inclusão, após a autorização da autoridade competente.</w:t>
      </w:r>
    </w:p>
    <w:p w14:paraId="2EA78CC7">
      <w:pPr>
        <w:spacing w:line="360" w:lineRule="auto"/>
        <w:ind w:left="-567" w:right="-568"/>
        <w:jc w:val="both"/>
      </w:pPr>
      <w:r>
        <w:t>1.5. O presente termo de referência tem como base legal a Lei n. 14.133/2021.</w:t>
      </w:r>
    </w:p>
    <w:p w14:paraId="6BD3B523">
      <w:pPr>
        <w:spacing w:line="360" w:lineRule="auto"/>
        <w:ind w:left="-567" w:right="-568"/>
        <w:jc w:val="both"/>
        <w:rPr>
          <w:highlight w:val="cyan"/>
        </w:rPr>
      </w:pPr>
    </w:p>
    <w:p w14:paraId="2E7BFDEF">
      <w:pPr>
        <w:spacing w:line="360" w:lineRule="auto"/>
        <w:ind w:left="-567" w:right="-568"/>
        <w:rPr>
          <w:b/>
        </w:rPr>
      </w:pPr>
      <w:r>
        <w:rPr>
          <w:b/>
        </w:rPr>
        <w:t>2 – DOS FUNDAMENTOS DA CONTRATAÇÃO</w:t>
      </w:r>
    </w:p>
    <w:p w14:paraId="1B377411">
      <w:pPr>
        <w:spacing w:line="360" w:lineRule="auto"/>
        <w:ind w:left="-567" w:right="-568"/>
        <w:jc w:val="both"/>
      </w:pPr>
      <w:r>
        <w:t>2.1. Justifica-se a presente solicitação tendo em vista que Conforme preceitua a LDB (Lei de Diretrizes e Bases) em seu art. 29. a educação infantil, primeira etapa da educação básica, tem como finalidade o desenvolvimento integral da criança de até 5 (cinco) anos, em seus aspectos físico, psicológico, intelectual e social, complementando a ação da família e da comunidade.</w:t>
      </w:r>
    </w:p>
    <w:p w14:paraId="13ED64C3">
      <w:pPr>
        <w:spacing w:line="360" w:lineRule="auto"/>
        <w:ind w:left="-567" w:right="-568"/>
        <w:jc w:val="both"/>
      </w:pPr>
      <w:r>
        <w:t>Nesse sentido a aquisição dos materiais de higiene e pessoal tem por finalidade atender as necessidades da Secretaria de Educação, visando manter o asseio das crianças das Creches, diante da grande demanda de alunos, além disso procura proporcionar as crianças momentos de cuidados tornando-os agradável para todos os envolvidos no processo de ensino e aprendizagem. Diante do exposto, concluímos que a contratação do objeto, ora em tela, é imprescindível para darmos continuidade nas atribuições inerentes à unidade escolar para que ocorra o bom funcionamento dos serviços essenciais ao desenvolvimento das crianças.</w:t>
      </w:r>
    </w:p>
    <w:p w14:paraId="4EFA4691">
      <w:pPr>
        <w:spacing w:line="360" w:lineRule="auto"/>
        <w:ind w:left="-567" w:right="-568"/>
        <w:jc w:val="both"/>
        <w:rPr>
          <w:color w:val="FF0000"/>
        </w:rPr>
      </w:pPr>
      <w:r>
        <w:rPr>
          <w:color w:val="000000"/>
        </w:rPr>
        <w:t xml:space="preserve">2.2. </w:t>
      </w:r>
      <w:r>
        <w:t>A contratação pretendida consiste na referência do estudo técnico preliminar que caracteriza o interesse público para o fornecimento, a fim de evidenciar a solução a ser atendida de modo a permitir a avaliação econômica da contratação, definido no art. 18, §1° da Lei 14.133/2021.</w:t>
      </w:r>
      <w:r>
        <w:rPr>
          <w:color w:val="FF0000"/>
        </w:rPr>
        <w:t xml:space="preserve"> </w:t>
      </w:r>
    </w:p>
    <w:p w14:paraId="5DA18B52">
      <w:pPr>
        <w:spacing w:line="360" w:lineRule="auto"/>
        <w:ind w:left="-567" w:right="-568"/>
        <w:jc w:val="both"/>
        <w:rPr>
          <w:color w:val="000000"/>
        </w:rPr>
      </w:pPr>
      <w:r>
        <w:rPr>
          <w:color w:val="000000"/>
        </w:rPr>
        <w:t>2.3. A contratação, via PREG</w:t>
      </w:r>
      <w:r>
        <w:t>ÃO</w:t>
      </w:r>
      <w:r>
        <w:rPr>
          <w:color w:val="000000"/>
        </w:rPr>
        <w:t>, é a opção da modalidade escolhida e consagra os princípios da ampla competitividade, concorrência e obtenção da proposta mais vantajosa à Administração. Desse modo, amplia a possibilidade de competição entre empresas do ramo pretendido para a aquisição do bem, que visa à consecução do interesse público.</w:t>
      </w:r>
    </w:p>
    <w:p w14:paraId="071410B8">
      <w:pPr>
        <w:spacing w:line="360" w:lineRule="auto"/>
        <w:ind w:left="-567" w:right="-568"/>
        <w:jc w:val="both"/>
      </w:pPr>
    </w:p>
    <w:p w14:paraId="42F4FA9A">
      <w:pPr>
        <w:spacing w:line="360" w:lineRule="auto"/>
        <w:ind w:left="-567" w:right="-568"/>
        <w:jc w:val="both"/>
      </w:pPr>
    </w:p>
    <w:p w14:paraId="2CA81113">
      <w:pPr>
        <w:spacing w:line="360" w:lineRule="auto"/>
        <w:ind w:left="-567" w:right="-568"/>
        <w:jc w:val="both"/>
      </w:pPr>
    </w:p>
    <w:p w14:paraId="10F4F2E7">
      <w:pPr>
        <w:spacing w:line="360" w:lineRule="auto"/>
        <w:ind w:left="-567" w:right="-568"/>
        <w:jc w:val="both"/>
      </w:pPr>
    </w:p>
    <w:p w14:paraId="6625CDE1">
      <w:pPr>
        <w:spacing w:line="360" w:lineRule="auto"/>
        <w:ind w:left="-567" w:right="-568"/>
        <w:jc w:val="both"/>
      </w:pPr>
    </w:p>
    <w:p w14:paraId="6BF00B10">
      <w:pPr>
        <w:spacing w:line="360" w:lineRule="auto"/>
        <w:ind w:left="-567" w:right="-568"/>
        <w:jc w:val="both"/>
      </w:pPr>
    </w:p>
    <w:p w14:paraId="396DB8FF">
      <w:pPr>
        <w:spacing w:line="360" w:lineRule="auto"/>
        <w:ind w:left="-567" w:right="-568"/>
        <w:jc w:val="both"/>
      </w:pPr>
    </w:p>
    <w:p w14:paraId="584DD4E0">
      <w:pPr>
        <w:spacing w:line="360" w:lineRule="auto"/>
        <w:ind w:left="-567" w:right="-568"/>
        <w:rPr>
          <w:b/>
        </w:rPr>
      </w:pPr>
      <w:r>
        <w:rPr>
          <w:b/>
        </w:rPr>
        <w:t>3 – ESPECIFICAÇÃO E VALOR DA CONTRATAÇÃO</w:t>
      </w:r>
    </w:p>
    <w:p w14:paraId="0EDD3262">
      <w:pPr>
        <w:pBdr>
          <w:top w:val="single" w:color="auto" w:sz="4" w:space="1"/>
          <w:left w:val="single" w:color="auto" w:sz="4" w:space="4"/>
          <w:bottom w:val="single" w:color="auto" w:sz="4" w:space="1"/>
          <w:right w:val="single" w:color="auto" w:sz="4" w:space="4"/>
          <w:between w:val="single" w:color="auto" w:sz="4" w:space="1"/>
        </w:pBdr>
        <w:spacing w:line="360" w:lineRule="auto"/>
        <w:jc w:val="center"/>
        <w:rPr>
          <w:b/>
        </w:rPr>
      </w:pPr>
      <w:r>
        <w:rPr>
          <w:b/>
        </w:rPr>
        <w:t>LOTE 1</w:t>
      </w:r>
    </w:p>
    <w:tbl>
      <w:tblPr>
        <w:tblStyle w:val="9"/>
        <w:tblW w:w="9498" w:type="dxa"/>
        <w:tblInd w:w="-497" w:type="dxa"/>
        <w:tblLayout w:type="autofit"/>
        <w:tblCellMar>
          <w:top w:w="0" w:type="dxa"/>
          <w:left w:w="70" w:type="dxa"/>
          <w:bottom w:w="0" w:type="dxa"/>
          <w:right w:w="70" w:type="dxa"/>
        </w:tblCellMar>
      </w:tblPr>
      <w:tblGrid>
        <w:gridCol w:w="851"/>
        <w:gridCol w:w="4110"/>
        <w:gridCol w:w="568"/>
        <w:gridCol w:w="850"/>
        <w:gridCol w:w="1343"/>
        <w:gridCol w:w="1776"/>
      </w:tblGrid>
      <w:tr w14:paraId="040DD81F">
        <w:tblPrEx>
          <w:tblCellMar>
            <w:top w:w="0" w:type="dxa"/>
            <w:left w:w="70" w:type="dxa"/>
            <w:bottom w:w="0" w:type="dxa"/>
            <w:right w:w="70" w:type="dxa"/>
          </w:tblCellMar>
        </w:tblPrEx>
        <w:trPr>
          <w:trHeight w:val="300"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24EE423">
            <w:pPr>
              <w:spacing w:line="360" w:lineRule="auto"/>
              <w:jc w:val="center"/>
              <w:rPr>
                <w:b/>
                <w:bCs/>
                <w:color w:val="000000"/>
                <w:sz w:val="18"/>
                <w:szCs w:val="18"/>
              </w:rPr>
            </w:pPr>
            <w:r>
              <w:rPr>
                <w:b/>
                <w:bCs/>
                <w:color w:val="000000"/>
                <w:sz w:val="18"/>
                <w:szCs w:val="18"/>
              </w:rPr>
              <w:t>ITEM</w:t>
            </w:r>
          </w:p>
        </w:tc>
        <w:tc>
          <w:tcPr>
            <w:tcW w:w="4110" w:type="dxa"/>
            <w:tcBorders>
              <w:top w:val="single" w:color="auto" w:sz="4" w:space="0"/>
              <w:left w:val="nil"/>
              <w:bottom w:val="single" w:color="auto" w:sz="4" w:space="0"/>
              <w:right w:val="single" w:color="auto" w:sz="4" w:space="0"/>
            </w:tcBorders>
            <w:shd w:val="clear" w:color="auto" w:fill="auto"/>
            <w:noWrap/>
            <w:vAlign w:val="bottom"/>
          </w:tcPr>
          <w:p w14:paraId="38D1713C">
            <w:pPr>
              <w:spacing w:line="360" w:lineRule="auto"/>
              <w:jc w:val="center"/>
              <w:rPr>
                <w:b/>
                <w:bCs/>
                <w:color w:val="000000"/>
                <w:sz w:val="18"/>
                <w:szCs w:val="18"/>
              </w:rPr>
            </w:pPr>
            <w:r>
              <w:rPr>
                <w:b/>
                <w:bCs/>
                <w:color w:val="000000"/>
                <w:sz w:val="18"/>
                <w:szCs w:val="18"/>
              </w:rPr>
              <w:t>ESPECIFICAÇÃO</w:t>
            </w:r>
          </w:p>
        </w:tc>
        <w:tc>
          <w:tcPr>
            <w:tcW w:w="568" w:type="dxa"/>
            <w:tcBorders>
              <w:top w:val="single" w:color="auto" w:sz="4" w:space="0"/>
              <w:left w:val="nil"/>
              <w:bottom w:val="single" w:color="auto" w:sz="4" w:space="0"/>
              <w:right w:val="single" w:color="auto" w:sz="4" w:space="0"/>
            </w:tcBorders>
            <w:shd w:val="clear" w:color="auto" w:fill="auto"/>
            <w:noWrap/>
            <w:vAlign w:val="bottom"/>
          </w:tcPr>
          <w:p w14:paraId="2320D630">
            <w:pPr>
              <w:spacing w:line="360" w:lineRule="auto"/>
              <w:jc w:val="center"/>
              <w:rPr>
                <w:b/>
                <w:bCs/>
                <w:color w:val="000000"/>
                <w:sz w:val="18"/>
                <w:szCs w:val="18"/>
              </w:rPr>
            </w:pPr>
            <w:r>
              <w:rPr>
                <w:b/>
                <w:bCs/>
                <w:color w:val="000000"/>
                <w:sz w:val="18"/>
                <w:szCs w:val="18"/>
              </w:rPr>
              <w:t>UND</w:t>
            </w:r>
          </w:p>
        </w:tc>
        <w:tc>
          <w:tcPr>
            <w:tcW w:w="850" w:type="dxa"/>
            <w:tcBorders>
              <w:top w:val="single" w:color="auto" w:sz="4" w:space="0"/>
              <w:left w:val="nil"/>
              <w:bottom w:val="single" w:color="auto" w:sz="4" w:space="0"/>
              <w:right w:val="single" w:color="auto" w:sz="4" w:space="0"/>
            </w:tcBorders>
            <w:shd w:val="clear" w:color="auto" w:fill="auto"/>
            <w:noWrap/>
            <w:vAlign w:val="bottom"/>
          </w:tcPr>
          <w:p w14:paraId="6C58CE13">
            <w:pPr>
              <w:spacing w:line="360" w:lineRule="auto"/>
              <w:jc w:val="center"/>
              <w:rPr>
                <w:b/>
                <w:bCs/>
                <w:color w:val="000000"/>
                <w:sz w:val="18"/>
                <w:szCs w:val="18"/>
              </w:rPr>
            </w:pPr>
            <w:r>
              <w:rPr>
                <w:b/>
                <w:bCs/>
                <w:color w:val="000000"/>
                <w:sz w:val="18"/>
                <w:szCs w:val="18"/>
              </w:rPr>
              <w:t>QTDE</w:t>
            </w:r>
          </w:p>
        </w:tc>
        <w:tc>
          <w:tcPr>
            <w:tcW w:w="1343" w:type="dxa"/>
            <w:tcBorders>
              <w:top w:val="single" w:color="auto" w:sz="4" w:space="0"/>
              <w:left w:val="nil"/>
              <w:bottom w:val="single" w:color="auto" w:sz="4" w:space="0"/>
              <w:right w:val="single" w:color="auto" w:sz="4" w:space="0"/>
            </w:tcBorders>
            <w:shd w:val="clear" w:color="auto" w:fill="auto"/>
            <w:noWrap/>
            <w:vAlign w:val="bottom"/>
          </w:tcPr>
          <w:p w14:paraId="108C0D1B">
            <w:pPr>
              <w:spacing w:line="360" w:lineRule="auto"/>
              <w:jc w:val="center"/>
              <w:rPr>
                <w:b/>
                <w:bCs/>
                <w:color w:val="000000"/>
                <w:sz w:val="18"/>
                <w:szCs w:val="18"/>
              </w:rPr>
            </w:pPr>
            <w:r>
              <w:rPr>
                <w:b/>
                <w:bCs/>
                <w:color w:val="000000"/>
                <w:sz w:val="18"/>
                <w:szCs w:val="18"/>
              </w:rPr>
              <w:t>VALOR UNIT</w:t>
            </w:r>
          </w:p>
        </w:tc>
        <w:tc>
          <w:tcPr>
            <w:tcW w:w="1776" w:type="dxa"/>
            <w:tcBorders>
              <w:top w:val="single" w:color="auto" w:sz="4" w:space="0"/>
              <w:left w:val="nil"/>
              <w:bottom w:val="single" w:color="auto" w:sz="4" w:space="0"/>
              <w:right w:val="single" w:color="auto" w:sz="4" w:space="0"/>
            </w:tcBorders>
            <w:shd w:val="clear" w:color="auto" w:fill="auto"/>
            <w:noWrap/>
            <w:vAlign w:val="bottom"/>
          </w:tcPr>
          <w:p w14:paraId="1A1E8000">
            <w:pPr>
              <w:spacing w:line="360" w:lineRule="auto"/>
              <w:jc w:val="center"/>
              <w:rPr>
                <w:b/>
                <w:bCs/>
                <w:color w:val="000000"/>
                <w:sz w:val="18"/>
                <w:szCs w:val="18"/>
              </w:rPr>
            </w:pPr>
            <w:r>
              <w:rPr>
                <w:b/>
                <w:bCs/>
                <w:color w:val="000000"/>
                <w:sz w:val="18"/>
                <w:szCs w:val="18"/>
              </w:rPr>
              <w:t>VALOR TOTAL</w:t>
            </w:r>
          </w:p>
        </w:tc>
      </w:tr>
      <w:tr w14:paraId="68824E2E">
        <w:tblPrEx>
          <w:tblCellMar>
            <w:top w:w="0" w:type="dxa"/>
            <w:left w:w="70" w:type="dxa"/>
            <w:bottom w:w="0" w:type="dxa"/>
            <w:right w:w="70" w:type="dxa"/>
          </w:tblCellMar>
        </w:tblPrEx>
        <w:trPr>
          <w:trHeight w:val="300"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8CCF04">
            <w:pPr>
              <w:spacing w:line="360" w:lineRule="auto"/>
              <w:jc w:val="center"/>
              <w:rPr>
                <w:b/>
                <w:bCs/>
                <w:color w:val="000000"/>
                <w:sz w:val="18"/>
                <w:szCs w:val="18"/>
              </w:rPr>
            </w:pPr>
            <w:r>
              <w:rPr>
                <w:b/>
                <w:bCs/>
                <w:color w:val="000000"/>
                <w:sz w:val="18"/>
                <w:szCs w:val="18"/>
              </w:rPr>
              <w:t>1</w:t>
            </w:r>
          </w:p>
        </w:tc>
        <w:tc>
          <w:tcPr>
            <w:tcW w:w="4110" w:type="dxa"/>
            <w:tcBorders>
              <w:top w:val="single" w:color="auto" w:sz="4" w:space="0"/>
              <w:left w:val="nil"/>
              <w:bottom w:val="single" w:color="auto" w:sz="4" w:space="0"/>
              <w:right w:val="single" w:color="auto" w:sz="4" w:space="0"/>
            </w:tcBorders>
            <w:shd w:val="clear" w:color="auto" w:fill="auto"/>
            <w:noWrap/>
            <w:vAlign w:val="bottom"/>
          </w:tcPr>
          <w:p w14:paraId="2095C041">
            <w:pPr>
              <w:jc w:val="both"/>
              <w:rPr>
                <w:color w:val="000000"/>
                <w:sz w:val="18"/>
                <w:szCs w:val="18"/>
              </w:rPr>
            </w:pPr>
            <w:r>
              <w:rPr>
                <w:color w:val="000000"/>
                <w:sz w:val="18"/>
                <w:szCs w:val="18"/>
              </w:rPr>
              <w:t>CONDICIONADOR INFANTIL PARA USO EM BEBÊ - FRASCO COM 400 ML- PH NEUTRO - PARA TODOS OS TIPOS DE CABELOS - FRAGRÂNCIAS SUAVES - DERMATOLOGICAMENTE TESTADO PARA NÃO IRRITAR A PELE NEM ARDER OS OLHOS DOS BEBES</w:t>
            </w:r>
          </w:p>
        </w:tc>
        <w:tc>
          <w:tcPr>
            <w:tcW w:w="568" w:type="dxa"/>
            <w:tcBorders>
              <w:top w:val="single" w:color="auto" w:sz="4" w:space="0"/>
              <w:left w:val="nil"/>
              <w:bottom w:val="single" w:color="auto" w:sz="4" w:space="0"/>
              <w:right w:val="single" w:color="auto" w:sz="4" w:space="0"/>
            </w:tcBorders>
            <w:shd w:val="clear" w:color="auto" w:fill="auto"/>
            <w:noWrap/>
            <w:vAlign w:val="bottom"/>
          </w:tcPr>
          <w:p w14:paraId="6E0A7C5A">
            <w:pPr>
              <w:jc w:val="center"/>
              <w:rPr>
                <w:color w:val="000000"/>
                <w:sz w:val="18"/>
                <w:szCs w:val="18"/>
              </w:rPr>
            </w:pPr>
            <w:r>
              <w:rPr>
                <w:color w:val="000000"/>
                <w:sz w:val="18"/>
                <w:szCs w:val="18"/>
              </w:rPr>
              <w:t>UND</w:t>
            </w:r>
          </w:p>
        </w:tc>
        <w:tc>
          <w:tcPr>
            <w:tcW w:w="850" w:type="dxa"/>
            <w:tcBorders>
              <w:top w:val="single" w:color="auto" w:sz="4" w:space="0"/>
              <w:left w:val="nil"/>
              <w:bottom w:val="single" w:color="auto" w:sz="4" w:space="0"/>
              <w:right w:val="single" w:color="auto" w:sz="4" w:space="0"/>
            </w:tcBorders>
            <w:shd w:val="clear" w:color="auto" w:fill="auto"/>
            <w:noWrap/>
            <w:vAlign w:val="bottom"/>
          </w:tcPr>
          <w:p w14:paraId="27690C86">
            <w:pPr>
              <w:jc w:val="center"/>
              <w:rPr>
                <w:color w:val="000000"/>
                <w:sz w:val="18"/>
                <w:szCs w:val="18"/>
              </w:rPr>
            </w:pPr>
            <w:r>
              <w:rPr>
                <w:color w:val="000000"/>
                <w:sz w:val="18"/>
                <w:szCs w:val="18"/>
              </w:rPr>
              <w:t>3000</w:t>
            </w:r>
          </w:p>
        </w:tc>
        <w:tc>
          <w:tcPr>
            <w:tcW w:w="1343" w:type="dxa"/>
            <w:tcBorders>
              <w:top w:val="single" w:color="auto" w:sz="4" w:space="0"/>
              <w:left w:val="nil"/>
              <w:bottom w:val="single" w:color="auto" w:sz="4" w:space="0"/>
              <w:right w:val="single" w:color="auto" w:sz="4" w:space="0"/>
            </w:tcBorders>
            <w:shd w:val="clear" w:color="auto" w:fill="auto"/>
            <w:noWrap/>
            <w:vAlign w:val="bottom"/>
          </w:tcPr>
          <w:p w14:paraId="26718667">
            <w:pPr>
              <w:jc w:val="center"/>
              <w:rPr>
                <w:color w:val="000000"/>
                <w:sz w:val="18"/>
                <w:szCs w:val="18"/>
              </w:rPr>
            </w:pPr>
            <w:r>
              <w:rPr>
                <w:color w:val="000000"/>
                <w:sz w:val="18"/>
                <w:szCs w:val="18"/>
              </w:rPr>
              <w:t>R$   20,14</w:t>
            </w:r>
          </w:p>
        </w:tc>
        <w:tc>
          <w:tcPr>
            <w:tcW w:w="1776" w:type="dxa"/>
            <w:tcBorders>
              <w:top w:val="single" w:color="auto" w:sz="4" w:space="0"/>
              <w:left w:val="nil"/>
              <w:bottom w:val="single" w:color="auto" w:sz="4" w:space="0"/>
              <w:right w:val="single" w:color="auto" w:sz="4" w:space="0"/>
            </w:tcBorders>
            <w:shd w:val="clear" w:color="auto" w:fill="auto"/>
            <w:noWrap/>
            <w:vAlign w:val="bottom"/>
          </w:tcPr>
          <w:p w14:paraId="3A848256">
            <w:pPr>
              <w:jc w:val="center"/>
              <w:rPr>
                <w:color w:val="000000"/>
                <w:sz w:val="18"/>
                <w:szCs w:val="18"/>
              </w:rPr>
            </w:pPr>
            <w:r>
              <w:rPr>
                <w:color w:val="000000"/>
                <w:sz w:val="18"/>
                <w:szCs w:val="18"/>
              </w:rPr>
              <w:t>R$     60.420,00</w:t>
            </w:r>
          </w:p>
        </w:tc>
      </w:tr>
      <w:tr w14:paraId="5281A39F">
        <w:tblPrEx>
          <w:tblCellMar>
            <w:top w:w="0" w:type="dxa"/>
            <w:left w:w="70" w:type="dxa"/>
            <w:bottom w:w="0" w:type="dxa"/>
            <w:right w:w="70" w:type="dxa"/>
          </w:tblCellMar>
        </w:tblPrEx>
        <w:trPr>
          <w:trHeight w:val="135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C95A7DA">
            <w:pPr>
              <w:spacing w:line="360" w:lineRule="auto"/>
              <w:jc w:val="center"/>
              <w:rPr>
                <w:b/>
                <w:bCs/>
                <w:color w:val="000000"/>
                <w:sz w:val="18"/>
                <w:szCs w:val="18"/>
              </w:rPr>
            </w:pPr>
            <w:r>
              <w:rPr>
                <w:b/>
                <w:bCs/>
                <w:color w:val="000000"/>
                <w:sz w:val="18"/>
                <w:szCs w:val="18"/>
              </w:rPr>
              <w:t>2</w:t>
            </w:r>
          </w:p>
        </w:tc>
        <w:tc>
          <w:tcPr>
            <w:tcW w:w="4110" w:type="dxa"/>
            <w:tcBorders>
              <w:top w:val="single" w:color="auto" w:sz="4" w:space="0"/>
              <w:left w:val="nil"/>
              <w:bottom w:val="single" w:color="auto" w:sz="4" w:space="0"/>
              <w:right w:val="single" w:color="auto" w:sz="4" w:space="0"/>
            </w:tcBorders>
            <w:shd w:val="clear" w:color="auto" w:fill="auto"/>
            <w:noWrap/>
            <w:vAlign w:val="bottom"/>
          </w:tcPr>
          <w:p w14:paraId="6E0C4775">
            <w:pPr>
              <w:spacing w:after="240"/>
              <w:jc w:val="both"/>
              <w:rPr>
                <w:color w:val="000000"/>
                <w:sz w:val="18"/>
                <w:szCs w:val="18"/>
              </w:rPr>
            </w:pPr>
            <w:r>
              <w:rPr>
                <w:color w:val="000000"/>
                <w:sz w:val="18"/>
                <w:szCs w:val="18"/>
              </w:rPr>
              <w:t>CREME PARA PENTEAR INFANTIL 01 KG. COM EMOLIENTES QUE FACILITA O DESEMBARAÇO DOS CABELOS E NÃO NECESSITA EM ENXAGUAR PODENDO SER UTILIZADO EM TODOS OS TIPOS DE CABELO.</w:t>
            </w:r>
          </w:p>
        </w:tc>
        <w:tc>
          <w:tcPr>
            <w:tcW w:w="568" w:type="dxa"/>
            <w:tcBorders>
              <w:top w:val="single" w:color="auto" w:sz="4" w:space="0"/>
              <w:left w:val="nil"/>
              <w:bottom w:val="single" w:color="auto" w:sz="4" w:space="0"/>
              <w:right w:val="single" w:color="auto" w:sz="4" w:space="0"/>
            </w:tcBorders>
            <w:shd w:val="clear" w:color="auto" w:fill="auto"/>
            <w:noWrap/>
            <w:vAlign w:val="bottom"/>
          </w:tcPr>
          <w:p w14:paraId="521E2C64">
            <w:pPr>
              <w:jc w:val="center"/>
              <w:rPr>
                <w:color w:val="000000"/>
                <w:sz w:val="18"/>
                <w:szCs w:val="18"/>
              </w:rPr>
            </w:pPr>
            <w:r>
              <w:rPr>
                <w:color w:val="000000"/>
                <w:sz w:val="18"/>
                <w:szCs w:val="18"/>
              </w:rPr>
              <w:t>UND</w:t>
            </w:r>
          </w:p>
        </w:tc>
        <w:tc>
          <w:tcPr>
            <w:tcW w:w="850" w:type="dxa"/>
            <w:tcBorders>
              <w:top w:val="single" w:color="auto" w:sz="4" w:space="0"/>
              <w:left w:val="nil"/>
              <w:bottom w:val="single" w:color="auto" w:sz="4" w:space="0"/>
              <w:right w:val="single" w:color="auto" w:sz="4" w:space="0"/>
            </w:tcBorders>
            <w:shd w:val="clear" w:color="auto" w:fill="auto"/>
            <w:noWrap/>
            <w:vAlign w:val="bottom"/>
          </w:tcPr>
          <w:p w14:paraId="68893FB8">
            <w:pPr>
              <w:jc w:val="center"/>
              <w:rPr>
                <w:color w:val="000000"/>
                <w:sz w:val="18"/>
                <w:szCs w:val="18"/>
              </w:rPr>
            </w:pPr>
            <w:r>
              <w:rPr>
                <w:color w:val="000000"/>
                <w:sz w:val="18"/>
                <w:szCs w:val="18"/>
              </w:rPr>
              <w:t>1000</w:t>
            </w:r>
          </w:p>
        </w:tc>
        <w:tc>
          <w:tcPr>
            <w:tcW w:w="1343" w:type="dxa"/>
            <w:tcBorders>
              <w:top w:val="single" w:color="auto" w:sz="4" w:space="0"/>
              <w:left w:val="nil"/>
              <w:bottom w:val="single" w:color="auto" w:sz="4" w:space="0"/>
              <w:right w:val="single" w:color="auto" w:sz="4" w:space="0"/>
            </w:tcBorders>
            <w:shd w:val="clear" w:color="auto" w:fill="auto"/>
            <w:noWrap/>
            <w:vAlign w:val="bottom"/>
          </w:tcPr>
          <w:p w14:paraId="749B9E87">
            <w:pPr>
              <w:jc w:val="center"/>
              <w:rPr>
                <w:color w:val="000000"/>
                <w:sz w:val="18"/>
                <w:szCs w:val="18"/>
              </w:rPr>
            </w:pPr>
            <w:r>
              <w:rPr>
                <w:color w:val="000000"/>
                <w:sz w:val="18"/>
                <w:szCs w:val="18"/>
              </w:rPr>
              <w:t>R$   19,46</w:t>
            </w:r>
          </w:p>
        </w:tc>
        <w:tc>
          <w:tcPr>
            <w:tcW w:w="1776" w:type="dxa"/>
            <w:tcBorders>
              <w:top w:val="single" w:color="auto" w:sz="4" w:space="0"/>
              <w:left w:val="nil"/>
              <w:bottom w:val="single" w:color="auto" w:sz="4" w:space="0"/>
              <w:right w:val="single" w:color="auto" w:sz="4" w:space="0"/>
            </w:tcBorders>
            <w:shd w:val="clear" w:color="auto" w:fill="auto"/>
            <w:noWrap/>
            <w:vAlign w:val="bottom"/>
          </w:tcPr>
          <w:p w14:paraId="0AED0082">
            <w:pPr>
              <w:jc w:val="center"/>
              <w:rPr>
                <w:color w:val="000000"/>
                <w:sz w:val="18"/>
                <w:szCs w:val="18"/>
              </w:rPr>
            </w:pPr>
            <w:r>
              <w:rPr>
                <w:color w:val="000000"/>
                <w:sz w:val="18"/>
                <w:szCs w:val="18"/>
              </w:rPr>
              <w:t>R$     19.460,00</w:t>
            </w:r>
          </w:p>
        </w:tc>
      </w:tr>
      <w:tr w14:paraId="24E3ACA7">
        <w:tblPrEx>
          <w:tblCellMar>
            <w:top w:w="0" w:type="dxa"/>
            <w:left w:w="70" w:type="dxa"/>
            <w:bottom w:w="0" w:type="dxa"/>
            <w:right w:w="70" w:type="dxa"/>
          </w:tblCellMar>
        </w:tblPrEx>
        <w:trPr>
          <w:trHeight w:val="300"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AFEC40">
            <w:pPr>
              <w:spacing w:line="360" w:lineRule="auto"/>
              <w:jc w:val="center"/>
              <w:rPr>
                <w:b/>
                <w:bCs/>
                <w:color w:val="000000"/>
                <w:sz w:val="18"/>
                <w:szCs w:val="18"/>
              </w:rPr>
            </w:pPr>
            <w:r>
              <w:rPr>
                <w:b/>
                <w:bCs/>
                <w:color w:val="000000"/>
                <w:sz w:val="18"/>
                <w:szCs w:val="18"/>
              </w:rPr>
              <w:t>3</w:t>
            </w:r>
          </w:p>
        </w:tc>
        <w:tc>
          <w:tcPr>
            <w:tcW w:w="4110" w:type="dxa"/>
            <w:tcBorders>
              <w:top w:val="single" w:color="auto" w:sz="4" w:space="0"/>
              <w:left w:val="nil"/>
              <w:bottom w:val="single" w:color="auto" w:sz="4" w:space="0"/>
              <w:right w:val="single" w:color="auto" w:sz="4" w:space="0"/>
            </w:tcBorders>
            <w:shd w:val="clear" w:color="auto" w:fill="auto"/>
            <w:noWrap/>
            <w:vAlign w:val="bottom"/>
          </w:tcPr>
          <w:p w14:paraId="2989651A">
            <w:pPr>
              <w:jc w:val="both"/>
              <w:rPr>
                <w:color w:val="000000"/>
                <w:sz w:val="18"/>
                <w:szCs w:val="18"/>
              </w:rPr>
            </w:pPr>
            <w:r>
              <w:rPr>
                <w:color w:val="000000"/>
                <w:sz w:val="18"/>
                <w:szCs w:val="18"/>
              </w:rPr>
              <w:t>DEO COLÔNIA CHEIRINHO KIDS 120ML FRAGRÂNCIA SUAVE TESTADO DERMATOLOGICAMENTE</w:t>
            </w:r>
          </w:p>
        </w:tc>
        <w:tc>
          <w:tcPr>
            <w:tcW w:w="568" w:type="dxa"/>
            <w:tcBorders>
              <w:top w:val="single" w:color="auto" w:sz="4" w:space="0"/>
              <w:left w:val="nil"/>
              <w:bottom w:val="single" w:color="auto" w:sz="4" w:space="0"/>
              <w:right w:val="single" w:color="auto" w:sz="4" w:space="0"/>
            </w:tcBorders>
            <w:shd w:val="clear" w:color="auto" w:fill="auto"/>
            <w:noWrap/>
            <w:vAlign w:val="bottom"/>
          </w:tcPr>
          <w:p w14:paraId="6CD0B742">
            <w:pPr>
              <w:jc w:val="center"/>
              <w:rPr>
                <w:color w:val="000000"/>
                <w:sz w:val="18"/>
                <w:szCs w:val="18"/>
              </w:rPr>
            </w:pPr>
            <w:r>
              <w:rPr>
                <w:color w:val="000000"/>
                <w:sz w:val="18"/>
                <w:szCs w:val="18"/>
              </w:rPr>
              <w:t>UNI</w:t>
            </w:r>
          </w:p>
        </w:tc>
        <w:tc>
          <w:tcPr>
            <w:tcW w:w="850" w:type="dxa"/>
            <w:tcBorders>
              <w:top w:val="single" w:color="auto" w:sz="4" w:space="0"/>
              <w:left w:val="nil"/>
              <w:bottom w:val="single" w:color="auto" w:sz="4" w:space="0"/>
              <w:right w:val="single" w:color="auto" w:sz="4" w:space="0"/>
            </w:tcBorders>
            <w:shd w:val="clear" w:color="auto" w:fill="auto"/>
            <w:noWrap/>
            <w:vAlign w:val="bottom"/>
          </w:tcPr>
          <w:p w14:paraId="7B55D2A8">
            <w:pPr>
              <w:jc w:val="center"/>
              <w:rPr>
                <w:color w:val="000000"/>
                <w:sz w:val="18"/>
                <w:szCs w:val="18"/>
              </w:rPr>
            </w:pPr>
            <w:r>
              <w:rPr>
                <w:color w:val="000000"/>
                <w:sz w:val="18"/>
                <w:szCs w:val="18"/>
              </w:rPr>
              <w:t>1000</w:t>
            </w:r>
          </w:p>
        </w:tc>
        <w:tc>
          <w:tcPr>
            <w:tcW w:w="1343" w:type="dxa"/>
            <w:tcBorders>
              <w:top w:val="single" w:color="auto" w:sz="4" w:space="0"/>
              <w:left w:val="nil"/>
              <w:bottom w:val="single" w:color="auto" w:sz="4" w:space="0"/>
              <w:right w:val="single" w:color="auto" w:sz="4" w:space="0"/>
            </w:tcBorders>
            <w:shd w:val="clear" w:color="auto" w:fill="auto"/>
            <w:noWrap/>
            <w:vAlign w:val="bottom"/>
          </w:tcPr>
          <w:p w14:paraId="48561D64">
            <w:pPr>
              <w:jc w:val="center"/>
              <w:rPr>
                <w:color w:val="000000"/>
                <w:sz w:val="18"/>
                <w:szCs w:val="18"/>
              </w:rPr>
            </w:pPr>
            <w:r>
              <w:rPr>
                <w:color w:val="000000"/>
                <w:sz w:val="18"/>
                <w:szCs w:val="18"/>
              </w:rPr>
              <w:t>R$   13,21</w:t>
            </w:r>
          </w:p>
        </w:tc>
        <w:tc>
          <w:tcPr>
            <w:tcW w:w="1776" w:type="dxa"/>
            <w:tcBorders>
              <w:top w:val="single" w:color="auto" w:sz="4" w:space="0"/>
              <w:left w:val="nil"/>
              <w:bottom w:val="single" w:color="auto" w:sz="4" w:space="0"/>
              <w:right w:val="single" w:color="auto" w:sz="4" w:space="0"/>
            </w:tcBorders>
            <w:shd w:val="clear" w:color="auto" w:fill="auto"/>
            <w:noWrap/>
            <w:vAlign w:val="bottom"/>
          </w:tcPr>
          <w:p w14:paraId="38623ED0">
            <w:pPr>
              <w:jc w:val="center"/>
              <w:rPr>
                <w:color w:val="000000"/>
                <w:sz w:val="18"/>
                <w:szCs w:val="18"/>
              </w:rPr>
            </w:pPr>
            <w:r>
              <w:rPr>
                <w:color w:val="000000"/>
                <w:sz w:val="18"/>
                <w:szCs w:val="18"/>
              </w:rPr>
              <w:t>R$     13.210,00</w:t>
            </w:r>
          </w:p>
        </w:tc>
      </w:tr>
      <w:tr w14:paraId="7BEC77A2">
        <w:tblPrEx>
          <w:tblCellMar>
            <w:top w:w="0" w:type="dxa"/>
            <w:left w:w="70" w:type="dxa"/>
            <w:bottom w:w="0" w:type="dxa"/>
            <w:right w:w="70" w:type="dxa"/>
          </w:tblCellMar>
        </w:tblPrEx>
        <w:trPr>
          <w:trHeight w:val="300"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35801D">
            <w:pPr>
              <w:spacing w:line="360" w:lineRule="auto"/>
              <w:jc w:val="center"/>
              <w:rPr>
                <w:b/>
                <w:bCs/>
                <w:color w:val="000000"/>
                <w:sz w:val="18"/>
                <w:szCs w:val="18"/>
              </w:rPr>
            </w:pPr>
            <w:r>
              <w:rPr>
                <w:b/>
                <w:bCs/>
                <w:color w:val="000000"/>
                <w:sz w:val="18"/>
                <w:szCs w:val="18"/>
              </w:rPr>
              <w:t>4</w:t>
            </w:r>
          </w:p>
        </w:tc>
        <w:tc>
          <w:tcPr>
            <w:tcW w:w="4110" w:type="dxa"/>
            <w:tcBorders>
              <w:top w:val="single" w:color="auto" w:sz="4" w:space="0"/>
              <w:left w:val="nil"/>
              <w:bottom w:val="single" w:color="auto" w:sz="4" w:space="0"/>
              <w:right w:val="single" w:color="auto" w:sz="4" w:space="0"/>
            </w:tcBorders>
            <w:shd w:val="clear" w:color="auto" w:fill="auto"/>
            <w:noWrap/>
            <w:vAlign w:val="bottom"/>
          </w:tcPr>
          <w:p w14:paraId="662F3229">
            <w:pPr>
              <w:jc w:val="both"/>
              <w:rPr>
                <w:color w:val="000000"/>
                <w:sz w:val="18"/>
                <w:szCs w:val="18"/>
              </w:rPr>
            </w:pPr>
            <w:r>
              <w:rPr>
                <w:color w:val="000000"/>
                <w:sz w:val="18"/>
                <w:szCs w:val="18"/>
              </w:rPr>
              <w:t>ELÁSTICOS PARA CABELO COLORIDO LISO, MEDIDAS APROXIMADAS: LARGURA: 6MM; DIÂMETRO: 4CM; DIÂMETRO MÁXIMO ESTICANDO: 22CM; MATERIAL: POLIÉSTER.</w:t>
            </w:r>
          </w:p>
        </w:tc>
        <w:tc>
          <w:tcPr>
            <w:tcW w:w="568" w:type="dxa"/>
            <w:tcBorders>
              <w:top w:val="single" w:color="auto" w:sz="4" w:space="0"/>
              <w:left w:val="nil"/>
              <w:bottom w:val="single" w:color="auto" w:sz="4" w:space="0"/>
              <w:right w:val="single" w:color="auto" w:sz="4" w:space="0"/>
            </w:tcBorders>
            <w:shd w:val="clear" w:color="auto" w:fill="auto"/>
            <w:noWrap/>
            <w:vAlign w:val="bottom"/>
          </w:tcPr>
          <w:p w14:paraId="15E205CE">
            <w:pPr>
              <w:jc w:val="center"/>
              <w:rPr>
                <w:color w:val="000000"/>
                <w:sz w:val="18"/>
                <w:szCs w:val="18"/>
              </w:rPr>
            </w:pPr>
            <w:r>
              <w:rPr>
                <w:color w:val="000000"/>
                <w:sz w:val="18"/>
                <w:szCs w:val="18"/>
              </w:rPr>
              <w:t>UNI</w:t>
            </w:r>
          </w:p>
        </w:tc>
        <w:tc>
          <w:tcPr>
            <w:tcW w:w="850" w:type="dxa"/>
            <w:tcBorders>
              <w:top w:val="single" w:color="auto" w:sz="4" w:space="0"/>
              <w:left w:val="nil"/>
              <w:bottom w:val="single" w:color="auto" w:sz="4" w:space="0"/>
              <w:right w:val="single" w:color="auto" w:sz="4" w:space="0"/>
            </w:tcBorders>
            <w:shd w:val="clear" w:color="auto" w:fill="auto"/>
            <w:noWrap/>
            <w:vAlign w:val="bottom"/>
          </w:tcPr>
          <w:p w14:paraId="3CA8CB88">
            <w:pPr>
              <w:jc w:val="center"/>
              <w:rPr>
                <w:color w:val="000000"/>
                <w:sz w:val="18"/>
                <w:szCs w:val="18"/>
              </w:rPr>
            </w:pPr>
            <w:r>
              <w:rPr>
                <w:color w:val="000000"/>
                <w:sz w:val="18"/>
                <w:szCs w:val="18"/>
              </w:rPr>
              <w:t>150</w:t>
            </w:r>
          </w:p>
        </w:tc>
        <w:tc>
          <w:tcPr>
            <w:tcW w:w="1343" w:type="dxa"/>
            <w:tcBorders>
              <w:top w:val="single" w:color="auto" w:sz="4" w:space="0"/>
              <w:left w:val="nil"/>
              <w:bottom w:val="single" w:color="auto" w:sz="4" w:space="0"/>
              <w:right w:val="single" w:color="auto" w:sz="4" w:space="0"/>
            </w:tcBorders>
            <w:shd w:val="clear" w:color="auto" w:fill="auto"/>
            <w:noWrap/>
            <w:vAlign w:val="bottom"/>
          </w:tcPr>
          <w:p w14:paraId="18AAD980">
            <w:pPr>
              <w:jc w:val="center"/>
              <w:rPr>
                <w:color w:val="000000"/>
                <w:sz w:val="18"/>
                <w:szCs w:val="18"/>
              </w:rPr>
            </w:pPr>
            <w:r>
              <w:rPr>
                <w:color w:val="000000"/>
                <w:sz w:val="18"/>
                <w:szCs w:val="18"/>
              </w:rPr>
              <w:t>R$     5,86</w:t>
            </w:r>
          </w:p>
        </w:tc>
        <w:tc>
          <w:tcPr>
            <w:tcW w:w="1776" w:type="dxa"/>
            <w:tcBorders>
              <w:top w:val="single" w:color="auto" w:sz="4" w:space="0"/>
              <w:left w:val="nil"/>
              <w:bottom w:val="single" w:color="auto" w:sz="4" w:space="0"/>
              <w:right w:val="single" w:color="auto" w:sz="4" w:space="0"/>
            </w:tcBorders>
            <w:shd w:val="clear" w:color="auto" w:fill="auto"/>
            <w:noWrap/>
            <w:vAlign w:val="bottom"/>
          </w:tcPr>
          <w:p w14:paraId="0D14FA3E">
            <w:pPr>
              <w:jc w:val="center"/>
              <w:rPr>
                <w:color w:val="000000"/>
                <w:sz w:val="18"/>
                <w:szCs w:val="18"/>
              </w:rPr>
            </w:pPr>
            <w:r>
              <w:rPr>
                <w:color w:val="000000"/>
                <w:sz w:val="18"/>
                <w:szCs w:val="18"/>
              </w:rPr>
              <w:t>R$           879,00</w:t>
            </w:r>
          </w:p>
        </w:tc>
      </w:tr>
      <w:tr w14:paraId="4F46B204">
        <w:tblPrEx>
          <w:tblCellMar>
            <w:top w:w="0" w:type="dxa"/>
            <w:left w:w="70" w:type="dxa"/>
            <w:bottom w:w="0" w:type="dxa"/>
            <w:right w:w="70" w:type="dxa"/>
          </w:tblCellMar>
        </w:tblPrEx>
        <w:trPr>
          <w:trHeight w:val="300"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16C7411">
            <w:pPr>
              <w:spacing w:line="360" w:lineRule="auto"/>
              <w:jc w:val="center"/>
              <w:rPr>
                <w:b/>
                <w:bCs/>
                <w:color w:val="000000"/>
                <w:sz w:val="18"/>
                <w:szCs w:val="18"/>
              </w:rPr>
            </w:pPr>
            <w:r>
              <w:rPr>
                <w:b/>
                <w:bCs/>
                <w:color w:val="000000"/>
                <w:sz w:val="18"/>
                <w:szCs w:val="18"/>
              </w:rPr>
              <w:t>5</w:t>
            </w:r>
          </w:p>
        </w:tc>
        <w:tc>
          <w:tcPr>
            <w:tcW w:w="4110" w:type="dxa"/>
            <w:tcBorders>
              <w:top w:val="single" w:color="auto" w:sz="4" w:space="0"/>
              <w:left w:val="nil"/>
              <w:bottom w:val="single" w:color="auto" w:sz="4" w:space="0"/>
              <w:right w:val="single" w:color="auto" w:sz="4" w:space="0"/>
            </w:tcBorders>
            <w:shd w:val="clear" w:color="auto" w:fill="auto"/>
            <w:noWrap/>
            <w:vAlign w:val="bottom"/>
          </w:tcPr>
          <w:p w14:paraId="12850983">
            <w:pPr>
              <w:jc w:val="both"/>
              <w:rPr>
                <w:color w:val="000000"/>
                <w:sz w:val="18"/>
                <w:szCs w:val="18"/>
              </w:rPr>
            </w:pPr>
            <w:r>
              <w:rPr>
                <w:color w:val="000000"/>
                <w:sz w:val="18"/>
                <w:szCs w:val="18"/>
              </w:rPr>
              <w:t>ESCOVA DENTAL INFANTIL. COM ESPECIFICAÇÃO: ESCOVA DENTAL, TIPO MACIA, INFANTIL, COM CAPAPROTETORA. INSTRUMENTO MECÂNICO UTILIZADO PARA LIMPEZA DAS SUPERFÍCIES DENTAIS, CABO DE POLIPROPILENO, ANATÔMICO E RETO, QUE PERMITA CORRETA EMPUNHADURA, COM PORÇÃO INTERMEDIÁRIA (PESCOÇO). COMPRIMENTO TOTAL ENTRE 13 A 15 CM, COM NO MÍNIMO 28 TUFOS. AS CERDAS DEVERÃO SER DE MONO FILAMENTOS SINTÉTICOS (NYLON), RETAS, TEXTURA MACIA, TODAS COM A MESMA ALTURA, PONTAS ARREDONDADAS, LISAS, SEM REBARBAS, AGRUPADAS EM TUFOS COM 32 A 42 FIOS DE CERDAS POR TUFO. A ESCOVA DEVERÁ SER COMPACTA, CABEÇA MONO ANGULADA, APRESENTANDO LARGURA MÁXIMA ENTRE 10 A 13 MM, COM 03 FILEIRAS DE TUFOS ESCOVA.</w:t>
            </w:r>
          </w:p>
        </w:tc>
        <w:tc>
          <w:tcPr>
            <w:tcW w:w="568" w:type="dxa"/>
            <w:tcBorders>
              <w:top w:val="single" w:color="auto" w:sz="4" w:space="0"/>
              <w:left w:val="nil"/>
              <w:bottom w:val="single" w:color="auto" w:sz="4" w:space="0"/>
              <w:right w:val="single" w:color="auto" w:sz="4" w:space="0"/>
            </w:tcBorders>
            <w:shd w:val="clear" w:color="auto" w:fill="auto"/>
            <w:noWrap/>
            <w:vAlign w:val="bottom"/>
          </w:tcPr>
          <w:p w14:paraId="6AECA24C">
            <w:pPr>
              <w:jc w:val="center"/>
              <w:rPr>
                <w:color w:val="000000"/>
                <w:sz w:val="18"/>
                <w:szCs w:val="18"/>
              </w:rPr>
            </w:pPr>
            <w:r>
              <w:rPr>
                <w:color w:val="000000"/>
                <w:sz w:val="18"/>
                <w:szCs w:val="18"/>
              </w:rPr>
              <w:t>UND</w:t>
            </w:r>
          </w:p>
        </w:tc>
        <w:tc>
          <w:tcPr>
            <w:tcW w:w="850" w:type="dxa"/>
            <w:tcBorders>
              <w:top w:val="single" w:color="auto" w:sz="4" w:space="0"/>
              <w:left w:val="nil"/>
              <w:bottom w:val="single" w:color="auto" w:sz="4" w:space="0"/>
              <w:right w:val="single" w:color="auto" w:sz="4" w:space="0"/>
            </w:tcBorders>
            <w:shd w:val="clear" w:color="auto" w:fill="auto"/>
            <w:noWrap/>
            <w:vAlign w:val="bottom"/>
          </w:tcPr>
          <w:p w14:paraId="45A0F365">
            <w:pPr>
              <w:jc w:val="center"/>
              <w:rPr>
                <w:color w:val="000000"/>
                <w:sz w:val="18"/>
                <w:szCs w:val="18"/>
              </w:rPr>
            </w:pPr>
            <w:r>
              <w:rPr>
                <w:color w:val="000000"/>
                <w:sz w:val="18"/>
                <w:szCs w:val="18"/>
              </w:rPr>
              <w:t>2200</w:t>
            </w:r>
          </w:p>
        </w:tc>
        <w:tc>
          <w:tcPr>
            <w:tcW w:w="1343" w:type="dxa"/>
            <w:tcBorders>
              <w:top w:val="single" w:color="auto" w:sz="4" w:space="0"/>
              <w:left w:val="nil"/>
              <w:bottom w:val="single" w:color="auto" w:sz="4" w:space="0"/>
              <w:right w:val="single" w:color="auto" w:sz="4" w:space="0"/>
            </w:tcBorders>
            <w:shd w:val="clear" w:color="auto" w:fill="auto"/>
            <w:noWrap/>
            <w:vAlign w:val="bottom"/>
          </w:tcPr>
          <w:p w14:paraId="4025C3A8">
            <w:pPr>
              <w:jc w:val="center"/>
              <w:rPr>
                <w:color w:val="000000"/>
                <w:sz w:val="18"/>
                <w:szCs w:val="18"/>
              </w:rPr>
            </w:pPr>
            <w:r>
              <w:rPr>
                <w:color w:val="000000"/>
                <w:sz w:val="18"/>
                <w:szCs w:val="18"/>
              </w:rPr>
              <w:t>R$     3,62</w:t>
            </w:r>
          </w:p>
        </w:tc>
        <w:tc>
          <w:tcPr>
            <w:tcW w:w="1776" w:type="dxa"/>
            <w:tcBorders>
              <w:top w:val="single" w:color="auto" w:sz="4" w:space="0"/>
              <w:left w:val="nil"/>
              <w:bottom w:val="single" w:color="auto" w:sz="4" w:space="0"/>
              <w:right w:val="single" w:color="auto" w:sz="4" w:space="0"/>
            </w:tcBorders>
            <w:shd w:val="clear" w:color="auto" w:fill="auto"/>
            <w:noWrap/>
            <w:vAlign w:val="bottom"/>
          </w:tcPr>
          <w:p w14:paraId="4BE849DF">
            <w:pPr>
              <w:jc w:val="center"/>
              <w:rPr>
                <w:color w:val="000000"/>
                <w:sz w:val="18"/>
                <w:szCs w:val="18"/>
              </w:rPr>
            </w:pPr>
            <w:r>
              <w:rPr>
                <w:color w:val="000000"/>
                <w:sz w:val="18"/>
                <w:szCs w:val="18"/>
              </w:rPr>
              <w:t>R$        7.964,00</w:t>
            </w:r>
          </w:p>
        </w:tc>
      </w:tr>
      <w:tr w14:paraId="6F440887">
        <w:tblPrEx>
          <w:tblCellMar>
            <w:top w:w="0" w:type="dxa"/>
            <w:left w:w="70" w:type="dxa"/>
            <w:bottom w:w="0" w:type="dxa"/>
            <w:right w:w="70" w:type="dxa"/>
          </w:tblCellMar>
        </w:tblPrEx>
        <w:trPr>
          <w:trHeight w:val="300"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AC95E68">
            <w:pPr>
              <w:spacing w:line="360" w:lineRule="auto"/>
              <w:jc w:val="center"/>
              <w:rPr>
                <w:b/>
                <w:bCs/>
                <w:color w:val="000000"/>
                <w:sz w:val="18"/>
                <w:szCs w:val="18"/>
              </w:rPr>
            </w:pPr>
            <w:r>
              <w:rPr>
                <w:b/>
                <w:bCs/>
                <w:color w:val="000000"/>
                <w:sz w:val="18"/>
                <w:szCs w:val="18"/>
              </w:rPr>
              <w:t>6</w:t>
            </w:r>
          </w:p>
        </w:tc>
        <w:tc>
          <w:tcPr>
            <w:tcW w:w="4110" w:type="dxa"/>
            <w:tcBorders>
              <w:top w:val="single" w:color="auto" w:sz="4" w:space="0"/>
              <w:left w:val="nil"/>
              <w:bottom w:val="single" w:color="auto" w:sz="4" w:space="0"/>
              <w:right w:val="single" w:color="auto" w:sz="4" w:space="0"/>
            </w:tcBorders>
            <w:shd w:val="clear" w:color="auto" w:fill="auto"/>
            <w:noWrap/>
            <w:vAlign w:val="bottom"/>
          </w:tcPr>
          <w:p w14:paraId="7680EA2A">
            <w:pPr>
              <w:rPr>
                <w:color w:val="000000"/>
                <w:sz w:val="18"/>
                <w:szCs w:val="18"/>
              </w:rPr>
            </w:pPr>
            <w:r>
              <w:rPr>
                <w:color w:val="000000"/>
                <w:sz w:val="18"/>
                <w:szCs w:val="18"/>
              </w:rPr>
              <w:t>ESCOVA RACKET COM BASE DE ALMOFADA E CABO DE BORRACHA,INFANTIL</w:t>
            </w:r>
          </w:p>
        </w:tc>
        <w:tc>
          <w:tcPr>
            <w:tcW w:w="568" w:type="dxa"/>
            <w:tcBorders>
              <w:top w:val="single" w:color="auto" w:sz="4" w:space="0"/>
              <w:left w:val="nil"/>
              <w:bottom w:val="single" w:color="auto" w:sz="4" w:space="0"/>
              <w:right w:val="single" w:color="auto" w:sz="4" w:space="0"/>
            </w:tcBorders>
            <w:shd w:val="clear" w:color="auto" w:fill="auto"/>
            <w:noWrap/>
            <w:vAlign w:val="bottom"/>
          </w:tcPr>
          <w:p w14:paraId="50266765">
            <w:pPr>
              <w:jc w:val="center"/>
              <w:rPr>
                <w:color w:val="000000"/>
                <w:sz w:val="18"/>
                <w:szCs w:val="18"/>
              </w:rPr>
            </w:pPr>
            <w:r>
              <w:rPr>
                <w:color w:val="000000"/>
                <w:sz w:val="18"/>
                <w:szCs w:val="18"/>
              </w:rPr>
              <w:t>UNI</w:t>
            </w:r>
          </w:p>
        </w:tc>
        <w:tc>
          <w:tcPr>
            <w:tcW w:w="850" w:type="dxa"/>
            <w:tcBorders>
              <w:top w:val="single" w:color="auto" w:sz="4" w:space="0"/>
              <w:left w:val="nil"/>
              <w:bottom w:val="single" w:color="auto" w:sz="4" w:space="0"/>
              <w:right w:val="single" w:color="auto" w:sz="4" w:space="0"/>
            </w:tcBorders>
            <w:shd w:val="clear" w:color="auto" w:fill="auto"/>
            <w:noWrap/>
            <w:vAlign w:val="bottom"/>
          </w:tcPr>
          <w:p w14:paraId="32E9372D">
            <w:pPr>
              <w:jc w:val="center"/>
              <w:rPr>
                <w:color w:val="000000"/>
                <w:sz w:val="18"/>
                <w:szCs w:val="18"/>
              </w:rPr>
            </w:pPr>
            <w:r>
              <w:rPr>
                <w:color w:val="000000"/>
                <w:sz w:val="18"/>
                <w:szCs w:val="18"/>
              </w:rPr>
              <w:t>100</w:t>
            </w:r>
          </w:p>
        </w:tc>
        <w:tc>
          <w:tcPr>
            <w:tcW w:w="1343" w:type="dxa"/>
            <w:tcBorders>
              <w:top w:val="single" w:color="auto" w:sz="4" w:space="0"/>
              <w:left w:val="nil"/>
              <w:bottom w:val="single" w:color="auto" w:sz="4" w:space="0"/>
              <w:right w:val="single" w:color="auto" w:sz="4" w:space="0"/>
            </w:tcBorders>
            <w:shd w:val="clear" w:color="auto" w:fill="auto"/>
            <w:noWrap/>
            <w:vAlign w:val="bottom"/>
          </w:tcPr>
          <w:p w14:paraId="043AF1B7">
            <w:pPr>
              <w:jc w:val="center"/>
              <w:rPr>
                <w:color w:val="000000"/>
                <w:sz w:val="18"/>
                <w:szCs w:val="18"/>
              </w:rPr>
            </w:pPr>
            <w:r>
              <w:rPr>
                <w:color w:val="000000"/>
                <w:sz w:val="18"/>
                <w:szCs w:val="18"/>
              </w:rPr>
              <w:t>R$   29,83</w:t>
            </w:r>
          </w:p>
        </w:tc>
        <w:tc>
          <w:tcPr>
            <w:tcW w:w="1776" w:type="dxa"/>
            <w:tcBorders>
              <w:top w:val="single" w:color="auto" w:sz="4" w:space="0"/>
              <w:left w:val="nil"/>
              <w:bottom w:val="single" w:color="auto" w:sz="4" w:space="0"/>
              <w:right w:val="single" w:color="auto" w:sz="4" w:space="0"/>
            </w:tcBorders>
            <w:shd w:val="clear" w:color="auto" w:fill="auto"/>
            <w:noWrap/>
            <w:vAlign w:val="bottom"/>
          </w:tcPr>
          <w:p w14:paraId="0B07C38B">
            <w:pPr>
              <w:jc w:val="center"/>
              <w:rPr>
                <w:color w:val="000000"/>
                <w:sz w:val="18"/>
                <w:szCs w:val="18"/>
              </w:rPr>
            </w:pPr>
            <w:r>
              <w:rPr>
                <w:color w:val="000000"/>
                <w:sz w:val="18"/>
                <w:szCs w:val="18"/>
              </w:rPr>
              <w:t>R$        2.983,00</w:t>
            </w:r>
          </w:p>
        </w:tc>
      </w:tr>
      <w:tr w14:paraId="6A1E45AA">
        <w:tblPrEx>
          <w:tblCellMar>
            <w:top w:w="0" w:type="dxa"/>
            <w:left w:w="70" w:type="dxa"/>
            <w:bottom w:w="0" w:type="dxa"/>
            <w:right w:w="70" w:type="dxa"/>
          </w:tblCellMar>
        </w:tblPrEx>
        <w:trPr>
          <w:trHeight w:val="300"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D760238">
            <w:pPr>
              <w:spacing w:line="360" w:lineRule="auto"/>
              <w:jc w:val="center"/>
              <w:rPr>
                <w:b/>
                <w:bCs/>
                <w:color w:val="000000"/>
                <w:sz w:val="18"/>
                <w:szCs w:val="18"/>
              </w:rPr>
            </w:pPr>
            <w:r>
              <w:rPr>
                <w:b/>
                <w:bCs/>
                <w:color w:val="000000"/>
                <w:sz w:val="18"/>
                <w:szCs w:val="18"/>
              </w:rPr>
              <w:t>7</w:t>
            </w:r>
          </w:p>
        </w:tc>
        <w:tc>
          <w:tcPr>
            <w:tcW w:w="4110" w:type="dxa"/>
            <w:tcBorders>
              <w:top w:val="single" w:color="auto" w:sz="4" w:space="0"/>
              <w:left w:val="nil"/>
              <w:bottom w:val="single" w:color="auto" w:sz="4" w:space="0"/>
              <w:right w:val="single" w:color="auto" w:sz="4" w:space="0"/>
            </w:tcBorders>
            <w:shd w:val="clear" w:color="auto" w:fill="auto"/>
            <w:noWrap/>
            <w:vAlign w:val="bottom"/>
          </w:tcPr>
          <w:p w14:paraId="6EE431D8">
            <w:pPr>
              <w:jc w:val="both"/>
              <w:rPr>
                <w:color w:val="000000"/>
                <w:sz w:val="18"/>
                <w:szCs w:val="18"/>
              </w:rPr>
            </w:pPr>
            <w:r>
              <w:rPr>
                <w:color w:val="000000"/>
                <w:sz w:val="18"/>
                <w:szCs w:val="18"/>
              </w:rPr>
              <w:t>GEL DENTAL INFANTIL - GEL DENTAL INFANTIL COM FLÚOR (ENTRE 900 E 1.200PPM) - TUBO DE 50GRS. EMBALAGEM EM TUBO PLÁSTICO APROPRIADO, ACONDICIONADO INDIVIDUALMENTE. NOME DO FABRICANTE/LABORATÓRIO, NOME E REGISTRO DO QUÍMICO/FARMACÊUTICO OU RESPONSÁVEL, DATA DE VALIDADE E FABRICAÇÃO DEVE ESTAR IMPRESSA NA EMBALAGEM DO PRODUTO</w:t>
            </w:r>
          </w:p>
          <w:p w14:paraId="4AD20454">
            <w:pPr>
              <w:rPr>
                <w:color w:val="000000"/>
                <w:sz w:val="18"/>
                <w:szCs w:val="18"/>
              </w:rPr>
            </w:pPr>
          </w:p>
          <w:p w14:paraId="0A212B1E">
            <w:pPr>
              <w:rPr>
                <w:color w:val="000000"/>
                <w:sz w:val="18"/>
                <w:szCs w:val="18"/>
              </w:rPr>
            </w:pPr>
          </w:p>
        </w:tc>
        <w:tc>
          <w:tcPr>
            <w:tcW w:w="568" w:type="dxa"/>
            <w:tcBorders>
              <w:top w:val="single" w:color="auto" w:sz="4" w:space="0"/>
              <w:left w:val="nil"/>
              <w:bottom w:val="single" w:color="auto" w:sz="4" w:space="0"/>
              <w:right w:val="single" w:color="auto" w:sz="4" w:space="0"/>
            </w:tcBorders>
            <w:shd w:val="clear" w:color="auto" w:fill="auto"/>
            <w:noWrap/>
            <w:vAlign w:val="bottom"/>
          </w:tcPr>
          <w:p w14:paraId="70A2B9B7">
            <w:pPr>
              <w:jc w:val="center"/>
              <w:rPr>
                <w:color w:val="000000"/>
                <w:sz w:val="18"/>
                <w:szCs w:val="18"/>
              </w:rPr>
            </w:pPr>
            <w:r>
              <w:rPr>
                <w:color w:val="000000"/>
                <w:sz w:val="18"/>
                <w:szCs w:val="18"/>
              </w:rPr>
              <w:t>UND</w:t>
            </w:r>
          </w:p>
        </w:tc>
        <w:tc>
          <w:tcPr>
            <w:tcW w:w="850" w:type="dxa"/>
            <w:tcBorders>
              <w:top w:val="single" w:color="auto" w:sz="4" w:space="0"/>
              <w:left w:val="nil"/>
              <w:bottom w:val="single" w:color="auto" w:sz="4" w:space="0"/>
              <w:right w:val="single" w:color="auto" w:sz="4" w:space="0"/>
            </w:tcBorders>
            <w:shd w:val="clear" w:color="auto" w:fill="auto"/>
            <w:noWrap/>
            <w:vAlign w:val="bottom"/>
          </w:tcPr>
          <w:p w14:paraId="29E0DD75">
            <w:pPr>
              <w:jc w:val="center"/>
              <w:rPr>
                <w:color w:val="000000"/>
                <w:sz w:val="18"/>
                <w:szCs w:val="18"/>
              </w:rPr>
            </w:pPr>
            <w:r>
              <w:rPr>
                <w:color w:val="000000"/>
                <w:sz w:val="18"/>
                <w:szCs w:val="18"/>
              </w:rPr>
              <w:t>5000</w:t>
            </w:r>
          </w:p>
        </w:tc>
        <w:tc>
          <w:tcPr>
            <w:tcW w:w="1343" w:type="dxa"/>
            <w:tcBorders>
              <w:top w:val="single" w:color="auto" w:sz="4" w:space="0"/>
              <w:left w:val="nil"/>
              <w:bottom w:val="single" w:color="auto" w:sz="4" w:space="0"/>
              <w:right w:val="single" w:color="auto" w:sz="4" w:space="0"/>
            </w:tcBorders>
            <w:shd w:val="clear" w:color="auto" w:fill="auto"/>
            <w:noWrap/>
            <w:vAlign w:val="bottom"/>
          </w:tcPr>
          <w:p w14:paraId="53D05E4E">
            <w:pPr>
              <w:jc w:val="center"/>
              <w:rPr>
                <w:color w:val="000000"/>
                <w:sz w:val="18"/>
                <w:szCs w:val="18"/>
              </w:rPr>
            </w:pPr>
            <w:r>
              <w:rPr>
                <w:color w:val="000000"/>
                <w:sz w:val="18"/>
                <w:szCs w:val="18"/>
              </w:rPr>
              <w:t>R$     9,63</w:t>
            </w:r>
          </w:p>
        </w:tc>
        <w:tc>
          <w:tcPr>
            <w:tcW w:w="1776" w:type="dxa"/>
            <w:tcBorders>
              <w:top w:val="single" w:color="auto" w:sz="4" w:space="0"/>
              <w:left w:val="nil"/>
              <w:bottom w:val="single" w:color="auto" w:sz="4" w:space="0"/>
              <w:right w:val="single" w:color="auto" w:sz="4" w:space="0"/>
            </w:tcBorders>
            <w:shd w:val="clear" w:color="auto" w:fill="auto"/>
            <w:noWrap/>
            <w:vAlign w:val="bottom"/>
          </w:tcPr>
          <w:p w14:paraId="6FB21EAF">
            <w:pPr>
              <w:jc w:val="center"/>
              <w:rPr>
                <w:color w:val="000000"/>
                <w:sz w:val="18"/>
                <w:szCs w:val="18"/>
              </w:rPr>
            </w:pPr>
            <w:r>
              <w:rPr>
                <w:color w:val="000000"/>
                <w:sz w:val="18"/>
                <w:szCs w:val="18"/>
              </w:rPr>
              <w:t>R$     48.150,00</w:t>
            </w:r>
          </w:p>
        </w:tc>
      </w:tr>
      <w:tr w14:paraId="2CBCC028">
        <w:tblPrEx>
          <w:tblCellMar>
            <w:top w:w="0" w:type="dxa"/>
            <w:left w:w="70" w:type="dxa"/>
            <w:bottom w:w="0" w:type="dxa"/>
            <w:right w:w="70" w:type="dxa"/>
          </w:tblCellMar>
        </w:tblPrEx>
        <w:trPr>
          <w:trHeight w:val="300"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CB1170D">
            <w:pPr>
              <w:spacing w:line="360" w:lineRule="auto"/>
              <w:jc w:val="center"/>
              <w:rPr>
                <w:b/>
                <w:bCs/>
                <w:color w:val="000000"/>
                <w:sz w:val="18"/>
                <w:szCs w:val="18"/>
              </w:rPr>
            </w:pPr>
            <w:r>
              <w:rPr>
                <w:b/>
                <w:bCs/>
                <w:color w:val="000000"/>
                <w:sz w:val="18"/>
                <w:szCs w:val="18"/>
              </w:rPr>
              <w:t>8</w:t>
            </w:r>
          </w:p>
        </w:tc>
        <w:tc>
          <w:tcPr>
            <w:tcW w:w="4110" w:type="dxa"/>
            <w:tcBorders>
              <w:top w:val="single" w:color="auto" w:sz="4" w:space="0"/>
              <w:left w:val="nil"/>
              <w:bottom w:val="single" w:color="auto" w:sz="4" w:space="0"/>
              <w:right w:val="single" w:color="auto" w:sz="4" w:space="0"/>
            </w:tcBorders>
            <w:shd w:val="clear" w:color="auto" w:fill="auto"/>
            <w:noWrap/>
            <w:vAlign w:val="bottom"/>
          </w:tcPr>
          <w:p w14:paraId="6E08CA31">
            <w:pPr>
              <w:jc w:val="both"/>
              <w:rPr>
                <w:color w:val="000000"/>
                <w:sz w:val="18"/>
                <w:szCs w:val="18"/>
              </w:rPr>
            </w:pPr>
            <w:r>
              <w:rPr>
                <w:color w:val="000000"/>
                <w:sz w:val="18"/>
                <w:szCs w:val="18"/>
              </w:rPr>
              <w:t>HASTE FLEXÍVEL COM PONTAS DE ALGODÃO - ANTIGERME - CAIXA C/ 150 UNIDADES - EMBALAGEM REFORÇADA E APROPRIADA PARA O PRODUTO; ROTULO COM NR INDICANDO DATA DE FABRICAÇÃO, LOTE, VENCIMENTO, IDENTIFICAÇÃO DO FABRICANTE, LAUDO DE ANÁLISE E PROCEDÊNCIA DO PAÍS DE ORIGEM.</w:t>
            </w:r>
          </w:p>
        </w:tc>
        <w:tc>
          <w:tcPr>
            <w:tcW w:w="568" w:type="dxa"/>
            <w:tcBorders>
              <w:top w:val="single" w:color="auto" w:sz="4" w:space="0"/>
              <w:left w:val="nil"/>
              <w:bottom w:val="single" w:color="auto" w:sz="4" w:space="0"/>
              <w:right w:val="single" w:color="auto" w:sz="4" w:space="0"/>
            </w:tcBorders>
            <w:shd w:val="clear" w:color="auto" w:fill="auto"/>
            <w:noWrap/>
            <w:vAlign w:val="bottom"/>
          </w:tcPr>
          <w:p w14:paraId="114F5D04">
            <w:pPr>
              <w:jc w:val="center"/>
              <w:rPr>
                <w:color w:val="000000"/>
                <w:sz w:val="18"/>
                <w:szCs w:val="18"/>
              </w:rPr>
            </w:pPr>
            <w:r>
              <w:rPr>
                <w:color w:val="000000"/>
                <w:sz w:val="18"/>
                <w:szCs w:val="18"/>
              </w:rPr>
              <w:t>UND</w:t>
            </w:r>
          </w:p>
        </w:tc>
        <w:tc>
          <w:tcPr>
            <w:tcW w:w="850" w:type="dxa"/>
            <w:tcBorders>
              <w:top w:val="single" w:color="auto" w:sz="4" w:space="0"/>
              <w:left w:val="nil"/>
              <w:bottom w:val="single" w:color="auto" w:sz="4" w:space="0"/>
              <w:right w:val="single" w:color="auto" w:sz="4" w:space="0"/>
            </w:tcBorders>
            <w:shd w:val="clear" w:color="auto" w:fill="auto"/>
            <w:noWrap/>
            <w:vAlign w:val="bottom"/>
          </w:tcPr>
          <w:p w14:paraId="764361C9">
            <w:pPr>
              <w:jc w:val="center"/>
              <w:rPr>
                <w:color w:val="000000"/>
                <w:sz w:val="18"/>
                <w:szCs w:val="18"/>
              </w:rPr>
            </w:pPr>
            <w:r>
              <w:rPr>
                <w:color w:val="000000"/>
                <w:sz w:val="18"/>
                <w:szCs w:val="18"/>
              </w:rPr>
              <w:t>400</w:t>
            </w:r>
          </w:p>
        </w:tc>
        <w:tc>
          <w:tcPr>
            <w:tcW w:w="1343" w:type="dxa"/>
            <w:tcBorders>
              <w:top w:val="single" w:color="auto" w:sz="4" w:space="0"/>
              <w:left w:val="nil"/>
              <w:bottom w:val="single" w:color="auto" w:sz="4" w:space="0"/>
              <w:right w:val="single" w:color="auto" w:sz="4" w:space="0"/>
            </w:tcBorders>
            <w:shd w:val="clear" w:color="auto" w:fill="auto"/>
            <w:noWrap/>
            <w:vAlign w:val="bottom"/>
          </w:tcPr>
          <w:p w14:paraId="7BF9617C">
            <w:pPr>
              <w:jc w:val="center"/>
              <w:rPr>
                <w:color w:val="000000"/>
                <w:sz w:val="18"/>
                <w:szCs w:val="18"/>
              </w:rPr>
            </w:pPr>
            <w:r>
              <w:rPr>
                <w:color w:val="000000"/>
                <w:sz w:val="18"/>
                <w:szCs w:val="18"/>
              </w:rPr>
              <w:t>R$     9,95</w:t>
            </w:r>
          </w:p>
        </w:tc>
        <w:tc>
          <w:tcPr>
            <w:tcW w:w="1776" w:type="dxa"/>
            <w:tcBorders>
              <w:top w:val="single" w:color="auto" w:sz="4" w:space="0"/>
              <w:left w:val="nil"/>
              <w:bottom w:val="single" w:color="auto" w:sz="4" w:space="0"/>
              <w:right w:val="single" w:color="auto" w:sz="4" w:space="0"/>
            </w:tcBorders>
            <w:shd w:val="clear" w:color="auto" w:fill="auto"/>
            <w:noWrap/>
            <w:vAlign w:val="bottom"/>
          </w:tcPr>
          <w:p w14:paraId="7AB1EA57">
            <w:pPr>
              <w:jc w:val="center"/>
              <w:rPr>
                <w:color w:val="000000"/>
                <w:sz w:val="18"/>
                <w:szCs w:val="18"/>
              </w:rPr>
            </w:pPr>
            <w:r>
              <w:rPr>
                <w:color w:val="000000"/>
                <w:sz w:val="18"/>
                <w:szCs w:val="18"/>
              </w:rPr>
              <w:t>R$        3.980,00</w:t>
            </w:r>
          </w:p>
        </w:tc>
      </w:tr>
      <w:tr w14:paraId="4CE7283E">
        <w:tblPrEx>
          <w:tblCellMar>
            <w:top w:w="0" w:type="dxa"/>
            <w:left w:w="70" w:type="dxa"/>
            <w:bottom w:w="0" w:type="dxa"/>
            <w:right w:w="70" w:type="dxa"/>
          </w:tblCellMar>
        </w:tblPrEx>
        <w:trPr>
          <w:trHeight w:val="300"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648A801">
            <w:pPr>
              <w:spacing w:line="360" w:lineRule="auto"/>
              <w:jc w:val="center"/>
              <w:rPr>
                <w:b/>
                <w:bCs/>
                <w:color w:val="000000"/>
                <w:sz w:val="18"/>
                <w:szCs w:val="18"/>
              </w:rPr>
            </w:pPr>
            <w:r>
              <w:rPr>
                <w:b/>
                <w:bCs/>
                <w:color w:val="000000"/>
                <w:sz w:val="18"/>
                <w:szCs w:val="18"/>
              </w:rPr>
              <w:t>9</w:t>
            </w:r>
          </w:p>
        </w:tc>
        <w:tc>
          <w:tcPr>
            <w:tcW w:w="4110" w:type="dxa"/>
            <w:tcBorders>
              <w:top w:val="single" w:color="auto" w:sz="4" w:space="0"/>
              <w:left w:val="nil"/>
              <w:bottom w:val="single" w:color="auto" w:sz="4" w:space="0"/>
              <w:right w:val="single" w:color="auto" w:sz="4" w:space="0"/>
            </w:tcBorders>
            <w:shd w:val="clear" w:color="auto" w:fill="auto"/>
            <w:noWrap/>
            <w:vAlign w:val="bottom"/>
          </w:tcPr>
          <w:p w14:paraId="0718D690">
            <w:pPr>
              <w:jc w:val="both"/>
              <w:rPr>
                <w:color w:val="000000"/>
                <w:sz w:val="18"/>
                <w:szCs w:val="18"/>
              </w:rPr>
            </w:pPr>
            <w:r>
              <w:rPr>
                <w:color w:val="000000"/>
                <w:sz w:val="18"/>
                <w:szCs w:val="18"/>
              </w:rPr>
              <w:t>LENÇO UMEDECIDO P/ BALDE (REFIL) - COM 450 UNIDADES, PARA HIGIENIZAÇÃO INFANTIL; CONFECCIONADO EM FIBRA SINTÉTICA RESISTENTE E FLEXÍVEL; MEDIDA MÍNIMA: 17 CM DE COMPRIMENTO X 10 CM DE LARGURA, COMPOSTO POR ÁGUA PURIFICADA, COM EXTRATO DE ALOE VERA, LANOLINA, COCA MIDOPROPIL, BRONOPOL, BETAÍNA, PROPILENOGLICOL, METILPARABENO, EDTA, POLISSORBATO 20, ACIDO CÍTRICO; FRAGRÂNCIA ISENTA DE QUALQUER COMPONENTE ALCOÓLICO; NÃO ESTÉRIL; PRODUTO SUJEITO A VERIFICAÇÃO NO ATO DA ENTREGA, AOS PROCEDIMENTOS ADMINISTRATIVOS DETERMINADOS PELA ANVISA; EMBALADO EM MATERIAL QUE GARANTA A INTEGRIDADE DO PRODUTO. REGISTRO DO QUÍMICO/FARMACÊUTICO OU RESPONSÁVEL, FABRICANTE, DATA DE FABRICAÇÃO E VALIDADE DO PRODUTO IMPRESSOS NA EMBALAGEM</w:t>
            </w:r>
          </w:p>
        </w:tc>
        <w:tc>
          <w:tcPr>
            <w:tcW w:w="568" w:type="dxa"/>
            <w:tcBorders>
              <w:top w:val="single" w:color="auto" w:sz="4" w:space="0"/>
              <w:left w:val="nil"/>
              <w:bottom w:val="single" w:color="auto" w:sz="4" w:space="0"/>
              <w:right w:val="single" w:color="auto" w:sz="4" w:space="0"/>
            </w:tcBorders>
            <w:shd w:val="clear" w:color="auto" w:fill="auto"/>
            <w:noWrap/>
            <w:vAlign w:val="bottom"/>
          </w:tcPr>
          <w:p w14:paraId="07F1574E">
            <w:pPr>
              <w:jc w:val="center"/>
              <w:rPr>
                <w:color w:val="000000"/>
                <w:sz w:val="18"/>
                <w:szCs w:val="18"/>
              </w:rPr>
            </w:pPr>
            <w:r>
              <w:rPr>
                <w:color w:val="000000"/>
                <w:sz w:val="18"/>
                <w:szCs w:val="18"/>
              </w:rPr>
              <w:t>UND</w:t>
            </w:r>
          </w:p>
        </w:tc>
        <w:tc>
          <w:tcPr>
            <w:tcW w:w="850" w:type="dxa"/>
            <w:tcBorders>
              <w:top w:val="single" w:color="auto" w:sz="4" w:space="0"/>
              <w:left w:val="nil"/>
              <w:bottom w:val="single" w:color="auto" w:sz="4" w:space="0"/>
              <w:right w:val="single" w:color="auto" w:sz="4" w:space="0"/>
            </w:tcBorders>
            <w:shd w:val="clear" w:color="auto" w:fill="auto"/>
            <w:noWrap/>
            <w:vAlign w:val="bottom"/>
          </w:tcPr>
          <w:p w14:paraId="7A43B076">
            <w:pPr>
              <w:jc w:val="center"/>
              <w:rPr>
                <w:color w:val="000000"/>
                <w:sz w:val="18"/>
                <w:szCs w:val="18"/>
              </w:rPr>
            </w:pPr>
            <w:r>
              <w:rPr>
                <w:color w:val="000000"/>
                <w:sz w:val="18"/>
                <w:szCs w:val="18"/>
              </w:rPr>
              <w:t>1000</w:t>
            </w:r>
          </w:p>
        </w:tc>
        <w:tc>
          <w:tcPr>
            <w:tcW w:w="1343" w:type="dxa"/>
            <w:tcBorders>
              <w:top w:val="single" w:color="auto" w:sz="4" w:space="0"/>
              <w:left w:val="nil"/>
              <w:bottom w:val="single" w:color="auto" w:sz="4" w:space="0"/>
              <w:right w:val="single" w:color="auto" w:sz="4" w:space="0"/>
            </w:tcBorders>
            <w:shd w:val="clear" w:color="auto" w:fill="auto"/>
            <w:noWrap/>
            <w:vAlign w:val="bottom"/>
          </w:tcPr>
          <w:p w14:paraId="7B930F2F">
            <w:pPr>
              <w:jc w:val="center"/>
              <w:rPr>
                <w:color w:val="000000"/>
                <w:sz w:val="18"/>
                <w:szCs w:val="18"/>
              </w:rPr>
            </w:pPr>
            <w:r>
              <w:rPr>
                <w:color w:val="000000"/>
                <w:sz w:val="18"/>
                <w:szCs w:val="18"/>
              </w:rPr>
              <w:t>R$   24,17</w:t>
            </w:r>
          </w:p>
        </w:tc>
        <w:tc>
          <w:tcPr>
            <w:tcW w:w="1776" w:type="dxa"/>
            <w:tcBorders>
              <w:top w:val="single" w:color="auto" w:sz="4" w:space="0"/>
              <w:left w:val="nil"/>
              <w:bottom w:val="single" w:color="auto" w:sz="4" w:space="0"/>
              <w:right w:val="single" w:color="auto" w:sz="4" w:space="0"/>
            </w:tcBorders>
            <w:shd w:val="clear" w:color="auto" w:fill="auto"/>
            <w:noWrap/>
            <w:vAlign w:val="bottom"/>
          </w:tcPr>
          <w:p w14:paraId="3D42EE0E">
            <w:pPr>
              <w:jc w:val="center"/>
              <w:rPr>
                <w:color w:val="000000"/>
                <w:sz w:val="18"/>
                <w:szCs w:val="18"/>
              </w:rPr>
            </w:pPr>
            <w:r>
              <w:rPr>
                <w:color w:val="000000"/>
                <w:sz w:val="18"/>
                <w:szCs w:val="18"/>
              </w:rPr>
              <w:t>R$     24.170,00</w:t>
            </w:r>
          </w:p>
        </w:tc>
      </w:tr>
      <w:tr w14:paraId="52D1E9D9">
        <w:tblPrEx>
          <w:tblCellMar>
            <w:top w:w="0" w:type="dxa"/>
            <w:left w:w="70" w:type="dxa"/>
            <w:bottom w:w="0" w:type="dxa"/>
            <w:right w:w="70" w:type="dxa"/>
          </w:tblCellMar>
        </w:tblPrEx>
        <w:trPr>
          <w:trHeight w:val="70" w:hRule="atLeast"/>
        </w:trPr>
        <w:tc>
          <w:tcPr>
            <w:tcW w:w="851" w:type="dxa"/>
            <w:tcBorders>
              <w:top w:val="nil"/>
              <w:left w:val="single" w:color="auto" w:sz="4" w:space="0"/>
              <w:bottom w:val="single" w:color="auto" w:sz="4" w:space="0"/>
              <w:right w:val="single" w:color="auto" w:sz="4" w:space="0"/>
            </w:tcBorders>
            <w:shd w:val="clear" w:color="auto" w:fill="auto"/>
            <w:noWrap/>
            <w:vAlign w:val="bottom"/>
          </w:tcPr>
          <w:p w14:paraId="4633AFCB">
            <w:pPr>
              <w:spacing w:line="360" w:lineRule="auto"/>
              <w:jc w:val="center"/>
              <w:rPr>
                <w:color w:val="000000"/>
                <w:sz w:val="18"/>
                <w:szCs w:val="18"/>
              </w:rPr>
            </w:pPr>
            <w:r>
              <w:rPr>
                <w:color w:val="000000"/>
                <w:sz w:val="18"/>
                <w:szCs w:val="18"/>
              </w:rPr>
              <w:t>10</w:t>
            </w:r>
          </w:p>
        </w:tc>
        <w:tc>
          <w:tcPr>
            <w:tcW w:w="4110" w:type="dxa"/>
            <w:tcBorders>
              <w:top w:val="nil"/>
              <w:left w:val="nil"/>
              <w:bottom w:val="single" w:color="auto" w:sz="4" w:space="0"/>
              <w:right w:val="single" w:color="auto" w:sz="4" w:space="0"/>
            </w:tcBorders>
            <w:shd w:val="clear" w:color="auto" w:fill="auto"/>
            <w:vAlign w:val="bottom"/>
          </w:tcPr>
          <w:p w14:paraId="106766DC">
            <w:pPr>
              <w:rPr>
                <w:color w:val="000000"/>
                <w:sz w:val="18"/>
                <w:szCs w:val="18"/>
              </w:rPr>
            </w:pPr>
            <w:r>
              <w:rPr>
                <w:color w:val="000000"/>
                <w:sz w:val="18"/>
                <w:szCs w:val="18"/>
              </w:rPr>
              <w:t>PENTE COM DENTES ONDULADOS E CABO COM SUPORTE DE BORRACHA, INFANTIL</w:t>
            </w:r>
          </w:p>
        </w:tc>
        <w:tc>
          <w:tcPr>
            <w:tcW w:w="568" w:type="dxa"/>
            <w:tcBorders>
              <w:top w:val="nil"/>
              <w:left w:val="nil"/>
              <w:bottom w:val="single" w:color="auto" w:sz="4" w:space="0"/>
              <w:right w:val="single" w:color="auto" w:sz="4" w:space="0"/>
            </w:tcBorders>
            <w:shd w:val="clear" w:color="auto" w:fill="auto"/>
            <w:noWrap/>
            <w:vAlign w:val="bottom"/>
          </w:tcPr>
          <w:p w14:paraId="254BDD43">
            <w:pPr>
              <w:jc w:val="center"/>
              <w:rPr>
                <w:color w:val="000000"/>
                <w:sz w:val="18"/>
                <w:szCs w:val="18"/>
              </w:rPr>
            </w:pPr>
            <w:r>
              <w:rPr>
                <w:color w:val="000000"/>
                <w:sz w:val="18"/>
                <w:szCs w:val="18"/>
              </w:rPr>
              <w:t>UNI</w:t>
            </w:r>
          </w:p>
        </w:tc>
        <w:tc>
          <w:tcPr>
            <w:tcW w:w="850" w:type="dxa"/>
            <w:tcBorders>
              <w:top w:val="nil"/>
              <w:left w:val="nil"/>
              <w:bottom w:val="single" w:color="auto" w:sz="4" w:space="0"/>
              <w:right w:val="single" w:color="auto" w:sz="4" w:space="0"/>
            </w:tcBorders>
            <w:shd w:val="clear" w:color="auto" w:fill="auto"/>
            <w:noWrap/>
            <w:vAlign w:val="bottom"/>
          </w:tcPr>
          <w:p w14:paraId="07B9DD99">
            <w:pPr>
              <w:jc w:val="center"/>
              <w:rPr>
                <w:color w:val="000000"/>
                <w:sz w:val="18"/>
                <w:szCs w:val="18"/>
              </w:rPr>
            </w:pPr>
            <w:r>
              <w:rPr>
                <w:color w:val="000000"/>
                <w:sz w:val="18"/>
                <w:szCs w:val="18"/>
              </w:rPr>
              <w:t>100</w:t>
            </w:r>
          </w:p>
        </w:tc>
        <w:tc>
          <w:tcPr>
            <w:tcW w:w="1343" w:type="dxa"/>
            <w:tcBorders>
              <w:top w:val="nil"/>
              <w:left w:val="nil"/>
              <w:bottom w:val="single" w:color="auto" w:sz="4" w:space="0"/>
              <w:right w:val="single" w:color="auto" w:sz="4" w:space="0"/>
            </w:tcBorders>
            <w:shd w:val="clear" w:color="auto" w:fill="auto"/>
            <w:noWrap/>
            <w:vAlign w:val="bottom"/>
          </w:tcPr>
          <w:p w14:paraId="3E87BEDD">
            <w:pPr>
              <w:jc w:val="center"/>
              <w:rPr>
                <w:color w:val="000000"/>
                <w:sz w:val="18"/>
                <w:szCs w:val="18"/>
              </w:rPr>
            </w:pPr>
            <w:r>
              <w:rPr>
                <w:color w:val="000000"/>
                <w:sz w:val="18"/>
                <w:szCs w:val="18"/>
              </w:rPr>
              <w:t>R$   10,01</w:t>
            </w:r>
          </w:p>
        </w:tc>
        <w:tc>
          <w:tcPr>
            <w:tcW w:w="1776" w:type="dxa"/>
            <w:tcBorders>
              <w:top w:val="nil"/>
              <w:left w:val="nil"/>
              <w:bottom w:val="single" w:color="auto" w:sz="4" w:space="0"/>
              <w:right w:val="single" w:color="auto" w:sz="4" w:space="0"/>
            </w:tcBorders>
            <w:shd w:val="clear" w:color="auto" w:fill="auto"/>
            <w:noWrap/>
            <w:vAlign w:val="bottom"/>
          </w:tcPr>
          <w:p w14:paraId="0A0296FD">
            <w:pPr>
              <w:jc w:val="center"/>
              <w:rPr>
                <w:color w:val="000000"/>
                <w:sz w:val="18"/>
                <w:szCs w:val="18"/>
              </w:rPr>
            </w:pPr>
            <w:r>
              <w:rPr>
                <w:color w:val="000000"/>
                <w:sz w:val="18"/>
                <w:szCs w:val="18"/>
              </w:rPr>
              <w:t>R$        1.001,00</w:t>
            </w:r>
          </w:p>
        </w:tc>
      </w:tr>
      <w:tr w14:paraId="12A793FE">
        <w:tblPrEx>
          <w:tblCellMar>
            <w:top w:w="0" w:type="dxa"/>
            <w:left w:w="70" w:type="dxa"/>
            <w:bottom w:w="0" w:type="dxa"/>
            <w:right w:w="70" w:type="dxa"/>
          </w:tblCellMar>
        </w:tblPrEx>
        <w:trPr>
          <w:trHeight w:val="70" w:hRule="atLeast"/>
        </w:trPr>
        <w:tc>
          <w:tcPr>
            <w:tcW w:w="851" w:type="dxa"/>
            <w:tcBorders>
              <w:top w:val="nil"/>
              <w:left w:val="single" w:color="auto" w:sz="4" w:space="0"/>
              <w:bottom w:val="single" w:color="auto" w:sz="4" w:space="0"/>
              <w:right w:val="single" w:color="auto" w:sz="4" w:space="0"/>
            </w:tcBorders>
            <w:shd w:val="clear" w:color="auto" w:fill="auto"/>
            <w:noWrap/>
            <w:vAlign w:val="bottom"/>
          </w:tcPr>
          <w:p w14:paraId="4AC07A59">
            <w:pPr>
              <w:spacing w:line="360" w:lineRule="auto"/>
              <w:jc w:val="center"/>
              <w:rPr>
                <w:color w:val="000000"/>
                <w:sz w:val="18"/>
                <w:szCs w:val="18"/>
              </w:rPr>
            </w:pPr>
            <w:r>
              <w:rPr>
                <w:color w:val="000000"/>
                <w:sz w:val="18"/>
                <w:szCs w:val="18"/>
              </w:rPr>
              <w:t>11</w:t>
            </w:r>
          </w:p>
        </w:tc>
        <w:tc>
          <w:tcPr>
            <w:tcW w:w="4110" w:type="dxa"/>
            <w:tcBorders>
              <w:top w:val="nil"/>
              <w:left w:val="nil"/>
              <w:bottom w:val="single" w:color="auto" w:sz="4" w:space="0"/>
              <w:right w:val="single" w:color="auto" w:sz="4" w:space="0"/>
            </w:tcBorders>
            <w:shd w:val="clear" w:color="auto" w:fill="auto"/>
            <w:vAlign w:val="bottom"/>
          </w:tcPr>
          <w:p w14:paraId="64170C91">
            <w:pPr>
              <w:jc w:val="both"/>
              <w:rPr>
                <w:color w:val="000000"/>
                <w:sz w:val="18"/>
                <w:szCs w:val="18"/>
              </w:rPr>
            </w:pPr>
            <w:r>
              <w:rPr>
                <w:color w:val="000000"/>
                <w:sz w:val="18"/>
                <w:szCs w:val="18"/>
              </w:rPr>
              <w:t>POMADA ANTIASSADURA INFANTIL POMADA PARA PREVENÇÃO DE ASSADURAS. PRODUTO DEVERÁ APRESENTAR FÓRMULA QUE PROTEJA O BEBÊ DAS ASSADURAS, MANTENDO A HIDRATAÇÃO NATURAL DA PELE, ATRAVÉS DO ESTABELECIMENTO DE UMA BARREIRA MECÂNICA ENTRE A PELE DO BEBÊ, A URINA E AS FEZES, EVITANDO QUE ESTAS ENTREM EM CONTATO COM A PELE, CAUSANDO ASSADURAS. O PRODUTO DEVERÁ POSSUIR CHEIRO AGRADÁVEL E SER FÁCIL DE ESPALHAR E DE REMOVER. EMBALAGEM CONTENDO NO MÍNIMO 60 GR. PRODUTO DEVERÁ SER DERMATOLOGICAMENTE TESTADO. VALIDADE MÍNIMA DE 06 (SEIS) MESES A PARTIR DA DATA DE ENTREGA.</w:t>
            </w:r>
          </w:p>
        </w:tc>
        <w:tc>
          <w:tcPr>
            <w:tcW w:w="568" w:type="dxa"/>
            <w:tcBorders>
              <w:top w:val="nil"/>
              <w:left w:val="nil"/>
              <w:bottom w:val="single" w:color="auto" w:sz="4" w:space="0"/>
              <w:right w:val="single" w:color="auto" w:sz="4" w:space="0"/>
            </w:tcBorders>
            <w:shd w:val="clear" w:color="auto" w:fill="auto"/>
            <w:noWrap/>
            <w:vAlign w:val="bottom"/>
          </w:tcPr>
          <w:p w14:paraId="29B79622">
            <w:pPr>
              <w:jc w:val="center"/>
              <w:rPr>
                <w:color w:val="000000"/>
                <w:sz w:val="18"/>
                <w:szCs w:val="18"/>
              </w:rPr>
            </w:pPr>
            <w:r>
              <w:rPr>
                <w:color w:val="000000"/>
                <w:sz w:val="18"/>
                <w:szCs w:val="18"/>
              </w:rPr>
              <w:t>UND</w:t>
            </w:r>
          </w:p>
        </w:tc>
        <w:tc>
          <w:tcPr>
            <w:tcW w:w="850" w:type="dxa"/>
            <w:tcBorders>
              <w:top w:val="nil"/>
              <w:left w:val="nil"/>
              <w:bottom w:val="single" w:color="auto" w:sz="4" w:space="0"/>
              <w:right w:val="single" w:color="auto" w:sz="4" w:space="0"/>
            </w:tcBorders>
            <w:shd w:val="clear" w:color="auto" w:fill="auto"/>
            <w:noWrap/>
            <w:vAlign w:val="bottom"/>
          </w:tcPr>
          <w:p w14:paraId="08BAEF57">
            <w:pPr>
              <w:jc w:val="center"/>
              <w:rPr>
                <w:color w:val="000000"/>
                <w:sz w:val="18"/>
                <w:szCs w:val="18"/>
              </w:rPr>
            </w:pPr>
            <w:r>
              <w:rPr>
                <w:color w:val="000000"/>
                <w:sz w:val="18"/>
                <w:szCs w:val="18"/>
              </w:rPr>
              <w:t>1500</w:t>
            </w:r>
          </w:p>
        </w:tc>
        <w:tc>
          <w:tcPr>
            <w:tcW w:w="1343" w:type="dxa"/>
            <w:tcBorders>
              <w:top w:val="nil"/>
              <w:left w:val="nil"/>
              <w:bottom w:val="single" w:color="auto" w:sz="4" w:space="0"/>
              <w:right w:val="single" w:color="auto" w:sz="4" w:space="0"/>
            </w:tcBorders>
            <w:shd w:val="clear" w:color="auto" w:fill="auto"/>
            <w:noWrap/>
            <w:vAlign w:val="bottom"/>
          </w:tcPr>
          <w:p w14:paraId="3E1DEA50">
            <w:pPr>
              <w:jc w:val="center"/>
              <w:rPr>
                <w:color w:val="000000"/>
                <w:sz w:val="18"/>
                <w:szCs w:val="18"/>
              </w:rPr>
            </w:pPr>
            <w:r>
              <w:rPr>
                <w:color w:val="000000"/>
                <w:sz w:val="18"/>
                <w:szCs w:val="18"/>
              </w:rPr>
              <w:t>R$   22,07</w:t>
            </w:r>
          </w:p>
        </w:tc>
        <w:tc>
          <w:tcPr>
            <w:tcW w:w="1776" w:type="dxa"/>
            <w:tcBorders>
              <w:top w:val="nil"/>
              <w:left w:val="nil"/>
              <w:bottom w:val="single" w:color="auto" w:sz="4" w:space="0"/>
              <w:right w:val="single" w:color="auto" w:sz="4" w:space="0"/>
            </w:tcBorders>
            <w:shd w:val="clear" w:color="auto" w:fill="auto"/>
            <w:noWrap/>
            <w:vAlign w:val="bottom"/>
          </w:tcPr>
          <w:p w14:paraId="3EE7A317">
            <w:pPr>
              <w:jc w:val="center"/>
              <w:rPr>
                <w:color w:val="000000"/>
                <w:sz w:val="18"/>
                <w:szCs w:val="18"/>
              </w:rPr>
            </w:pPr>
            <w:r>
              <w:rPr>
                <w:color w:val="000000"/>
                <w:sz w:val="18"/>
                <w:szCs w:val="18"/>
              </w:rPr>
              <w:t>R$     33.105,00</w:t>
            </w:r>
          </w:p>
        </w:tc>
      </w:tr>
      <w:tr w14:paraId="6F0C6C8F">
        <w:tblPrEx>
          <w:tblCellMar>
            <w:top w:w="0" w:type="dxa"/>
            <w:left w:w="70" w:type="dxa"/>
            <w:bottom w:w="0" w:type="dxa"/>
            <w:right w:w="70" w:type="dxa"/>
          </w:tblCellMar>
        </w:tblPrEx>
        <w:trPr>
          <w:trHeight w:val="70" w:hRule="atLeast"/>
        </w:trPr>
        <w:tc>
          <w:tcPr>
            <w:tcW w:w="851" w:type="dxa"/>
            <w:tcBorders>
              <w:top w:val="nil"/>
              <w:left w:val="single" w:color="auto" w:sz="4" w:space="0"/>
              <w:bottom w:val="single" w:color="auto" w:sz="4" w:space="0"/>
              <w:right w:val="single" w:color="auto" w:sz="4" w:space="0"/>
            </w:tcBorders>
            <w:shd w:val="clear" w:color="auto" w:fill="auto"/>
            <w:noWrap/>
            <w:vAlign w:val="bottom"/>
          </w:tcPr>
          <w:p w14:paraId="4BB5F909">
            <w:pPr>
              <w:spacing w:line="360" w:lineRule="auto"/>
              <w:jc w:val="center"/>
              <w:rPr>
                <w:color w:val="000000"/>
                <w:sz w:val="18"/>
                <w:szCs w:val="18"/>
              </w:rPr>
            </w:pPr>
            <w:r>
              <w:rPr>
                <w:color w:val="000000"/>
                <w:sz w:val="18"/>
                <w:szCs w:val="18"/>
              </w:rPr>
              <w:t>12</w:t>
            </w:r>
          </w:p>
        </w:tc>
        <w:tc>
          <w:tcPr>
            <w:tcW w:w="4110" w:type="dxa"/>
            <w:tcBorders>
              <w:top w:val="nil"/>
              <w:left w:val="nil"/>
              <w:bottom w:val="single" w:color="auto" w:sz="4" w:space="0"/>
              <w:right w:val="single" w:color="auto" w:sz="4" w:space="0"/>
            </w:tcBorders>
            <w:shd w:val="clear" w:color="auto" w:fill="auto"/>
            <w:vAlign w:val="bottom"/>
          </w:tcPr>
          <w:p w14:paraId="43FB3773">
            <w:pPr>
              <w:jc w:val="both"/>
              <w:rPr>
                <w:color w:val="000000"/>
                <w:sz w:val="18"/>
                <w:szCs w:val="18"/>
              </w:rPr>
            </w:pPr>
            <w:r>
              <w:rPr>
                <w:color w:val="000000"/>
                <w:sz w:val="18"/>
                <w:szCs w:val="18"/>
              </w:rPr>
              <w:t>SABONETE LIQUIDO INFANTIL PARA USO EM BEBÊ – FRASCO COM 250ML – COM PREBIÓTICO – PARA TODOS OS TIPOS DE PELE – FRAGRÂNCIAS SUAVES – TESTADO DERMATOLOGICAMENTE COM PH BALANCEADO.</w:t>
            </w:r>
          </w:p>
        </w:tc>
        <w:tc>
          <w:tcPr>
            <w:tcW w:w="568" w:type="dxa"/>
            <w:tcBorders>
              <w:top w:val="nil"/>
              <w:left w:val="nil"/>
              <w:bottom w:val="single" w:color="auto" w:sz="4" w:space="0"/>
              <w:right w:val="single" w:color="auto" w:sz="4" w:space="0"/>
            </w:tcBorders>
            <w:shd w:val="clear" w:color="auto" w:fill="auto"/>
            <w:noWrap/>
            <w:vAlign w:val="bottom"/>
          </w:tcPr>
          <w:p w14:paraId="0184DC56">
            <w:pPr>
              <w:jc w:val="center"/>
              <w:rPr>
                <w:color w:val="000000"/>
                <w:sz w:val="18"/>
                <w:szCs w:val="18"/>
              </w:rPr>
            </w:pPr>
            <w:r>
              <w:rPr>
                <w:color w:val="000000"/>
                <w:sz w:val="18"/>
                <w:szCs w:val="18"/>
              </w:rPr>
              <w:t>UNI</w:t>
            </w:r>
          </w:p>
        </w:tc>
        <w:tc>
          <w:tcPr>
            <w:tcW w:w="850" w:type="dxa"/>
            <w:tcBorders>
              <w:top w:val="nil"/>
              <w:left w:val="nil"/>
              <w:bottom w:val="single" w:color="auto" w:sz="4" w:space="0"/>
              <w:right w:val="single" w:color="auto" w:sz="4" w:space="0"/>
            </w:tcBorders>
            <w:shd w:val="clear" w:color="auto" w:fill="auto"/>
            <w:noWrap/>
            <w:vAlign w:val="bottom"/>
          </w:tcPr>
          <w:p w14:paraId="060C0162">
            <w:pPr>
              <w:jc w:val="center"/>
              <w:rPr>
                <w:color w:val="000000"/>
                <w:sz w:val="18"/>
                <w:szCs w:val="18"/>
              </w:rPr>
            </w:pPr>
            <w:r>
              <w:rPr>
                <w:color w:val="000000"/>
                <w:sz w:val="18"/>
                <w:szCs w:val="18"/>
              </w:rPr>
              <w:t>6000</w:t>
            </w:r>
          </w:p>
        </w:tc>
        <w:tc>
          <w:tcPr>
            <w:tcW w:w="1343" w:type="dxa"/>
            <w:tcBorders>
              <w:top w:val="nil"/>
              <w:left w:val="nil"/>
              <w:bottom w:val="single" w:color="auto" w:sz="4" w:space="0"/>
              <w:right w:val="single" w:color="auto" w:sz="4" w:space="0"/>
            </w:tcBorders>
            <w:shd w:val="clear" w:color="auto" w:fill="auto"/>
            <w:noWrap/>
            <w:vAlign w:val="bottom"/>
          </w:tcPr>
          <w:p w14:paraId="09941924">
            <w:pPr>
              <w:jc w:val="center"/>
              <w:rPr>
                <w:color w:val="000000"/>
                <w:sz w:val="18"/>
                <w:szCs w:val="18"/>
              </w:rPr>
            </w:pPr>
            <w:r>
              <w:rPr>
                <w:color w:val="000000"/>
                <w:sz w:val="18"/>
                <w:szCs w:val="18"/>
              </w:rPr>
              <w:t>R$   16,76</w:t>
            </w:r>
          </w:p>
        </w:tc>
        <w:tc>
          <w:tcPr>
            <w:tcW w:w="1776" w:type="dxa"/>
            <w:tcBorders>
              <w:top w:val="nil"/>
              <w:left w:val="nil"/>
              <w:bottom w:val="single" w:color="auto" w:sz="4" w:space="0"/>
              <w:right w:val="single" w:color="auto" w:sz="4" w:space="0"/>
            </w:tcBorders>
            <w:shd w:val="clear" w:color="auto" w:fill="auto"/>
            <w:noWrap/>
            <w:vAlign w:val="bottom"/>
          </w:tcPr>
          <w:p w14:paraId="2F0C8B3E">
            <w:pPr>
              <w:jc w:val="center"/>
              <w:rPr>
                <w:color w:val="000000"/>
                <w:sz w:val="18"/>
                <w:szCs w:val="18"/>
              </w:rPr>
            </w:pPr>
            <w:r>
              <w:rPr>
                <w:color w:val="000000"/>
                <w:sz w:val="18"/>
                <w:szCs w:val="18"/>
              </w:rPr>
              <w:t>R$   100.560,00</w:t>
            </w:r>
          </w:p>
        </w:tc>
      </w:tr>
      <w:tr w14:paraId="0BB491DF">
        <w:tblPrEx>
          <w:tblCellMar>
            <w:top w:w="0" w:type="dxa"/>
            <w:left w:w="70" w:type="dxa"/>
            <w:bottom w:w="0" w:type="dxa"/>
            <w:right w:w="70" w:type="dxa"/>
          </w:tblCellMar>
        </w:tblPrEx>
        <w:trPr>
          <w:trHeight w:val="70" w:hRule="atLeast"/>
        </w:trPr>
        <w:tc>
          <w:tcPr>
            <w:tcW w:w="851" w:type="dxa"/>
            <w:tcBorders>
              <w:top w:val="nil"/>
              <w:left w:val="single" w:color="auto" w:sz="4" w:space="0"/>
              <w:bottom w:val="single" w:color="auto" w:sz="4" w:space="0"/>
              <w:right w:val="single" w:color="auto" w:sz="4" w:space="0"/>
            </w:tcBorders>
            <w:shd w:val="clear" w:color="auto" w:fill="auto"/>
            <w:noWrap/>
            <w:vAlign w:val="bottom"/>
          </w:tcPr>
          <w:p w14:paraId="747095DB">
            <w:pPr>
              <w:spacing w:line="360" w:lineRule="auto"/>
              <w:jc w:val="center"/>
              <w:rPr>
                <w:color w:val="000000"/>
                <w:sz w:val="18"/>
                <w:szCs w:val="18"/>
              </w:rPr>
            </w:pPr>
            <w:r>
              <w:rPr>
                <w:color w:val="000000"/>
                <w:sz w:val="18"/>
                <w:szCs w:val="18"/>
              </w:rPr>
              <w:t>13</w:t>
            </w:r>
          </w:p>
        </w:tc>
        <w:tc>
          <w:tcPr>
            <w:tcW w:w="4110" w:type="dxa"/>
            <w:tcBorders>
              <w:top w:val="nil"/>
              <w:left w:val="nil"/>
              <w:bottom w:val="single" w:color="auto" w:sz="4" w:space="0"/>
              <w:right w:val="single" w:color="auto" w:sz="4" w:space="0"/>
            </w:tcBorders>
            <w:shd w:val="clear" w:color="auto" w:fill="auto"/>
            <w:vAlign w:val="bottom"/>
          </w:tcPr>
          <w:p w14:paraId="35AB821F">
            <w:pPr>
              <w:jc w:val="both"/>
              <w:rPr>
                <w:color w:val="000000"/>
                <w:sz w:val="18"/>
                <w:szCs w:val="18"/>
              </w:rPr>
            </w:pPr>
            <w:r>
              <w:rPr>
                <w:color w:val="000000"/>
                <w:sz w:val="18"/>
                <w:szCs w:val="18"/>
              </w:rPr>
              <w:t>SHAMPOO INFANTIL PARA USO EM BEBÊ- FRASCO COM 400 ML- PH NEUTRO - PARA TODOS OS TIPOS DE CABELOS - FRAGRÂNCIAS SUAVES - DERMATOLOGICAMENTE TESTADO PARA NÃO IRRITAR A PELE NEM ARDER OS OLHOS DOS BEBES.</w:t>
            </w:r>
          </w:p>
        </w:tc>
        <w:tc>
          <w:tcPr>
            <w:tcW w:w="568" w:type="dxa"/>
            <w:tcBorders>
              <w:top w:val="nil"/>
              <w:left w:val="nil"/>
              <w:bottom w:val="single" w:color="auto" w:sz="4" w:space="0"/>
              <w:right w:val="single" w:color="auto" w:sz="4" w:space="0"/>
            </w:tcBorders>
            <w:shd w:val="clear" w:color="auto" w:fill="auto"/>
            <w:noWrap/>
            <w:vAlign w:val="bottom"/>
          </w:tcPr>
          <w:p w14:paraId="140BA69E">
            <w:pPr>
              <w:jc w:val="center"/>
              <w:rPr>
                <w:color w:val="000000"/>
                <w:sz w:val="18"/>
                <w:szCs w:val="18"/>
              </w:rPr>
            </w:pPr>
            <w:r>
              <w:rPr>
                <w:color w:val="000000"/>
                <w:sz w:val="18"/>
                <w:szCs w:val="18"/>
              </w:rPr>
              <w:t>UND</w:t>
            </w:r>
          </w:p>
        </w:tc>
        <w:tc>
          <w:tcPr>
            <w:tcW w:w="850" w:type="dxa"/>
            <w:tcBorders>
              <w:top w:val="nil"/>
              <w:left w:val="nil"/>
              <w:bottom w:val="single" w:color="auto" w:sz="4" w:space="0"/>
              <w:right w:val="single" w:color="auto" w:sz="4" w:space="0"/>
            </w:tcBorders>
            <w:shd w:val="clear" w:color="auto" w:fill="auto"/>
            <w:noWrap/>
            <w:vAlign w:val="bottom"/>
          </w:tcPr>
          <w:p w14:paraId="1FF1561C">
            <w:pPr>
              <w:jc w:val="center"/>
              <w:rPr>
                <w:color w:val="000000"/>
                <w:sz w:val="18"/>
                <w:szCs w:val="18"/>
              </w:rPr>
            </w:pPr>
            <w:r>
              <w:rPr>
                <w:color w:val="000000"/>
                <w:sz w:val="18"/>
                <w:szCs w:val="18"/>
              </w:rPr>
              <w:t>5000</w:t>
            </w:r>
          </w:p>
        </w:tc>
        <w:tc>
          <w:tcPr>
            <w:tcW w:w="1343" w:type="dxa"/>
            <w:tcBorders>
              <w:top w:val="nil"/>
              <w:left w:val="nil"/>
              <w:bottom w:val="single" w:color="auto" w:sz="4" w:space="0"/>
              <w:right w:val="single" w:color="auto" w:sz="4" w:space="0"/>
            </w:tcBorders>
            <w:shd w:val="clear" w:color="auto" w:fill="auto"/>
            <w:noWrap/>
            <w:vAlign w:val="bottom"/>
          </w:tcPr>
          <w:p w14:paraId="3DC1E564">
            <w:pPr>
              <w:jc w:val="center"/>
              <w:rPr>
                <w:color w:val="000000"/>
                <w:sz w:val="18"/>
                <w:szCs w:val="18"/>
              </w:rPr>
            </w:pPr>
            <w:r>
              <w:rPr>
                <w:color w:val="000000"/>
                <w:sz w:val="18"/>
                <w:szCs w:val="18"/>
              </w:rPr>
              <w:t>R$   18,65</w:t>
            </w:r>
          </w:p>
        </w:tc>
        <w:tc>
          <w:tcPr>
            <w:tcW w:w="1776" w:type="dxa"/>
            <w:tcBorders>
              <w:top w:val="nil"/>
              <w:left w:val="nil"/>
              <w:bottom w:val="single" w:color="auto" w:sz="4" w:space="0"/>
              <w:right w:val="single" w:color="auto" w:sz="4" w:space="0"/>
            </w:tcBorders>
            <w:shd w:val="clear" w:color="auto" w:fill="auto"/>
            <w:noWrap/>
            <w:vAlign w:val="bottom"/>
          </w:tcPr>
          <w:p w14:paraId="2F92B73A">
            <w:pPr>
              <w:jc w:val="center"/>
              <w:rPr>
                <w:color w:val="000000"/>
                <w:sz w:val="18"/>
                <w:szCs w:val="18"/>
              </w:rPr>
            </w:pPr>
            <w:r>
              <w:rPr>
                <w:color w:val="000000"/>
                <w:sz w:val="18"/>
                <w:szCs w:val="18"/>
              </w:rPr>
              <w:t>R$     93.250,00</w:t>
            </w:r>
          </w:p>
        </w:tc>
      </w:tr>
      <w:tr w14:paraId="720FD946">
        <w:tblPrEx>
          <w:tblCellMar>
            <w:top w:w="0" w:type="dxa"/>
            <w:left w:w="70" w:type="dxa"/>
            <w:bottom w:w="0" w:type="dxa"/>
            <w:right w:w="70" w:type="dxa"/>
          </w:tblCellMar>
        </w:tblPrEx>
        <w:trPr>
          <w:trHeight w:val="70" w:hRule="atLeast"/>
        </w:trPr>
        <w:tc>
          <w:tcPr>
            <w:tcW w:w="7722" w:type="dxa"/>
            <w:gridSpan w:val="5"/>
            <w:tcBorders>
              <w:top w:val="nil"/>
              <w:left w:val="single" w:color="auto" w:sz="4" w:space="0"/>
              <w:bottom w:val="single" w:color="auto" w:sz="4" w:space="0"/>
              <w:right w:val="single" w:color="auto" w:sz="4" w:space="0"/>
            </w:tcBorders>
            <w:shd w:val="clear" w:color="auto" w:fill="auto"/>
            <w:noWrap/>
            <w:vAlign w:val="bottom"/>
          </w:tcPr>
          <w:p w14:paraId="5F1CE6EC">
            <w:pPr>
              <w:jc w:val="center"/>
              <w:rPr>
                <w:color w:val="000000"/>
                <w:sz w:val="18"/>
                <w:szCs w:val="18"/>
              </w:rPr>
            </w:pPr>
          </w:p>
          <w:p w14:paraId="49F9CB82">
            <w:pPr>
              <w:jc w:val="center"/>
              <w:rPr>
                <w:color w:val="000000"/>
                <w:sz w:val="18"/>
                <w:szCs w:val="18"/>
              </w:rPr>
            </w:pPr>
            <w:r>
              <w:rPr>
                <w:color w:val="000000"/>
                <w:sz w:val="18"/>
                <w:szCs w:val="18"/>
              </w:rPr>
              <w:t>VALOR</w:t>
            </w:r>
          </w:p>
        </w:tc>
        <w:tc>
          <w:tcPr>
            <w:tcW w:w="1776" w:type="dxa"/>
            <w:tcBorders>
              <w:top w:val="nil"/>
              <w:left w:val="nil"/>
              <w:bottom w:val="single" w:color="auto" w:sz="4" w:space="0"/>
              <w:right w:val="single" w:color="auto" w:sz="4" w:space="0"/>
            </w:tcBorders>
            <w:shd w:val="clear" w:color="auto" w:fill="auto"/>
            <w:noWrap/>
            <w:vAlign w:val="bottom"/>
          </w:tcPr>
          <w:p w14:paraId="12F853D3">
            <w:pPr>
              <w:jc w:val="center"/>
              <w:rPr>
                <w:color w:val="000000"/>
                <w:sz w:val="18"/>
                <w:szCs w:val="18"/>
              </w:rPr>
            </w:pPr>
            <w:r>
              <w:rPr>
                <w:color w:val="000000"/>
                <w:sz w:val="18"/>
                <w:szCs w:val="18"/>
              </w:rPr>
              <w:t>R$ 409.132,00</w:t>
            </w:r>
          </w:p>
        </w:tc>
      </w:tr>
    </w:tbl>
    <w:p w14:paraId="26E183A4">
      <w:pPr>
        <w:pBdr>
          <w:top w:val="none" w:color="auto" w:sz="0" w:space="0"/>
          <w:left w:val="none" w:color="auto" w:sz="0" w:space="0"/>
          <w:bottom w:val="none" w:color="auto" w:sz="0" w:space="0"/>
          <w:right w:val="none" w:color="auto" w:sz="0" w:space="0"/>
          <w:between w:val="none" w:color="auto" w:sz="0" w:space="0"/>
        </w:pBdr>
        <w:spacing w:line="360" w:lineRule="auto"/>
        <w:jc w:val="both"/>
      </w:pPr>
    </w:p>
    <w:p w14:paraId="369C5E0C">
      <w:pPr>
        <w:pBdr>
          <w:top w:val="none" w:color="auto" w:sz="0" w:space="0"/>
          <w:left w:val="none" w:color="auto" w:sz="0" w:space="0"/>
          <w:bottom w:val="none" w:color="auto" w:sz="0" w:space="0"/>
          <w:right w:val="none" w:color="auto" w:sz="0" w:space="0"/>
          <w:between w:val="none" w:color="auto" w:sz="0" w:space="0"/>
        </w:pBdr>
        <w:spacing w:line="360" w:lineRule="auto"/>
        <w:jc w:val="both"/>
      </w:pPr>
    </w:p>
    <w:p w14:paraId="4B903FDE">
      <w:pPr>
        <w:pBdr>
          <w:top w:val="none" w:color="auto" w:sz="0" w:space="0"/>
          <w:left w:val="none" w:color="auto" w:sz="0" w:space="0"/>
          <w:bottom w:val="none" w:color="auto" w:sz="0" w:space="0"/>
          <w:right w:val="none" w:color="auto" w:sz="0" w:space="0"/>
          <w:between w:val="none" w:color="auto" w:sz="0" w:space="0"/>
        </w:pBdr>
        <w:spacing w:line="360" w:lineRule="auto"/>
        <w:jc w:val="both"/>
      </w:pPr>
    </w:p>
    <w:p w14:paraId="7CB92C1D">
      <w:pPr>
        <w:pBdr>
          <w:top w:val="none" w:color="auto" w:sz="0" w:space="0"/>
          <w:left w:val="none" w:color="auto" w:sz="0" w:space="0"/>
          <w:bottom w:val="none" w:color="auto" w:sz="0" w:space="0"/>
          <w:right w:val="none" w:color="auto" w:sz="0" w:space="0"/>
          <w:between w:val="none" w:color="auto" w:sz="0" w:space="0"/>
        </w:pBdr>
        <w:spacing w:line="360" w:lineRule="auto"/>
        <w:jc w:val="both"/>
      </w:pPr>
    </w:p>
    <w:p w14:paraId="0F6B6A7D">
      <w:pPr>
        <w:pBdr>
          <w:top w:val="none" w:color="auto" w:sz="0" w:space="0"/>
          <w:left w:val="none" w:color="auto" w:sz="0" w:space="0"/>
          <w:bottom w:val="none" w:color="auto" w:sz="0" w:space="0"/>
          <w:right w:val="none" w:color="auto" w:sz="0" w:space="0"/>
          <w:between w:val="none" w:color="auto" w:sz="0" w:space="0"/>
        </w:pBdr>
        <w:spacing w:line="360" w:lineRule="auto"/>
        <w:jc w:val="both"/>
      </w:pPr>
    </w:p>
    <w:p w14:paraId="23C84941">
      <w:pPr>
        <w:pBdr>
          <w:top w:val="none" w:color="auto" w:sz="0" w:space="0"/>
          <w:left w:val="none" w:color="auto" w:sz="0" w:space="0"/>
          <w:bottom w:val="none" w:color="auto" w:sz="0" w:space="0"/>
          <w:right w:val="none" w:color="auto" w:sz="0" w:space="0"/>
          <w:between w:val="none" w:color="auto" w:sz="0" w:space="0"/>
        </w:pBdr>
        <w:spacing w:line="360" w:lineRule="auto"/>
        <w:jc w:val="both"/>
      </w:pPr>
    </w:p>
    <w:p w14:paraId="7B24E092">
      <w:pPr>
        <w:pBdr>
          <w:top w:val="none" w:color="auto" w:sz="0" w:space="0"/>
          <w:left w:val="none" w:color="auto" w:sz="0" w:space="0"/>
          <w:bottom w:val="none" w:color="auto" w:sz="0" w:space="0"/>
          <w:right w:val="none" w:color="auto" w:sz="0" w:space="0"/>
          <w:between w:val="none" w:color="auto" w:sz="0" w:space="0"/>
        </w:pBdr>
        <w:spacing w:line="360" w:lineRule="auto"/>
        <w:jc w:val="both"/>
      </w:pPr>
    </w:p>
    <w:p w14:paraId="291E8C40">
      <w:pPr>
        <w:pBdr>
          <w:top w:val="none" w:color="auto" w:sz="0" w:space="0"/>
          <w:left w:val="none" w:color="auto" w:sz="0" w:space="0"/>
          <w:bottom w:val="none" w:color="auto" w:sz="0" w:space="0"/>
          <w:right w:val="none" w:color="auto" w:sz="0" w:space="0"/>
          <w:between w:val="none" w:color="auto" w:sz="0" w:space="0"/>
        </w:pBdr>
        <w:spacing w:line="360" w:lineRule="auto"/>
        <w:jc w:val="both"/>
      </w:pPr>
    </w:p>
    <w:p w14:paraId="1A6147D1">
      <w:pPr>
        <w:pBdr>
          <w:top w:val="none" w:color="auto" w:sz="0" w:space="0"/>
          <w:left w:val="none" w:color="auto" w:sz="0" w:space="0"/>
          <w:bottom w:val="none" w:color="auto" w:sz="0" w:space="0"/>
          <w:right w:val="none" w:color="auto" w:sz="0" w:space="0"/>
          <w:between w:val="none" w:color="auto" w:sz="0" w:space="0"/>
        </w:pBdr>
        <w:spacing w:line="360" w:lineRule="auto"/>
        <w:jc w:val="both"/>
      </w:pPr>
    </w:p>
    <w:p w14:paraId="138D207C">
      <w:pPr>
        <w:pBdr>
          <w:top w:val="single" w:color="auto" w:sz="4" w:space="1"/>
          <w:left w:val="single" w:color="auto" w:sz="4" w:space="4"/>
          <w:bottom w:val="single" w:color="auto" w:sz="4" w:space="1"/>
          <w:right w:val="single" w:color="auto" w:sz="4" w:space="21"/>
          <w:between w:val="single" w:color="auto" w:sz="4" w:space="1"/>
        </w:pBdr>
        <w:spacing w:line="360" w:lineRule="auto"/>
        <w:jc w:val="center"/>
        <w:rPr>
          <w:b/>
        </w:rPr>
      </w:pPr>
      <w:r>
        <w:rPr>
          <w:b/>
        </w:rPr>
        <w:t>LOTE 2</w:t>
      </w:r>
    </w:p>
    <w:tbl>
      <w:tblPr>
        <w:tblStyle w:val="9"/>
        <w:tblW w:w="9001" w:type="dxa"/>
        <w:tblInd w:w="0" w:type="dxa"/>
        <w:tblLayout w:type="autofit"/>
        <w:tblCellMar>
          <w:top w:w="0" w:type="dxa"/>
          <w:left w:w="70" w:type="dxa"/>
          <w:bottom w:w="0" w:type="dxa"/>
          <w:right w:w="70" w:type="dxa"/>
        </w:tblCellMar>
      </w:tblPr>
      <w:tblGrid>
        <w:gridCol w:w="704"/>
        <w:gridCol w:w="3760"/>
        <w:gridCol w:w="568"/>
        <w:gridCol w:w="646"/>
        <w:gridCol w:w="1547"/>
        <w:gridCol w:w="1776"/>
      </w:tblGrid>
      <w:tr w14:paraId="13F1B907">
        <w:tblPrEx>
          <w:tblCellMar>
            <w:top w:w="0" w:type="dxa"/>
            <w:left w:w="70" w:type="dxa"/>
            <w:bottom w:w="0" w:type="dxa"/>
            <w:right w:w="70" w:type="dxa"/>
          </w:tblCellMar>
        </w:tblPrEx>
        <w:trPr>
          <w:trHeight w:val="300"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7E258D3">
            <w:pPr>
              <w:spacing w:line="360" w:lineRule="auto"/>
              <w:jc w:val="center"/>
              <w:rPr>
                <w:b/>
                <w:bCs/>
                <w:color w:val="000000"/>
                <w:sz w:val="18"/>
                <w:szCs w:val="18"/>
              </w:rPr>
            </w:pPr>
            <w:r>
              <w:rPr>
                <w:b/>
                <w:bCs/>
                <w:color w:val="000000"/>
                <w:sz w:val="18"/>
                <w:szCs w:val="18"/>
              </w:rPr>
              <w:t>ITEM</w:t>
            </w:r>
          </w:p>
        </w:tc>
        <w:tc>
          <w:tcPr>
            <w:tcW w:w="3760" w:type="dxa"/>
            <w:tcBorders>
              <w:top w:val="single" w:color="auto" w:sz="4" w:space="0"/>
              <w:left w:val="nil"/>
              <w:bottom w:val="single" w:color="auto" w:sz="4" w:space="0"/>
              <w:right w:val="single" w:color="auto" w:sz="4" w:space="0"/>
            </w:tcBorders>
            <w:shd w:val="clear" w:color="auto" w:fill="auto"/>
            <w:noWrap/>
            <w:vAlign w:val="bottom"/>
          </w:tcPr>
          <w:p w14:paraId="0BD7BD28">
            <w:pPr>
              <w:spacing w:line="360" w:lineRule="auto"/>
              <w:jc w:val="center"/>
              <w:rPr>
                <w:b/>
                <w:bCs/>
                <w:color w:val="000000"/>
                <w:sz w:val="18"/>
                <w:szCs w:val="18"/>
              </w:rPr>
            </w:pPr>
            <w:r>
              <w:rPr>
                <w:b/>
                <w:bCs/>
                <w:color w:val="000000"/>
                <w:sz w:val="18"/>
                <w:szCs w:val="18"/>
              </w:rPr>
              <w:t>ESPECIFICAÇÃO</w:t>
            </w:r>
          </w:p>
        </w:tc>
        <w:tc>
          <w:tcPr>
            <w:tcW w:w="568" w:type="dxa"/>
            <w:tcBorders>
              <w:top w:val="single" w:color="auto" w:sz="4" w:space="0"/>
              <w:left w:val="nil"/>
              <w:bottom w:val="single" w:color="auto" w:sz="4" w:space="0"/>
              <w:right w:val="single" w:color="auto" w:sz="4" w:space="0"/>
            </w:tcBorders>
            <w:shd w:val="clear" w:color="auto" w:fill="auto"/>
            <w:noWrap/>
            <w:vAlign w:val="bottom"/>
          </w:tcPr>
          <w:p w14:paraId="1D96696D">
            <w:pPr>
              <w:spacing w:line="360" w:lineRule="auto"/>
              <w:jc w:val="center"/>
              <w:rPr>
                <w:b/>
                <w:bCs/>
                <w:color w:val="000000"/>
                <w:sz w:val="18"/>
                <w:szCs w:val="18"/>
              </w:rPr>
            </w:pPr>
            <w:r>
              <w:rPr>
                <w:b/>
                <w:bCs/>
                <w:color w:val="000000"/>
                <w:sz w:val="18"/>
                <w:szCs w:val="18"/>
              </w:rPr>
              <w:t>UND</w:t>
            </w:r>
          </w:p>
        </w:tc>
        <w:tc>
          <w:tcPr>
            <w:tcW w:w="646" w:type="dxa"/>
            <w:tcBorders>
              <w:top w:val="single" w:color="auto" w:sz="4" w:space="0"/>
              <w:left w:val="nil"/>
              <w:bottom w:val="single" w:color="auto" w:sz="4" w:space="0"/>
              <w:right w:val="single" w:color="auto" w:sz="4" w:space="0"/>
            </w:tcBorders>
            <w:shd w:val="clear" w:color="auto" w:fill="auto"/>
            <w:noWrap/>
            <w:vAlign w:val="bottom"/>
          </w:tcPr>
          <w:p w14:paraId="132A7875">
            <w:pPr>
              <w:spacing w:line="360" w:lineRule="auto"/>
              <w:jc w:val="center"/>
              <w:rPr>
                <w:b/>
                <w:bCs/>
                <w:color w:val="000000"/>
                <w:sz w:val="18"/>
                <w:szCs w:val="18"/>
              </w:rPr>
            </w:pPr>
            <w:r>
              <w:rPr>
                <w:b/>
                <w:bCs/>
                <w:color w:val="000000"/>
                <w:sz w:val="18"/>
                <w:szCs w:val="18"/>
              </w:rPr>
              <w:t>QTDE</w:t>
            </w:r>
          </w:p>
        </w:tc>
        <w:tc>
          <w:tcPr>
            <w:tcW w:w="1547" w:type="dxa"/>
            <w:tcBorders>
              <w:top w:val="single" w:color="auto" w:sz="4" w:space="0"/>
              <w:left w:val="nil"/>
              <w:bottom w:val="single" w:color="auto" w:sz="4" w:space="0"/>
              <w:right w:val="single" w:color="auto" w:sz="4" w:space="0"/>
            </w:tcBorders>
            <w:shd w:val="clear" w:color="auto" w:fill="auto"/>
            <w:noWrap/>
            <w:vAlign w:val="bottom"/>
          </w:tcPr>
          <w:p w14:paraId="3DFD0435">
            <w:pPr>
              <w:spacing w:line="360" w:lineRule="auto"/>
              <w:jc w:val="center"/>
              <w:rPr>
                <w:b/>
                <w:bCs/>
                <w:color w:val="000000"/>
                <w:sz w:val="18"/>
                <w:szCs w:val="18"/>
              </w:rPr>
            </w:pPr>
            <w:r>
              <w:rPr>
                <w:b/>
                <w:bCs/>
                <w:color w:val="000000"/>
                <w:sz w:val="18"/>
                <w:szCs w:val="18"/>
              </w:rPr>
              <w:t>VALOR UNIT</w:t>
            </w:r>
          </w:p>
        </w:tc>
        <w:tc>
          <w:tcPr>
            <w:tcW w:w="1776" w:type="dxa"/>
            <w:tcBorders>
              <w:top w:val="single" w:color="auto" w:sz="4" w:space="0"/>
              <w:left w:val="nil"/>
              <w:bottom w:val="single" w:color="auto" w:sz="4" w:space="0"/>
              <w:right w:val="single" w:color="auto" w:sz="4" w:space="0"/>
            </w:tcBorders>
            <w:shd w:val="clear" w:color="auto" w:fill="auto"/>
            <w:noWrap/>
            <w:vAlign w:val="bottom"/>
          </w:tcPr>
          <w:p w14:paraId="697926DA">
            <w:pPr>
              <w:spacing w:line="360" w:lineRule="auto"/>
              <w:jc w:val="center"/>
              <w:rPr>
                <w:b/>
                <w:bCs/>
                <w:color w:val="000000"/>
                <w:sz w:val="18"/>
                <w:szCs w:val="18"/>
              </w:rPr>
            </w:pPr>
            <w:r>
              <w:rPr>
                <w:b/>
                <w:bCs/>
                <w:color w:val="000000"/>
                <w:sz w:val="18"/>
                <w:szCs w:val="18"/>
              </w:rPr>
              <w:t>VALOR TOTAL</w:t>
            </w:r>
          </w:p>
        </w:tc>
      </w:tr>
      <w:tr w14:paraId="7D98D7D1">
        <w:tblPrEx>
          <w:tblCellMar>
            <w:top w:w="0" w:type="dxa"/>
            <w:left w:w="70" w:type="dxa"/>
            <w:bottom w:w="0" w:type="dxa"/>
            <w:right w:w="70" w:type="dxa"/>
          </w:tblCellMar>
        </w:tblPrEx>
        <w:trPr>
          <w:trHeight w:val="300"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AB39CA">
            <w:pPr>
              <w:spacing w:line="360" w:lineRule="auto"/>
              <w:jc w:val="center"/>
              <w:rPr>
                <w:b/>
                <w:bCs/>
                <w:color w:val="000000"/>
                <w:sz w:val="18"/>
                <w:szCs w:val="18"/>
              </w:rPr>
            </w:pPr>
            <w:r>
              <w:rPr>
                <w:b/>
                <w:bCs/>
                <w:color w:val="000000"/>
                <w:sz w:val="18"/>
                <w:szCs w:val="18"/>
              </w:rPr>
              <w:t>1</w:t>
            </w:r>
          </w:p>
        </w:tc>
        <w:tc>
          <w:tcPr>
            <w:tcW w:w="3760" w:type="dxa"/>
            <w:tcBorders>
              <w:top w:val="single" w:color="auto" w:sz="4" w:space="0"/>
              <w:left w:val="nil"/>
              <w:bottom w:val="single" w:color="auto" w:sz="4" w:space="0"/>
              <w:right w:val="single" w:color="auto" w:sz="4" w:space="0"/>
            </w:tcBorders>
            <w:shd w:val="clear" w:color="auto" w:fill="auto"/>
            <w:noWrap/>
            <w:vAlign w:val="bottom"/>
          </w:tcPr>
          <w:p w14:paraId="35749CA6">
            <w:pPr>
              <w:jc w:val="both"/>
              <w:rPr>
                <w:color w:val="000000"/>
                <w:sz w:val="18"/>
                <w:szCs w:val="18"/>
              </w:rPr>
            </w:pPr>
            <w:r>
              <w:rPr>
                <w:color w:val="000000"/>
                <w:sz w:val="18"/>
                <w:szCs w:val="18"/>
              </w:rPr>
              <w:t>FRALDA DESCARTAVEL INFANTIL - TAMANHO G, PARA CRIANÇAS DE 10 A 13 KG. COM BARREIRAS ANTIVAZAMENTO, CAMADA ANTIRRETORNO, FITAS ADESIVAS COM ADESIVOS TERMOPLÁSTICOS, ELÁSTICOS NAS LATERAIS, TER O SELO DO INMETRO. EMBALAGEM COM 28 UNIDADE.</w:t>
            </w:r>
          </w:p>
        </w:tc>
        <w:tc>
          <w:tcPr>
            <w:tcW w:w="568" w:type="dxa"/>
            <w:tcBorders>
              <w:top w:val="single" w:color="auto" w:sz="4" w:space="0"/>
              <w:left w:val="nil"/>
              <w:bottom w:val="single" w:color="auto" w:sz="4" w:space="0"/>
              <w:right w:val="single" w:color="auto" w:sz="4" w:space="0"/>
            </w:tcBorders>
            <w:shd w:val="clear" w:color="auto" w:fill="auto"/>
            <w:noWrap/>
            <w:vAlign w:val="bottom"/>
          </w:tcPr>
          <w:p w14:paraId="14F96B10">
            <w:pPr>
              <w:jc w:val="center"/>
              <w:rPr>
                <w:color w:val="000000"/>
                <w:sz w:val="18"/>
                <w:szCs w:val="18"/>
              </w:rPr>
            </w:pPr>
            <w:r>
              <w:rPr>
                <w:color w:val="000000"/>
                <w:sz w:val="18"/>
                <w:szCs w:val="18"/>
              </w:rPr>
              <w:t>PCT</w:t>
            </w:r>
          </w:p>
        </w:tc>
        <w:tc>
          <w:tcPr>
            <w:tcW w:w="646" w:type="dxa"/>
            <w:tcBorders>
              <w:top w:val="single" w:color="auto" w:sz="4" w:space="0"/>
              <w:left w:val="nil"/>
              <w:bottom w:val="single" w:color="auto" w:sz="4" w:space="0"/>
              <w:right w:val="single" w:color="auto" w:sz="4" w:space="0"/>
            </w:tcBorders>
            <w:shd w:val="clear" w:color="auto" w:fill="auto"/>
            <w:noWrap/>
            <w:vAlign w:val="bottom"/>
          </w:tcPr>
          <w:p w14:paraId="44E6B466">
            <w:pPr>
              <w:jc w:val="center"/>
              <w:rPr>
                <w:color w:val="000000"/>
                <w:sz w:val="18"/>
                <w:szCs w:val="18"/>
              </w:rPr>
            </w:pPr>
            <w:r>
              <w:rPr>
                <w:color w:val="000000"/>
                <w:sz w:val="18"/>
                <w:szCs w:val="18"/>
              </w:rPr>
              <w:t>2000</w:t>
            </w:r>
          </w:p>
        </w:tc>
        <w:tc>
          <w:tcPr>
            <w:tcW w:w="1547" w:type="dxa"/>
            <w:tcBorders>
              <w:top w:val="single" w:color="auto" w:sz="4" w:space="0"/>
              <w:left w:val="nil"/>
              <w:bottom w:val="single" w:color="auto" w:sz="4" w:space="0"/>
              <w:right w:val="single" w:color="auto" w:sz="4" w:space="0"/>
            </w:tcBorders>
            <w:shd w:val="clear" w:color="auto" w:fill="auto"/>
            <w:noWrap/>
            <w:vAlign w:val="bottom"/>
          </w:tcPr>
          <w:p w14:paraId="1A7BCFFF">
            <w:pPr>
              <w:jc w:val="center"/>
              <w:rPr>
                <w:color w:val="000000"/>
                <w:sz w:val="18"/>
                <w:szCs w:val="18"/>
              </w:rPr>
            </w:pPr>
            <w:r>
              <w:rPr>
                <w:color w:val="000000"/>
                <w:sz w:val="18"/>
                <w:szCs w:val="18"/>
              </w:rPr>
              <w:t>R$   54,39</w:t>
            </w:r>
          </w:p>
        </w:tc>
        <w:tc>
          <w:tcPr>
            <w:tcW w:w="1776" w:type="dxa"/>
            <w:tcBorders>
              <w:top w:val="single" w:color="auto" w:sz="4" w:space="0"/>
              <w:left w:val="nil"/>
              <w:bottom w:val="single" w:color="auto" w:sz="4" w:space="0"/>
              <w:right w:val="single" w:color="auto" w:sz="4" w:space="0"/>
            </w:tcBorders>
            <w:shd w:val="clear" w:color="auto" w:fill="auto"/>
            <w:noWrap/>
            <w:vAlign w:val="bottom"/>
          </w:tcPr>
          <w:p w14:paraId="537BBE80">
            <w:pPr>
              <w:jc w:val="center"/>
              <w:rPr>
                <w:color w:val="000000"/>
                <w:sz w:val="18"/>
                <w:szCs w:val="18"/>
              </w:rPr>
            </w:pPr>
            <w:r>
              <w:rPr>
                <w:color w:val="000000"/>
                <w:sz w:val="18"/>
                <w:szCs w:val="18"/>
              </w:rPr>
              <w:t>R$   108.780,00</w:t>
            </w:r>
          </w:p>
        </w:tc>
      </w:tr>
      <w:tr w14:paraId="6C8B60BE">
        <w:tblPrEx>
          <w:tblCellMar>
            <w:top w:w="0" w:type="dxa"/>
            <w:left w:w="70" w:type="dxa"/>
            <w:bottom w:w="0" w:type="dxa"/>
            <w:right w:w="70" w:type="dxa"/>
          </w:tblCellMar>
        </w:tblPrEx>
        <w:trPr>
          <w:trHeight w:val="186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4042C4">
            <w:pPr>
              <w:spacing w:line="360" w:lineRule="auto"/>
              <w:jc w:val="center"/>
              <w:rPr>
                <w:b/>
                <w:bCs/>
                <w:color w:val="000000"/>
                <w:sz w:val="18"/>
                <w:szCs w:val="18"/>
              </w:rPr>
            </w:pPr>
            <w:r>
              <w:rPr>
                <w:b/>
                <w:bCs/>
                <w:color w:val="000000"/>
                <w:sz w:val="18"/>
                <w:szCs w:val="18"/>
              </w:rPr>
              <w:t>2</w:t>
            </w:r>
          </w:p>
        </w:tc>
        <w:tc>
          <w:tcPr>
            <w:tcW w:w="3760" w:type="dxa"/>
            <w:tcBorders>
              <w:top w:val="single" w:color="auto" w:sz="4" w:space="0"/>
              <w:left w:val="nil"/>
              <w:bottom w:val="single" w:color="auto" w:sz="4" w:space="0"/>
              <w:right w:val="single" w:color="auto" w:sz="4" w:space="0"/>
            </w:tcBorders>
            <w:shd w:val="clear" w:color="auto" w:fill="auto"/>
            <w:noWrap/>
            <w:vAlign w:val="bottom"/>
          </w:tcPr>
          <w:p w14:paraId="1615BB17">
            <w:pPr>
              <w:jc w:val="both"/>
              <w:rPr>
                <w:color w:val="000000"/>
                <w:sz w:val="18"/>
                <w:szCs w:val="18"/>
              </w:rPr>
            </w:pPr>
            <w:r>
              <w:rPr>
                <w:color w:val="000000"/>
                <w:sz w:val="18"/>
                <w:szCs w:val="18"/>
              </w:rPr>
              <w:t>FRALDA DESCARTÁVEL INFANTIL - TAMANHO GG, PARA CRIANÇAS COM 14KG OU MAIS. COM BARREIRAS ANTIVAZAMENTO, CAMADA ANTIRRETORNO, FITAS ADESIVAS COM ADESIVOS TERMOPLÁSTICOS, ELÁSTICOS NAS LATERAIS, TER O SELO DO INMETRO. EMBALAGEM COM 24 UNIDADE.</w:t>
            </w:r>
          </w:p>
        </w:tc>
        <w:tc>
          <w:tcPr>
            <w:tcW w:w="568" w:type="dxa"/>
            <w:tcBorders>
              <w:top w:val="single" w:color="auto" w:sz="4" w:space="0"/>
              <w:left w:val="nil"/>
              <w:bottom w:val="single" w:color="auto" w:sz="4" w:space="0"/>
              <w:right w:val="single" w:color="auto" w:sz="4" w:space="0"/>
            </w:tcBorders>
            <w:shd w:val="clear" w:color="auto" w:fill="auto"/>
            <w:noWrap/>
            <w:vAlign w:val="bottom"/>
          </w:tcPr>
          <w:p w14:paraId="1B5C8A71">
            <w:pPr>
              <w:jc w:val="center"/>
              <w:rPr>
                <w:color w:val="000000"/>
                <w:sz w:val="18"/>
                <w:szCs w:val="18"/>
              </w:rPr>
            </w:pPr>
            <w:r>
              <w:rPr>
                <w:color w:val="000000"/>
                <w:sz w:val="18"/>
                <w:szCs w:val="18"/>
              </w:rPr>
              <w:t>PCT</w:t>
            </w:r>
          </w:p>
        </w:tc>
        <w:tc>
          <w:tcPr>
            <w:tcW w:w="646" w:type="dxa"/>
            <w:tcBorders>
              <w:top w:val="single" w:color="auto" w:sz="4" w:space="0"/>
              <w:left w:val="nil"/>
              <w:bottom w:val="single" w:color="auto" w:sz="4" w:space="0"/>
              <w:right w:val="single" w:color="auto" w:sz="4" w:space="0"/>
            </w:tcBorders>
            <w:shd w:val="clear" w:color="auto" w:fill="auto"/>
            <w:noWrap/>
            <w:vAlign w:val="bottom"/>
          </w:tcPr>
          <w:p w14:paraId="448DCF07">
            <w:pPr>
              <w:jc w:val="center"/>
              <w:rPr>
                <w:color w:val="000000"/>
                <w:sz w:val="18"/>
                <w:szCs w:val="18"/>
              </w:rPr>
            </w:pPr>
            <w:r>
              <w:rPr>
                <w:color w:val="000000"/>
                <w:sz w:val="18"/>
                <w:szCs w:val="18"/>
              </w:rPr>
              <w:t>3000</w:t>
            </w:r>
          </w:p>
        </w:tc>
        <w:tc>
          <w:tcPr>
            <w:tcW w:w="1547" w:type="dxa"/>
            <w:tcBorders>
              <w:top w:val="single" w:color="auto" w:sz="4" w:space="0"/>
              <w:left w:val="nil"/>
              <w:bottom w:val="single" w:color="auto" w:sz="4" w:space="0"/>
              <w:right w:val="single" w:color="auto" w:sz="4" w:space="0"/>
            </w:tcBorders>
            <w:shd w:val="clear" w:color="auto" w:fill="auto"/>
            <w:noWrap/>
            <w:vAlign w:val="bottom"/>
          </w:tcPr>
          <w:p w14:paraId="288E6EA9">
            <w:pPr>
              <w:jc w:val="center"/>
              <w:rPr>
                <w:color w:val="000000"/>
                <w:sz w:val="18"/>
                <w:szCs w:val="18"/>
              </w:rPr>
            </w:pPr>
            <w:r>
              <w:rPr>
                <w:color w:val="000000"/>
                <w:sz w:val="18"/>
                <w:szCs w:val="18"/>
              </w:rPr>
              <w:t>R$   57,69</w:t>
            </w:r>
          </w:p>
        </w:tc>
        <w:tc>
          <w:tcPr>
            <w:tcW w:w="1776" w:type="dxa"/>
            <w:tcBorders>
              <w:top w:val="single" w:color="auto" w:sz="4" w:space="0"/>
              <w:left w:val="nil"/>
              <w:bottom w:val="single" w:color="auto" w:sz="4" w:space="0"/>
              <w:right w:val="single" w:color="auto" w:sz="4" w:space="0"/>
            </w:tcBorders>
            <w:shd w:val="clear" w:color="auto" w:fill="auto"/>
            <w:noWrap/>
            <w:vAlign w:val="bottom"/>
          </w:tcPr>
          <w:p w14:paraId="00B8A122">
            <w:pPr>
              <w:jc w:val="center"/>
              <w:rPr>
                <w:color w:val="000000"/>
                <w:sz w:val="18"/>
                <w:szCs w:val="18"/>
              </w:rPr>
            </w:pPr>
            <w:r>
              <w:rPr>
                <w:color w:val="000000"/>
                <w:sz w:val="18"/>
                <w:szCs w:val="18"/>
              </w:rPr>
              <w:t>R$   173.070,00</w:t>
            </w:r>
          </w:p>
        </w:tc>
      </w:tr>
      <w:tr w14:paraId="441221C3">
        <w:tblPrEx>
          <w:tblCellMar>
            <w:top w:w="0" w:type="dxa"/>
            <w:left w:w="70" w:type="dxa"/>
            <w:bottom w:w="0" w:type="dxa"/>
            <w:right w:w="70" w:type="dxa"/>
          </w:tblCellMar>
        </w:tblPrEx>
        <w:trPr>
          <w:trHeight w:val="348" w:hRule="atLeast"/>
        </w:trPr>
        <w:tc>
          <w:tcPr>
            <w:tcW w:w="7225"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14:paraId="3D42387D">
            <w:pPr>
              <w:jc w:val="center"/>
              <w:rPr>
                <w:color w:val="000000"/>
                <w:sz w:val="18"/>
                <w:szCs w:val="18"/>
              </w:rPr>
            </w:pPr>
            <w:r>
              <w:rPr>
                <w:color w:val="000000"/>
                <w:sz w:val="18"/>
                <w:szCs w:val="18"/>
              </w:rPr>
              <w:t>VALOR</w:t>
            </w:r>
          </w:p>
        </w:tc>
        <w:tc>
          <w:tcPr>
            <w:tcW w:w="1776" w:type="dxa"/>
            <w:tcBorders>
              <w:top w:val="single" w:color="auto" w:sz="4" w:space="0"/>
              <w:left w:val="nil"/>
              <w:bottom w:val="single" w:color="auto" w:sz="4" w:space="0"/>
              <w:right w:val="single" w:color="auto" w:sz="4" w:space="0"/>
            </w:tcBorders>
            <w:shd w:val="clear" w:color="auto" w:fill="auto"/>
            <w:noWrap/>
            <w:vAlign w:val="bottom"/>
          </w:tcPr>
          <w:p w14:paraId="3BE1EE25">
            <w:pPr>
              <w:jc w:val="center"/>
              <w:rPr>
                <w:color w:val="000000"/>
                <w:sz w:val="18"/>
                <w:szCs w:val="18"/>
              </w:rPr>
            </w:pPr>
          </w:p>
          <w:p w14:paraId="1DA6437B">
            <w:pPr>
              <w:jc w:val="center"/>
              <w:rPr>
                <w:color w:val="000000"/>
                <w:sz w:val="18"/>
                <w:szCs w:val="18"/>
              </w:rPr>
            </w:pPr>
            <w:r>
              <w:rPr>
                <w:color w:val="000000"/>
                <w:sz w:val="18"/>
                <w:szCs w:val="18"/>
              </w:rPr>
              <w:t>R$ 281.850,00</w:t>
            </w:r>
          </w:p>
          <w:p w14:paraId="51B8BFD0">
            <w:pPr>
              <w:jc w:val="center"/>
              <w:rPr>
                <w:color w:val="000000"/>
                <w:sz w:val="18"/>
                <w:szCs w:val="18"/>
              </w:rPr>
            </w:pPr>
          </w:p>
        </w:tc>
      </w:tr>
    </w:tbl>
    <w:p w14:paraId="15B04E9A">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p w14:paraId="0AE84F2E">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p w14:paraId="0EC7B803">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r>
        <w:rPr>
          <w:color w:val="000000"/>
        </w:rPr>
        <w:t xml:space="preserve">O custo estimado total da contratação é de </w:t>
      </w:r>
      <w:r>
        <w:t xml:space="preserve">R$ 690.982,00 </w:t>
      </w:r>
      <w:r>
        <w:rPr>
          <w:color w:val="000000"/>
        </w:rPr>
        <w:t>(seiscentos e noventa mil novecentos e oitenta e dois reais), conforme pesquisa de preço anexa.</w:t>
      </w:r>
    </w:p>
    <w:p w14:paraId="0B5BE240">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p>
    <w:p w14:paraId="2FAB469B">
      <w:pPr>
        <w:spacing w:line="360" w:lineRule="auto"/>
        <w:ind w:left="-567" w:right="-568"/>
        <w:jc w:val="both"/>
      </w:pPr>
      <w:r>
        <w:rPr>
          <w:color w:val="000000"/>
        </w:rPr>
        <w:t xml:space="preserve">Para definição do quantitativo, as mesmas foram </w:t>
      </w:r>
      <w:r>
        <w:t xml:space="preserve">estimadas com base no levantamento feito junto às Creches da Rede Municipal de Ensino e também, considerando-se ainda, as informações de consumos anteriores para a média a ser utilizada pela Secretaria Municipal de Educação, </w:t>
      </w:r>
      <w:r>
        <w:rPr>
          <w:color w:val="000000"/>
        </w:rPr>
        <w:t xml:space="preserve">bem como fora ponderado a possibilidade de uma margem prudente de aumento de quantitativo em razão da expansão dos serviços públicos prestados, </w:t>
      </w:r>
      <w:r>
        <w:t>conforme documentos em anexo</w:t>
      </w:r>
      <w:r>
        <w:rPr>
          <w:color w:val="000000"/>
        </w:rPr>
        <w:t>.</w:t>
      </w:r>
    </w:p>
    <w:p w14:paraId="43B85966">
      <w:pPr>
        <w:spacing w:line="360" w:lineRule="auto"/>
        <w:ind w:left="-567" w:right="-568"/>
        <w:jc w:val="both"/>
      </w:pPr>
      <w:r>
        <w:tab/>
      </w:r>
    </w:p>
    <w:p w14:paraId="3567BF76">
      <w:pPr>
        <w:spacing w:line="360" w:lineRule="auto"/>
        <w:ind w:left="-567" w:right="-568"/>
        <w:jc w:val="both"/>
        <w:rPr>
          <w:b/>
        </w:rPr>
      </w:pPr>
      <w:r>
        <w:rPr>
          <w:b/>
        </w:rPr>
        <w:t>4 - DO REGIME DE EXECUÇÃO, LOCAL E DA FORMA DO FORNECIMENTO</w:t>
      </w:r>
    </w:p>
    <w:p w14:paraId="119AB513">
      <w:pPr>
        <w:spacing w:line="360" w:lineRule="auto"/>
        <w:ind w:left="-567" w:right="-568"/>
        <w:jc w:val="both"/>
      </w:pPr>
      <w:r>
        <w:t>4.1. O fornecimento contratado será realizado por execução indireta.</w:t>
      </w:r>
    </w:p>
    <w:p w14:paraId="4E45F4EE">
      <w:pPr>
        <w:spacing w:line="360" w:lineRule="auto"/>
        <w:ind w:left="-567" w:right="-568"/>
        <w:jc w:val="both"/>
      </w:pPr>
      <w:r>
        <w:t>4.2.</w:t>
      </w:r>
      <w:r>
        <w:tab/>
      </w:r>
      <w:r>
        <w:t>A execução do objeto seguirá a seguinte dinâmica:</w:t>
      </w:r>
    </w:p>
    <w:p w14:paraId="13C0F98C">
      <w:pPr>
        <w:spacing w:line="360" w:lineRule="auto"/>
        <w:ind w:left="-567" w:right="-568"/>
        <w:jc w:val="both"/>
      </w:pPr>
      <w:r>
        <w:t xml:space="preserve">a) Localidade: No prazo máximo de até 10 (dez) dias após a expedição da ordem de fornecimento, os itens deverão ser entregues na Rua Henrique Praguer, Centro, Ipirá-Ba. </w:t>
      </w:r>
    </w:p>
    <w:p w14:paraId="4D35FCF9">
      <w:pPr>
        <w:spacing w:line="360" w:lineRule="auto"/>
        <w:ind w:left="-567" w:right="-568"/>
        <w:jc w:val="both"/>
      </w:pPr>
      <w:r>
        <w:t>b) Dias e horários da entrega: de segunda-feira a sexta-feira, das 08:00 às 12:00 horas, e das 14:00 às 17:00 horas;</w:t>
      </w:r>
    </w:p>
    <w:p w14:paraId="3B8502D6">
      <w:pPr>
        <w:spacing w:line="360" w:lineRule="auto"/>
        <w:ind w:left="-567" w:right="-568"/>
        <w:jc w:val="both"/>
      </w:pPr>
      <w:r>
        <w:t>c) Periodicidade do fornecimento: a entrega deverá ser realizada de forma parcelada, conforme as necessidades da secretaria demandante, no prazo máximo de até 10 dias após a expedição da ordem de fornecimento.</w:t>
      </w:r>
    </w:p>
    <w:p w14:paraId="2A5BEC7A">
      <w:pPr>
        <w:spacing w:line="360" w:lineRule="auto"/>
        <w:ind w:left="-567" w:right="-568"/>
        <w:jc w:val="both"/>
      </w:pPr>
      <w:r>
        <w:t xml:space="preserve">4.3. A CONTRATADA deverá executar o serviço utilizando-se dos materiais e equipamentos necessários à perfeita execução do fornecimento, conforme ordem de solicitação emitida pela Secretaria solicitante. </w:t>
      </w:r>
    </w:p>
    <w:p w14:paraId="0D7088C9">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b/>
          <w:color w:val="000000"/>
        </w:rPr>
      </w:pPr>
    </w:p>
    <w:p w14:paraId="6742C623">
      <w:pPr>
        <w:spacing w:line="360" w:lineRule="auto"/>
        <w:ind w:left="-567" w:right="-568"/>
        <w:jc w:val="both"/>
        <w:rPr>
          <w:b/>
        </w:rPr>
      </w:pPr>
      <w:r>
        <w:rPr>
          <w:b/>
        </w:rPr>
        <w:t>5 – DA DESCRIÇÃO DA SOLUÇÃO COMO UM TODO</w:t>
      </w:r>
    </w:p>
    <w:p w14:paraId="5E2758FC">
      <w:pPr>
        <w:tabs>
          <w:tab w:val="left" w:pos="284"/>
        </w:tabs>
        <w:spacing w:line="360" w:lineRule="auto"/>
        <w:ind w:left="-567" w:right="-568"/>
        <w:jc w:val="both"/>
        <w:rPr>
          <w:color w:val="000000"/>
        </w:rPr>
      </w:pPr>
      <w:r>
        <w:t>5.1. A descrição da solução como um todo, encontra-se especificada no Estudo Técnico Preliminar – ETP e abrange a contratação de empresa para aquisição de materiais de higiene pessoal para atender as crianças da educação de ensino infantil da rede municipal de ensino, necessários à continuidade da solução das necessidades nas dependências da Administração Municipal.</w:t>
      </w:r>
    </w:p>
    <w:p w14:paraId="04CBAD54">
      <w:pPr>
        <w:spacing w:line="360" w:lineRule="auto"/>
        <w:ind w:left="-567" w:right="-568"/>
        <w:jc w:val="both"/>
      </w:pPr>
      <w:r>
        <w:t xml:space="preserve">5.2. A contratação em tela visa dar continuidade ao fornecimento de material de higiene pessoal, com o intuito de garantir o desenvolvimento saudável das crianças e um ambiente escolar seguro, que dá sustentabilidade às atividades da Administração Pública, em suas atribuições finalísticas, cabendo o prazo do fornecimento ser mediante as necessidades apresentadas pela Administração Pública, considerando o ciclo de vida útil do objeto.  </w:t>
      </w:r>
    </w:p>
    <w:p w14:paraId="03B65E9C">
      <w:pPr>
        <w:spacing w:line="360" w:lineRule="auto"/>
        <w:ind w:left="-567" w:right="-568"/>
        <w:jc w:val="both"/>
      </w:pPr>
    </w:p>
    <w:p w14:paraId="5A7D752E">
      <w:pPr>
        <w:spacing w:line="360" w:lineRule="auto"/>
        <w:ind w:left="-567" w:right="-568"/>
        <w:jc w:val="both"/>
        <w:rPr>
          <w:b/>
        </w:rPr>
      </w:pPr>
      <w:r>
        <w:rPr>
          <w:b/>
        </w:rPr>
        <w:t xml:space="preserve">6 – DOS RECURSOS ORÇAMENTÁRIOS </w:t>
      </w:r>
    </w:p>
    <w:p w14:paraId="5DE4A371">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r>
        <w:rPr>
          <w:color w:val="000000"/>
        </w:rPr>
        <w:t xml:space="preserve">6.1. Os custos com a presente contratação correrão por conta da seguinte dotação orçamentária: </w:t>
      </w:r>
    </w:p>
    <w:p w14:paraId="1A23498B">
      <w:pPr>
        <w:spacing w:line="360" w:lineRule="auto"/>
        <w:ind w:left="-567" w:right="-568"/>
        <w:jc w:val="both"/>
        <w:rPr>
          <w:sz w:val="22"/>
          <w:szCs w:val="22"/>
          <w:highlight w:val="yellow"/>
        </w:rPr>
      </w:pPr>
    </w:p>
    <w:p w14:paraId="57791192">
      <w:pPr>
        <w:spacing w:line="360" w:lineRule="auto"/>
        <w:ind w:left="-567" w:right="-568"/>
        <w:jc w:val="both"/>
        <w:rPr>
          <w:rFonts w:eastAsiaTheme="minorHAnsi"/>
          <w:bCs/>
          <w:sz w:val="22"/>
          <w:szCs w:val="22"/>
          <w:lang w:eastAsia="en-US"/>
        </w:rPr>
      </w:pPr>
      <w:r>
        <w:rPr>
          <w:rFonts w:eastAsiaTheme="minorHAnsi"/>
          <w:bCs/>
          <w:sz w:val="22"/>
          <w:szCs w:val="22"/>
          <w:lang w:eastAsia="en-US"/>
        </w:rPr>
        <w:t>Projeto/Atividade: 4075 - Gestão das Ações da Educação do Ensino Infantil</w:t>
      </w:r>
    </w:p>
    <w:p w14:paraId="0FDA8727">
      <w:pPr>
        <w:spacing w:line="360" w:lineRule="auto"/>
        <w:ind w:left="-567" w:right="-568"/>
        <w:jc w:val="both"/>
        <w:rPr>
          <w:rFonts w:eastAsiaTheme="minorHAnsi"/>
          <w:bCs/>
          <w:sz w:val="22"/>
          <w:szCs w:val="22"/>
          <w:lang w:eastAsia="en-US"/>
        </w:rPr>
      </w:pPr>
      <w:r>
        <w:rPr>
          <w:rFonts w:eastAsiaTheme="minorHAnsi"/>
          <w:bCs/>
          <w:sz w:val="22"/>
          <w:szCs w:val="22"/>
          <w:lang w:eastAsia="en-US"/>
        </w:rPr>
        <w:t>Elemento Despesas: 33903000 – Material de Consumo</w:t>
      </w:r>
    </w:p>
    <w:p w14:paraId="4EC1F038">
      <w:pPr>
        <w:spacing w:line="360" w:lineRule="auto"/>
        <w:ind w:left="-567" w:right="-568"/>
        <w:jc w:val="both"/>
        <w:rPr>
          <w:rFonts w:eastAsiaTheme="minorHAnsi"/>
          <w:bCs/>
          <w:sz w:val="22"/>
          <w:szCs w:val="22"/>
          <w:lang w:eastAsia="en-US"/>
        </w:rPr>
      </w:pPr>
      <w:r>
        <w:rPr>
          <w:rFonts w:eastAsiaTheme="minorHAnsi"/>
          <w:bCs/>
          <w:sz w:val="22"/>
          <w:szCs w:val="22"/>
          <w:lang w:eastAsia="en-US"/>
        </w:rPr>
        <w:t xml:space="preserve">Fonte de Recursos: 15400000 - Transferências do FUNDEB </w:t>
      </w:r>
    </w:p>
    <w:p w14:paraId="1DAA453A">
      <w:pPr>
        <w:spacing w:line="360" w:lineRule="auto"/>
        <w:ind w:left="-567" w:right="-568"/>
        <w:jc w:val="both"/>
      </w:pPr>
    </w:p>
    <w:p w14:paraId="15C3608A">
      <w:pPr>
        <w:spacing w:line="360" w:lineRule="auto"/>
        <w:ind w:left="-567" w:right="-568"/>
        <w:jc w:val="both"/>
        <w:rPr>
          <w:b/>
        </w:rPr>
      </w:pPr>
      <w:r>
        <w:rPr>
          <w:b/>
        </w:rPr>
        <w:t>7. PRAZO DE EXECUÇÃO E VIGÊNCIA</w:t>
      </w:r>
    </w:p>
    <w:p w14:paraId="5878FC92">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r>
        <w:t xml:space="preserve">7.1 O prazo de execução deverá ser de 12 (doze) meses, a contar da assinatura do contrato, e o prazo de vigência de 12 (doze) meses, podendo ocorrer a prorrogação de vigência do contrato, caso se cumpra os requisitos </w:t>
      </w:r>
      <w:r>
        <w:rPr>
          <w:color w:val="000000"/>
        </w:rPr>
        <w:t xml:space="preserve">do artigo 107, da Lei nº 14.133/2021. </w:t>
      </w:r>
    </w:p>
    <w:p w14:paraId="5DA32D04">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r>
        <w:rPr>
          <w:color w:val="000000"/>
        </w:rPr>
        <w:t>7.2 A vigência dos contratos regidos por esta lei deverá observar no momento da contratação e a cada exercício financeiro, a disponibilidade dos créditos orçamentários, bem como, a previsão do Plano Plurianual quando ultrapassar 1 (um) exercício financeiro, desde que atendido o disposto no art. 105 da Lei n. 14.133/2021, ou desde que as despesas referentes à contratação sejam integralmente empenhadas até 31 de dezembro, para fins de inscrição em restos a pagar do ano corrente. A Administração Pública poderá celebrar contratos de até 5 (cinco) anos nas hipóteses de fornecimentos contínuos, desde que observado o definido no art. 106 da Lei n. 14.133/2021.</w:t>
      </w:r>
    </w:p>
    <w:p w14:paraId="7079A12A">
      <w:pPr>
        <w:spacing w:line="360" w:lineRule="auto"/>
        <w:ind w:left="-567" w:right="-568"/>
        <w:jc w:val="both"/>
      </w:pPr>
    </w:p>
    <w:p w14:paraId="752B0EA4">
      <w:pPr>
        <w:spacing w:line="360" w:lineRule="auto"/>
        <w:ind w:left="-567" w:right="-568"/>
        <w:jc w:val="both"/>
        <w:rPr>
          <w:b/>
        </w:rPr>
      </w:pPr>
      <w:r>
        <w:rPr>
          <w:b/>
        </w:rPr>
        <w:t>8 – REQUISITOS DA CONTRATAÇÃO</w:t>
      </w:r>
    </w:p>
    <w:p w14:paraId="7F3F27A3">
      <w:pPr>
        <w:spacing w:line="360" w:lineRule="auto"/>
        <w:ind w:left="-567" w:right="-568"/>
        <w:jc w:val="both"/>
      </w:pPr>
      <w:r>
        <w:t xml:space="preserve">8.1. Para que o objeto da contratação seja efetivado, é necessário o atendimento de alguns requisitos de acordo com as características do objeto, dentre eles os de qualidade e capacidade de execução pelo contratado, minimamente os dispostos nos artigos 62, 66, 67, 68 e 69 da Lei Federal 14.133/2021. </w:t>
      </w:r>
    </w:p>
    <w:p w14:paraId="602524F2">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FF0000"/>
        </w:rPr>
      </w:pPr>
      <w:r>
        <w:rPr>
          <w:color w:val="000000"/>
        </w:rPr>
        <w:t>8.2. Sendo assim, os documentos exigidos serão</w:t>
      </w:r>
      <w:r>
        <w:t>:</w:t>
      </w:r>
    </w:p>
    <w:p w14:paraId="7059AA4C">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p>
    <w:p w14:paraId="3AF8D93D">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r>
        <w:rPr>
          <w:b/>
          <w:color w:val="000000"/>
        </w:rPr>
        <w:t xml:space="preserve">Habilitação jurídica: </w:t>
      </w:r>
    </w:p>
    <w:p w14:paraId="63B39162">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r>
        <w:rPr>
          <w:color w:val="000000"/>
        </w:rPr>
        <w:t>a) No caso de empresário individual, inscrição no Registro Público de Empresas Mercantis, a cargo da Junta Comercial da respectiva sede;</w:t>
      </w:r>
    </w:p>
    <w:p w14:paraId="5B68DC14">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r>
        <w:rPr>
          <w:color w:val="000000"/>
        </w:rPr>
        <w:t>b)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1CB72ACC">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r>
        <w:rPr>
          <w:color w:val="000000"/>
        </w:rPr>
        <w:t>c) Inscrição no Registro Público de Empresas Mercantis onde opera, com averbação no Registro onde tem sede a matriz, no caso de ser o participante sucursal, filial ou agência;</w:t>
      </w:r>
    </w:p>
    <w:p w14:paraId="599CBC27">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r>
        <w:rPr>
          <w:color w:val="000000"/>
        </w:rPr>
        <w:t>d) No caso de sociedade simples: inscrição do ato constitutivo no Registro Civil das Pessoas Jurídicas do local de sua sede, acompanhada de prova da indicação dos seus administradores;</w:t>
      </w:r>
    </w:p>
    <w:p w14:paraId="02D44B4A">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r>
        <w:rPr>
          <w:color w:val="000000"/>
        </w:rPr>
        <w:t>e) Decreto de autorização, em se tratando de sociedade empresária estrangeira em funcionamento no País;</w:t>
      </w:r>
    </w:p>
    <w:p w14:paraId="60086900">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r>
        <w:rPr>
          <w:color w:val="000000"/>
        </w:rPr>
        <w:t>f) No caso de exercício de atividade não listadas nos itens acima: ato de registro ou autorização para funcionamento expedido pelo órgão competente, nos termos da legislação pertinente.</w:t>
      </w:r>
    </w:p>
    <w:p w14:paraId="5A773268">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r>
        <w:rPr>
          <w:color w:val="000000"/>
        </w:rPr>
        <w:t xml:space="preserve">g) 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14:paraId="430792F0">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r>
        <w:rPr>
          <w:color w:val="000000"/>
        </w:rPr>
        <w:t>Os documentos acima deverão estar acompanhados de todas as alterações ou da consolidação respectiva.</w:t>
      </w:r>
    </w:p>
    <w:p w14:paraId="04FE80B0">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r>
        <w:rPr>
          <w:b/>
          <w:color w:val="000000"/>
        </w:rPr>
        <w:t>Regularidade fiscal, social e trabalhista:</w:t>
      </w:r>
    </w:p>
    <w:p w14:paraId="69DAA7AB">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r>
        <w:rPr>
          <w:color w:val="000000"/>
        </w:rPr>
        <w:t>a) Prova de inscrição no Cadastro de Pessoas Físicas ou no Cadastro Nacional de Pessoas Jurídicas;</w:t>
      </w:r>
    </w:p>
    <w:p w14:paraId="5CF25A95">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r>
        <w:rPr>
          <w:color w:val="000000"/>
        </w:rPr>
        <w:t>b) Certidão negativa de débitos relativos aos tributos federais e à dívida ativa da União;</w:t>
      </w:r>
    </w:p>
    <w:p w14:paraId="176E8772">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r>
        <w:rPr>
          <w:color w:val="000000"/>
        </w:rPr>
        <w:t>c) Prova de regularidade com o Fundo de Garantia do Tempo de Serviço (FGTS);</w:t>
      </w:r>
    </w:p>
    <w:p w14:paraId="140D6DA5">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r>
        <w:rPr>
          <w:color w:val="000000"/>
        </w:rPr>
        <w:t>d)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6AF7B6D">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r>
        <w:rPr>
          <w:color w:val="000000"/>
        </w:rPr>
        <w:t xml:space="preserve">e) Prova de inscrição no cadastro de contribuintes municipal ou estadual, relativo ao domicílio ou sede do licitante, pertinente ao seu ramo de atividade e compatível com o objeto contratual; </w:t>
      </w:r>
    </w:p>
    <w:p w14:paraId="21212721">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r>
        <w:rPr>
          <w:color w:val="000000"/>
        </w:rPr>
        <w:t>f) Prova de regularidade com a Fazenda Estadual do domicílio ou sede do licitante, relativa à atividade em cujo exercício contrata ou concorre;</w:t>
      </w:r>
    </w:p>
    <w:p w14:paraId="68EFC945">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r>
        <w:rPr>
          <w:color w:val="000000"/>
        </w:rPr>
        <w:t>g) Prova de regularidade com a Fazenda Municipal do domicílio ou sede do licitante, relativa à atividade em cujo exercício contrata ou concorre;</w:t>
      </w:r>
    </w:p>
    <w:p w14:paraId="4E646353">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r>
        <w:rPr>
          <w:color w:val="000000"/>
        </w:rPr>
        <w:t xml:space="preserve">h) Declaração de cumprimento ao disposto no Inciso XXXIII do artigo 7º da Constituição Federal e outras que forem necessárias. </w:t>
      </w:r>
    </w:p>
    <w:p w14:paraId="3B920797">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r>
        <w:rPr>
          <w:b/>
          <w:color w:val="000000"/>
        </w:rPr>
        <w:t xml:space="preserve">Qualificação Econômico-Financeira: </w:t>
      </w:r>
    </w:p>
    <w:p w14:paraId="0ADDA6F5">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r>
        <w:rPr>
          <w:color w:val="000000"/>
        </w:rPr>
        <w:t>a) Certidão negativa de falência expedida pelo distribuidor da sede do licitante;</w:t>
      </w:r>
    </w:p>
    <w:p w14:paraId="100F9702">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r>
        <w:rPr>
          <w:color w:val="000000"/>
        </w:rPr>
        <w:t>b) Balanço patrimonial, demonstração de resultado de exercício e demais demonstrações contábeis dos 2 (dois) últimos exercícios sociais,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1389C2AB">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r>
        <w:rPr>
          <w:color w:val="000000"/>
        </w:rPr>
        <w:t>b.1) No caso de a pessoa jurídica ter sido constituída há menos de 2 (dois) anos, os documentos exigidos acima, limitar-se-á ao último exercício;</w:t>
      </w:r>
    </w:p>
    <w:p w14:paraId="6DA7C8C0">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r>
        <w:rPr>
          <w:color w:val="000000"/>
        </w:rPr>
        <w:t>b.2) No caso de empresa constituída no exercício social vigente, admite-se a apresentação de balanço patrimonial e demonstrações contábeis referentes ao período de existência da sociedade;</w:t>
      </w:r>
    </w:p>
    <w:p w14:paraId="6226BB8E">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r>
        <w:rPr>
          <w:color w:val="000000"/>
        </w:rPr>
        <w:t>b.3) É admissível o balanço intermediário, se decorrer de lei ou contrato/estatuto social;</w:t>
      </w:r>
    </w:p>
    <w:p w14:paraId="398E1A98">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r>
        <w:rPr>
          <w:color w:val="000000"/>
        </w:rPr>
        <w:t>b.4) 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6B8D236F">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r>
        <w:rPr>
          <w:color w:val="000000"/>
        </w:rPr>
        <w:t>c) Comprovação da boa situação financeira da empresa mediante obtenção de índices de Liquidez Geral (LG), Solvência Geral (SG) e Liquidez Corrente (LC), superiores a 1 (um), comprovados mediante a apresentação pelo licitante de balanço patrimonial, demonstração de resultado de exercício e demais demonstrações contábeis dos 2 (dois) últimos exercícios sociais e obtidos pela aplicação das seguintes fórmulas:</w:t>
      </w:r>
    </w:p>
    <w:p w14:paraId="501DD4F2">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 xml:space="preserve"> </w:t>
      </w:r>
    </w:p>
    <w:tbl>
      <w:tblPr>
        <w:tblStyle w:val="9"/>
        <w:tblW w:w="6487" w:type="dxa"/>
        <w:tblInd w:w="1026" w:type="dxa"/>
        <w:tblLayout w:type="fixed"/>
        <w:tblCellMar>
          <w:top w:w="0" w:type="dxa"/>
          <w:left w:w="108" w:type="dxa"/>
          <w:bottom w:w="0" w:type="dxa"/>
          <w:right w:w="108" w:type="dxa"/>
        </w:tblCellMar>
      </w:tblPr>
      <w:tblGrid>
        <w:gridCol w:w="2235"/>
        <w:gridCol w:w="4252"/>
      </w:tblGrid>
      <w:tr w14:paraId="20E8DA18">
        <w:tblPrEx>
          <w:tblCellMar>
            <w:top w:w="0" w:type="dxa"/>
            <w:left w:w="108" w:type="dxa"/>
            <w:bottom w:w="0" w:type="dxa"/>
            <w:right w:w="108" w:type="dxa"/>
          </w:tblCellMar>
        </w:tblPrEx>
        <w:trPr>
          <w:cantSplit/>
        </w:trPr>
        <w:tc>
          <w:tcPr>
            <w:tcW w:w="2235" w:type="dxa"/>
            <w:vMerge w:val="restart"/>
            <w:vAlign w:val="center"/>
          </w:tcPr>
          <w:p w14:paraId="3C1E5C9A">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LG =</w:t>
            </w:r>
          </w:p>
        </w:tc>
        <w:tc>
          <w:tcPr>
            <w:tcW w:w="4252" w:type="dxa"/>
            <w:tcBorders>
              <w:bottom w:val="single" w:color="000000" w:sz="4" w:space="0"/>
            </w:tcBorders>
          </w:tcPr>
          <w:p w14:paraId="6DCC66D5">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Ativo Circulante + Realizável a Longo Prazo</w:t>
            </w:r>
          </w:p>
        </w:tc>
      </w:tr>
      <w:tr w14:paraId="3076055E">
        <w:tblPrEx>
          <w:tblCellMar>
            <w:top w:w="0" w:type="dxa"/>
            <w:left w:w="108" w:type="dxa"/>
            <w:bottom w:w="0" w:type="dxa"/>
            <w:right w:w="108" w:type="dxa"/>
          </w:tblCellMar>
        </w:tblPrEx>
        <w:trPr>
          <w:cantSplit/>
        </w:trPr>
        <w:tc>
          <w:tcPr>
            <w:tcW w:w="2235" w:type="dxa"/>
            <w:vMerge w:val="continue"/>
            <w:vAlign w:val="center"/>
          </w:tcPr>
          <w:p w14:paraId="633AD255">
            <w:pPr>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tc>
        <w:tc>
          <w:tcPr>
            <w:tcW w:w="4252" w:type="dxa"/>
            <w:tcBorders>
              <w:top w:val="single" w:color="000000" w:sz="4" w:space="0"/>
            </w:tcBorders>
          </w:tcPr>
          <w:p w14:paraId="0EAD609E">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Passivo Circulante + Passivo Não Circulante</w:t>
            </w:r>
          </w:p>
        </w:tc>
      </w:tr>
    </w:tbl>
    <w:p w14:paraId="4474E52C">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tbl>
      <w:tblPr>
        <w:tblStyle w:val="9"/>
        <w:tblW w:w="6629" w:type="dxa"/>
        <w:tblInd w:w="1026" w:type="dxa"/>
        <w:tblLayout w:type="fixed"/>
        <w:tblCellMar>
          <w:top w:w="0" w:type="dxa"/>
          <w:left w:w="108" w:type="dxa"/>
          <w:bottom w:w="0" w:type="dxa"/>
          <w:right w:w="108" w:type="dxa"/>
        </w:tblCellMar>
      </w:tblPr>
      <w:tblGrid>
        <w:gridCol w:w="2235"/>
        <w:gridCol w:w="4394"/>
      </w:tblGrid>
      <w:tr w14:paraId="3B4BB468">
        <w:tblPrEx>
          <w:tblCellMar>
            <w:top w:w="0" w:type="dxa"/>
            <w:left w:w="108" w:type="dxa"/>
            <w:bottom w:w="0" w:type="dxa"/>
            <w:right w:w="108" w:type="dxa"/>
          </w:tblCellMar>
        </w:tblPrEx>
        <w:trPr>
          <w:cantSplit/>
        </w:trPr>
        <w:tc>
          <w:tcPr>
            <w:tcW w:w="2235" w:type="dxa"/>
            <w:vMerge w:val="restart"/>
            <w:vAlign w:val="center"/>
          </w:tcPr>
          <w:p w14:paraId="3E17492B">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SG =</w:t>
            </w:r>
          </w:p>
        </w:tc>
        <w:tc>
          <w:tcPr>
            <w:tcW w:w="4394" w:type="dxa"/>
            <w:tcBorders>
              <w:bottom w:val="single" w:color="000000" w:sz="4" w:space="0"/>
            </w:tcBorders>
          </w:tcPr>
          <w:p w14:paraId="0011079F">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Ativo Total</w:t>
            </w:r>
          </w:p>
        </w:tc>
      </w:tr>
      <w:tr w14:paraId="7C778D5E">
        <w:tblPrEx>
          <w:tblCellMar>
            <w:top w:w="0" w:type="dxa"/>
            <w:left w:w="108" w:type="dxa"/>
            <w:bottom w:w="0" w:type="dxa"/>
            <w:right w:w="108" w:type="dxa"/>
          </w:tblCellMar>
        </w:tblPrEx>
        <w:trPr>
          <w:cantSplit/>
        </w:trPr>
        <w:tc>
          <w:tcPr>
            <w:tcW w:w="2235" w:type="dxa"/>
            <w:vMerge w:val="continue"/>
            <w:vAlign w:val="center"/>
          </w:tcPr>
          <w:p w14:paraId="71A0D33A">
            <w:pPr>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tc>
        <w:tc>
          <w:tcPr>
            <w:tcW w:w="4394" w:type="dxa"/>
            <w:tcBorders>
              <w:top w:val="single" w:color="000000" w:sz="4" w:space="0"/>
            </w:tcBorders>
          </w:tcPr>
          <w:p w14:paraId="16BB94A1">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Passivo Circulante + Passivo Não Circulante</w:t>
            </w:r>
          </w:p>
        </w:tc>
      </w:tr>
    </w:tbl>
    <w:p w14:paraId="1E60A149">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tbl>
      <w:tblPr>
        <w:tblStyle w:val="9"/>
        <w:tblW w:w="4786" w:type="dxa"/>
        <w:tblInd w:w="1026" w:type="dxa"/>
        <w:tblLayout w:type="fixed"/>
        <w:tblCellMar>
          <w:top w:w="0" w:type="dxa"/>
          <w:left w:w="108" w:type="dxa"/>
          <w:bottom w:w="0" w:type="dxa"/>
          <w:right w:w="108" w:type="dxa"/>
        </w:tblCellMar>
      </w:tblPr>
      <w:tblGrid>
        <w:gridCol w:w="2235"/>
        <w:gridCol w:w="2551"/>
      </w:tblGrid>
      <w:tr w14:paraId="0A881704">
        <w:tblPrEx>
          <w:tblCellMar>
            <w:top w:w="0" w:type="dxa"/>
            <w:left w:w="108" w:type="dxa"/>
            <w:bottom w:w="0" w:type="dxa"/>
            <w:right w:w="108" w:type="dxa"/>
          </w:tblCellMar>
        </w:tblPrEx>
        <w:trPr>
          <w:cantSplit/>
        </w:trPr>
        <w:tc>
          <w:tcPr>
            <w:tcW w:w="2235" w:type="dxa"/>
            <w:vMerge w:val="restart"/>
            <w:vAlign w:val="center"/>
          </w:tcPr>
          <w:p w14:paraId="59D03BA8">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LC =</w:t>
            </w:r>
          </w:p>
        </w:tc>
        <w:tc>
          <w:tcPr>
            <w:tcW w:w="2551" w:type="dxa"/>
            <w:tcBorders>
              <w:bottom w:val="single" w:color="000000" w:sz="4" w:space="0"/>
            </w:tcBorders>
          </w:tcPr>
          <w:p w14:paraId="34C05F3F">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Ativo Circulante</w:t>
            </w:r>
          </w:p>
        </w:tc>
      </w:tr>
      <w:tr w14:paraId="001F4C4C">
        <w:tblPrEx>
          <w:tblCellMar>
            <w:top w:w="0" w:type="dxa"/>
            <w:left w:w="108" w:type="dxa"/>
            <w:bottom w:w="0" w:type="dxa"/>
            <w:right w:w="108" w:type="dxa"/>
          </w:tblCellMar>
        </w:tblPrEx>
        <w:trPr>
          <w:cantSplit/>
        </w:trPr>
        <w:tc>
          <w:tcPr>
            <w:tcW w:w="2235" w:type="dxa"/>
            <w:vMerge w:val="continue"/>
            <w:vAlign w:val="center"/>
          </w:tcPr>
          <w:p w14:paraId="02E6E10A">
            <w:pPr>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tc>
        <w:tc>
          <w:tcPr>
            <w:tcW w:w="2551" w:type="dxa"/>
            <w:tcBorders>
              <w:top w:val="single" w:color="000000" w:sz="4" w:space="0"/>
            </w:tcBorders>
          </w:tcPr>
          <w:p w14:paraId="0FC667E0">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Passivo Circulante</w:t>
            </w:r>
          </w:p>
        </w:tc>
      </w:tr>
    </w:tbl>
    <w:p w14:paraId="337ABF19">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p w14:paraId="62E82FC3">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r>
        <w:rPr>
          <w:color w:val="000000"/>
        </w:rPr>
        <w:t>c.1) As empresas criadas no exercício financeiro da licitação deverão atender a todas as exigências da habilitação e poderão substituir os demonstrativos contábeis pelo balanço de abertura. (Lei nº 14.133, de 2021, art. 65, §1º);</w:t>
      </w:r>
    </w:p>
    <w:p w14:paraId="66C47A71">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r>
        <w:rPr>
          <w:color w:val="000000"/>
        </w:rPr>
        <w:t>c.2) O balanço patrimonial, demonstração de resultado de exercício e demais demonstrações contábeis limitar-se-ão ao último exercício no caso de a pessoa jurídica ter sido constituída há menos de 2 (dois) anos. (Lei nº 14.133, de 2021, art. 69, §6º)</w:t>
      </w:r>
    </w:p>
    <w:p w14:paraId="3561B58D">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r>
        <w:rPr>
          <w:color w:val="000000"/>
        </w:rPr>
        <w:t>c.3) O atendimento dos índices econômicos previstos neste item deverá ser atestado mediante declaração assinada por profissional habilitado da área contábil, apresentada pelo fornecedor.</w:t>
      </w:r>
    </w:p>
    <w:p w14:paraId="343F7176">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r>
        <w:rPr>
          <w:color w:val="000000"/>
        </w:rPr>
        <w:t>c.3.1) Os índices estabelecidos atendem ao disposto no art. 69 da Lei n. 14.1333/21 uma vez que permitem a comprovação de uma avaliação mais precisa da situação financeira da empresa de forma objetiva, os mesmos foram estabelecidos observando percentuais usualmente adotados no mercado para a avaliação da situação financeira das empresas e não frustram ou restringem o caráter competitivo do certame, pois foram estabelecidos em patamares mínimos aceitáveis, com intuito de garantir a continuidade da execução dos serviços, objeto desta licitação.</w:t>
      </w:r>
    </w:p>
    <w:p w14:paraId="2166D96D">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FF0000"/>
        </w:rPr>
      </w:pPr>
      <w:r>
        <w:rPr>
          <w:color w:val="000000"/>
        </w:rPr>
        <w:t>d) As empresas que apresentarem resultado inferior ou igual a 1 (um) em qualquer dos índices de Liquidez Geral (LG), Solvência Geral (SG) e Liquidez Corrente (LC), deverão comprovar patrimônio líquido de 10</w:t>
      </w:r>
      <w:r>
        <w:t xml:space="preserve">% (dez por cento) </w:t>
      </w:r>
      <w:r>
        <w:rPr>
          <w:color w:val="000000"/>
        </w:rPr>
        <w:t xml:space="preserve">do valor estimado da contratação ou do item pertinente. </w:t>
      </w:r>
    </w:p>
    <w:p w14:paraId="7D4B5E5B">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r>
        <w:rPr>
          <w:b/>
          <w:color w:val="000000"/>
        </w:rPr>
        <w:t xml:space="preserve">Qualificação Técnica: </w:t>
      </w:r>
    </w:p>
    <w:p w14:paraId="17318F71">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r>
        <w:rPr>
          <w:color w:val="000000"/>
        </w:rPr>
        <w:t xml:space="preserve">a) Apresentação de um ou mais atestados fornecidos por pessoas jurídicas de direito público ou privado, que comprove que a licitante executou ou está executando, de maneira satisfatória e a contento, fornecimentos da natureza e vulto similares com o objeto da presente licitação; </w:t>
      </w:r>
    </w:p>
    <w:p w14:paraId="6F1DB081">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r>
        <w:rPr>
          <w:color w:val="000000"/>
        </w:rPr>
        <w:t>a.1) Será admitida, para fins de comprovação de quantitativo mínimo, a apresentação e o somatório de diferentes atestados executados de forma concomitante.</w:t>
      </w:r>
    </w:p>
    <w:p w14:paraId="127A569C">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r>
        <w:rPr>
          <w:color w:val="000000"/>
        </w:rPr>
        <w:t>Os atestados de capacidade técnica poderão ser apresentados em nome da matriz ou da filial do fornecedor.</w:t>
      </w:r>
    </w:p>
    <w:p w14:paraId="5A0A12A7">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r>
        <w:rPr>
          <w:color w:val="000000"/>
        </w:rPr>
        <w:t xml:space="preserve">a.2) O fornecedor disponibilizará todas as informações necessárias à comprovação da legitimidade dos atestados, apresentando, </w:t>
      </w:r>
      <w:r>
        <w:rPr>
          <w:b/>
          <w:color w:val="000000"/>
        </w:rPr>
        <w:t>quando solicitado pela Administração</w:t>
      </w:r>
      <w:r>
        <w:rPr>
          <w:color w:val="000000"/>
        </w:rPr>
        <w:t>, cópia do contrato que deu suporte à contratação, endereço atual da contratante e local em que foi executado o objeto contratado, dentre outros documentos.</w:t>
      </w:r>
    </w:p>
    <w:p w14:paraId="0FCC1AA1">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FF0000"/>
        </w:rPr>
      </w:pPr>
    </w:p>
    <w:p w14:paraId="4B3A0496">
      <w:pPr>
        <w:spacing w:line="360" w:lineRule="auto"/>
        <w:ind w:left="-567" w:right="-568"/>
        <w:jc w:val="both"/>
        <w:rPr>
          <w:b/>
        </w:rPr>
      </w:pPr>
      <w:r>
        <w:rPr>
          <w:b/>
        </w:rPr>
        <w:t>9 – FORMAS E CRITÉRIOS DE SELEÇÃO DO FORNECEDOR:</w:t>
      </w:r>
    </w:p>
    <w:p w14:paraId="5E1EE27D">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r>
        <w:rPr>
          <w:color w:val="000000"/>
        </w:rPr>
        <w:t xml:space="preserve">9.1. A seleção do fornecedor deverá ser realizada pela seleção da proposta mais vantajosa e que cumpra todos os requisitos previstos neste termo de referência, </w:t>
      </w:r>
    </w:p>
    <w:p w14:paraId="1ABBECA4">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pPr>
      <w:r>
        <w:rPr>
          <w:color w:val="000000"/>
        </w:rPr>
        <w:t xml:space="preserve">9.2. </w:t>
      </w:r>
      <w:r>
        <w:t xml:space="preserve">O julgamento da proposta </w:t>
      </w:r>
      <w:r>
        <w:rPr>
          <w:color w:val="000000"/>
        </w:rPr>
        <w:t xml:space="preserve">deverá </w:t>
      </w:r>
      <w:r>
        <w:t>ser</w:t>
      </w:r>
      <w:r>
        <w:rPr>
          <w:color w:val="000000"/>
        </w:rPr>
        <w:t xml:space="preserve"> do </w:t>
      </w:r>
      <w:r>
        <w:t>tipo MENOR PREÇO POR LOTE.</w:t>
      </w:r>
    </w:p>
    <w:p w14:paraId="5F450522">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FF0000"/>
        </w:rPr>
      </w:pPr>
    </w:p>
    <w:p w14:paraId="0CD0630E">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FF0000"/>
        </w:rPr>
      </w:pPr>
      <w:r>
        <w:rPr>
          <w:b/>
          <w:color w:val="000000"/>
        </w:rPr>
        <w:t xml:space="preserve">9.3 GARANTIA DA PROPOSTA </w:t>
      </w:r>
    </w:p>
    <w:p w14:paraId="154CD557">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r>
        <w:rPr>
          <w:color w:val="000000"/>
        </w:rPr>
        <w:t>9.3.1 Não será exigida, no momento da apresentação da proposta, a comprovação do recolhimento de quantia a título de garantia de proposta, como requisito de pré-habilitação.</w:t>
      </w:r>
    </w:p>
    <w:p w14:paraId="347238CB">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FF0000"/>
        </w:rPr>
      </w:pPr>
    </w:p>
    <w:p w14:paraId="5AAE9FE6">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FF0000"/>
        </w:rPr>
      </w:pPr>
      <w:r>
        <w:rPr>
          <w:b/>
          <w:color w:val="000000"/>
        </w:rPr>
        <w:t>9.4 GARANTIA DO CONTRATO</w:t>
      </w:r>
    </w:p>
    <w:p w14:paraId="61FE3469">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r>
        <w:rPr>
          <w:color w:val="000000"/>
        </w:rPr>
        <w:t xml:space="preserve">9.4.1 Não haverá exigência da garantia da contratação dos </w:t>
      </w:r>
      <w:r>
        <w:fldChar w:fldCharType="begin"/>
      </w:r>
      <w:r>
        <w:instrText xml:space="preserve"> HYPERLINK "http://www.planalto.gov.br/ccivil_03/_ato2019-2022/2021/lei/L14133.htm" \l "art96" \h </w:instrText>
      </w:r>
      <w:r>
        <w:fldChar w:fldCharType="separate"/>
      </w:r>
      <w:r>
        <w:rPr>
          <w:color w:val="000000"/>
        </w:rPr>
        <w:t>artigos 96 e seguintes da Lei nº 14.133, de 2021</w:t>
      </w:r>
      <w:r>
        <w:rPr>
          <w:color w:val="000000"/>
        </w:rPr>
        <w:fldChar w:fldCharType="end"/>
      </w:r>
      <w:r>
        <w:rPr>
          <w:color w:val="000000"/>
        </w:rPr>
        <w:t>.</w:t>
      </w:r>
    </w:p>
    <w:p w14:paraId="55FE4C09">
      <w:pPr>
        <w:spacing w:line="360" w:lineRule="auto"/>
        <w:ind w:left="-567" w:right="-568"/>
        <w:jc w:val="both"/>
      </w:pPr>
    </w:p>
    <w:p w14:paraId="723A503F">
      <w:pPr>
        <w:spacing w:line="360" w:lineRule="auto"/>
        <w:ind w:left="-567" w:right="-568"/>
        <w:jc w:val="both"/>
        <w:rPr>
          <w:b/>
        </w:rPr>
      </w:pPr>
      <w:r>
        <w:rPr>
          <w:b/>
        </w:rPr>
        <w:t>10 – MODELO DE GESTÃO E FISCALIZAÇÃO DO CONTRATO</w:t>
      </w:r>
    </w:p>
    <w:p w14:paraId="132F0D66">
      <w:pPr>
        <w:spacing w:line="360" w:lineRule="auto"/>
        <w:ind w:left="-567" w:right="-568"/>
        <w:jc w:val="both"/>
      </w:pPr>
      <w:r>
        <w:t>10.1. O contrato deverá ser executado fielmente pelas partes, de acordo com as cláusulas avençadas e as normas da Lei nº 14.133, de 2021, e cada parte responderá pelas consequências de sua inexecução total ou parcial;</w:t>
      </w:r>
    </w:p>
    <w:p w14:paraId="68494F50">
      <w:pPr>
        <w:spacing w:line="360" w:lineRule="auto"/>
        <w:ind w:left="-567" w:right="-568"/>
        <w:jc w:val="both"/>
      </w:pPr>
      <w:r>
        <w:t>10.2. Em caso de impedimento, ordem de paralisação ou suspensão do contrato, o cronograma de execução será prorrogado automaticamente pelo tempo correspondente, anotadas tais circunstâncias mediante simples apostila;</w:t>
      </w:r>
    </w:p>
    <w:p w14:paraId="515C709E">
      <w:pPr>
        <w:spacing w:line="360" w:lineRule="auto"/>
        <w:ind w:left="-567" w:right="-568"/>
        <w:jc w:val="both"/>
      </w:pPr>
      <w:r>
        <w:t>10.3. As comunicações entre o órgão ou entidade e a contratada devem ser realizadas por escrito sempre que o ato exigir tal formalidade, admitindo-se o uso de mensagem eletrônica para esse fim;</w:t>
      </w:r>
    </w:p>
    <w:p w14:paraId="075FD30D">
      <w:pPr>
        <w:spacing w:line="360" w:lineRule="auto"/>
        <w:ind w:left="-567" w:right="-568"/>
        <w:jc w:val="both"/>
      </w:pPr>
      <w:r>
        <w:t>10.4. O órgão ou entidade poderá convocar representante da empresa para adoção de providências que devam ser cumpridas de imediato;</w:t>
      </w:r>
    </w:p>
    <w:p w14:paraId="2258EE3B">
      <w:pPr>
        <w:spacing w:line="360" w:lineRule="auto"/>
        <w:ind w:left="-567" w:right="-568"/>
        <w:jc w:val="both"/>
      </w:pPr>
      <w:r>
        <w:t>10.5.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5A19F6E">
      <w:pPr>
        <w:spacing w:line="360" w:lineRule="auto"/>
        <w:ind w:left="-567" w:right="-568"/>
        <w:jc w:val="both"/>
      </w:pPr>
      <w:r>
        <w:t>10.6. A fiscalização decorrente desta contratação, será acompanhada e fiscalizada pelo servidor Rafaela Oliveira de Jesus, matrícula 14436 dessa Administração, ou pelo respectivo substituto designado, permitida a contratação de terceiros para assisti-los e subsidiá-los com informações pertinentes a essa atribuição, nos termos do artigo 117 da Lei 14.133/2021.</w:t>
      </w:r>
    </w:p>
    <w:p w14:paraId="37BE6166">
      <w:pPr>
        <w:spacing w:line="360" w:lineRule="auto"/>
        <w:ind w:left="-567" w:right="-568"/>
        <w:jc w:val="both"/>
      </w:pPr>
      <w:r>
        <w:t>10.7. O fiscal do contrato anotará em registro próprio todas as ocorrências relacionadas à execução do contrato, determinando o que for necessário para a regularização das faltas ou dos defeitos observados.</w:t>
      </w:r>
    </w:p>
    <w:p w14:paraId="76377776">
      <w:pPr>
        <w:spacing w:line="360" w:lineRule="auto"/>
        <w:ind w:left="-567" w:right="-568"/>
        <w:jc w:val="both"/>
      </w:pPr>
      <w:r>
        <w:t>10.8. Identificada qualquer inexatidão ou irregularidade, o fiscal do contrato emitirá notificações para a correção da execução do contrato, determinando prazo para a correção.</w:t>
      </w:r>
    </w:p>
    <w:p w14:paraId="38201F52">
      <w:pPr>
        <w:spacing w:line="360" w:lineRule="auto"/>
        <w:ind w:left="-567" w:right="-568"/>
        <w:jc w:val="both"/>
      </w:pPr>
      <w:r>
        <w:t xml:space="preserve">10.9. O fiscal do contrato informará ao gestor do contrato, em tempo hábil, a situação que demandar decisão ou adoção de medidas que ultrapassem sua competência, para que adote as medidas necessárias e saneadoras, se for o caso. </w:t>
      </w:r>
    </w:p>
    <w:p w14:paraId="041E7544">
      <w:pPr>
        <w:spacing w:line="360" w:lineRule="auto"/>
        <w:ind w:left="-567" w:right="-568"/>
        <w:jc w:val="both"/>
      </w:pPr>
      <w:r>
        <w:t xml:space="preserve">10.10. No caso de ocorrências que possam inviabilizar a execução do contrato nas datas aprazadas, o fiscal técnico do contrato comunicará o fato imediatamente ao gestor do contrato. </w:t>
      </w:r>
    </w:p>
    <w:p w14:paraId="2332CD6D">
      <w:pPr>
        <w:spacing w:line="360" w:lineRule="auto"/>
        <w:ind w:left="-567" w:right="-568"/>
        <w:jc w:val="both"/>
      </w:pPr>
      <w:r>
        <w:t xml:space="preserve">10.11. O fiscal do contrato comunicará ao gestor do contrato, em tempo hábil, o término do contrato sob sua responsabilidade, com vistas à tempestiva renovação ou à prorrogação contratual </w:t>
      </w:r>
    </w:p>
    <w:p w14:paraId="7C71C392">
      <w:pPr>
        <w:spacing w:line="360" w:lineRule="auto"/>
        <w:ind w:left="-567" w:right="-568"/>
        <w:jc w:val="both"/>
      </w:pPr>
      <w:r>
        <w:t>10.12. O fiscal do contrato será auxiliado pelos órgãos de assessoramento jurídico e de controle interno da Administração, que deverão dirimir dúvidas e subsidiá-lo com informações relevantes para prevenir riscos na execução contratual.</w:t>
      </w:r>
    </w:p>
    <w:p w14:paraId="7CAB9278">
      <w:pPr>
        <w:spacing w:line="360" w:lineRule="auto"/>
        <w:ind w:left="-567" w:right="-568"/>
        <w:jc w:val="both"/>
      </w:pPr>
      <w:r>
        <w:t>10.13.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1389C13E">
      <w:pPr>
        <w:spacing w:line="360" w:lineRule="auto"/>
        <w:ind w:left="-567" w:right="-568"/>
        <w:jc w:val="both"/>
      </w:pPr>
      <w:r>
        <w:t>10.14. O gestor do contrato, será o servidor Maria Eduarda Campos da Silva, com atribuições administrativas e a função de administrar o contrato, desde sua concepção até a finalização, especialmente:</w:t>
      </w:r>
    </w:p>
    <w:p w14:paraId="437346C4">
      <w:pPr>
        <w:spacing w:line="360" w:lineRule="auto"/>
        <w:ind w:left="-567" w:right="-568"/>
        <w:jc w:val="both"/>
      </w:pPr>
      <w:r>
        <w:t>I - analisar a documentação que antecede o pagamento;</w:t>
      </w:r>
    </w:p>
    <w:p w14:paraId="6FB2B93A">
      <w:pPr>
        <w:spacing w:line="360" w:lineRule="auto"/>
        <w:ind w:left="-567" w:right="-568"/>
        <w:jc w:val="both"/>
      </w:pPr>
      <w:r>
        <w:t>II - analisar os pedidos de reequilíbrio econômico-financeiro do contrato;</w:t>
      </w:r>
    </w:p>
    <w:p w14:paraId="53B4F993">
      <w:pPr>
        <w:spacing w:line="360" w:lineRule="auto"/>
        <w:ind w:left="-567" w:right="-568"/>
        <w:jc w:val="both"/>
      </w:pPr>
      <w:r>
        <w:t>III - analisar eventuais alterações contratuais, após ouvido o fiscal do contrato;</w:t>
      </w:r>
    </w:p>
    <w:p w14:paraId="70E0C517">
      <w:pPr>
        <w:spacing w:line="360" w:lineRule="auto"/>
        <w:ind w:left="-567" w:right="-568"/>
        <w:jc w:val="both"/>
      </w:pPr>
      <w:r>
        <w:t>IV - analisar os documentos referentes ao recebimento do objeto contratado;</w:t>
      </w:r>
    </w:p>
    <w:p w14:paraId="5951B2DD">
      <w:pPr>
        <w:spacing w:line="360" w:lineRule="auto"/>
        <w:ind w:left="-567" w:right="-568"/>
        <w:jc w:val="both"/>
      </w:pPr>
      <w:r>
        <w:t>V - acompanhar o desenvolvimento da execução através de relatórios e demais documentos relativos ao objeto contratado;</w:t>
      </w:r>
    </w:p>
    <w:p w14:paraId="06DA14F7">
      <w:pPr>
        <w:spacing w:line="360" w:lineRule="auto"/>
        <w:ind w:left="-567" w:right="-568"/>
        <w:jc w:val="both"/>
      </w:pPr>
      <w:r>
        <w:t>VI - decidir provisoriamente a suspensão da entrega de bens ou a realização de serviços;</w:t>
      </w:r>
    </w:p>
    <w:p w14:paraId="416EC84E">
      <w:pPr>
        <w:spacing w:line="360" w:lineRule="auto"/>
        <w:ind w:left="-567" w:right="-568"/>
        <w:jc w:val="both"/>
      </w:pPr>
      <w:r>
        <w:t xml:space="preserve">10.15. O contratado deverá indiciar um responsável legal com respectivos contatos (e-mail, celular e Whatsapp), com poderes para representá-lo perante essa Municipalidade na execução do contrato decorrente da contratação objeto deste termo de referência. </w:t>
      </w:r>
    </w:p>
    <w:p w14:paraId="15B434B0">
      <w:pPr>
        <w:spacing w:line="360" w:lineRule="auto"/>
        <w:ind w:left="-567" w:right="-568"/>
        <w:jc w:val="both"/>
      </w:pPr>
      <w:r>
        <w:t>10.16. O contratado deverá manter preposto aceito pela Administração durante a prestação do serviço e/ou fornecimento do bem para representá-lo na execução do contrato.</w:t>
      </w:r>
    </w:p>
    <w:p w14:paraId="1BEA1F03">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p>
    <w:p w14:paraId="4464A763">
      <w:pPr>
        <w:spacing w:line="360" w:lineRule="auto"/>
        <w:ind w:left="-567" w:right="-568"/>
        <w:jc w:val="both"/>
      </w:pPr>
      <w:r>
        <w:rPr>
          <w:b/>
        </w:rPr>
        <w:t>11. DO RECEBIMENTO DO OBJETO</w:t>
      </w:r>
      <w:r>
        <w:t xml:space="preserve"> </w:t>
      </w:r>
    </w:p>
    <w:p w14:paraId="313EDB61">
      <w:pPr>
        <w:spacing w:line="360" w:lineRule="auto"/>
        <w:ind w:left="-567" w:right="-568"/>
        <w:jc w:val="both"/>
      </w:pPr>
      <w:r>
        <w:t xml:space="preserve">11.1. O recebimento do objeto do contrato, decorrente da referida contratação, se dará: </w:t>
      </w:r>
    </w:p>
    <w:p w14:paraId="014E1DB0">
      <w:pPr>
        <w:spacing w:line="360" w:lineRule="auto"/>
        <w:ind w:left="-567" w:right="-568"/>
        <w:jc w:val="both"/>
      </w:pPr>
      <w:r>
        <w:t>a) provisoriamente, pelo responsável por seu acompanhamento e fiscalização, mediante termo detalhado, quando verificado o cumprimento das exigências de caráter técnico quando houver;</w:t>
      </w:r>
    </w:p>
    <w:p w14:paraId="79DFF466">
      <w:pPr>
        <w:spacing w:line="360" w:lineRule="auto"/>
        <w:ind w:left="-567" w:right="-568"/>
        <w:jc w:val="both"/>
      </w:pPr>
      <w:r>
        <w:t>b) definitivamente, por servidor ou comissão designada pela autoridade competente, mediante termo detalhado que comprove o atendimento das exigências contratuais;</w:t>
      </w:r>
    </w:p>
    <w:p w14:paraId="644AE8E2">
      <w:pPr>
        <w:spacing w:line="360" w:lineRule="auto"/>
        <w:ind w:left="-567" w:right="-568"/>
        <w:jc w:val="both"/>
      </w:pPr>
      <w:r>
        <w:t>11.2.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7D5D99D2">
      <w:pPr>
        <w:spacing w:line="360" w:lineRule="auto"/>
        <w:ind w:left="-567" w:right="-568"/>
        <w:jc w:val="both"/>
      </w:pPr>
      <w:r>
        <w:t>11.3. Os bens poderão ser rejeitados, no todo ou em parte, inclusive antes do recebimento provisório, quando em desacordo com as especificações constantes no Termo de Referência e na proposta, devendo ser substituídos no prazo de até 5 (cinco) dias, a contar da notificação da contratada, às suas custas, sem prejuízo da aplicação das penalidades.</w:t>
      </w:r>
    </w:p>
    <w:p w14:paraId="49566902">
      <w:pPr>
        <w:spacing w:line="360" w:lineRule="auto"/>
        <w:ind w:left="-567" w:right="-568"/>
        <w:jc w:val="both"/>
      </w:pPr>
      <w:r>
        <w:t>11.4. O recebimento definitivo ocorrerá no prazo de 15 (quinze) dias, a contar do recebimento da nota fiscal ou instrumento de cobrança equivalente pela Administração, após a verificação da qualidade e quantidade do material e consequente aceitação mediante termo detalhado.</w:t>
      </w:r>
    </w:p>
    <w:p w14:paraId="661557E1">
      <w:pPr>
        <w:spacing w:line="360" w:lineRule="auto"/>
        <w:ind w:left="-567" w:right="-568"/>
        <w:jc w:val="both"/>
      </w:pPr>
      <w:r>
        <w:t>11.5. O prazo para recebimento definitivo poderá ser excepcionalmente prorrogado, de forma justificada, por igual período, quando houver necessidade de diligências para a aferição do atendimento das exigências contratuais.</w:t>
      </w:r>
    </w:p>
    <w:p w14:paraId="72843D68">
      <w:pPr>
        <w:spacing w:line="360" w:lineRule="auto"/>
        <w:ind w:left="-567" w:right="-568"/>
        <w:jc w:val="both"/>
      </w:pPr>
      <w:r>
        <w:t xml:space="preserve">11.6. 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color w:val="000000" w:themeColor="text1"/>
          <w14:textFill>
            <w14:solidFill>
              <w14:schemeClr w14:val="tx1"/>
            </w14:solidFill>
          </w14:textFill>
        </w:rPr>
        <w:t>art. 143 da Lei nº 14.133, de 2021</w:t>
      </w:r>
      <w:r>
        <w:rPr>
          <w:color w:val="000000" w:themeColor="text1"/>
          <w14:textFill>
            <w14:solidFill>
              <w14:schemeClr w14:val="tx1"/>
            </w14:solidFill>
          </w14:textFill>
        </w:rPr>
        <w:fldChar w:fldCharType="end"/>
      </w:r>
      <w:r>
        <w:t>, comunicando-se à empresa para emissão de Nota Fiscal no que pertine à parcela incontroversa da execução do objeto, para efeito de liquidação e pagamento.</w:t>
      </w:r>
    </w:p>
    <w:p w14:paraId="689C8193">
      <w:pPr>
        <w:spacing w:line="360" w:lineRule="auto"/>
        <w:ind w:left="-567" w:right="-568"/>
        <w:jc w:val="both"/>
      </w:pPr>
      <w:r>
        <w:t>11.7.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9AABEE2">
      <w:pPr>
        <w:spacing w:line="360" w:lineRule="auto"/>
        <w:ind w:left="-567" w:right="-568"/>
        <w:jc w:val="both"/>
      </w:pPr>
      <w:r>
        <w:t>11.8. O recebimento provisório ou definitivo não excluirá a responsabilidade civil pela solidez e pela segurança do serviço nem a responsabilidade ético-profissional pela perfeita execução do contrato.</w:t>
      </w:r>
    </w:p>
    <w:p w14:paraId="65F2EC90">
      <w:pPr>
        <w:spacing w:line="360" w:lineRule="auto"/>
        <w:ind w:left="-567" w:right="-568"/>
        <w:jc w:val="both"/>
      </w:pPr>
    </w:p>
    <w:p w14:paraId="1EF3ECC2">
      <w:pPr>
        <w:spacing w:line="360" w:lineRule="auto"/>
        <w:ind w:left="-567" w:right="-568"/>
        <w:jc w:val="both"/>
        <w:rPr>
          <w:b/>
        </w:rPr>
      </w:pPr>
      <w:r>
        <w:rPr>
          <w:b/>
        </w:rPr>
        <w:t xml:space="preserve">12. </w:t>
      </w:r>
      <w:r>
        <w:rPr>
          <w:b/>
          <w:color w:val="000000"/>
        </w:rPr>
        <w:t>DO PAGAMENTO</w:t>
      </w:r>
      <w:r>
        <w:rPr>
          <w:b/>
        </w:rPr>
        <w:t xml:space="preserve"> E DOS CRITÉRIOS PARA MEDIÇÃO </w:t>
      </w:r>
    </w:p>
    <w:p w14:paraId="74A451A9">
      <w:pPr>
        <w:spacing w:line="360" w:lineRule="auto"/>
        <w:ind w:left="-567" w:right="-568"/>
        <w:jc w:val="both"/>
      </w:pPr>
      <w:r>
        <w:t xml:space="preserve">12.1. Recebida a Nota Fiscal ou documento de cobrança equivalente, correrá o prazo de </w:t>
      </w:r>
      <w:r>
        <w:rPr>
          <w:color w:val="000000" w:themeColor="text1"/>
          <w14:textFill>
            <w14:solidFill>
              <w14:schemeClr w14:val="tx1"/>
            </w14:solidFill>
          </w14:textFill>
        </w:rPr>
        <w:t xml:space="preserve">10 (dez) </w:t>
      </w:r>
      <w:r>
        <w:t>dias úteis para fins de liquidação, na forma desta seção, prorrogáveis por igual período.</w:t>
      </w:r>
    </w:p>
    <w:p w14:paraId="039B23DC">
      <w:pPr>
        <w:spacing w:line="360" w:lineRule="auto"/>
        <w:ind w:left="-567" w:right="-568"/>
        <w:jc w:val="both"/>
      </w:pPr>
      <w:r>
        <w:t xml:space="preserve">12.2. O pagamento será realizado no prazo máximo de até 30 (trinta) dias contados da finalização da liquidação da despesa, através de ordem bancária, para crédito em banco, agência e conta corrente indicados pelo contratado, respeitada a ordem cronológica prevista no artigo 142 da 14.133/21. </w:t>
      </w:r>
    </w:p>
    <w:p w14:paraId="3B273203">
      <w:pPr>
        <w:spacing w:line="360" w:lineRule="auto"/>
        <w:ind w:left="-567" w:right="-568"/>
        <w:jc w:val="both"/>
      </w:pPr>
      <w:r>
        <w:t>12.3. Considera-se ocorrido o recebimento da nota fiscal ou fatura no momento em que o Órgão contratante atestar a execução do objeto do contrato.</w:t>
      </w:r>
    </w:p>
    <w:p w14:paraId="11E15173">
      <w:pPr>
        <w:spacing w:line="360" w:lineRule="auto"/>
        <w:ind w:left="-567" w:right="-568"/>
        <w:jc w:val="both"/>
      </w:pPr>
      <w:r>
        <w:t>12.4. A Nota Fiscal ou Fatura deverá ser obrigatoriamente acompanhada da comprovação da regularidade fiscal, mediante consulta aos sítios eletrônicos oficiais ou à documentação mencionada no art. 68 da Lei 14.133/202.1</w:t>
      </w:r>
    </w:p>
    <w:p w14:paraId="1E11F09B">
      <w:pPr>
        <w:spacing w:line="360" w:lineRule="auto"/>
        <w:ind w:left="-567" w:right="-568"/>
        <w:jc w:val="both"/>
      </w:pPr>
      <w:r>
        <w:t>12.5. O pagamento somente será efetuado após o “atesto”, pelo servidor competente, da Nota Fiscal/Fatura apresentada pela Contratada, acompanhada das Certidões Negativas de Débitos Previdenciários, Trabalhistas, FGTS, Fazendas Federal, Estadual e Municipal.</w:t>
      </w:r>
    </w:p>
    <w:p w14:paraId="44D5F4C3">
      <w:pPr>
        <w:spacing w:line="360" w:lineRule="auto"/>
        <w:ind w:left="-567" w:right="-568"/>
        <w:jc w:val="both"/>
      </w:pPr>
      <w:r>
        <w:t>12.5.1. O “atesto” fica condicionado à verificação da conformidade da Nota Fiscal/Fatura apresentada pela Contratada e do regular cumprimento das obrigações assumidas.</w:t>
      </w:r>
    </w:p>
    <w:p w14:paraId="5466AEFA">
      <w:pPr>
        <w:spacing w:line="360" w:lineRule="auto"/>
        <w:ind w:left="-567" w:right="-568"/>
        <w:jc w:val="both"/>
      </w:pPr>
      <w:r>
        <w:t>12.6.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3E43F08F">
      <w:pPr>
        <w:spacing w:line="360" w:lineRule="auto"/>
        <w:ind w:left="-567" w:right="-568"/>
        <w:jc w:val="both"/>
      </w:pPr>
      <w:r>
        <w:t>12.7. Quando do pagamento, será efetuada a retenção tributária prevista na legislação aplicável, nos termos da Instrução Normativa n° 1.234, de 11 de janeiro de 2012, da Secretaria da Receita Federal do Brasil.</w:t>
      </w:r>
    </w:p>
    <w:p w14:paraId="6022F7ED">
      <w:pPr>
        <w:spacing w:line="360" w:lineRule="auto"/>
        <w:ind w:left="-567" w:right="-568"/>
        <w:jc w:val="both"/>
      </w:pPr>
      <w:r>
        <w:t>12.8.1. 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14:paraId="7C899091">
      <w:pPr>
        <w:spacing w:line="360" w:lineRule="auto"/>
        <w:ind w:left="-567" w:right="-568"/>
        <w:jc w:val="both"/>
      </w:pPr>
      <w:r>
        <w:t>12.9. O pagamento será efetuado por meio de Ordem Bancária de Crédito, mediante depósito em conta-corrente, na agência e estabelecimento bancário indicado pela Contratada, ou por outro meio previsto na legislação vigente.</w:t>
      </w:r>
    </w:p>
    <w:p w14:paraId="6F46F6E6">
      <w:pPr>
        <w:spacing w:line="360" w:lineRule="auto"/>
        <w:ind w:left="-567" w:right="-568"/>
        <w:jc w:val="both"/>
      </w:pPr>
      <w:r>
        <w:t>12.10. Será considerada data do pagamento o dia em que constar como emitida a ordem bancária para pagamento.</w:t>
      </w:r>
    </w:p>
    <w:p w14:paraId="34DB5569">
      <w:pPr>
        <w:spacing w:line="360" w:lineRule="auto"/>
        <w:ind w:left="-567" w:right="-568"/>
        <w:jc w:val="both"/>
      </w:pPr>
      <w:r>
        <w:t>12.11. A Contratante não se responsabilizará por qualquer despesa que venha a ser efetuada pela Contratada, que porventura não tenha sido acordada no contrato.</w:t>
      </w:r>
    </w:p>
    <w:p w14:paraId="0174AF91">
      <w:pPr>
        <w:pBdr>
          <w:top w:val="none" w:color="auto" w:sz="0" w:space="0"/>
          <w:left w:val="none" w:color="auto" w:sz="0" w:space="0"/>
          <w:bottom w:val="none" w:color="auto" w:sz="0" w:space="0"/>
          <w:right w:val="none" w:color="auto" w:sz="0" w:space="0"/>
          <w:between w:val="none" w:color="auto" w:sz="0" w:space="0"/>
        </w:pBdr>
        <w:spacing w:line="360" w:lineRule="auto"/>
        <w:ind w:left="-567" w:right="-568"/>
        <w:jc w:val="both"/>
        <w:rPr>
          <w:color w:val="000000"/>
        </w:rPr>
      </w:pPr>
    </w:p>
    <w:p w14:paraId="220B7DCE">
      <w:pPr>
        <w:spacing w:line="360" w:lineRule="auto"/>
        <w:ind w:left="-567" w:right="-568"/>
        <w:jc w:val="both"/>
        <w:rPr>
          <w:b/>
        </w:rPr>
      </w:pPr>
      <w:r>
        <w:rPr>
          <w:b/>
        </w:rPr>
        <w:t>13 – OBRIGAÇÕES DA CONTRATADA</w:t>
      </w:r>
    </w:p>
    <w:p w14:paraId="2178C2FA">
      <w:pPr>
        <w:spacing w:line="360" w:lineRule="auto"/>
        <w:ind w:left="-567" w:right="-568"/>
        <w:jc w:val="both"/>
      </w:pPr>
      <w:r>
        <w:t>13.1.</w:t>
      </w:r>
      <w:r>
        <w:rPr>
          <w:b/>
        </w:rPr>
        <w:t xml:space="preserve"> </w:t>
      </w:r>
      <w:r>
        <w:t>A CONTRATADA obriga-se a:</w:t>
      </w:r>
    </w:p>
    <w:p w14:paraId="1CD365FB">
      <w:pPr>
        <w:spacing w:line="360" w:lineRule="auto"/>
        <w:ind w:left="-567" w:right="-568"/>
        <w:jc w:val="both"/>
      </w:pPr>
      <w:r>
        <w:t>13.1.1. A efetuar a entrega do objeto em perfeitas condições, no prazo e local indicados pela Administração, em estrita observância às especificações do Termo de Referência e de sua proposta, com os recursos necessários ao perfeito cumprimento das cláusulas contratuais;</w:t>
      </w:r>
    </w:p>
    <w:p w14:paraId="54EBE3E6">
      <w:pPr>
        <w:spacing w:line="360" w:lineRule="auto"/>
        <w:ind w:left="-567" w:right="-568"/>
        <w:jc w:val="both"/>
      </w:pPr>
      <w:r>
        <w:t>13.1.3. O objeto deve estar acompanhado, ainda, quando for o caso, do manual do usuário, com uma versão em português, e da relação da rede de assistência técnica autorizada;</w:t>
      </w:r>
    </w:p>
    <w:p w14:paraId="3FAFF219">
      <w:pPr>
        <w:spacing w:line="360" w:lineRule="auto"/>
        <w:ind w:left="-567" w:right="-568"/>
        <w:jc w:val="both"/>
      </w:pPr>
      <w:r>
        <w:t>13.1.4. Responsabilizar-se pelos vícios e danos decorrentes do produto, de acordo com os artigos 12, 13, 18 e 26, do Código de Defesa do Consumidor (Lei nº 8.078, de 1990);</w:t>
      </w:r>
    </w:p>
    <w:p w14:paraId="1314A42F">
      <w:pPr>
        <w:spacing w:line="360" w:lineRule="auto"/>
        <w:ind w:left="-567" w:right="-568"/>
        <w:jc w:val="both"/>
      </w:pPr>
      <w:r>
        <w:t>13.1.5. O dever previsto no subitem anterior implica na obrigação de, a critério da Administração, substituir ou remover, às suas expensas, no prazo máximo de</w:t>
      </w:r>
      <w:r>
        <w:rPr>
          <w:b/>
        </w:rPr>
        <w:t xml:space="preserve"> </w:t>
      </w:r>
      <w:r>
        <w:t>5 (cinco) dias, o produto com avarias ou defeitos;</w:t>
      </w:r>
    </w:p>
    <w:p w14:paraId="4EFE54D2">
      <w:pPr>
        <w:spacing w:line="360" w:lineRule="auto"/>
        <w:ind w:left="-567" w:right="-568"/>
        <w:jc w:val="both"/>
      </w:pPr>
      <w:r>
        <w:t>13.1.6. Atender prontamente a quaisquer exigências da Administração, inerentes ao objeto da presente licitação;</w:t>
      </w:r>
    </w:p>
    <w:p w14:paraId="67DB55FA">
      <w:pPr>
        <w:spacing w:line="360" w:lineRule="auto"/>
        <w:ind w:left="-567" w:right="-568"/>
        <w:jc w:val="both"/>
      </w:pPr>
      <w:r>
        <w:t>13.1.7. Comunicar à Administração, no prazo máximo de 24 (vinte e quatro) horas que antecede a data da entrega, os motivos que impossibilitem o cumprimento do prazo previsto, com a devida comprovação;</w:t>
      </w:r>
    </w:p>
    <w:p w14:paraId="466BF1F7">
      <w:pPr>
        <w:spacing w:line="360" w:lineRule="auto"/>
        <w:ind w:left="-567" w:right="-568"/>
        <w:jc w:val="both"/>
      </w:pPr>
      <w:r>
        <w:t>13.1.8. Manter, durante toda a execução do contrato, em compatibilidade com as obrigações assumidas, todas as condições de habilitação e qualificação exigidas na licitação;</w:t>
      </w:r>
    </w:p>
    <w:p w14:paraId="46E622B4">
      <w:pPr>
        <w:spacing w:line="360" w:lineRule="auto"/>
        <w:ind w:left="-567" w:right="-568"/>
        <w:jc w:val="both"/>
      </w:pPr>
      <w:r>
        <w:t>13.1.9. Não transferir a terceiros, por qualquer forma, nem mesmo parcialmente, as obrigações assumidas, nem subcontratar qualquer das prestações a que está obrigada, exceto nas condições autorizadas no Termo de Referência ou na minuta de contrato;</w:t>
      </w:r>
    </w:p>
    <w:p w14:paraId="538CE97C">
      <w:pPr>
        <w:spacing w:line="360" w:lineRule="auto"/>
        <w:ind w:left="-567" w:right="-568"/>
        <w:jc w:val="both"/>
      </w:pPr>
      <w:r>
        <w:t>13.1.10. Não permitir a utilização de qualquer trabalho do menor de dezesseis anos, exceto na condição de aprendiz para os maiores de quatorze anos; nem permitir a utilização do trabalho do menor de dezoito anos em trabalho noturno, perigoso ou insalubre;</w:t>
      </w:r>
    </w:p>
    <w:p w14:paraId="036665B4">
      <w:pPr>
        <w:spacing w:line="360" w:lineRule="auto"/>
        <w:ind w:left="-567" w:right="-568"/>
        <w:jc w:val="both"/>
      </w:pPr>
      <w:r>
        <w:t>13.1.11. Responsabilizar-se pelas despesas dos tributos, encargos trabalhistas, previdenciários, fiscais, comerciais, taxas, fretes, seguros, deslocamento de pessoal, prestação de garantia e quaisquer outras que incidam ou venham a incidir na execução do contrato.</w:t>
      </w:r>
    </w:p>
    <w:p w14:paraId="3F3DB69B">
      <w:pPr>
        <w:spacing w:line="360" w:lineRule="auto"/>
        <w:ind w:left="-567" w:right="-568"/>
        <w:jc w:val="both"/>
      </w:pPr>
    </w:p>
    <w:p w14:paraId="3E72B4A6">
      <w:pPr>
        <w:spacing w:line="360" w:lineRule="auto"/>
        <w:ind w:left="-567" w:right="-568"/>
        <w:jc w:val="both"/>
        <w:rPr>
          <w:b/>
        </w:rPr>
      </w:pPr>
      <w:r>
        <w:rPr>
          <w:b/>
        </w:rPr>
        <w:t>14 - OBRIGAÇÕES DA CONTRATANTE</w:t>
      </w:r>
    </w:p>
    <w:p w14:paraId="04075398">
      <w:pPr>
        <w:spacing w:line="360" w:lineRule="auto"/>
        <w:ind w:left="-567" w:right="-568"/>
        <w:jc w:val="both"/>
      </w:pPr>
      <w:r>
        <w:t>14.1. A CONTRATANTE obriga-se a:</w:t>
      </w:r>
    </w:p>
    <w:p w14:paraId="7AD9406C">
      <w:pPr>
        <w:spacing w:line="360" w:lineRule="auto"/>
        <w:ind w:left="-567" w:right="-568"/>
        <w:jc w:val="both"/>
      </w:pPr>
      <w:r>
        <w:t>14.1.1. Receber provisoriamente o objeto, disponibilizando local, data e horário e demais condições estabelecidas no Edital;</w:t>
      </w:r>
    </w:p>
    <w:p w14:paraId="7798F74F">
      <w:pPr>
        <w:spacing w:line="360" w:lineRule="auto"/>
        <w:ind w:left="-567" w:right="-568"/>
        <w:jc w:val="both"/>
      </w:pPr>
      <w:r>
        <w:t xml:space="preserve">14.1.2. Verificar minuciosamente, no prazo fixado, a conformidade dos bens recebidos provisoriamente com as especificações constantes no Termo de Referência, para fins de aceitação e recebimento definitivos; </w:t>
      </w:r>
    </w:p>
    <w:p w14:paraId="3E070C1A">
      <w:pPr>
        <w:spacing w:line="360" w:lineRule="auto"/>
        <w:ind w:left="-567" w:right="-568"/>
        <w:jc w:val="both"/>
      </w:pPr>
      <w:r>
        <w:t>14.1.3. Acompanhar e fiscalizar o cumprimento das obrigações da Contratada, através de servidor especialmente designado;</w:t>
      </w:r>
    </w:p>
    <w:p w14:paraId="6DD29F5C">
      <w:pPr>
        <w:spacing w:line="360" w:lineRule="auto"/>
        <w:ind w:left="-567" w:right="-568"/>
        <w:jc w:val="both"/>
      </w:pPr>
      <w:r>
        <w:t>14.1.4. Comunicar à Contratada, por escrito, sobre imperfeições, falhas ou irregularidades verificadas no objeto fornecido, para que seja substituído, reparado ou corrigido;</w:t>
      </w:r>
    </w:p>
    <w:p w14:paraId="5CD3994D">
      <w:pPr>
        <w:spacing w:line="360" w:lineRule="auto"/>
        <w:ind w:left="-567" w:right="-568"/>
        <w:jc w:val="both"/>
      </w:pPr>
      <w:r>
        <w:t>14.1.5. Efetuar o pagamento à Contratada no valor correspondente ao fornecimento do objeto, no prazo e na forma estabelecidos nesse termo;</w:t>
      </w:r>
    </w:p>
    <w:p w14:paraId="610C1701">
      <w:pPr>
        <w:spacing w:line="360" w:lineRule="auto"/>
        <w:ind w:left="-567" w:right="-568"/>
        <w:jc w:val="both"/>
      </w:pPr>
      <w:r>
        <w:t>14.2.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46EB2ECD">
      <w:pPr>
        <w:spacing w:line="360" w:lineRule="auto"/>
        <w:ind w:left="-567" w:right="-568"/>
        <w:jc w:val="both"/>
      </w:pPr>
    </w:p>
    <w:p w14:paraId="1157AA07">
      <w:pPr>
        <w:spacing w:line="360" w:lineRule="auto"/>
        <w:ind w:left="-567" w:right="-568"/>
        <w:jc w:val="both"/>
        <w:rPr>
          <w:b/>
        </w:rPr>
      </w:pPr>
      <w:r>
        <w:rPr>
          <w:b/>
        </w:rPr>
        <w:t>16 - DA SUBCONTRATAÇÃO</w:t>
      </w:r>
    </w:p>
    <w:p w14:paraId="5BF6318C">
      <w:pPr>
        <w:spacing w:line="360" w:lineRule="auto"/>
        <w:ind w:left="-567" w:right="-568"/>
        <w:jc w:val="both"/>
      </w:pPr>
      <w:r>
        <w:t>16.1. Não será admitida a subcontratação.</w:t>
      </w:r>
    </w:p>
    <w:p w14:paraId="38DD670B">
      <w:pPr>
        <w:spacing w:line="360" w:lineRule="auto"/>
        <w:ind w:left="-567" w:right="-568"/>
        <w:jc w:val="both"/>
      </w:pPr>
    </w:p>
    <w:p w14:paraId="0E6FBD12">
      <w:pPr>
        <w:spacing w:line="360" w:lineRule="auto"/>
        <w:ind w:left="-567" w:right="-568"/>
        <w:jc w:val="both"/>
        <w:rPr>
          <w:b/>
        </w:rPr>
      </w:pPr>
      <w:r>
        <w:rPr>
          <w:b/>
        </w:rPr>
        <w:t>17 - DAS DISPOSIÇÕES GERAIS</w:t>
      </w:r>
    </w:p>
    <w:p w14:paraId="1AD89A42">
      <w:pPr>
        <w:spacing w:line="360" w:lineRule="auto"/>
        <w:ind w:left="-567" w:right="-568"/>
        <w:jc w:val="both"/>
      </w:pPr>
      <w:r>
        <w:t>17.1. O Município de Ipirá-Ba reserva-se no direito de impugnar o fornecimento prestado, se esses não estiverem de acordo com as especificações contidas neste Termo de referência.</w:t>
      </w:r>
    </w:p>
    <w:p w14:paraId="1D344DD5">
      <w:pPr>
        <w:spacing w:line="360" w:lineRule="auto"/>
        <w:ind w:left="-567" w:right="-568"/>
        <w:jc w:val="both"/>
      </w:pPr>
      <w:r>
        <w:t>17.2. Os casos omissos serão resolvidos com base nos dispositivos constantes na Lei 14.133/2021 e no Decreto Municipal 296/2023.</w:t>
      </w:r>
    </w:p>
    <w:p w14:paraId="007166CC">
      <w:pPr>
        <w:spacing w:line="360" w:lineRule="auto"/>
        <w:ind w:left="-567" w:right="-568"/>
        <w:jc w:val="both"/>
      </w:pPr>
      <w:r>
        <w:t xml:space="preserve">17.3. Fica eleito o foro da Comarca de Ipirá-Ba como único e competente para dirimir quaisquer demandas do presente contrato, por mais privilegiado que outro possa ser. </w:t>
      </w:r>
    </w:p>
    <w:p w14:paraId="58629B9A">
      <w:pPr>
        <w:spacing w:line="360" w:lineRule="auto"/>
        <w:ind w:left="-567" w:right="-568"/>
        <w:jc w:val="both"/>
      </w:pPr>
    </w:p>
    <w:p w14:paraId="515C8E0F">
      <w:pPr>
        <w:rPr>
          <w:color w:val="000000"/>
        </w:rPr>
      </w:pPr>
    </w:p>
    <w:p w14:paraId="1E491C90">
      <w:pPr>
        <w:rPr>
          <w:color w:val="000000"/>
        </w:rPr>
      </w:pPr>
    </w:p>
    <w:p w14:paraId="6D30997E">
      <w:pPr>
        <w:rPr>
          <w:color w:val="000000"/>
        </w:rPr>
      </w:pPr>
    </w:p>
    <w:p w14:paraId="3C6CEF1F">
      <w:pPr>
        <w:rPr>
          <w:color w:val="000000"/>
        </w:rPr>
      </w:pPr>
    </w:p>
    <w:p w14:paraId="31560566">
      <w:pPr>
        <w:rPr>
          <w:color w:val="000000"/>
        </w:rPr>
      </w:pPr>
    </w:p>
    <w:p w14:paraId="1372FA87">
      <w:pPr>
        <w:rPr>
          <w:color w:val="000000"/>
        </w:rPr>
      </w:pPr>
    </w:p>
    <w:p w14:paraId="41D16872">
      <w:pPr>
        <w:rPr>
          <w:color w:val="000000"/>
        </w:rPr>
      </w:pPr>
    </w:p>
    <w:p w14:paraId="3B4AF192">
      <w:pPr>
        <w:rPr>
          <w:color w:val="000000"/>
        </w:rPr>
      </w:pPr>
    </w:p>
    <w:p w14:paraId="32A04437">
      <w:pPr>
        <w:rPr>
          <w:color w:val="000000"/>
        </w:rPr>
      </w:pPr>
    </w:p>
    <w:p w14:paraId="52437D92">
      <w:pPr>
        <w:rPr>
          <w:color w:val="000000"/>
        </w:rPr>
      </w:pPr>
    </w:p>
    <w:p w14:paraId="5E765161">
      <w:pPr>
        <w:rPr>
          <w:color w:val="000000"/>
        </w:rPr>
      </w:pPr>
    </w:p>
    <w:p w14:paraId="6F00F0E9">
      <w:pPr>
        <w:rPr>
          <w:color w:val="000000"/>
        </w:rPr>
      </w:pPr>
    </w:p>
    <w:p w14:paraId="193C6725">
      <w:pPr>
        <w:rPr>
          <w:color w:val="000000"/>
        </w:rPr>
      </w:pPr>
    </w:p>
    <w:p w14:paraId="17B8DCDB">
      <w:pPr>
        <w:rPr>
          <w:color w:val="000000"/>
        </w:rPr>
      </w:pPr>
    </w:p>
    <w:p w14:paraId="50C5E0A3">
      <w:pPr>
        <w:rPr>
          <w:color w:val="000000"/>
        </w:rPr>
      </w:pPr>
    </w:p>
    <w:p w14:paraId="51CC1A79">
      <w:pPr>
        <w:rPr>
          <w:color w:val="000000"/>
        </w:rPr>
      </w:pPr>
    </w:p>
    <w:p w14:paraId="1DC5021E">
      <w:pPr>
        <w:rPr>
          <w:color w:val="000000"/>
        </w:rPr>
      </w:pPr>
    </w:p>
    <w:p w14:paraId="3E9F25BD">
      <w:pPr>
        <w:rPr>
          <w:color w:val="000000"/>
        </w:rPr>
      </w:pPr>
    </w:p>
    <w:p w14:paraId="2E39D68C">
      <w:pPr>
        <w:rPr>
          <w:color w:val="000000"/>
        </w:rPr>
      </w:pPr>
    </w:p>
    <w:p w14:paraId="35C59443">
      <w:pPr>
        <w:rPr>
          <w:color w:val="000000"/>
        </w:rPr>
      </w:pPr>
    </w:p>
    <w:p w14:paraId="0FB6FAA9">
      <w:pPr>
        <w:rPr>
          <w:color w:val="000000"/>
        </w:rPr>
      </w:pPr>
    </w:p>
    <w:p w14:paraId="42F5C2B2">
      <w:pPr>
        <w:rPr>
          <w:color w:val="000000"/>
        </w:rPr>
      </w:pPr>
    </w:p>
    <w:p w14:paraId="1F774755">
      <w:pPr>
        <w:rPr>
          <w:color w:val="000000"/>
        </w:rPr>
      </w:pPr>
    </w:p>
    <w:p w14:paraId="358CDFA8">
      <w:pPr>
        <w:rPr>
          <w:color w:val="000000"/>
        </w:rPr>
      </w:pPr>
    </w:p>
    <w:p w14:paraId="221F8090">
      <w:pPr>
        <w:rPr>
          <w:color w:val="000000"/>
        </w:rPr>
      </w:pPr>
    </w:p>
    <w:p w14:paraId="1A9F7FAB">
      <w:pPr>
        <w:rPr>
          <w:color w:val="000000"/>
        </w:rPr>
      </w:pPr>
    </w:p>
    <w:p w14:paraId="2A633807">
      <w:pPr>
        <w:rPr>
          <w:color w:val="000000"/>
        </w:rPr>
      </w:pPr>
    </w:p>
    <w:p w14:paraId="3B88FA5F"/>
    <w:p w14:paraId="647DC0D2">
      <w:pPr>
        <w:tabs>
          <w:tab w:val="left" w:pos="4185"/>
          <w:tab w:val="center" w:pos="4889"/>
        </w:tabs>
        <w:spacing w:line="360" w:lineRule="auto"/>
        <w:jc w:val="center"/>
      </w:pPr>
    </w:p>
    <w:p w14:paraId="2ECAC210">
      <w:pPr>
        <w:ind w:left="-567" w:right="-852"/>
        <w:jc w:val="center"/>
        <w:rPr>
          <w:b/>
          <w:sz w:val="24"/>
          <w:szCs w:val="24"/>
        </w:rPr>
      </w:pPr>
    </w:p>
    <w:p w14:paraId="1D56D7A5">
      <w:pPr>
        <w:ind w:left="-567" w:right="-852"/>
        <w:jc w:val="center"/>
        <w:rPr>
          <w:b/>
          <w:sz w:val="24"/>
          <w:szCs w:val="24"/>
        </w:rPr>
      </w:pPr>
    </w:p>
    <w:p w14:paraId="2E487042">
      <w:pPr>
        <w:ind w:left="-567" w:right="-852"/>
        <w:jc w:val="center"/>
        <w:rPr>
          <w:b/>
          <w:sz w:val="24"/>
          <w:szCs w:val="24"/>
        </w:rPr>
      </w:pPr>
    </w:p>
    <w:p w14:paraId="6847944A">
      <w:pPr>
        <w:ind w:left="-567" w:right="-852"/>
        <w:jc w:val="center"/>
        <w:rPr>
          <w:b/>
          <w:sz w:val="24"/>
          <w:szCs w:val="24"/>
        </w:rPr>
      </w:pPr>
    </w:p>
    <w:p w14:paraId="10BF1068">
      <w:pPr>
        <w:ind w:left="-567" w:right="-852"/>
        <w:jc w:val="center"/>
        <w:rPr>
          <w:b/>
          <w:sz w:val="24"/>
          <w:szCs w:val="24"/>
        </w:rPr>
      </w:pPr>
    </w:p>
    <w:p w14:paraId="551AE920">
      <w:pPr>
        <w:jc w:val="center"/>
        <w:rPr>
          <w:sz w:val="24"/>
          <w:szCs w:val="24"/>
        </w:rPr>
      </w:pPr>
      <w:r>
        <w:rPr>
          <w:b/>
          <w:sz w:val="24"/>
          <w:szCs w:val="24"/>
        </w:rPr>
        <w:t>ANEXO II</w:t>
      </w:r>
    </w:p>
    <w:p w14:paraId="1D7D8324">
      <w:pPr>
        <w:jc w:val="center"/>
        <w:rPr>
          <w:b/>
          <w:sz w:val="24"/>
          <w:szCs w:val="24"/>
        </w:rPr>
      </w:pPr>
      <w:r>
        <w:rPr>
          <w:b/>
          <w:sz w:val="24"/>
          <w:szCs w:val="24"/>
        </w:rPr>
        <w:t>MODELO DE PROPOSTA DE PREÇOS</w:t>
      </w:r>
    </w:p>
    <w:p w14:paraId="735EB464">
      <w:pPr>
        <w:jc w:val="center"/>
        <w:rPr>
          <w:b/>
          <w:sz w:val="24"/>
          <w:szCs w:val="24"/>
        </w:rPr>
      </w:pPr>
    </w:p>
    <w:tbl>
      <w:tblPr>
        <w:tblStyle w:val="9"/>
        <w:tblW w:w="9776" w:type="dxa"/>
        <w:tblInd w:w="-120" w:type="dxa"/>
        <w:tblLayout w:type="fixed"/>
        <w:tblCellMar>
          <w:top w:w="0" w:type="dxa"/>
          <w:left w:w="108" w:type="dxa"/>
          <w:bottom w:w="0" w:type="dxa"/>
          <w:right w:w="108" w:type="dxa"/>
        </w:tblCellMar>
      </w:tblPr>
      <w:tblGrid>
        <w:gridCol w:w="3138"/>
        <w:gridCol w:w="561"/>
        <w:gridCol w:w="1397"/>
        <w:gridCol w:w="4680"/>
      </w:tblGrid>
      <w:tr w14:paraId="73147432">
        <w:tblPrEx>
          <w:tblCellMar>
            <w:top w:w="0" w:type="dxa"/>
            <w:left w:w="108" w:type="dxa"/>
            <w:bottom w:w="0" w:type="dxa"/>
            <w:right w:w="108" w:type="dxa"/>
          </w:tblCellMar>
        </w:tblPrEx>
        <w:trPr>
          <w:trHeight w:val="129" w:hRule="atLeast"/>
        </w:trPr>
        <w:tc>
          <w:tcPr>
            <w:tcW w:w="9776" w:type="dxa"/>
            <w:gridSpan w:val="4"/>
            <w:tcBorders>
              <w:top w:val="single" w:color="000000" w:sz="4" w:space="0"/>
              <w:left w:val="single" w:color="000000" w:sz="4" w:space="0"/>
              <w:bottom w:val="single" w:color="000000" w:sz="4" w:space="0"/>
              <w:right w:val="single" w:color="000000" w:sz="4" w:space="0"/>
            </w:tcBorders>
            <w:shd w:val="clear" w:color="auto" w:fill="F2F2F2"/>
          </w:tcPr>
          <w:p w14:paraId="13A08E01">
            <w:pPr>
              <w:jc w:val="center"/>
              <w:rPr>
                <w:b/>
                <w:sz w:val="24"/>
                <w:szCs w:val="24"/>
              </w:rPr>
            </w:pPr>
            <w:r>
              <w:rPr>
                <w:b/>
                <w:sz w:val="24"/>
                <w:szCs w:val="24"/>
              </w:rPr>
              <w:t>MODALIDADE PREGÃO ELETRÔNICO Nº XXX/2024</w:t>
            </w:r>
          </w:p>
        </w:tc>
      </w:tr>
      <w:tr w14:paraId="5D14FF85">
        <w:tblPrEx>
          <w:tblCellMar>
            <w:top w:w="0" w:type="dxa"/>
            <w:left w:w="108" w:type="dxa"/>
            <w:bottom w:w="0" w:type="dxa"/>
            <w:right w:w="108" w:type="dxa"/>
          </w:tblCellMar>
        </w:tblPrEx>
        <w:trPr>
          <w:trHeight w:val="228" w:hRule="atLeast"/>
        </w:trPr>
        <w:tc>
          <w:tcPr>
            <w:tcW w:w="9776" w:type="dxa"/>
            <w:gridSpan w:val="4"/>
            <w:tcBorders>
              <w:top w:val="single" w:color="000000" w:sz="4" w:space="0"/>
              <w:left w:val="single" w:color="000000" w:sz="4" w:space="0"/>
              <w:bottom w:val="single" w:color="000000" w:sz="4" w:space="0"/>
              <w:right w:val="single" w:color="000000" w:sz="4" w:space="0"/>
            </w:tcBorders>
            <w:shd w:val="clear" w:color="auto" w:fill="auto"/>
          </w:tcPr>
          <w:p w14:paraId="531747B9">
            <w:pPr>
              <w:jc w:val="center"/>
              <w:rPr>
                <w:b/>
                <w:sz w:val="24"/>
                <w:szCs w:val="24"/>
              </w:rPr>
            </w:pPr>
            <w:r>
              <w:rPr>
                <w:b/>
                <w:sz w:val="24"/>
                <w:szCs w:val="24"/>
              </w:rPr>
              <w:t xml:space="preserve">RAZÃO SOCIAL: </w:t>
            </w:r>
          </w:p>
          <w:p w14:paraId="29D66CEE">
            <w:pPr>
              <w:jc w:val="center"/>
              <w:rPr>
                <w:b/>
                <w:sz w:val="24"/>
                <w:szCs w:val="24"/>
              </w:rPr>
            </w:pPr>
          </w:p>
        </w:tc>
      </w:tr>
      <w:tr w14:paraId="0F146485">
        <w:tblPrEx>
          <w:tblCellMar>
            <w:top w:w="0" w:type="dxa"/>
            <w:left w:w="108" w:type="dxa"/>
            <w:bottom w:w="0" w:type="dxa"/>
            <w:right w:w="108" w:type="dxa"/>
          </w:tblCellMar>
        </w:tblPrEx>
        <w:trPr>
          <w:trHeight w:val="228" w:hRule="atLeast"/>
        </w:trPr>
        <w:tc>
          <w:tcPr>
            <w:tcW w:w="3699" w:type="dxa"/>
            <w:gridSpan w:val="2"/>
            <w:tcBorders>
              <w:top w:val="single" w:color="000000" w:sz="4" w:space="0"/>
              <w:left w:val="single" w:color="000000" w:sz="4" w:space="0"/>
              <w:bottom w:val="single" w:color="000000" w:sz="4" w:space="0"/>
              <w:right w:val="single" w:color="000000" w:sz="4" w:space="0"/>
            </w:tcBorders>
            <w:shd w:val="clear" w:color="auto" w:fill="auto"/>
          </w:tcPr>
          <w:p w14:paraId="11A1B07C">
            <w:pPr>
              <w:jc w:val="center"/>
              <w:rPr>
                <w:b/>
                <w:sz w:val="24"/>
                <w:szCs w:val="24"/>
              </w:rPr>
            </w:pPr>
            <w:r>
              <w:rPr>
                <w:b/>
                <w:sz w:val="24"/>
                <w:szCs w:val="24"/>
              </w:rPr>
              <w:t>CNPJ:</w:t>
            </w:r>
          </w:p>
          <w:p w14:paraId="5A6B1797">
            <w:pPr>
              <w:jc w:val="center"/>
              <w:rPr>
                <w:b/>
                <w:sz w:val="24"/>
                <w:szCs w:val="24"/>
              </w:rPr>
            </w:pPr>
            <w:r>
              <w:rPr>
                <w:b/>
                <w:sz w:val="24"/>
                <w:szCs w:val="24"/>
              </w:rPr>
              <w:t xml:space="preserve"> </w:t>
            </w:r>
          </w:p>
        </w:tc>
        <w:tc>
          <w:tcPr>
            <w:tcW w:w="6077" w:type="dxa"/>
            <w:gridSpan w:val="2"/>
            <w:tcBorders>
              <w:top w:val="single" w:color="000000" w:sz="4" w:space="0"/>
              <w:left w:val="nil"/>
              <w:bottom w:val="single" w:color="000000" w:sz="4" w:space="0"/>
              <w:right w:val="single" w:color="000000" w:sz="4" w:space="0"/>
            </w:tcBorders>
            <w:shd w:val="clear" w:color="auto" w:fill="auto"/>
          </w:tcPr>
          <w:p w14:paraId="66BB40E0">
            <w:pPr>
              <w:jc w:val="center"/>
              <w:rPr>
                <w:b/>
                <w:sz w:val="24"/>
                <w:szCs w:val="24"/>
              </w:rPr>
            </w:pPr>
            <w:r>
              <w:rPr>
                <w:b/>
                <w:sz w:val="24"/>
                <w:szCs w:val="24"/>
              </w:rPr>
              <w:t xml:space="preserve">INSCRIÇÃO ESTADUAL: </w:t>
            </w:r>
          </w:p>
        </w:tc>
      </w:tr>
      <w:tr w14:paraId="29EDE676">
        <w:tblPrEx>
          <w:tblCellMar>
            <w:top w:w="0" w:type="dxa"/>
            <w:left w:w="108" w:type="dxa"/>
            <w:bottom w:w="0" w:type="dxa"/>
            <w:right w:w="108" w:type="dxa"/>
          </w:tblCellMar>
        </w:tblPrEx>
        <w:trPr>
          <w:trHeight w:val="228" w:hRule="atLeast"/>
        </w:trPr>
        <w:tc>
          <w:tcPr>
            <w:tcW w:w="9776" w:type="dxa"/>
            <w:gridSpan w:val="4"/>
            <w:tcBorders>
              <w:top w:val="single" w:color="000000" w:sz="4" w:space="0"/>
              <w:left w:val="single" w:color="000000" w:sz="4" w:space="0"/>
              <w:bottom w:val="single" w:color="000000" w:sz="4" w:space="0"/>
              <w:right w:val="single" w:color="000000" w:sz="4" w:space="0"/>
            </w:tcBorders>
            <w:shd w:val="clear" w:color="auto" w:fill="auto"/>
          </w:tcPr>
          <w:p w14:paraId="3FAD6FB6">
            <w:pPr>
              <w:jc w:val="center"/>
              <w:rPr>
                <w:b/>
                <w:sz w:val="24"/>
                <w:szCs w:val="24"/>
              </w:rPr>
            </w:pPr>
            <w:r>
              <w:rPr>
                <w:b/>
                <w:sz w:val="24"/>
                <w:szCs w:val="24"/>
              </w:rPr>
              <w:t xml:space="preserve">ENDEREÇO: </w:t>
            </w:r>
          </w:p>
          <w:p w14:paraId="6971789B">
            <w:pPr>
              <w:jc w:val="center"/>
              <w:rPr>
                <w:b/>
                <w:sz w:val="24"/>
                <w:szCs w:val="24"/>
              </w:rPr>
            </w:pPr>
          </w:p>
        </w:tc>
      </w:tr>
      <w:tr w14:paraId="61B700BA">
        <w:tblPrEx>
          <w:tblCellMar>
            <w:top w:w="0" w:type="dxa"/>
            <w:left w:w="108" w:type="dxa"/>
            <w:bottom w:w="0" w:type="dxa"/>
            <w:right w:w="108" w:type="dxa"/>
          </w:tblCellMar>
        </w:tblPrEx>
        <w:trPr>
          <w:trHeight w:val="228" w:hRule="atLeast"/>
        </w:trPr>
        <w:tc>
          <w:tcPr>
            <w:tcW w:w="5096" w:type="dxa"/>
            <w:gridSpan w:val="3"/>
            <w:tcBorders>
              <w:top w:val="single" w:color="000000" w:sz="4" w:space="0"/>
              <w:left w:val="single" w:color="000000" w:sz="4" w:space="0"/>
              <w:bottom w:val="single" w:color="000000" w:sz="4" w:space="0"/>
              <w:right w:val="single" w:color="000000" w:sz="4" w:space="0"/>
            </w:tcBorders>
            <w:shd w:val="clear" w:color="auto" w:fill="auto"/>
          </w:tcPr>
          <w:p w14:paraId="58F39492">
            <w:pPr>
              <w:jc w:val="center"/>
              <w:rPr>
                <w:b/>
                <w:sz w:val="24"/>
                <w:szCs w:val="24"/>
              </w:rPr>
            </w:pPr>
            <w:r>
              <w:rPr>
                <w:b/>
                <w:sz w:val="24"/>
                <w:szCs w:val="24"/>
              </w:rPr>
              <w:t xml:space="preserve">TELEFONE: </w:t>
            </w:r>
          </w:p>
          <w:p w14:paraId="2FC5DA71">
            <w:pPr>
              <w:jc w:val="center"/>
              <w:rPr>
                <w:b/>
                <w:sz w:val="24"/>
                <w:szCs w:val="24"/>
              </w:rPr>
            </w:pPr>
          </w:p>
        </w:tc>
        <w:tc>
          <w:tcPr>
            <w:tcW w:w="4680" w:type="dxa"/>
            <w:tcBorders>
              <w:top w:val="single" w:color="000000" w:sz="4" w:space="0"/>
              <w:left w:val="nil"/>
              <w:bottom w:val="single" w:color="000000" w:sz="4" w:space="0"/>
              <w:right w:val="single" w:color="000000" w:sz="4" w:space="0"/>
            </w:tcBorders>
            <w:shd w:val="clear" w:color="auto" w:fill="auto"/>
          </w:tcPr>
          <w:p w14:paraId="4533112C">
            <w:pPr>
              <w:jc w:val="center"/>
              <w:rPr>
                <w:b/>
                <w:sz w:val="24"/>
                <w:szCs w:val="24"/>
              </w:rPr>
            </w:pPr>
            <w:r>
              <w:rPr>
                <w:b/>
                <w:sz w:val="24"/>
                <w:szCs w:val="24"/>
              </w:rPr>
              <w:t>EMAIL:</w:t>
            </w:r>
          </w:p>
        </w:tc>
      </w:tr>
      <w:tr w14:paraId="069BAF25">
        <w:tblPrEx>
          <w:tblCellMar>
            <w:top w:w="0" w:type="dxa"/>
            <w:left w:w="108" w:type="dxa"/>
            <w:bottom w:w="0" w:type="dxa"/>
            <w:right w:w="108" w:type="dxa"/>
          </w:tblCellMar>
        </w:tblPrEx>
        <w:trPr>
          <w:trHeight w:val="228" w:hRule="atLeast"/>
        </w:trPr>
        <w:tc>
          <w:tcPr>
            <w:tcW w:w="3138" w:type="dxa"/>
            <w:tcBorders>
              <w:top w:val="single" w:color="000000" w:sz="4" w:space="0"/>
              <w:left w:val="single" w:color="000000" w:sz="4" w:space="0"/>
              <w:bottom w:val="single" w:color="000000" w:sz="4" w:space="0"/>
              <w:right w:val="single" w:color="000000" w:sz="4" w:space="0"/>
            </w:tcBorders>
            <w:shd w:val="clear" w:color="auto" w:fill="auto"/>
          </w:tcPr>
          <w:p w14:paraId="6544C8D0">
            <w:pPr>
              <w:jc w:val="center"/>
              <w:rPr>
                <w:b/>
                <w:sz w:val="24"/>
                <w:szCs w:val="24"/>
              </w:rPr>
            </w:pPr>
            <w:r>
              <w:rPr>
                <w:b/>
                <w:sz w:val="24"/>
                <w:szCs w:val="24"/>
              </w:rPr>
              <w:t>BANCO (NOME/Nº)</w:t>
            </w:r>
          </w:p>
          <w:p w14:paraId="5FC005D9">
            <w:pPr>
              <w:jc w:val="center"/>
              <w:rPr>
                <w:b/>
                <w:sz w:val="24"/>
                <w:szCs w:val="24"/>
              </w:rPr>
            </w:pPr>
          </w:p>
        </w:tc>
        <w:tc>
          <w:tcPr>
            <w:tcW w:w="1958" w:type="dxa"/>
            <w:gridSpan w:val="2"/>
            <w:tcBorders>
              <w:top w:val="single" w:color="000000" w:sz="4" w:space="0"/>
              <w:left w:val="nil"/>
              <w:bottom w:val="single" w:color="000000" w:sz="4" w:space="0"/>
              <w:right w:val="single" w:color="000000" w:sz="4" w:space="0"/>
            </w:tcBorders>
            <w:shd w:val="clear" w:color="auto" w:fill="auto"/>
          </w:tcPr>
          <w:p w14:paraId="724F67A1">
            <w:pPr>
              <w:jc w:val="center"/>
              <w:rPr>
                <w:b/>
                <w:sz w:val="24"/>
                <w:szCs w:val="24"/>
              </w:rPr>
            </w:pPr>
            <w:r>
              <w:rPr>
                <w:b/>
                <w:sz w:val="24"/>
                <w:szCs w:val="24"/>
              </w:rPr>
              <w:t>AGÊNCIA Nº:</w:t>
            </w:r>
          </w:p>
        </w:tc>
        <w:tc>
          <w:tcPr>
            <w:tcW w:w="4680" w:type="dxa"/>
            <w:tcBorders>
              <w:top w:val="single" w:color="000000" w:sz="4" w:space="0"/>
              <w:left w:val="nil"/>
              <w:bottom w:val="single" w:color="000000" w:sz="4" w:space="0"/>
              <w:right w:val="single" w:color="000000" w:sz="4" w:space="0"/>
            </w:tcBorders>
            <w:shd w:val="clear" w:color="auto" w:fill="auto"/>
          </w:tcPr>
          <w:p w14:paraId="44E5E244">
            <w:pPr>
              <w:jc w:val="center"/>
              <w:rPr>
                <w:b/>
                <w:sz w:val="24"/>
                <w:szCs w:val="24"/>
              </w:rPr>
            </w:pPr>
            <w:r>
              <w:rPr>
                <w:b/>
                <w:sz w:val="24"/>
                <w:szCs w:val="24"/>
              </w:rPr>
              <w:t>CONTA CORRENTE Nº:</w:t>
            </w:r>
          </w:p>
        </w:tc>
      </w:tr>
      <w:tr w14:paraId="40A01166">
        <w:tblPrEx>
          <w:tblCellMar>
            <w:top w:w="0" w:type="dxa"/>
            <w:left w:w="108" w:type="dxa"/>
            <w:bottom w:w="0" w:type="dxa"/>
            <w:right w:w="108" w:type="dxa"/>
          </w:tblCellMar>
        </w:tblPrEx>
        <w:trPr>
          <w:trHeight w:val="582" w:hRule="atLeast"/>
        </w:trPr>
        <w:tc>
          <w:tcPr>
            <w:tcW w:w="9776" w:type="dxa"/>
            <w:gridSpan w:val="4"/>
            <w:tcBorders>
              <w:top w:val="nil"/>
              <w:left w:val="single" w:color="000000" w:sz="4" w:space="0"/>
              <w:bottom w:val="nil"/>
              <w:right w:val="single" w:color="000000" w:sz="4" w:space="0"/>
            </w:tcBorders>
            <w:shd w:val="clear" w:color="auto" w:fill="auto"/>
          </w:tcPr>
          <w:p w14:paraId="74BC79E1">
            <w:pPr>
              <w:jc w:val="center"/>
              <w:rPr>
                <w:b/>
                <w:sz w:val="24"/>
                <w:szCs w:val="24"/>
              </w:rPr>
            </w:pPr>
            <w:r>
              <w:rPr>
                <w:b/>
                <w:sz w:val="24"/>
                <w:szCs w:val="24"/>
              </w:rPr>
              <w:t>VALIDADE DA PROPOSTA DE PREÇOS:</w:t>
            </w:r>
          </w:p>
          <w:p w14:paraId="4217BB17">
            <w:pPr>
              <w:jc w:val="center"/>
              <w:rPr>
                <w:b/>
                <w:sz w:val="24"/>
                <w:szCs w:val="24"/>
              </w:rPr>
            </w:pPr>
          </w:p>
        </w:tc>
      </w:tr>
      <w:tr w14:paraId="0AFD80E2">
        <w:tblPrEx>
          <w:tblCellMar>
            <w:top w:w="0" w:type="dxa"/>
            <w:left w:w="108" w:type="dxa"/>
            <w:bottom w:w="0" w:type="dxa"/>
            <w:right w:w="108" w:type="dxa"/>
          </w:tblCellMar>
        </w:tblPrEx>
        <w:trPr>
          <w:trHeight w:val="436" w:hRule="atLeast"/>
        </w:trPr>
        <w:tc>
          <w:tcPr>
            <w:tcW w:w="9776" w:type="dxa"/>
            <w:gridSpan w:val="4"/>
            <w:tcBorders>
              <w:top w:val="nil"/>
              <w:left w:val="single" w:color="000000" w:sz="4" w:space="0"/>
              <w:bottom w:val="single" w:color="000000" w:sz="4" w:space="0"/>
              <w:right w:val="single" w:color="000000" w:sz="4" w:space="0"/>
            </w:tcBorders>
            <w:shd w:val="clear" w:color="auto" w:fill="auto"/>
          </w:tcPr>
          <w:p w14:paraId="0AED5153">
            <w:pPr>
              <w:jc w:val="center"/>
              <w:rPr>
                <w:b/>
                <w:sz w:val="24"/>
                <w:szCs w:val="24"/>
              </w:rPr>
            </w:pPr>
            <w:r>
              <w:rPr>
                <w:b/>
                <w:sz w:val="24"/>
                <w:szCs w:val="24"/>
              </w:rPr>
              <w:t>DESPESAS RELATIVAS A PESSOAL XX% E INSUMOS XX%</w:t>
            </w:r>
          </w:p>
        </w:tc>
      </w:tr>
    </w:tbl>
    <w:p w14:paraId="6FE1AEC6">
      <w:pPr>
        <w:jc w:val="center"/>
        <w:rPr>
          <w:b/>
          <w:sz w:val="24"/>
          <w:szCs w:val="24"/>
        </w:rPr>
      </w:pPr>
    </w:p>
    <w:p w14:paraId="2C2F6D99">
      <w:pPr>
        <w:jc w:val="center"/>
        <w:rPr>
          <w:b/>
          <w:sz w:val="24"/>
          <w:szCs w:val="24"/>
        </w:rPr>
      </w:pPr>
    </w:p>
    <w:tbl>
      <w:tblPr>
        <w:tblStyle w:val="9"/>
        <w:tblW w:w="8671" w:type="dxa"/>
        <w:tblInd w:w="-125" w:type="dxa"/>
        <w:tblLayout w:type="fixed"/>
        <w:tblCellMar>
          <w:top w:w="0" w:type="dxa"/>
          <w:left w:w="108" w:type="dxa"/>
          <w:bottom w:w="0" w:type="dxa"/>
          <w:right w:w="108" w:type="dxa"/>
        </w:tblCellMar>
      </w:tblPr>
      <w:tblGrid>
        <w:gridCol w:w="720"/>
        <w:gridCol w:w="3325"/>
        <w:gridCol w:w="851"/>
        <w:gridCol w:w="1134"/>
        <w:gridCol w:w="1300"/>
        <w:gridCol w:w="1341"/>
      </w:tblGrid>
      <w:tr w14:paraId="645BF90C">
        <w:tblPrEx>
          <w:tblCellMar>
            <w:top w:w="0" w:type="dxa"/>
            <w:left w:w="108" w:type="dxa"/>
            <w:bottom w:w="0" w:type="dxa"/>
            <w:right w:w="108" w:type="dxa"/>
          </w:tblCellMar>
        </w:tblPrEx>
        <w:trPr>
          <w:trHeight w:val="250" w:hRule="atLeast"/>
        </w:trPr>
        <w:tc>
          <w:tcPr>
            <w:tcW w:w="720" w:type="dxa"/>
            <w:tcBorders>
              <w:top w:val="single" w:color="000000" w:sz="8" w:space="0"/>
              <w:left w:val="single" w:color="000000" w:sz="8" w:space="0"/>
              <w:bottom w:val="single" w:color="000000" w:sz="8" w:space="0"/>
              <w:right w:val="single" w:color="000000" w:sz="8" w:space="0"/>
            </w:tcBorders>
            <w:vAlign w:val="center"/>
          </w:tcPr>
          <w:p w14:paraId="404A7E72">
            <w:pPr>
              <w:jc w:val="center"/>
              <w:rPr>
                <w:b/>
                <w:sz w:val="24"/>
                <w:szCs w:val="24"/>
              </w:rPr>
            </w:pPr>
            <w:r>
              <w:rPr>
                <w:b/>
                <w:sz w:val="24"/>
                <w:szCs w:val="24"/>
              </w:rPr>
              <w:t>ITEM</w:t>
            </w:r>
          </w:p>
        </w:tc>
        <w:tc>
          <w:tcPr>
            <w:tcW w:w="3325" w:type="dxa"/>
            <w:tcBorders>
              <w:top w:val="single" w:color="000000" w:sz="8" w:space="0"/>
              <w:left w:val="nil"/>
              <w:bottom w:val="single" w:color="000000" w:sz="8" w:space="0"/>
              <w:right w:val="single" w:color="000000" w:sz="8" w:space="0"/>
            </w:tcBorders>
            <w:vAlign w:val="center"/>
          </w:tcPr>
          <w:p w14:paraId="2981E72C">
            <w:pPr>
              <w:jc w:val="center"/>
              <w:rPr>
                <w:b/>
                <w:sz w:val="24"/>
                <w:szCs w:val="24"/>
              </w:rPr>
            </w:pPr>
            <w:r>
              <w:rPr>
                <w:b/>
                <w:sz w:val="24"/>
                <w:szCs w:val="24"/>
              </w:rPr>
              <w:t>DISCRIMINAÇAO</w:t>
            </w:r>
          </w:p>
        </w:tc>
        <w:tc>
          <w:tcPr>
            <w:tcW w:w="851" w:type="dxa"/>
            <w:tcBorders>
              <w:top w:val="single" w:color="000000" w:sz="8" w:space="0"/>
              <w:left w:val="nil"/>
              <w:bottom w:val="single" w:color="000000" w:sz="8" w:space="0"/>
              <w:right w:val="single" w:color="000000" w:sz="8" w:space="0"/>
            </w:tcBorders>
            <w:vAlign w:val="center"/>
          </w:tcPr>
          <w:p w14:paraId="45E0AEC1">
            <w:pPr>
              <w:jc w:val="center"/>
              <w:rPr>
                <w:b/>
                <w:sz w:val="24"/>
                <w:szCs w:val="24"/>
              </w:rPr>
            </w:pPr>
            <w:r>
              <w:rPr>
                <w:b/>
                <w:sz w:val="24"/>
                <w:szCs w:val="24"/>
              </w:rPr>
              <w:t>UND.</w:t>
            </w:r>
          </w:p>
        </w:tc>
        <w:tc>
          <w:tcPr>
            <w:tcW w:w="1134" w:type="dxa"/>
            <w:tcBorders>
              <w:top w:val="single" w:color="000000" w:sz="8" w:space="0"/>
              <w:left w:val="nil"/>
              <w:bottom w:val="single" w:color="000000" w:sz="8" w:space="0"/>
              <w:right w:val="single" w:color="000000" w:sz="4" w:space="0"/>
            </w:tcBorders>
            <w:vAlign w:val="center"/>
          </w:tcPr>
          <w:p w14:paraId="2A8EB360">
            <w:pPr>
              <w:jc w:val="center"/>
              <w:rPr>
                <w:b/>
                <w:sz w:val="24"/>
                <w:szCs w:val="24"/>
              </w:rPr>
            </w:pPr>
            <w:r>
              <w:rPr>
                <w:b/>
                <w:sz w:val="24"/>
                <w:szCs w:val="24"/>
              </w:rPr>
              <w:t>QUANT.</w:t>
            </w:r>
          </w:p>
        </w:tc>
        <w:tc>
          <w:tcPr>
            <w:tcW w:w="1300" w:type="dxa"/>
            <w:tcBorders>
              <w:top w:val="single" w:color="000000" w:sz="8" w:space="0"/>
              <w:left w:val="single" w:color="000000" w:sz="4" w:space="0"/>
              <w:bottom w:val="single" w:color="000000" w:sz="8" w:space="0"/>
              <w:right w:val="single" w:color="000000" w:sz="4" w:space="0"/>
            </w:tcBorders>
            <w:vAlign w:val="center"/>
          </w:tcPr>
          <w:p w14:paraId="6E708321">
            <w:pPr>
              <w:jc w:val="center"/>
              <w:rPr>
                <w:b/>
                <w:sz w:val="24"/>
                <w:szCs w:val="24"/>
              </w:rPr>
            </w:pPr>
            <w:r>
              <w:rPr>
                <w:b/>
                <w:sz w:val="24"/>
                <w:szCs w:val="24"/>
              </w:rPr>
              <w:t>VALOR UNITÁRIO</w:t>
            </w:r>
          </w:p>
        </w:tc>
        <w:tc>
          <w:tcPr>
            <w:tcW w:w="1341" w:type="dxa"/>
            <w:tcBorders>
              <w:top w:val="single" w:color="000000" w:sz="8" w:space="0"/>
              <w:left w:val="single" w:color="000000" w:sz="4" w:space="0"/>
              <w:bottom w:val="single" w:color="000000" w:sz="8" w:space="0"/>
              <w:right w:val="single" w:color="000000" w:sz="4" w:space="0"/>
            </w:tcBorders>
            <w:vAlign w:val="center"/>
          </w:tcPr>
          <w:p w14:paraId="12EC2E71">
            <w:pPr>
              <w:jc w:val="center"/>
              <w:rPr>
                <w:b/>
                <w:sz w:val="24"/>
                <w:szCs w:val="24"/>
              </w:rPr>
            </w:pPr>
            <w:r>
              <w:rPr>
                <w:b/>
                <w:sz w:val="24"/>
                <w:szCs w:val="24"/>
              </w:rPr>
              <w:t>VALOR</w:t>
            </w:r>
          </w:p>
          <w:p w14:paraId="05BB245A">
            <w:pPr>
              <w:jc w:val="center"/>
              <w:rPr>
                <w:b/>
                <w:sz w:val="24"/>
                <w:szCs w:val="24"/>
              </w:rPr>
            </w:pPr>
            <w:r>
              <w:rPr>
                <w:b/>
                <w:sz w:val="24"/>
                <w:szCs w:val="24"/>
              </w:rPr>
              <w:t>TOTAL</w:t>
            </w:r>
          </w:p>
        </w:tc>
      </w:tr>
      <w:tr w14:paraId="4854E1DC">
        <w:tblPrEx>
          <w:tblCellMar>
            <w:top w:w="0" w:type="dxa"/>
            <w:left w:w="108" w:type="dxa"/>
            <w:bottom w:w="0" w:type="dxa"/>
            <w:right w:w="108" w:type="dxa"/>
          </w:tblCellMar>
        </w:tblPrEx>
        <w:trPr>
          <w:trHeight w:val="287" w:hRule="atLeast"/>
        </w:trPr>
        <w:tc>
          <w:tcPr>
            <w:tcW w:w="720" w:type="dxa"/>
            <w:tcBorders>
              <w:top w:val="single" w:color="000000" w:sz="4" w:space="0"/>
              <w:left w:val="single" w:color="000000" w:sz="8" w:space="0"/>
              <w:bottom w:val="single" w:color="000000" w:sz="4" w:space="0"/>
              <w:right w:val="single" w:color="000000" w:sz="8" w:space="0"/>
            </w:tcBorders>
            <w:vAlign w:val="center"/>
          </w:tcPr>
          <w:p w14:paraId="17BDE655">
            <w:pPr>
              <w:jc w:val="center"/>
              <w:rPr>
                <w:b/>
                <w:sz w:val="24"/>
                <w:szCs w:val="24"/>
              </w:rPr>
            </w:pPr>
            <w:r>
              <w:rPr>
                <w:b/>
                <w:sz w:val="24"/>
                <w:szCs w:val="24"/>
              </w:rPr>
              <w:t>1</w:t>
            </w:r>
          </w:p>
        </w:tc>
        <w:tc>
          <w:tcPr>
            <w:tcW w:w="3325" w:type="dxa"/>
            <w:tcBorders>
              <w:top w:val="single" w:color="000000" w:sz="4" w:space="0"/>
              <w:left w:val="nil"/>
              <w:bottom w:val="single" w:color="000000" w:sz="4" w:space="0"/>
              <w:right w:val="single" w:color="000000" w:sz="4" w:space="0"/>
            </w:tcBorders>
            <w:vAlign w:val="center"/>
          </w:tcPr>
          <w:p w14:paraId="2F68BBD4">
            <w:pPr>
              <w:jc w:val="center"/>
              <w:rPr>
                <w:b/>
                <w:sz w:val="24"/>
                <w:szCs w:val="24"/>
              </w:rPr>
            </w:pPr>
          </w:p>
        </w:tc>
        <w:tc>
          <w:tcPr>
            <w:tcW w:w="851" w:type="dxa"/>
            <w:tcBorders>
              <w:top w:val="single" w:color="000000" w:sz="4" w:space="0"/>
              <w:left w:val="nil"/>
              <w:bottom w:val="single" w:color="000000" w:sz="4" w:space="0"/>
              <w:right w:val="single" w:color="000000" w:sz="4" w:space="0"/>
            </w:tcBorders>
            <w:vAlign w:val="center"/>
          </w:tcPr>
          <w:p w14:paraId="32EE04F3">
            <w:pPr>
              <w:jc w:val="center"/>
              <w:rPr>
                <w:b/>
                <w:sz w:val="24"/>
                <w:szCs w:val="24"/>
              </w:rPr>
            </w:pPr>
          </w:p>
        </w:tc>
        <w:tc>
          <w:tcPr>
            <w:tcW w:w="1134" w:type="dxa"/>
            <w:tcBorders>
              <w:top w:val="single" w:color="000000" w:sz="4" w:space="0"/>
              <w:left w:val="nil"/>
              <w:bottom w:val="single" w:color="000000" w:sz="4" w:space="0"/>
              <w:right w:val="single" w:color="000000" w:sz="4" w:space="0"/>
            </w:tcBorders>
            <w:vAlign w:val="center"/>
          </w:tcPr>
          <w:p w14:paraId="3D71D480">
            <w:pPr>
              <w:jc w:val="center"/>
              <w:rPr>
                <w:b/>
                <w:sz w:val="24"/>
                <w:szCs w:val="24"/>
              </w:rPr>
            </w:pPr>
          </w:p>
        </w:tc>
        <w:tc>
          <w:tcPr>
            <w:tcW w:w="1300" w:type="dxa"/>
            <w:tcBorders>
              <w:top w:val="single" w:color="000000" w:sz="4" w:space="0"/>
              <w:left w:val="single" w:color="000000" w:sz="4" w:space="0"/>
              <w:bottom w:val="single" w:color="000000" w:sz="4" w:space="0"/>
              <w:right w:val="single" w:color="000000" w:sz="4" w:space="0"/>
            </w:tcBorders>
          </w:tcPr>
          <w:p w14:paraId="05CD8ADC">
            <w:pPr>
              <w:jc w:val="center"/>
              <w:rPr>
                <w:b/>
                <w:sz w:val="24"/>
                <w:szCs w:val="24"/>
              </w:rPr>
            </w:pPr>
          </w:p>
        </w:tc>
        <w:tc>
          <w:tcPr>
            <w:tcW w:w="1341" w:type="dxa"/>
            <w:tcBorders>
              <w:top w:val="single" w:color="000000" w:sz="4" w:space="0"/>
              <w:left w:val="single" w:color="000000" w:sz="4" w:space="0"/>
              <w:bottom w:val="single" w:color="000000" w:sz="4" w:space="0"/>
              <w:right w:val="single" w:color="000000" w:sz="4" w:space="0"/>
            </w:tcBorders>
          </w:tcPr>
          <w:p w14:paraId="0988D09E">
            <w:pPr>
              <w:jc w:val="center"/>
              <w:rPr>
                <w:b/>
                <w:sz w:val="24"/>
                <w:szCs w:val="24"/>
              </w:rPr>
            </w:pPr>
          </w:p>
        </w:tc>
      </w:tr>
      <w:tr w14:paraId="3C15F7A7">
        <w:tblPrEx>
          <w:tblCellMar>
            <w:top w:w="0" w:type="dxa"/>
            <w:left w:w="108" w:type="dxa"/>
            <w:bottom w:w="0" w:type="dxa"/>
            <w:right w:w="108" w:type="dxa"/>
          </w:tblCellMar>
        </w:tblPrEx>
        <w:trPr>
          <w:trHeight w:val="272" w:hRule="atLeast"/>
        </w:trPr>
        <w:tc>
          <w:tcPr>
            <w:tcW w:w="720" w:type="dxa"/>
            <w:tcBorders>
              <w:top w:val="nil"/>
              <w:left w:val="single" w:color="000000" w:sz="8" w:space="0"/>
              <w:bottom w:val="single" w:color="000000" w:sz="4" w:space="0"/>
              <w:right w:val="single" w:color="000000" w:sz="8" w:space="0"/>
            </w:tcBorders>
            <w:vAlign w:val="center"/>
          </w:tcPr>
          <w:p w14:paraId="703ABEA0">
            <w:pPr>
              <w:jc w:val="center"/>
              <w:rPr>
                <w:b/>
                <w:sz w:val="24"/>
                <w:szCs w:val="24"/>
              </w:rPr>
            </w:pPr>
            <w:r>
              <w:rPr>
                <w:b/>
                <w:sz w:val="24"/>
                <w:szCs w:val="24"/>
              </w:rPr>
              <w:t>2</w:t>
            </w:r>
          </w:p>
        </w:tc>
        <w:tc>
          <w:tcPr>
            <w:tcW w:w="3325" w:type="dxa"/>
            <w:tcBorders>
              <w:top w:val="nil"/>
              <w:left w:val="nil"/>
              <w:bottom w:val="single" w:color="000000" w:sz="4" w:space="0"/>
              <w:right w:val="single" w:color="000000" w:sz="4" w:space="0"/>
            </w:tcBorders>
            <w:vAlign w:val="center"/>
          </w:tcPr>
          <w:p w14:paraId="70FCFBD7">
            <w:pPr>
              <w:jc w:val="center"/>
              <w:rPr>
                <w:b/>
                <w:sz w:val="24"/>
                <w:szCs w:val="24"/>
              </w:rPr>
            </w:pPr>
          </w:p>
        </w:tc>
        <w:tc>
          <w:tcPr>
            <w:tcW w:w="851" w:type="dxa"/>
            <w:tcBorders>
              <w:top w:val="nil"/>
              <w:left w:val="nil"/>
              <w:bottom w:val="single" w:color="000000" w:sz="4" w:space="0"/>
              <w:right w:val="single" w:color="000000" w:sz="4" w:space="0"/>
            </w:tcBorders>
            <w:vAlign w:val="center"/>
          </w:tcPr>
          <w:p w14:paraId="4492DE1C">
            <w:pPr>
              <w:jc w:val="center"/>
              <w:rPr>
                <w:b/>
                <w:sz w:val="24"/>
                <w:szCs w:val="24"/>
              </w:rPr>
            </w:pPr>
          </w:p>
        </w:tc>
        <w:tc>
          <w:tcPr>
            <w:tcW w:w="1134" w:type="dxa"/>
            <w:tcBorders>
              <w:top w:val="nil"/>
              <w:left w:val="nil"/>
              <w:bottom w:val="single" w:color="000000" w:sz="4" w:space="0"/>
              <w:right w:val="single" w:color="000000" w:sz="4" w:space="0"/>
            </w:tcBorders>
            <w:vAlign w:val="center"/>
          </w:tcPr>
          <w:p w14:paraId="49E0DC7C">
            <w:pPr>
              <w:jc w:val="center"/>
              <w:rPr>
                <w:b/>
                <w:sz w:val="24"/>
                <w:szCs w:val="24"/>
              </w:rPr>
            </w:pPr>
          </w:p>
        </w:tc>
        <w:tc>
          <w:tcPr>
            <w:tcW w:w="1300" w:type="dxa"/>
            <w:tcBorders>
              <w:top w:val="nil"/>
              <w:left w:val="single" w:color="000000" w:sz="4" w:space="0"/>
              <w:bottom w:val="single" w:color="000000" w:sz="4" w:space="0"/>
              <w:right w:val="single" w:color="000000" w:sz="4" w:space="0"/>
            </w:tcBorders>
          </w:tcPr>
          <w:p w14:paraId="6372441D">
            <w:pPr>
              <w:jc w:val="center"/>
              <w:rPr>
                <w:b/>
                <w:sz w:val="24"/>
                <w:szCs w:val="24"/>
              </w:rPr>
            </w:pPr>
          </w:p>
        </w:tc>
        <w:tc>
          <w:tcPr>
            <w:tcW w:w="1341" w:type="dxa"/>
            <w:tcBorders>
              <w:top w:val="nil"/>
              <w:left w:val="single" w:color="000000" w:sz="4" w:space="0"/>
              <w:bottom w:val="single" w:color="000000" w:sz="4" w:space="0"/>
              <w:right w:val="single" w:color="000000" w:sz="4" w:space="0"/>
            </w:tcBorders>
          </w:tcPr>
          <w:p w14:paraId="20BD789B">
            <w:pPr>
              <w:jc w:val="center"/>
              <w:rPr>
                <w:b/>
                <w:sz w:val="24"/>
                <w:szCs w:val="24"/>
              </w:rPr>
            </w:pPr>
          </w:p>
        </w:tc>
      </w:tr>
      <w:tr w14:paraId="4419123B">
        <w:tblPrEx>
          <w:tblCellMar>
            <w:top w:w="0" w:type="dxa"/>
            <w:left w:w="108" w:type="dxa"/>
            <w:bottom w:w="0" w:type="dxa"/>
            <w:right w:w="108" w:type="dxa"/>
          </w:tblCellMar>
        </w:tblPrEx>
        <w:trPr>
          <w:trHeight w:val="263" w:hRule="atLeast"/>
        </w:trPr>
        <w:tc>
          <w:tcPr>
            <w:tcW w:w="720" w:type="dxa"/>
            <w:tcBorders>
              <w:top w:val="nil"/>
              <w:left w:val="single" w:color="000000" w:sz="8" w:space="0"/>
              <w:bottom w:val="single" w:color="000000" w:sz="4" w:space="0"/>
              <w:right w:val="single" w:color="000000" w:sz="8" w:space="0"/>
            </w:tcBorders>
            <w:vAlign w:val="center"/>
          </w:tcPr>
          <w:p w14:paraId="296C901E">
            <w:pPr>
              <w:jc w:val="center"/>
              <w:rPr>
                <w:b/>
                <w:sz w:val="24"/>
                <w:szCs w:val="24"/>
              </w:rPr>
            </w:pPr>
            <w:r>
              <w:rPr>
                <w:b/>
                <w:sz w:val="24"/>
                <w:szCs w:val="24"/>
              </w:rPr>
              <w:t>3</w:t>
            </w:r>
          </w:p>
        </w:tc>
        <w:tc>
          <w:tcPr>
            <w:tcW w:w="3325" w:type="dxa"/>
            <w:tcBorders>
              <w:top w:val="nil"/>
              <w:left w:val="nil"/>
              <w:bottom w:val="single" w:color="000000" w:sz="4" w:space="0"/>
              <w:right w:val="single" w:color="000000" w:sz="4" w:space="0"/>
            </w:tcBorders>
            <w:vAlign w:val="center"/>
          </w:tcPr>
          <w:p w14:paraId="28E5C31F">
            <w:pPr>
              <w:jc w:val="center"/>
              <w:rPr>
                <w:b/>
                <w:sz w:val="24"/>
                <w:szCs w:val="24"/>
              </w:rPr>
            </w:pPr>
          </w:p>
        </w:tc>
        <w:tc>
          <w:tcPr>
            <w:tcW w:w="851" w:type="dxa"/>
            <w:tcBorders>
              <w:top w:val="nil"/>
              <w:left w:val="nil"/>
              <w:bottom w:val="single" w:color="000000" w:sz="4" w:space="0"/>
              <w:right w:val="single" w:color="000000" w:sz="4" w:space="0"/>
            </w:tcBorders>
            <w:vAlign w:val="center"/>
          </w:tcPr>
          <w:p w14:paraId="41440A66">
            <w:pPr>
              <w:jc w:val="center"/>
              <w:rPr>
                <w:b/>
                <w:sz w:val="24"/>
                <w:szCs w:val="24"/>
              </w:rPr>
            </w:pPr>
          </w:p>
        </w:tc>
        <w:tc>
          <w:tcPr>
            <w:tcW w:w="1134" w:type="dxa"/>
            <w:tcBorders>
              <w:top w:val="nil"/>
              <w:left w:val="nil"/>
              <w:bottom w:val="single" w:color="000000" w:sz="4" w:space="0"/>
              <w:right w:val="single" w:color="000000" w:sz="4" w:space="0"/>
            </w:tcBorders>
            <w:vAlign w:val="center"/>
          </w:tcPr>
          <w:p w14:paraId="47F6E7BC">
            <w:pPr>
              <w:jc w:val="center"/>
              <w:rPr>
                <w:b/>
                <w:sz w:val="24"/>
                <w:szCs w:val="24"/>
              </w:rPr>
            </w:pPr>
          </w:p>
        </w:tc>
        <w:tc>
          <w:tcPr>
            <w:tcW w:w="1300" w:type="dxa"/>
            <w:tcBorders>
              <w:top w:val="nil"/>
              <w:left w:val="single" w:color="000000" w:sz="4" w:space="0"/>
              <w:bottom w:val="single" w:color="000000" w:sz="4" w:space="0"/>
              <w:right w:val="single" w:color="000000" w:sz="4" w:space="0"/>
            </w:tcBorders>
          </w:tcPr>
          <w:p w14:paraId="336E05E0">
            <w:pPr>
              <w:jc w:val="center"/>
              <w:rPr>
                <w:b/>
                <w:sz w:val="24"/>
                <w:szCs w:val="24"/>
              </w:rPr>
            </w:pPr>
          </w:p>
        </w:tc>
        <w:tc>
          <w:tcPr>
            <w:tcW w:w="1341" w:type="dxa"/>
            <w:tcBorders>
              <w:top w:val="nil"/>
              <w:left w:val="single" w:color="000000" w:sz="4" w:space="0"/>
              <w:bottom w:val="single" w:color="000000" w:sz="4" w:space="0"/>
              <w:right w:val="single" w:color="000000" w:sz="4" w:space="0"/>
            </w:tcBorders>
          </w:tcPr>
          <w:p w14:paraId="1786AF70">
            <w:pPr>
              <w:jc w:val="center"/>
              <w:rPr>
                <w:b/>
                <w:sz w:val="24"/>
                <w:szCs w:val="24"/>
              </w:rPr>
            </w:pPr>
          </w:p>
        </w:tc>
      </w:tr>
    </w:tbl>
    <w:p w14:paraId="4D4FF894">
      <w:pPr>
        <w:jc w:val="center"/>
        <w:rPr>
          <w:b/>
          <w:sz w:val="24"/>
          <w:szCs w:val="24"/>
        </w:rPr>
      </w:pPr>
    </w:p>
    <w:p w14:paraId="0F300D5C">
      <w:pPr>
        <w:jc w:val="both"/>
        <w:rPr>
          <w:sz w:val="24"/>
          <w:szCs w:val="24"/>
        </w:rPr>
      </w:pPr>
      <w:bookmarkStart w:id="40" w:name="_heading=h.1v1yuxt" w:colFirst="0" w:colLast="0"/>
      <w:bookmarkEnd w:id="40"/>
    </w:p>
    <w:p w14:paraId="4CC1F484">
      <w:pPr>
        <w:jc w:val="both"/>
        <w:rPr>
          <w:sz w:val="24"/>
          <w:szCs w:val="24"/>
        </w:rPr>
      </w:pPr>
      <w:r>
        <w:rPr>
          <w:sz w:val="24"/>
          <w:szCs w:val="24"/>
        </w:rPr>
        <w:t>A empresa XXXXXXXXXXXXXXXXXXXXXXXXXXXX, declara que estão corretas a composição de custos com mão de obras e insumos expressas na proposta de preços apresentada.</w:t>
      </w:r>
    </w:p>
    <w:p w14:paraId="59E45D0A">
      <w:pPr>
        <w:jc w:val="center"/>
        <w:rPr>
          <w:b/>
          <w:sz w:val="24"/>
          <w:szCs w:val="24"/>
        </w:rPr>
      </w:pPr>
    </w:p>
    <w:p w14:paraId="7B1F3CBB">
      <w:pPr>
        <w:jc w:val="center"/>
        <w:rPr>
          <w:b/>
          <w:sz w:val="24"/>
          <w:szCs w:val="24"/>
        </w:rPr>
      </w:pPr>
      <w:r>
        <w:rPr>
          <w:b/>
          <w:sz w:val="24"/>
          <w:szCs w:val="24"/>
        </w:rPr>
        <w:t>VALOR TOTAL DA PROPOSTA:</w:t>
      </w:r>
    </w:p>
    <w:p w14:paraId="03625D2C">
      <w:pPr>
        <w:jc w:val="center"/>
        <w:rPr>
          <w:b/>
          <w:sz w:val="24"/>
          <w:szCs w:val="24"/>
        </w:rPr>
      </w:pPr>
    </w:p>
    <w:p w14:paraId="56894027">
      <w:pPr>
        <w:jc w:val="center"/>
        <w:rPr>
          <w:b/>
          <w:sz w:val="24"/>
          <w:szCs w:val="24"/>
        </w:rPr>
      </w:pPr>
    </w:p>
    <w:p w14:paraId="72E5FB39">
      <w:pPr>
        <w:jc w:val="center"/>
        <w:rPr>
          <w:b/>
          <w:sz w:val="24"/>
          <w:szCs w:val="24"/>
        </w:rPr>
      </w:pPr>
      <w:r>
        <w:rPr>
          <w:b/>
          <w:sz w:val="24"/>
          <w:szCs w:val="24"/>
        </w:rPr>
        <w:t>Cidade, ___ de ___________ de 20XX.</w:t>
      </w:r>
    </w:p>
    <w:p w14:paraId="44222A83">
      <w:pPr>
        <w:jc w:val="center"/>
        <w:rPr>
          <w:b/>
          <w:sz w:val="24"/>
          <w:szCs w:val="24"/>
        </w:rPr>
      </w:pPr>
    </w:p>
    <w:p w14:paraId="5135F88D">
      <w:pPr>
        <w:jc w:val="center"/>
        <w:rPr>
          <w:b/>
          <w:sz w:val="24"/>
          <w:szCs w:val="24"/>
        </w:rPr>
      </w:pPr>
    </w:p>
    <w:p w14:paraId="2F690E8C">
      <w:pPr>
        <w:jc w:val="center"/>
        <w:rPr>
          <w:b/>
          <w:sz w:val="24"/>
          <w:szCs w:val="24"/>
        </w:rPr>
      </w:pPr>
      <w:r>
        <w:rPr>
          <w:b/>
          <w:sz w:val="24"/>
          <w:szCs w:val="24"/>
        </w:rPr>
        <w:t>______________________________________</w:t>
      </w:r>
    </w:p>
    <w:p w14:paraId="15D3F52F">
      <w:pPr>
        <w:jc w:val="center"/>
        <w:rPr>
          <w:b/>
          <w:sz w:val="24"/>
          <w:szCs w:val="24"/>
        </w:rPr>
      </w:pPr>
      <w:r>
        <w:rPr>
          <w:b/>
          <w:sz w:val="24"/>
          <w:szCs w:val="24"/>
        </w:rPr>
        <w:t>(nome, carimbo, assinatura do responsável legal da empresa).</w:t>
      </w:r>
    </w:p>
    <w:p w14:paraId="21896AD4">
      <w:pPr>
        <w:jc w:val="center"/>
        <w:rPr>
          <w:b/>
          <w:sz w:val="24"/>
          <w:szCs w:val="24"/>
        </w:rPr>
      </w:pPr>
      <w:r>
        <w:rPr>
          <w:b/>
          <w:sz w:val="24"/>
          <w:szCs w:val="24"/>
        </w:rPr>
        <w:t xml:space="preserve"> </w:t>
      </w:r>
    </w:p>
    <w:p w14:paraId="3DF53F4E">
      <w:pPr>
        <w:tabs>
          <w:tab w:val="left" w:pos="1440"/>
        </w:tabs>
        <w:ind w:left="426"/>
        <w:jc w:val="both"/>
        <w:rPr>
          <w:color w:val="000000"/>
          <w:sz w:val="24"/>
          <w:szCs w:val="24"/>
        </w:rPr>
      </w:pPr>
    </w:p>
    <w:p w14:paraId="3FF32486">
      <w:pPr>
        <w:tabs>
          <w:tab w:val="left" w:pos="1440"/>
        </w:tabs>
        <w:jc w:val="both"/>
        <w:rPr>
          <w:color w:val="000000"/>
          <w:sz w:val="24"/>
          <w:szCs w:val="24"/>
        </w:rPr>
      </w:pPr>
    </w:p>
    <w:p w14:paraId="5502551A">
      <w:pPr>
        <w:tabs>
          <w:tab w:val="left" w:pos="1440"/>
        </w:tabs>
        <w:ind w:left="426"/>
        <w:jc w:val="both"/>
        <w:rPr>
          <w:color w:val="000000"/>
          <w:sz w:val="24"/>
          <w:szCs w:val="24"/>
        </w:rPr>
      </w:pPr>
      <w:r>
        <w:rPr>
          <w:b/>
          <w:color w:val="000000"/>
          <w:sz w:val="24"/>
          <w:szCs w:val="24"/>
        </w:rPr>
        <w:t>OBS:</w:t>
      </w:r>
      <w:r>
        <w:rPr>
          <w:color w:val="000000"/>
          <w:sz w:val="24"/>
          <w:szCs w:val="24"/>
        </w:rPr>
        <w:t xml:space="preserve"> Nos termos do instrumento convocatório, deverá ser apresentada,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disposição do artigo 63, §1º, da Lei nº 14.133/2021. </w:t>
      </w:r>
    </w:p>
    <w:p w14:paraId="376E951F">
      <w:pPr>
        <w:rPr>
          <w:b/>
          <w:color w:val="000000"/>
          <w:sz w:val="24"/>
          <w:szCs w:val="24"/>
        </w:rPr>
      </w:pPr>
    </w:p>
    <w:p w14:paraId="300C7945">
      <w:pPr>
        <w:rPr>
          <w:b/>
          <w:color w:val="000000"/>
          <w:sz w:val="24"/>
          <w:szCs w:val="24"/>
        </w:rPr>
      </w:pPr>
    </w:p>
    <w:p w14:paraId="1C61DF97">
      <w:pPr>
        <w:jc w:val="center"/>
        <w:rPr>
          <w:b/>
          <w:color w:val="000000"/>
          <w:sz w:val="24"/>
          <w:szCs w:val="24"/>
        </w:rPr>
      </w:pPr>
      <w:bookmarkStart w:id="41" w:name="_heading=h.4f1mdlm" w:colFirst="0" w:colLast="0"/>
      <w:bookmarkEnd w:id="41"/>
      <w:r>
        <w:rPr>
          <w:b/>
          <w:color w:val="000000"/>
          <w:sz w:val="24"/>
          <w:szCs w:val="24"/>
        </w:rPr>
        <w:t>ANEXO III</w:t>
      </w:r>
    </w:p>
    <w:p w14:paraId="3349D050">
      <w:pPr>
        <w:jc w:val="center"/>
        <w:rPr>
          <w:b/>
          <w:sz w:val="24"/>
          <w:szCs w:val="24"/>
        </w:rPr>
      </w:pPr>
      <w:r>
        <w:rPr>
          <w:b/>
          <w:sz w:val="24"/>
          <w:szCs w:val="24"/>
        </w:rPr>
        <w:t>MINUTA DE ATA DE REGISTRO DE PREÇOS</w:t>
      </w:r>
    </w:p>
    <w:p w14:paraId="67AC3608">
      <w:pPr>
        <w:jc w:val="center"/>
        <w:rPr>
          <w:sz w:val="24"/>
          <w:szCs w:val="24"/>
        </w:rPr>
      </w:pPr>
    </w:p>
    <w:p w14:paraId="07E69A47">
      <w:pPr>
        <w:jc w:val="right"/>
        <w:rPr>
          <w:b/>
          <w:sz w:val="24"/>
          <w:szCs w:val="24"/>
        </w:rPr>
      </w:pPr>
      <w:r>
        <w:rPr>
          <w:b/>
          <w:sz w:val="24"/>
          <w:szCs w:val="24"/>
        </w:rPr>
        <w:t>ATA DE REGISTRO DE PREÇOS</w:t>
      </w:r>
    </w:p>
    <w:p w14:paraId="5569AB4E">
      <w:pPr>
        <w:jc w:val="right"/>
        <w:rPr>
          <w:b/>
          <w:sz w:val="24"/>
          <w:szCs w:val="24"/>
        </w:rPr>
      </w:pPr>
      <w:r>
        <w:rPr>
          <w:b/>
          <w:sz w:val="24"/>
          <w:szCs w:val="24"/>
        </w:rPr>
        <w:t>PREFEITURA MUNICIPAL DE XXXXXXX</w:t>
      </w:r>
    </w:p>
    <w:p w14:paraId="6A838636">
      <w:pPr>
        <w:jc w:val="center"/>
        <w:rPr>
          <w:b/>
          <w:sz w:val="24"/>
          <w:szCs w:val="24"/>
        </w:rPr>
      </w:pPr>
    </w:p>
    <w:p w14:paraId="5C01839D">
      <w:pPr>
        <w:jc w:val="right"/>
        <w:rPr>
          <w:b/>
          <w:sz w:val="24"/>
          <w:szCs w:val="24"/>
        </w:rPr>
      </w:pPr>
      <w:r>
        <w:rPr>
          <w:b/>
          <w:sz w:val="24"/>
          <w:szCs w:val="24"/>
          <w:highlight w:val="yellow"/>
        </w:rPr>
        <w:t>Nº XXX/20XX</w:t>
      </w:r>
    </w:p>
    <w:p w14:paraId="5A79C473">
      <w:pPr>
        <w:ind w:left="-567" w:right="-852"/>
        <w:jc w:val="both"/>
        <w:rPr>
          <w:sz w:val="24"/>
          <w:szCs w:val="24"/>
        </w:rPr>
      </w:pPr>
    </w:p>
    <w:p w14:paraId="6B03194B">
      <w:pPr>
        <w:ind w:left="-567" w:right="-852"/>
        <w:jc w:val="both"/>
        <w:rPr>
          <w:sz w:val="24"/>
          <w:szCs w:val="24"/>
        </w:rPr>
      </w:pPr>
      <w:r>
        <w:rPr>
          <w:sz w:val="24"/>
          <w:szCs w:val="24"/>
        </w:rPr>
        <w:t xml:space="preserve">O </w:t>
      </w:r>
      <w:r>
        <w:rPr>
          <w:b/>
          <w:sz w:val="24"/>
          <w:szCs w:val="24"/>
        </w:rPr>
        <w:t>Município de X</w:t>
      </w:r>
      <w:r>
        <w:rPr>
          <w:b/>
          <w:sz w:val="24"/>
          <w:szCs w:val="24"/>
          <w:highlight w:val="yellow"/>
        </w:rPr>
        <w:t>XXXXXXX</w:t>
      </w:r>
      <w:r>
        <w:rPr>
          <w:sz w:val="24"/>
          <w:szCs w:val="24"/>
        </w:rPr>
        <w:t xml:space="preserve">, com sede no(a) </w:t>
      </w:r>
      <w:r>
        <w:rPr>
          <w:sz w:val="24"/>
          <w:szCs w:val="24"/>
          <w:highlight w:val="yellow"/>
        </w:rPr>
        <w:t>XXXXXXXXXXXXXXX</w:t>
      </w:r>
      <w:r>
        <w:rPr>
          <w:sz w:val="24"/>
          <w:szCs w:val="24"/>
        </w:rPr>
        <w:t xml:space="preserve">, na cidade de </w:t>
      </w:r>
      <w:r>
        <w:rPr>
          <w:sz w:val="24"/>
          <w:szCs w:val="24"/>
          <w:highlight w:val="yellow"/>
        </w:rPr>
        <w:t>XXXXXXXXXXXX</w:t>
      </w:r>
      <w:r>
        <w:rPr>
          <w:sz w:val="24"/>
          <w:szCs w:val="24"/>
        </w:rPr>
        <w:t xml:space="preserve"> /Estado BA inscrito(a) no CNPJ sob o nº </w:t>
      </w:r>
      <w:r>
        <w:rPr>
          <w:sz w:val="24"/>
          <w:szCs w:val="24"/>
          <w:highlight w:val="yellow"/>
        </w:rPr>
        <w:t>XXXXXXXXXXXXXX</w:t>
      </w:r>
      <w:r>
        <w:rPr>
          <w:sz w:val="24"/>
          <w:szCs w:val="24"/>
        </w:rPr>
        <w:t xml:space="preserve">, neste ato representado(a) pelo(a) </w:t>
      </w:r>
      <w:r>
        <w:rPr>
          <w:b/>
          <w:sz w:val="24"/>
          <w:szCs w:val="24"/>
          <w:highlight w:val="yellow"/>
        </w:rPr>
        <w:t>XXXXXXXXXXX</w:t>
      </w:r>
      <w:r>
        <w:rPr>
          <w:sz w:val="24"/>
          <w:szCs w:val="24"/>
        </w:rPr>
        <w:t xml:space="preserve"> </w:t>
      </w:r>
      <w:r>
        <w:rPr>
          <w:color w:val="FF0000"/>
          <w:sz w:val="24"/>
          <w:szCs w:val="24"/>
        </w:rPr>
        <w:t>(</w:t>
      </w:r>
      <w:r>
        <w:rPr>
          <w:i/>
          <w:color w:val="FF0000"/>
          <w:sz w:val="24"/>
          <w:szCs w:val="24"/>
        </w:rPr>
        <w:t>cargo e nome</w:t>
      </w:r>
      <w:r>
        <w:rPr>
          <w:color w:val="FF0000"/>
          <w:sz w:val="24"/>
          <w:szCs w:val="24"/>
        </w:rPr>
        <w:t>)</w:t>
      </w:r>
      <w:r>
        <w:rPr>
          <w:sz w:val="24"/>
          <w:szCs w:val="24"/>
        </w:rPr>
        <w:t xml:space="preserve">, nomeado(a) pela Portaria nº </w:t>
      </w:r>
      <w:r>
        <w:rPr>
          <w:sz w:val="24"/>
          <w:szCs w:val="24"/>
          <w:highlight w:val="yellow"/>
        </w:rPr>
        <w:t>XX</w:t>
      </w:r>
      <w:r>
        <w:rPr>
          <w:sz w:val="24"/>
          <w:szCs w:val="24"/>
        </w:rPr>
        <w:t xml:space="preserve">, de </w:t>
      </w:r>
      <w:r>
        <w:rPr>
          <w:sz w:val="24"/>
          <w:szCs w:val="24"/>
          <w:highlight w:val="yellow"/>
        </w:rPr>
        <w:t>XX</w:t>
      </w:r>
      <w:r>
        <w:rPr>
          <w:sz w:val="24"/>
          <w:szCs w:val="24"/>
        </w:rPr>
        <w:t xml:space="preserve"> de </w:t>
      </w:r>
      <w:r>
        <w:rPr>
          <w:sz w:val="24"/>
          <w:szCs w:val="24"/>
          <w:highlight w:val="yellow"/>
        </w:rPr>
        <w:t>XXXX</w:t>
      </w:r>
      <w:r>
        <w:rPr>
          <w:sz w:val="24"/>
          <w:szCs w:val="24"/>
        </w:rPr>
        <w:t xml:space="preserve"> de 20</w:t>
      </w:r>
      <w:r>
        <w:rPr>
          <w:sz w:val="24"/>
          <w:szCs w:val="24"/>
          <w:highlight w:val="yellow"/>
        </w:rPr>
        <w:t>XX</w:t>
      </w:r>
      <w:r>
        <w:rPr>
          <w:sz w:val="24"/>
          <w:szCs w:val="24"/>
        </w:rPr>
        <w:t>, publicada no</w:t>
      </w:r>
      <w:r>
        <w:rPr>
          <w:i/>
          <w:sz w:val="24"/>
          <w:szCs w:val="24"/>
        </w:rPr>
        <w:t xml:space="preserve"> DOM </w:t>
      </w:r>
      <w:r>
        <w:rPr>
          <w:sz w:val="24"/>
          <w:szCs w:val="24"/>
        </w:rPr>
        <w:t xml:space="preserve">de </w:t>
      </w:r>
      <w:r>
        <w:rPr>
          <w:sz w:val="24"/>
          <w:szCs w:val="24"/>
          <w:highlight w:val="yellow"/>
        </w:rPr>
        <w:t>XX de XXXXXX de 202X</w:t>
      </w:r>
      <w:r>
        <w:rPr>
          <w:sz w:val="24"/>
          <w:szCs w:val="24"/>
        </w:rPr>
        <w:t xml:space="preserve">, portador da Matrícula Funcional nº </w:t>
      </w:r>
      <w:r>
        <w:rPr>
          <w:sz w:val="24"/>
          <w:szCs w:val="24"/>
          <w:highlight w:val="yellow"/>
        </w:rPr>
        <w:t>XXXXXX</w:t>
      </w:r>
      <w:r>
        <w:rPr>
          <w:sz w:val="24"/>
          <w:szCs w:val="24"/>
        </w:rPr>
        <w:t xml:space="preserve">, considerando o julgamento da licitação na modalidade de pregão, na forma </w:t>
      </w:r>
      <w:r>
        <w:rPr>
          <w:color w:val="000000"/>
          <w:sz w:val="24"/>
          <w:szCs w:val="24"/>
        </w:rPr>
        <w:t xml:space="preserve">eletrônica, para </w:t>
      </w:r>
      <w:r>
        <w:rPr>
          <w:b/>
          <w:color w:val="000000"/>
          <w:sz w:val="24"/>
          <w:szCs w:val="24"/>
        </w:rPr>
        <w:t>REGISTRO DE PREÇOS</w:t>
      </w:r>
      <w:r>
        <w:rPr>
          <w:color w:val="000000"/>
          <w:sz w:val="24"/>
          <w:szCs w:val="24"/>
        </w:rPr>
        <w:t xml:space="preserve"> nº </w:t>
      </w:r>
      <w:r>
        <w:rPr>
          <w:b/>
          <w:color w:val="000000"/>
          <w:sz w:val="24"/>
          <w:szCs w:val="24"/>
          <w:highlight w:val="yellow"/>
        </w:rPr>
        <w:t>XXX/20</w:t>
      </w:r>
      <w:r>
        <w:rPr>
          <w:b/>
          <w:color w:val="000000"/>
          <w:sz w:val="24"/>
          <w:szCs w:val="24"/>
        </w:rPr>
        <w:t>24</w:t>
      </w:r>
      <w:r>
        <w:rPr>
          <w:color w:val="000000"/>
          <w:sz w:val="24"/>
          <w:szCs w:val="24"/>
        </w:rPr>
        <w:t xml:space="preserve">, </w:t>
      </w:r>
      <w:r>
        <w:rPr>
          <w:b/>
          <w:color w:val="000000"/>
          <w:sz w:val="24"/>
          <w:szCs w:val="24"/>
        </w:rPr>
        <w:t xml:space="preserve">Processo Administrativo </w:t>
      </w:r>
      <w:r>
        <w:rPr>
          <w:b/>
          <w:color w:val="000000"/>
          <w:sz w:val="24"/>
          <w:szCs w:val="24"/>
          <w:highlight w:val="yellow"/>
        </w:rPr>
        <w:t>XXX/20XX</w:t>
      </w:r>
      <w:r>
        <w:rPr>
          <w:color w:val="000000"/>
          <w:sz w:val="24"/>
          <w:szCs w:val="24"/>
          <w:highlight w:val="yellow"/>
        </w:rPr>
        <w:t>,</w:t>
      </w:r>
      <w:r>
        <w:rPr>
          <w:color w:val="000000"/>
          <w:sz w:val="24"/>
          <w:szCs w:val="24"/>
        </w:rPr>
        <w:t xml:space="preserve"> </w:t>
      </w:r>
      <w:r>
        <w:rPr>
          <w:sz w:val="24"/>
          <w:szCs w:val="24"/>
        </w:rPr>
        <w:t xml:space="preserve">RESOLVE registrar os preços da empresa </w:t>
      </w:r>
      <w:r>
        <w:rPr>
          <w:b/>
          <w:color w:val="000000"/>
          <w:sz w:val="24"/>
          <w:szCs w:val="24"/>
          <w:highlight w:val="yellow"/>
        </w:rPr>
        <w:t>XXXXXXXXXXXXXX</w:t>
      </w:r>
      <w:r>
        <w:rPr>
          <w:sz w:val="24"/>
          <w:szCs w:val="24"/>
        </w:rPr>
        <w:t xml:space="preserve">, pessoa jurídica de direito privado, com sede na </w:t>
      </w:r>
      <w:r>
        <w:rPr>
          <w:b/>
          <w:color w:val="000000"/>
          <w:sz w:val="24"/>
          <w:szCs w:val="24"/>
          <w:highlight w:val="yellow"/>
        </w:rPr>
        <w:t>XXXXXXXXXXXXX</w:t>
      </w:r>
      <w:r>
        <w:rPr>
          <w:sz w:val="24"/>
          <w:szCs w:val="24"/>
        </w:rPr>
        <w:t xml:space="preserve">, inscrita no CNPJ/MF sob nº. </w:t>
      </w:r>
      <w:r>
        <w:rPr>
          <w:b/>
          <w:color w:val="000000"/>
          <w:sz w:val="24"/>
          <w:szCs w:val="24"/>
          <w:highlight w:val="yellow"/>
        </w:rPr>
        <w:t>XXXXXXXXXXXXX</w:t>
      </w:r>
      <w:r>
        <w:rPr>
          <w:sz w:val="24"/>
          <w:szCs w:val="24"/>
        </w:rPr>
        <w:t xml:space="preserve">, neste ato representado(a) por </w:t>
      </w:r>
      <w:r>
        <w:rPr>
          <w:b/>
          <w:sz w:val="24"/>
          <w:szCs w:val="24"/>
        </w:rPr>
        <w:t>XXXXXXXXXXXX</w:t>
      </w:r>
      <w:r>
        <w:rPr>
          <w:sz w:val="24"/>
          <w:szCs w:val="24"/>
        </w:rPr>
        <w:t xml:space="preserve"> </w:t>
      </w:r>
      <w:r>
        <w:rPr>
          <w:color w:val="FF0000"/>
          <w:sz w:val="24"/>
          <w:szCs w:val="24"/>
        </w:rPr>
        <w:t>(nome e função no contratado)</w:t>
      </w:r>
      <w:r>
        <w:rPr>
          <w:sz w:val="24"/>
          <w:szCs w:val="24"/>
        </w:rPr>
        <w:t>, conforme atos constitutivos da empresa</w:t>
      </w:r>
      <w:r>
        <w:rPr>
          <w:i/>
          <w:sz w:val="24"/>
          <w:szCs w:val="24"/>
        </w:rPr>
        <w:t xml:space="preserve"> </w:t>
      </w:r>
      <w:r>
        <w:rPr>
          <w:b/>
          <w:i/>
          <w:color w:val="FF0000"/>
          <w:sz w:val="24"/>
          <w:szCs w:val="24"/>
          <w:highlight w:val="yellow"/>
        </w:rPr>
        <w:t>OU</w:t>
      </w:r>
      <w:r>
        <w:rPr>
          <w:i/>
          <w:sz w:val="24"/>
          <w:szCs w:val="24"/>
        </w:rPr>
        <w:t xml:space="preserve"> </w:t>
      </w:r>
      <w:r>
        <w:rPr>
          <w:sz w:val="24"/>
          <w:szCs w:val="24"/>
        </w:rPr>
        <w:t xml:space="preserve">procuração apresentada nos autos, atendendo as condições previstas no edital, sujeitando-se as partes às normas constantes na Lei nº 14.133, de 1º de abril de 2021 e suas alterações, </w:t>
      </w:r>
      <w:r>
        <w:rPr>
          <w:sz w:val="24"/>
          <w:szCs w:val="24"/>
          <w:highlight w:val="yellow"/>
        </w:rPr>
        <w:t>no Decreto Municipal nº X</w:t>
      </w:r>
      <w:r>
        <w:rPr>
          <w:smallCaps/>
          <w:sz w:val="24"/>
          <w:szCs w:val="24"/>
          <w:highlight w:val="yellow"/>
        </w:rPr>
        <w:t>XX/20XX</w:t>
      </w:r>
      <w:r>
        <w:rPr>
          <w:sz w:val="24"/>
          <w:szCs w:val="24"/>
        </w:rPr>
        <w:t xml:space="preserve">, e em conformidade com as disposições a seguir: </w:t>
      </w:r>
    </w:p>
    <w:p w14:paraId="4D923620">
      <w:pPr>
        <w:ind w:left="-567" w:right="-852"/>
        <w:jc w:val="center"/>
        <w:rPr>
          <w:b/>
          <w:sz w:val="24"/>
          <w:szCs w:val="24"/>
        </w:rPr>
      </w:pPr>
    </w:p>
    <w:p w14:paraId="1DC5D4DC">
      <w:pPr>
        <w:keepNext/>
        <w:keepLines/>
        <w:widowControl w:val="0"/>
        <w:numPr>
          <w:ilvl w:val="0"/>
          <w:numId w:val="11"/>
        </w:numPr>
        <w:pBdr>
          <w:top w:val="none" w:color="auto" w:sz="0" w:space="0"/>
          <w:left w:val="none" w:color="auto" w:sz="0" w:space="0"/>
          <w:bottom w:val="none" w:color="auto" w:sz="0" w:space="0"/>
          <w:right w:val="none" w:color="auto" w:sz="0" w:space="0"/>
          <w:between w:val="none" w:color="auto" w:sz="0" w:space="0"/>
        </w:pBdr>
        <w:ind w:left="-567" w:right="-852" w:firstLine="0"/>
        <w:jc w:val="both"/>
        <w:rPr>
          <w:b/>
          <w:color w:val="000000"/>
          <w:sz w:val="24"/>
          <w:szCs w:val="24"/>
        </w:rPr>
      </w:pPr>
      <w:r>
        <w:rPr>
          <w:b/>
          <w:color w:val="000000"/>
          <w:sz w:val="24"/>
          <w:szCs w:val="24"/>
        </w:rPr>
        <w:t>DO OBJETO</w:t>
      </w:r>
    </w:p>
    <w:p w14:paraId="1BAE7D8D">
      <w:pPr>
        <w:numPr>
          <w:ilvl w:val="1"/>
          <w:numId w:val="11"/>
        </w:numPr>
        <w:ind w:left="-567" w:right="-852" w:firstLine="0"/>
        <w:jc w:val="both"/>
        <w:rPr>
          <w:sz w:val="24"/>
          <w:szCs w:val="24"/>
        </w:rPr>
      </w:pPr>
      <w:r>
        <w:rPr>
          <w:sz w:val="24"/>
          <w:szCs w:val="24"/>
        </w:rPr>
        <w:t xml:space="preserve">A presente Ata tem por objeto </w:t>
      </w:r>
      <w:r>
        <w:rPr>
          <w:color w:val="000000"/>
          <w:sz w:val="24"/>
          <w:szCs w:val="24"/>
        </w:rPr>
        <w:t xml:space="preserve">o Registro de Preços para fornecimento de </w:t>
      </w:r>
      <w:r>
        <w:rPr>
          <w:color w:val="000000"/>
          <w:sz w:val="24"/>
          <w:szCs w:val="24"/>
          <w:highlight w:val="yellow"/>
        </w:rPr>
        <w:t>XXXXXXXXXX</w:t>
      </w:r>
      <w:r>
        <w:rPr>
          <w:sz w:val="24"/>
          <w:szCs w:val="24"/>
        </w:rPr>
        <w:t xml:space="preserve"> , especificado(s) no(s) item(ns).......... do .......... Termo de Referência, anexo ...... do edital de Pregão Eletrônico </w:t>
      </w:r>
      <w:r>
        <w:rPr>
          <w:sz w:val="24"/>
          <w:szCs w:val="24"/>
          <w:highlight w:val="yellow"/>
        </w:rPr>
        <w:t>nº XXX/20XX</w:t>
      </w:r>
      <w:r>
        <w:rPr>
          <w:sz w:val="24"/>
          <w:szCs w:val="24"/>
        </w:rPr>
        <w:t>, que é parte integrante desta Ata, assim como a proposta vencedora, independentemente de transcrição.</w:t>
      </w:r>
    </w:p>
    <w:p w14:paraId="27918AA7">
      <w:pPr>
        <w:ind w:left="-567" w:right="-852"/>
        <w:jc w:val="both"/>
        <w:rPr>
          <w:sz w:val="24"/>
          <w:szCs w:val="24"/>
        </w:rPr>
      </w:pPr>
    </w:p>
    <w:p w14:paraId="63FED5DA">
      <w:pPr>
        <w:keepNext/>
        <w:keepLines/>
        <w:widowControl w:val="0"/>
        <w:numPr>
          <w:ilvl w:val="0"/>
          <w:numId w:val="11"/>
        </w:numPr>
        <w:pBdr>
          <w:top w:val="none" w:color="auto" w:sz="0" w:space="0"/>
          <w:left w:val="none" w:color="auto" w:sz="0" w:space="0"/>
          <w:bottom w:val="none" w:color="auto" w:sz="0" w:space="0"/>
          <w:right w:val="none" w:color="auto" w:sz="0" w:space="0"/>
          <w:between w:val="none" w:color="auto" w:sz="0" w:space="0"/>
        </w:pBdr>
        <w:ind w:left="-567" w:right="-852" w:firstLine="0"/>
        <w:jc w:val="both"/>
        <w:rPr>
          <w:b/>
          <w:color w:val="000000"/>
          <w:sz w:val="24"/>
          <w:szCs w:val="24"/>
        </w:rPr>
      </w:pPr>
      <w:r>
        <w:rPr>
          <w:b/>
          <w:color w:val="000000"/>
          <w:sz w:val="24"/>
          <w:szCs w:val="24"/>
        </w:rPr>
        <w:t>DOS PREÇOS, ESPECIFICAÇÕES E QUANTITATIVOS</w:t>
      </w:r>
    </w:p>
    <w:p w14:paraId="7912CB6E">
      <w:pPr>
        <w:numPr>
          <w:ilvl w:val="1"/>
          <w:numId w:val="11"/>
        </w:numPr>
        <w:ind w:left="-567" w:right="-852" w:firstLine="0"/>
        <w:jc w:val="both"/>
        <w:rPr>
          <w:sz w:val="24"/>
          <w:szCs w:val="24"/>
        </w:rPr>
      </w:pPr>
      <w:r>
        <w:rPr>
          <w:sz w:val="24"/>
          <w:szCs w:val="24"/>
        </w:rPr>
        <w:t xml:space="preserve">O preço registrado, as especificações do objeto e as demais condições ofertadas na(s) proposta(s) são as que seguem: </w:t>
      </w:r>
    </w:p>
    <w:p w14:paraId="3F4542BA">
      <w:pPr>
        <w:widowControl w:val="0"/>
        <w:tabs>
          <w:tab w:val="left" w:pos="2850"/>
        </w:tabs>
        <w:ind w:left="-567" w:right="-852"/>
        <w:jc w:val="center"/>
        <w:rPr>
          <w:b/>
          <w:color w:val="FF0000"/>
          <w:sz w:val="24"/>
          <w:szCs w:val="24"/>
        </w:rPr>
      </w:pPr>
      <w:r>
        <w:rPr>
          <w:b/>
          <w:color w:val="FF0000"/>
          <w:sz w:val="24"/>
          <w:szCs w:val="24"/>
          <w:highlight w:val="yellow"/>
        </w:rPr>
        <w:t>(Planilha)</w:t>
      </w:r>
    </w:p>
    <w:p w14:paraId="23D1D6FF">
      <w:pPr>
        <w:widowControl w:val="0"/>
        <w:tabs>
          <w:tab w:val="left" w:pos="2850"/>
        </w:tabs>
        <w:ind w:left="-567" w:right="-852"/>
        <w:jc w:val="both"/>
        <w:rPr>
          <w:b/>
          <w:color w:val="FF0000"/>
          <w:sz w:val="24"/>
          <w:szCs w:val="24"/>
        </w:rPr>
      </w:pPr>
    </w:p>
    <w:p w14:paraId="684B109E">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A listagem do cadastro de reserva referente ao presente registro de preços consta como anexo a esta Ata.</w:t>
      </w:r>
    </w:p>
    <w:p w14:paraId="0D410D28">
      <w:p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jc w:val="both"/>
        <w:rPr>
          <w:color w:val="000000"/>
        </w:rPr>
      </w:pPr>
    </w:p>
    <w:p w14:paraId="2B23D3E2">
      <w:pPr>
        <w:keepNext/>
        <w:keepLines/>
        <w:numPr>
          <w:ilvl w:val="0"/>
          <w:numId w:val="11"/>
        </w:numPr>
        <w:pBdr>
          <w:top w:val="none" w:color="auto" w:sz="0" w:space="0"/>
          <w:left w:val="none" w:color="auto" w:sz="0" w:space="0"/>
          <w:bottom w:val="none" w:color="auto" w:sz="0" w:space="0"/>
          <w:right w:val="none" w:color="auto" w:sz="0" w:space="0"/>
          <w:between w:val="none" w:color="auto" w:sz="0" w:space="0"/>
        </w:pBdr>
        <w:tabs>
          <w:tab w:val="left" w:pos="567"/>
        </w:tabs>
        <w:ind w:left="-567" w:right="-852"/>
        <w:jc w:val="both"/>
        <w:rPr>
          <w:b/>
          <w:color w:val="000000"/>
          <w:sz w:val="24"/>
          <w:szCs w:val="24"/>
        </w:rPr>
      </w:pPr>
      <w:r>
        <w:rPr>
          <w:b/>
          <w:color w:val="000000"/>
          <w:sz w:val="24"/>
          <w:szCs w:val="24"/>
        </w:rPr>
        <w:t>ÓRGÃO(S) GERENCIADOR E  PARTICIPANTE(S)</w:t>
      </w:r>
    </w:p>
    <w:p w14:paraId="1F035E6B">
      <w:pPr>
        <w:numPr>
          <w:ilvl w:val="1"/>
          <w:numId w:val="11"/>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000000"/>
          <w:sz w:val="24"/>
          <w:szCs w:val="24"/>
        </w:rPr>
      </w:pPr>
      <w:r>
        <w:rPr>
          <w:color w:val="000000"/>
          <w:sz w:val="24"/>
          <w:szCs w:val="24"/>
        </w:rPr>
        <w:t>O órgão gerenciador será o ......(nome do órgão)....</w:t>
      </w:r>
    </w:p>
    <w:p w14:paraId="39AB329D">
      <w:pPr>
        <w:numPr>
          <w:ilvl w:val="1"/>
          <w:numId w:val="11"/>
        </w:numPr>
        <w:pBdr>
          <w:top w:val="none" w:color="auto" w:sz="0" w:space="0"/>
          <w:left w:val="none" w:color="auto" w:sz="0" w:space="0"/>
          <w:bottom w:val="none" w:color="auto" w:sz="0" w:space="0"/>
          <w:right w:val="none" w:color="auto" w:sz="0" w:space="0"/>
          <w:between w:val="none" w:color="auto" w:sz="0" w:space="0"/>
        </w:pBdr>
        <w:ind w:left="-567" w:right="-852" w:firstLine="0"/>
        <w:jc w:val="both"/>
        <w:rPr>
          <w:color w:val="FF0000"/>
          <w:sz w:val="24"/>
          <w:szCs w:val="24"/>
          <w:highlight w:val="yellow"/>
        </w:rPr>
      </w:pPr>
      <w:r>
        <w:rPr>
          <w:color w:val="FF0000"/>
          <w:sz w:val="24"/>
          <w:szCs w:val="24"/>
          <w:highlight w:val="yellow"/>
        </w:rPr>
        <w:t>{Além do gerenciador, não há [ou] São} órgãos e entidades públicas participantes do registro de preços:</w:t>
      </w:r>
    </w:p>
    <w:tbl>
      <w:tblPr>
        <w:tblStyle w:val="9"/>
        <w:tblW w:w="8493"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59"/>
        <w:gridCol w:w="2169"/>
        <w:gridCol w:w="2112"/>
        <w:gridCol w:w="2153"/>
      </w:tblGrid>
      <w:tr w14:paraId="7B8C4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0" w:type="dxa"/>
          </w:tcPr>
          <w:p w14:paraId="1E3B0BFA">
            <w:pPr>
              <w:widowControl w:val="0"/>
              <w:ind w:right="-30"/>
              <w:jc w:val="center"/>
              <w:rPr>
                <w:i/>
                <w:color w:val="FF0000"/>
                <w:sz w:val="24"/>
                <w:szCs w:val="24"/>
                <w:highlight w:val="yellow"/>
              </w:rPr>
            </w:pPr>
            <w:r>
              <w:rPr>
                <w:i/>
                <w:color w:val="FF0000"/>
                <w:sz w:val="24"/>
                <w:szCs w:val="24"/>
                <w:highlight w:val="yellow"/>
              </w:rPr>
              <w:t xml:space="preserve">Item nº </w:t>
            </w:r>
          </w:p>
        </w:tc>
        <w:tc>
          <w:tcPr>
            <w:tcW w:w="2169" w:type="dxa"/>
          </w:tcPr>
          <w:p w14:paraId="5F2F8B59">
            <w:pPr>
              <w:widowControl w:val="0"/>
              <w:ind w:right="-30"/>
              <w:jc w:val="center"/>
              <w:rPr>
                <w:i/>
                <w:color w:val="FF0000"/>
                <w:sz w:val="24"/>
                <w:szCs w:val="24"/>
                <w:highlight w:val="yellow"/>
              </w:rPr>
            </w:pPr>
            <w:r>
              <w:rPr>
                <w:i/>
                <w:color w:val="FF0000"/>
                <w:sz w:val="24"/>
                <w:szCs w:val="24"/>
                <w:highlight w:val="yellow"/>
              </w:rPr>
              <w:t>Órgãos Participantes</w:t>
            </w:r>
          </w:p>
        </w:tc>
        <w:tc>
          <w:tcPr>
            <w:tcW w:w="2112" w:type="dxa"/>
          </w:tcPr>
          <w:p w14:paraId="3468B917">
            <w:pPr>
              <w:widowControl w:val="0"/>
              <w:ind w:right="-30"/>
              <w:jc w:val="center"/>
              <w:rPr>
                <w:i/>
                <w:color w:val="FF0000"/>
                <w:sz w:val="24"/>
                <w:szCs w:val="24"/>
                <w:highlight w:val="yellow"/>
              </w:rPr>
            </w:pPr>
            <w:r>
              <w:rPr>
                <w:i/>
                <w:color w:val="FF0000"/>
                <w:sz w:val="24"/>
                <w:szCs w:val="24"/>
                <w:highlight w:val="yellow"/>
              </w:rPr>
              <w:t>Unidade</w:t>
            </w:r>
          </w:p>
        </w:tc>
        <w:tc>
          <w:tcPr>
            <w:tcW w:w="2153" w:type="dxa"/>
          </w:tcPr>
          <w:p w14:paraId="1F4C58DB">
            <w:pPr>
              <w:widowControl w:val="0"/>
              <w:ind w:right="-30"/>
              <w:jc w:val="center"/>
              <w:rPr>
                <w:i/>
                <w:color w:val="FF0000"/>
                <w:sz w:val="24"/>
                <w:szCs w:val="24"/>
                <w:highlight w:val="yellow"/>
              </w:rPr>
            </w:pPr>
            <w:r>
              <w:rPr>
                <w:i/>
                <w:color w:val="FF0000"/>
                <w:sz w:val="24"/>
                <w:szCs w:val="24"/>
                <w:highlight w:val="yellow"/>
              </w:rPr>
              <w:t>Quantidade</w:t>
            </w:r>
          </w:p>
        </w:tc>
      </w:tr>
      <w:tr w14:paraId="29FDF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0" w:type="dxa"/>
          </w:tcPr>
          <w:p w14:paraId="537334B0">
            <w:pPr>
              <w:widowControl w:val="0"/>
              <w:ind w:right="-30"/>
              <w:jc w:val="center"/>
              <w:rPr>
                <w:i/>
                <w:color w:val="FF0000"/>
                <w:sz w:val="24"/>
                <w:szCs w:val="24"/>
              </w:rPr>
            </w:pPr>
          </w:p>
        </w:tc>
        <w:tc>
          <w:tcPr>
            <w:tcW w:w="2169" w:type="dxa"/>
          </w:tcPr>
          <w:p w14:paraId="72DCC74F">
            <w:pPr>
              <w:widowControl w:val="0"/>
              <w:ind w:right="-30"/>
              <w:jc w:val="center"/>
              <w:rPr>
                <w:i/>
                <w:color w:val="FF0000"/>
                <w:sz w:val="24"/>
                <w:szCs w:val="24"/>
              </w:rPr>
            </w:pPr>
          </w:p>
        </w:tc>
        <w:tc>
          <w:tcPr>
            <w:tcW w:w="2112" w:type="dxa"/>
          </w:tcPr>
          <w:p w14:paraId="1F00B761">
            <w:pPr>
              <w:widowControl w:val="0"/>
              <w:ind w:right="-30"/>
              <w:jc w:val="center"/>
              <w:rPr>
                <w:i/>
                <w:color w:val="FF0000"/>
                <w:sz w:val="24"/>
                <w:szCs w:val="24"/>
              </w:rPr>
            </w:pPr>
          </w:p>
        </w:tc>
        <w:tc>
          <w:tcPr>
            <w:tcW w:w="2153" w:type="dxa"/>
          </w:tcPr>
          <w:p w14:paraId="53D291EC">
            <w:pPr>
              <w:widowControl w:val="0"/>
              <w:ind w:right="-30"/>
              <w:jc w:val="center"/>
              <w:rPr>
                <w:i/>
                <w:color w:val="FF0000"/>
                <w:sz w:val="24"/>
                <w:szCs w:val="24"/>
              </w:rPr>
            </w:pPr>
          </w:p>
        </w:tc>
      </w:tr>
      <w:tr w14:paraId="4D7C6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0" w:type="dxa"/>
          </w:tcPr>
          <w:p w14:paraId="32584C8E">
            <w:pPr>
              <w:widowControl w:val="0"/>
              <w:ind w:right="-30"/>
              <w:jc w:val="center"/>
              <w:rPr>
                <w:i/>
                <w:color w:val="FF0000"/>
                <w:sz w:val="24"/>
                <w:szCs w:val="24"/>
              </w:rPr>
            </w:pPr>
          </w:p>
        </w:tc>
        <w:tc>
          <w:tcPr>
            <w:tcW w:w="2169" w:type="dxa"/>
          </w:tcPr>
          <w:p w14:paraId="336E4938">
            <w:pPr>
              <w:widowControl w:val="0"/>
              <w:ind w:right="-30"/>
              <w:jc w:val="center"/>
              <w:rPr>
                <w:i/>
                <w:color w:val="FF0000"/>
                <w:sz w:val="24"/>
                <w:szCs w:val="24"/>
              </w:rPr>
            </w:pPr>
          </w:p>
        </w:tc>
        <w:tc>
          <w:tcPr>
            <w:tcW w:w="2112" w:type="dxa"/>
          </w:tcPr>
          <w:p w14:paraId="6D48FC06">
            <w:pPr>
              <w:widowControl w:val="0"/>
              <w:ind w:right="-30"/>
              <w:jc w:val="center"/>
              <w:rPr>
                <w:i/>
                <w:color w:val="FF0000"/>
                <w:sz w:val="24"/>
                <w:szCs w:val="24"/>
              </w:rPr>
            </w:pPr>
          </w:p>
        </w:tc>
        <w:tc>
          <w:tcPr>
            <w:tcW w:w="2153" w:type="dxa"/>
          </w:tcPr>
          <w:p w14:paraId="353C0CE4">
            <w:pPr>
              <w:widowControl w:val="0"/>
              <w:ind w:right="-30"/>
              <w:jc w:val="center"/>
              <w:rPr>
                <w:i/>
                <w:color w:val="FF0000"/>
                <w:sz w:val="24"/>
                <w:szCs w:val="24"/>
              </w:rPr>
            </w:pPr>
          </w:p>
        </w:tc>
      </w:tr>
      <w:tr w14:paraId="0D15E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0" w:type="dxa"/>
          </w:tcPr>
          <w:p w14:paraId="4F3A3DF5">
            <w:pPr>
              <w:widowControl w:val="0"/>
              <w:ind w:right="-30"/>
              <w:jc w:val="center"/>
              <w:rPr>
                <w:i/>
                <w:color w:val="FF0000"/>
                <w:sz w:val="24"/>
                <w:szCs w:val="24"/>
              </w:rPr>
            </w:pPr>
          </w:p>
        </w:tc>
        <w:tc>
          <w:tcPr>
            <w:tcW w:w="2169" w:type="dxa"/>
          </w:tcPr>
          <w:p w14:paraId="013B1C9F">
            <w:pPr>
              <w:widowControl w:val="0"/>
              <w:ind w:right="-30"/>
              <w:jc w:val="center"/>
              <w:rPr>
                <w:i/>
                <w:color w:val="FF0000"/>
                <w:sz w:val="24"/>
                <w:szCs w:val="24"/>
              </w:rPr>
            </w:pPr>
          </w:p>
        </w:tc>
        <w:tc>
          <w:tcPr>
            <w:tcW w:w="2112" w:type="dxa"/>
          </w:tcPr>
          <w:p w14:paraId="30E43DB1">
            <w:pPr>
              <w:widowControl w:val="0"/>
              <w:ind w:right="-30"/>
              <w:jc w:val="center"/>
              <w:rPr>
                <w:i/>
                <w:color w:val="FF0000"/>
                <w:sz w:val="24"/>
                <w:szCs w:val="24"/>
              </w:rPr>
            </w:pPr>
          </w:p>
        </w:tc>
        <w:tc>
          <w:tcPr>
            <w:tcW w:w="2153" w:type="dxa"/>
          </w:tcPr>
          <w:p w14:paraId="31024903">
            <w:pPr>
              <w:widowControl w:val="0"/>
              <w:ind w:right="-30"/>
              <w:jc w:val="center"/>
              <w:rPr>
                <w:i/>
                <w:color w:val="FF0000"/>
                <w:sz w:val="24"/>
                <w:szCs w:val="24"/>
              </w:rPr>
            </w:pPr>
          </w:p>
        </w:tc>
      </w:tr>
    </w:tbl>
    <w:p w14:paraId="7D19450C">
      <w:pPr>
        <w:widowControl w:val="0"/>
        <w:tabs>
          <w:tab w:val="left" w:pos="2850"/>
        </w:tabs>
        <w:jc w:val="both"/>
        <w:rPr>
          <w:b/>
          <w:color w:val="FF0000"/>
          <w:sz w:val="24"/>
          <w:szCs w:val="24"/>
        </w:rPr>
      </w:pPr>
    </w:p>
    <w:p w14:paraId="796D79CB">
      <w:pPr>
        <w:keepNext/>
        <w:keepLines/>
        <w:widowControl w:val="0"/>
        <w:numPr>
          <w:ilvl w:val="0"/>
          <w:numId w:val="11"/>
        </w:numPr>
        <w:pBdr>
          <w:top w:val="none" w:color="auto" w:sz="0" w:space="0"/>
          <w:left w:val="none" w:color="auto" w:sz="0" w:space="0"/>
          <w:bottom w:val="none" w:color="auto" w:sz="0" w:space="0"/>
          <w:right w:val="none" w:color="auto" w:sz="0" w:space="0"/>
          <w:between w:val="none" w:color="auto" w:sz="0" w:space="0"/>
        </w:pBdr>
        <w:ind w:left="-567" w:right="-852" w:firstLine="0"/>
        <w:jc w:val="both"/>
        <w:rPr>
          <w:b/>
          <w:color w:val="000000"/>
          <w:sz w:val="24"/>
          <w:szCs w:val="24"/>
        </w:rPr>
      </w:pPr>
      <w:r>
        <w:rPr>
          <w:b/>
          <w:color w:val="000000"/>
          <w:sz w:val="24"/>
          <w:szCs w:val="24"/>
        </w:rPr>
        <w:t xml:space="preserve">DA ADESÃO À ATA DE REGISTRO DE PREÇOS </w:t>
      </w:r>
    </w:p>
    <w:p w14:paraId="687ED96F">
      <w:pPr>
        <w:ind w:left="-567" w:right="-852"/>
        <w:jc w:val="both"/>
        <w:rPr>
          <w:sz w:val="24"/>
          <w:szCs w:val="24"/>
        </w:rPr>
      </w:pPr>
    </w:p>
    <w:p w14:paraId="32887134">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Durante a vigência da ata, os órgãos e as entidades da Administração Pública que não participaram do procedimento de IRP poderão aderir à ata de registro de preços na condição de não participantes, observados os seguintes requisitos:</w:t>
      </w:r>
    </w:p>
    <w:p w14:paraId="45DE18B3">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apresentação de justificativa da vantagem da adesão, inclusive em situações de provável desabastecimento ou descontinuidade de serviço público;</w:t>
      </w:r>
    </w:p>
    <w:p w14:paraId="17AAC821">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 xml:space="preserve"> demonstração de que os valores registrados estão compatíveis com os valores praticados pelo mercado na forma do art. 23 da Lei nº 14.133, de 2021; e</w:t>
      </w:r>
    </w:p>
    <w:p w14:paraId="2BE0B26A">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 xml:space="preserve"> consulta e aceitação prévias do órgão ou da entidade gerenciadora e do fornecedor.</w:t>
      </w:r>
    </w:p>
    <w:p w14:paraId="7B698947">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A autorização do órgão ou entidade gerenciadora apenas será realizada após a aceitação da adesão pelo fornecedor.</w:t>
      </w:r>
    </w:p>
    <w:p w14:paraId="6D5D2353">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O órgão ou entidade gerenciadora poderá rejeitar adesões caso elas possam acarretar prejuízo à execução de seus próprios contratos ou à sua capacidade de gerenciamento.</w:t>
      </w:r>
    </w:p>
    <w:p w14:paraId="150EA9F1">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 xml:space="preserve"> Após a autorização do órgão ou da entidade gerenciadora, o órgão ou entidade não participante deverá efetivar a aquisição ou a contratação solicitada em até noventa dias, observado o prazo de vigência da ata.</w:t>
      </w:r>
    </w:p>
    <w:p w14:paraId="54ADB996">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81A3AF0">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O órgão ou a entidade poderá aderir a item da ata de registro de preços da qual seja integrante, na qualidade de não participante, para aqueles itens para os quais não tenha quantitativo registrado, observados os requisitos do item 4.1.</w:t>
      </w:r>
    </w:p>
    <w:p w14:paraId="63D6B381">
      <w:pPr>
        <w:pBdr>
          <w:top w:val="none" w:color="auto" w:sz="0" w:space="0"/>
          <w:left w:val="none" w:color="auto" w:sz="0" w:space="0"/>
          <w:bottom w:val="none" w:color="auto" w:sz="0" w:space="0"/>
          <w:right w:val="none" w:color="auto" w:sz="0" w:space="0"/>
          <w:between w:val="none" w:color="auto" w:sz="0" w:space="0"/>
        </w:pBdr>
        <w:spacing w:before="240" w:after="120" w:line="276" w:lineRule="auto"/>
        <w:ind w:left="-567" w:right="-852"/>
        <w:jc w:val="both"/>
        <w:rPr>
          <w:b/>
          <w:color w:val="000000"/>
          <w:sz w:val="24"/>
          <w:szCs w:val="24"/>
        </w:rPr>
      </w:pPr>
      <w:r>
        <w:rPr>
          <w:b/>
          <w:color w:val="000000"/>
          <w:sz w:val="24"/>
          <w:szCs w:val="24"/>
        </w:rPr>
        <w:t>Dos limites para as adesões</w:t>
      </w:r>
    </w:p>
    <w:p w14:paraId="3A8D9D74">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6779A977">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619388A1">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05343612">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FF0000"/>
          <w:sz w:val="24"/>
          <w:szCs w:val="24"/>
        </w:rPr>
      </w:pPr>
      <w:r>
        <w:rPr>
          <w:color w:val="000000"/>
          <w:sz w:val="24"/>
          <w:szCs w:val="24"/>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r>
        <w:rPr>
          <w:color w:val="FF0000"/>
          <w:sz w:val="24"/>
          <w:szCs w:val="24"/>
        </w:rPr>
        <w:t>.</w:t>
      </w:r>
    </w:p>
    <w:p w14:paraId="2A99EA46">
      <w:pPr>
        <w:pBdr>
          <w:top w:val="none" w:color="auto" w:sz="0" w:space="0"/>
          <w:left w:val="none" w:color="auto" w:sz="0" w:space="0"/>
          <w:bottom w:val="none" w:color="auto" w:sz="0" w:space="0"/>
          <w:right w:val="none" w:color="auto" w:sz="0" w:space="0"/>
          <w:between w:val="none" w:color="auto" w:sz="0" w:space="0"/>
        </w:pBdr>
        <w:spacing w:before="240" w:after="120" w:line="276" w:lineRule="auto"/>
        <w:ind w:left="-567" w:right="-852"/>
        <w:jc w:val="both"/>
        <w:rPr>
          <w:b/>
          <w:color w:val="000000"/>
          <w:sz w:val="24"/>
          <w:szCs w:val="24"/>
        </w:rPr>
      </w:pPr>
      <w:r>
        <w:rPr>
          <w:b/>
          <w:color w:val="000000"/>
          <w:sz w:val="24"/>
          <w:szCs w:val="24"/>
        </w:rPr>
        <w:t>Vedação a acréscimo de quantitativos</w:t>
      </w:r>
    </w:p>
    <w:p w14:paraId="2096AF44">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É vedado efetuar acréscimos nos quantitativos fixados na ata de registro de preços.</w:t>
      </w:r>
    </w:p>
    <w:p w14:paraId="0EFB7107">
      <w:pPr>
        <w:keepNext/>
        <w:keepLines/>
        <w:numPr>
          <w:ilvl w:val="0"/>
          <w:numId w:val="11"/>
        </w:numPr>
        <w:pBdr>
          <w:top w:val="none" w:color="auto" w:sz="0" w:space="0"/>
          <w:left w:val="none" w:color="auto" w:sz="0" w:space="0"/>
          <w:bottom w:val="none" w:color="auto" w:sz="0" w:space="0"/>
          <w:right w:val="none" w:color="auto" w:sz="0" w:space="0"/>
          <w:between w:val="none" w:color="auto" w:sz="0" w:space="0"/>
        </w:pBdr>
        <w:tabs>
          <w:tab w:val="left" w:pos="567"/>
        </w:tabs>
        <w:spacing w:before="288" w:after="288" w:line="312" w:lineRule="auto"/>
        <w:ind w:left="-567" w:right="-852" w:firstLine="0"/>
        <w:jc w:val="both"/>
        <w:rPr>
          <w:b/>
          <w:color w:val="000000"/>
          <w:sz w:val="24"/>
          <w:szCs w:val="24"/>
        </w:rPr>
      </w:pPr>
      <w:r>
        <w:rPr>
          <w:b/>
          <w:color w:val="000000"/>
          <w:sz w:val="24"/>
          <w:szCs w:val="24"/>
        </w:rPr>
        <w:t>VALIDADE, FORMALIZAÇÃO DA ATA DE REGISTRO DE PREÇOS E CADASTRO RESERVA</w:t>
      </w:r>
    </w:p>
    <w:p w14:paraId="2BC5207B">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A validade da Ata de Registro de Preços será de 1 (um) ano, contado a partir do primeiro dia útil subsequente à data de divulgação no PNCP, podendo ser prorrogada por igual período, mediante a anuência do fornecedor, desde que comprovado o preço vantajoso.</w:t>
      </w:r>
    </w:p>
    <w:p w14:paraId="7AEE6522">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507231C4">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Na formalização do contrato ou do instrumento substituto deverá haver a indicação da disponibilidade dos créditos orçamentários respectivos.</w:t>
      </w:r>
    </w:p>
    <w:p w14:paraId="11806B21">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2DA52E15">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 xml:space="preserve"> O instrumento contratual de que trata o item 5.2. deverá ser assinado no prazo de validade da ata de registro de preços.</w:t>
      </w:r>
    </w:p>
    <w:p w14:paraId="19333D19">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Os contratos decorrentes do sistema de registro de preços poderão ser alterados, observado o art. 124 da Lei nº 14.133, de 2021.</w:t>
      </w:r>
    </w:p>
    <w:p w14:paraId="5F2E3FED">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Após a homologação da licitação, deverão ser observadas as seguintes condições para formalização da ata de registro de preços:</w:t>
      </w:r>
    </w:p>
    <w:p w14:paraId="378869FF">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Serão registrados na ata os preços e os quantitativos do adjudicatário, devendo ser observada a possibilidade de o licitante oferecer ou não proposta em quantitativo inferior ao máximo previsto no edital e se obrigar nos limites dela;</w:t>
      </w:r>
    </w:p>
    <w:p w14:paraId="6C0339D4">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Será incluído na ata, na forma de anexo, o registro dos licitantes ou dos fornecedores que:</w:t>
      </w:r>
    </w:p>
    <w:p w14:paraId="4579697A">
      <w:pPr>
        <w:numPr>
          <w:ilvl w:val="3"/>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 xml:space="preserve">Aceitarem cotar os bens, as obras ou os serviços com preços iguais aos do adjudicatário, observada a classificação da licitação; e </w:t>
      </w:r>
    </w:p>
    <w:p w14:paraId="1677FAC6">
      <w:pPr>
        <w:numPr>
          <w:ilvl w:val="3"/>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 xml:space="preserve">Mantiverem sua proposta original. </w:t>
      </w:r>
      <w:bookmarkStart w:id="42" w:name="bookmark=id.2u6wntf" w:colFirst="0" w:colLast="0"/>
      <w:bookmarkEnd w:id="42"/>
    </w:p>
    <w:p w14:paraId="55964ED5">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Será respeitada, nas contratações, a ordem de classificação dos licitantes ou dos fornecedores registrados na ata.</w:t>
      </w:r>
    </w:p>
    <w:p w14:paraId="38A59DA1">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O registro a que se refere o item 5.4.2</w:t>
      </w:r>
      <w:r>
        <w:rPr>
          <w:b/>
          <w:color w:val="000000"/>
          <w:sz w:val="24"/>
          <w:szCs w:val="24"/>
        </w:rPr>
        <w:t xml:space="preserve"> </w:t>
      </w:r>
      <w:r>
        <w:rPr>
          <w:color w:val="000000"/>
          <w:sz w:val="24"/>
          <w:szCs w:val="24"/>
        </w:rPr>
        <w:t>tem por objetivo a formação de cadastro de reserva para o caso de impossibilidade de atendimento pelo signatário da ata.</w:t>
      </w:r>
    </w:p>
    <w:p w14:paraId="0B60A305">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Para fins da ordem de classificação, os licitantes ou fornecedores que aceitarem reduzir suas propostas para o preço do adjudicatário antecederão aqueles que mantiverem sua proposta original.</w:t>
      </w:r>
    </w:p>
    <w:p w14:paraId="4E921BE7">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A habilitação dos licitantes que comporão o cadastro de reserva a que se refere o item 5.4.2.2 somente será efetuada quando houver necessidade de contratação dos licitantes remanescentes, nas seguintes hipóteses:</w:t>
      </w:r>
      <w:bookmarkStart w:id="43" w:name="bookmark=id.19c6y18" w:colFirst="0" w:colLast="0"/>
      <w:bookmarkEnd w:id="43"/>
    </w:p>
    <w:p w14:paraId="3B265175">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Quando o licitante vencedor não assinar a ata de registro de preços, no prazo e nas condições estabelecidos no edital; e</w:t>
      </w:r>
    </w:p>
    <w:p w14:paraId="0CB8896D">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Quando houver o cancelamento do registro do licitante ou do registro de preços nas hipóteses previstas no item 9.</w:t>
      </w:r>
    </w:p>
    <w:p w14:paraId="1C32F116">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O preço registrado com indicação dos licitantes e fornecedores será divulgado no PNCP e ficará disponibilizado durante a vigência da ata de registro de preços.</w:t>
      </w:r>
    </w:p>
    <w:p w14:paraId="621DC6A3">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70B54744">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O prazo de convocação poderá ser prorrogado 1 (uma) vez, por igual período, mediante solicitação do licitante, desde que apresentada dentro do prazo, devidamente justificada, e que a justificativa seja aceita pela Administração.</w:t>
      </w:r>
    </w:p>
    <w:p w14:paraId="16C5B39B">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44" w:name="bookmark=id.3tbugp1" w:colFirst="0" w:colLast="0"/>
      <w:bookmarkEnd w:id="44"/>
    </w:p>
    <w:p w14:paraId="4A3E5210">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Na hipótese de nenhum dos licitantes que trata o item 5.4.2.1, aceitar a contratação nos termos do item anterior, a Administração, observados o valor estimado e sua eventual atualização nos termos do edital ou do aviso de contratação direta, poderá:</w:t>
      </w:r>
    </w:p>
    <w:p w14:paraId="4E7CF477">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Convocar para negociação os demais licitantes remanescentes cujos preços foram registrados sem redução, observada a ordem de classificação, com vistas à obtenção de preço melhor, mesmo que acima do preço do adjudicatário; ou</w:t>
      </w:r>
    </w:p>
    <w:p w14:paraId="450C414F">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Adjudicar e firmar o contrato nas condições ofertadas pelos licitantes remanescentes, atendida a ordem classificatória, quando frustrada a negociação de melhor condição.</w:t>
      </w:r>
    </w:p>
    <w:p w14:paraId="41F9807C">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9762F49">
      <w:pPr>
        <w:keepNext/>
        <w:keepLines/>
        <w:numPr>
          <w:ilvl w:val="0"/>
          <w:numId w:val="11"/>
        </w:numPr>
        <w:pBdr>
          <w:top w:val="none" w:color="auto" w:sz="0" w:space="0"/>
          <w:left w:val="none" w:color="auto" w:sz="0" w:space="0"/>
          <w:bottom w:val="none" w:color="auto" w:sz="0" w:space="0"/>
          <w:right w:val="none" w:color="auto" w:sz="0" w:space="0"/>
          <w:between w:val="none" w:color="auto" w:sz="0" w:space="0"/>
        </w:pBdr>
        <w:tabs>
          <w:tab w:val="left" w:pos="567"/>
        </w:tabs>
        <w:spacing w:before="288" w:after="288" w:line="312" w:lineRule="auto"/>
        <w:ind w:left="-567" w:right="-852" w:firstLine="0"/>
        <w:jc w:val="both"/>
        <w:rPr>
          <w:b/>
          <w:color w:val="000000"/>
          <w:sz w:val="24"/>
          <w:szCs w:val="24"/>
        </w:rPr>
      </w:pPr>
      <w:r>
        <w:rPr>
          <w:b/>
          <w:color w:val="000000"/>
          <w:sz w:val="24"/>
          <w:szCs w:val="24"/>
        </w:rPr>
        <w:t>ALTERAÇÃO OU ATUALIZAÇÃO DOS PREÇOS REGISTRADOS</w:t>
      </w:r>
    </w:p>
    <w:p w14:paraId="6CF5FCC9">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Os preços registrados poderão ser alterados ou atualizados em decorrência de eventual redução dos preços praticados no mercado ou de fato que eleve o custo dos bens, das obras ou dos serviços registrados, nas seguintes situações:</w:t>
      </w:r>
    </w:p>
    <w:p w14:paraId="6360631B">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D66CB92">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 xml:space="preserve">Em caso de criação, alteração ou extinção de quaisquer tributos ou encargos legais ou a superveniência de disposições legais, com comprovada repercussão sobre os preços registrados; </w:t>
      </w:r>
    </w:p>
    <w:p w14:paraId="55AA98CC">
      <w:pPr>
        <w:numPr>
          <w:ilvl w:val="2"/>
          <w:numId w:val="11"/>
        </w:numPr>
        <w:pBdr>
          <w:top w:val="none" w:color="auto" w:sz="0" w:space="0"/>
          <w:left w:val="none" w:color="auto" w:sz="0" w:space="0"/>
          <w:bottom w:val="none" w:color="auto" w:sz="0" w:space="0"/>
          <w:right w:val="none" w:color="auto" w:sz="0" w:space="0"/>
          <w:between w:val="none" w:color="auto" w:sz="0" w:space="0"/>
        </w:pBdr>
        <w:tabs>
          <w:tab w:val="left" w:pos="709"/>
        </w:tabs>
        <w:spacing w:before="120" w:after="120" w:line="276" w:lineRule="auto"/>
        <w:ind w:left="-567" w:right="-852" w:firstLine="0"/>
        <w:jc w:val="both"/>
        <w:rPr>
          <w:color w:val="000000"/>
          <w:sz w:val="24"/>
          <w:szCs w:val="24"/>
        </w:rPr>
      </w:pPr>
      <w:r>
        <w:rPr>
          <w:color w:val="000000"/>
          <w:sz w:val="24"/>
          <w:szCs w:val="24"/>
        </w:rPr>
        <w:t>Na hipótese de previsão no edital de cláusula de reajustamento ou repactuação sobre os preços registrados, nos termos da Lei nº 14.133, de 2021.</w:t>
      </w:r>
    </w:p>
    <w:p w14:paraId="41657F6D">
      <w:pPr>
        <w:numPr>
          <w:ilvl w:val="3"/>
          <w:numId w:val="11"/>
        </w:numPr>
        <w:pBdr>
          <w:top w:val="none" w:color="auto" w:sz="0" w:space="0"/>
          <w:left w:val="none" w:color="auto" w:sz="0" w:space="0"/>
          <w:bottom w:val="none" w:color="auto" w:sz="0" w:space="0"/>
          <w:right w:val="none" w:color="auto" w:sz="0" w:space="0"/>
          <w:between w:val="none" w:color="auto" w:sz="0" w:space="0"/>
        </w:pBdr>
        <w:tabs>
          <w:tab w:val="left" w:pos="709"/>
          <w:tab w:val="left" w:pos="993"/>
        </w:tabs>
        <w:spacing w:before="120" w:after="120" w:line="276" w:lineRule="auto"/>
        <w:ind w:left="-567" w:right="-852" w:firstLine="0"/>
        <w:jc w:val="both"/>
        <w:rPr>
          <w:color w:val="000000"/>
          <w:sz w:val="24"/>
          <w:szCs w:val="24"/>
        </w:rPr>
      </w:pPr>
      <w:r>
        <w:rPr>
          <w:color w:val="000000"/>
          <w:sz w:val="24"/>
          <w:szCs w:val="24"/>
        </w:rPr>
        <w:t xml:space="preserve">No caso do reajustamento, deverá ser respeitada a contagem da anualidade e o índice previstos para a contratação;  </w:t>
      </w:r>
    </w:p>
    <w:p w14:paraId="63923844">
      <w:pPr>
        <w:numPr>
          <w:ilvl w:val="3"/>
          <w:numId w:val="11"/>
        </w:numPr>
        <w:pBdr>
          <w:top w:val="none" w:color="auto" w:sz="0" w:space="0"/>
          <w:left w:val="none" w:color="auto" w:sz="0" w:space="0"/>
          <w:bottom w:val="none" w:color="auto" w:sz="0" w:space="0"/>
          <w:right w:val="none" w:color="auto" w:sz="0" w:space="0"/>
          <w:between w:val="none" w:color="auto" w:sz="0" w:space="0"/>
        </w:pBdr>
        <w:tabs>
          <w:tab w:val="left" w:pos="709"/>
          <w:tab w:val="left" w:pos="993"/>
        </w:tabs>
        <w:spacing w:before="120" w:after="120" w:line="276" w:lineRule="auto"/>
        <w:ind w:left="-567" w:right="-852" w:firstLine="0"/>
        <w:jc w:val="both"/>
        <w:rPr>
          <w:color w:val="000000"/>
          <w:sz w:val="24"/>
          <w:szCs w:val="24"/>
        </w:rPr>
      </w:pPr>
      <w:r>
        <w:rPr>
          <w:color w:val="000000"/>
          <w:sz w:val="24"/>
          <w:szCs w:val="24"/>
        </w:rPr>
        <w:t>No caso da repactuação, poderá ser a pedido do interessado, conforme critérios definidos para a contratação.</w:t>
      </w:r>
    </w:p>
    <w:p w14:paraId="42BC8F7D">
      <w:pPr>
        <w:keepNext/>
        <w:keepLines/>
        <w:numPr>
          <w:ilvl w:val="0"/>
          <w:numId w:val="11"/>
        </w:numPr>
        <w:pBdr>
          <w:top w:val="none" w:color="auto" w:sz="0" w:space="0"/>
          <w:left w:val="none" w:color="auto" w:sz="0" w:space="0"/>
          <w:bottom w:val="none" w:color="auto" w:sz="0" w:space="0"/>
          <w:right w:val="none" w:color="auto" w:sz="0" w:space="0"/>
          <w:between w:val="none" w:color="auto" w:sz="0" w:space="0"/>
        </w:pBdr>
        <w:tabs>
          <w:tab w:val="left" w:pos="567"/>
        </w:tabs>
        <w:spacing w:before="288" w:after="288" w:line="312" w:lineRule="auto"/>
        <w:ind w:left="-567" w:right="-852" w:firstLine="0"/>
        <w:jc w:val="both"/>
        <w:rPr>
          <w:b/>
          <w:color w:val="000000"/>
          <w:sz w:val="24"/>
          <w:szCs w:val="24"/>
        </w:rPr>
      </w:pPr>
      <w:r>
        <w:rPr>
          <w:b/>
          <w:color w:val="000000"/>
          <w:sz w:val="24"/>
          <w:szCs w:val="24"/>
        </w:rPr>
        <w:t>NEGOCIAÇÃO DE PREÇOS REGISTRADOS</w:t>
      </w:r>
    </w:p>
    <w:p w14:paraId="6AFB493A">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Na hipótese de o preço registrado tornar-se superior ao preço praticado no mercado por motivo superveniente, o órgão ou entidade gerenciadora convocará o fornecedor para negociar a redução do preço registrado.</w:t>
      </w:r>
    </w:p>
    <w:p w14:paraId="19CCF2E6">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Caso não aceite reduzir seu preço aos valores praticados pelo mercado, o fornecedor será liberado do compromisso assumido quanto ao item registrado, sem aplicação de penalidades administrativas.</w:t>
      </w:r>
    </w:p>
    <w:p w14:paraId="1129F088">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22D7F522">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Se não obtiver êxito nas negociações, o órgão ou entidade gerenciadora procederá ao cancelamento da ata de registro de preços, adotando as medidas cabíveis para obtenção de contratação mais vantajosa.</w:t>
      </w:r>
      <w:bookmarkStart w:id="45" w:name="bookmark=id.28h4qwu" w:colFirst="0" w:colLast="0"/>
      <w:bookmarkEnd w:id="45"/>
    </w:p>
    <w:p w14:paraId="09C4509C">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494E7367">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6" w:name="bookmark=id.nmf14n" w:colFirst="0" w:colLast="0"/>
      <w:bookmarkEnd w:id="46"/>
    </w:p>
    <w:p w14:paraId="47E58E5E">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Neste caso, o fornecedor encaminhará, juntamente com o pedido de alteração, a documentação comprobatória ou a planilha de custos que demonstre a inviabilidade do preço registrado em relação às condições inicialmente pactuadas.</w:t>
      </w:r>
      <w:bookmarkStart w:id="47" w:name="bookmark=id.37m2jsg" w:colFirst="0" w:colLast="0"/>
      <w:bookmarkEnd w:id="47"/>
    </w:p>
    <w:p w14:paraId="154BF86C">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Na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9.1, sem prejuízo das sanções previstas na Lei nº 14.133, de 2021, e na legislação aplicável.</w:t>
      </w:r>
      <w:bookmarkStart w:id="48" w:name="bookmark=id.1mrcu09" w:colFirst="0" w:colLast="0"/>
      <w:bookmarkEnd w:id="48"/>
    </w:p>
    <w:p w14:paraId="2162D07C">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15E27EF1">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Se não obtiver êxito nas negociações, o órgão ou entidade gerenciadora procederá ao cancelamento da ata de registro de preços, nos termos do item 9.4, e adotará as medidas cabíveis para a obtenção da contratação mais vantajosa.</w:t>
      </w:r>
      <w:bookmarkStart w:id="49" w:name="bookmark=id.46r0co2" w:colFirst="0" w:colLast="0"/>
      <w:bookmarkEnd w:id="49"/>
    </w:p>
    <w:p w14:paraId="6B452ACC">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Na hipótese de comprovação da majoração do preço de mercado que inviabilize o preço registrado, conforme previsto no item 7.2 e no item 7.2.1, o órgão ou entidade gerenciadora atualizará o preço registrado, de acordo com a realidade dos valores praticados pelo mercado.</w:t>
      </w:r>
    </w:p>
    <w:p w14:paraId="7C20BACF">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1A26DFE1">
      <w:pPr>
        <w:keepNext/>
        <w:keepLines/>
        <w:numPr>
          <w:ilvl w:val="0"/>
          <w:numId w:val="11"/>
        </w:numPr>
        <w:pBdr>
          <w:top w:val="none" w:color="auto" w:sz="0" w:space="0"/>
          <w:left w:val="none" w:color="auto" w:sz="0" w:space="0"/>
          <w:bottom w:val="none" w:color="auto" w:sz="0" w:space="0"/>
          <w:right w:val="none" w:color="auto" w:sz="0" w:space="0"/>
          <w:between w:val="none" w:color="auto" w:sz="0" w:space="0"/>
        </w:pBdr>
        <w:tabs>
          <w:tab w:val="left" w:pos="567"/>
        </w:tabs>
        <w:spacing w:before="288" w:after="288" w:line="312" w:lineRule="auto"/>
        <w:ind w:left="-567" w:right="-852" w:firstLine="0"/>
        <w:jc w:val="both"/>
        <w:rPr>
          <w:b/>
          <w:color w:val="000000"/>
          <w:sz w:val="24"/>
          <w:szCs w:val="24"/>
        </w:rPr>
      </w:pPr>
      <w:r>
        <w:rPr>
          <w:b/>
          <w:color w:val="000000"/>
          <w:sz w:val="24"/>
          <w:szCs w:val="24"/>
        </w:rPr>
        <w:t>REMANEJAMENTO DAS QUANTIDADES REGISTRADAS NA ATA DE REGISTRO DE PREÇOS</w:t>
      </w:r>
    </w:p>
    <w:p w14:paraId="3F38F39A">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31610A26">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 xml:space="preserve"> O remanejamento somente poderá ser feito:</w:t>
      </w:r>
    </w:p>
    <w:p w14:paraId="43F9552C">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De órgão ou entidade participante para órgão ou entidade participante; ou</w:t>
      </w:r>
    </w:p>
    <w:p w14:paraId="60708A12">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De órgão ou entidade participante para órgão ou entidade não participante.</w:t>
      </w:r>
    </w:p>
    <w:p w14:paraId="2AA7A47C">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O órgão ou entidade gerenciadora que tiver estimado as quantidades que pretende contratar será considerado participante para efeito do remanejamento.</w:t>
      </w:r>
      <w:bookmarkStart w:id="50" w:name="bookmark=id.2lwamvv" w:colFirst="0" w:colLast="0"/>
      <w:bookmarkEnd w:id="50"/>
    </w:p>
    <w:p w14:paraId="5A6181D7">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Na hipótese de remanejamento de órgão ou entidade participante para órgão ou entidade não participante, serão observados os limites previstos nos itens 4.7 e 4.8.</w:t>
      </w:r>
    </w:p>
    <w:p w14:paraId="3E949F51">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5A0B7E54">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Caso o remanejamento seja feito entre órgãos ou entidades de Municípios distintos, caberá ao fornecedor beneficiário da ata de registro de preços, observadas as condições nela estabelecidas, optar pela aceitação ou não do fornecimento decorrente do remanejamento dos itens.</w:t>
      </w:r>
    </w:p>
    <w:p w14:paraId="21A72ABE">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Na hipótese da compra centralizada, não havendo indicação pelo órgão ou pela entidade gerenciadora, dos quantitativos dos participantes da compra centralizada, nos termos do item 8.3, a distribuição das quantidades para a execução descentralizada será por meio do remanejamento.</w:t>
      </w:r>
    </w:p>
    <w:p w14:paraId="32905C24">
      <w:pPr>
        <w:keepNext/>
        <w:keepLines/>
        <w:numPr>
          <w:ilvl w:val="0"/>
          <w:numId w:val="11"/>
        </w:numPr>
        <w:pBdr>
          <w:top w:val="none" w:color="auto" w:sz="0" w:space="0"/>
          <w:left w:val="none" w:color="auto" w:sz="0" w:space="0"/>
          <w:bottom w:val="none" w:color="auto" w:sz="0" w:space="0"/>
          <w:right w:val="none" w:color="auto" w:sz="0" w:space="0"/>
          <w:between w:val="none" w:color="auto" w:sz="0" w:space="0"/>
        </w:pBdr>
        <w:tabs>
          <w:tab w:val="left" w:pos="567"/>
        </w:tabs>
        <w:spacing w:before="288" w:after="288" w:line="312" w:lineRule="auto"/>
        <w:ind w:left="-567" w:right="-852" w:firstLine="0"/>
        <w:jc w:val="both"/>
        <w:rPr>
          <w:b/>
          <w:color w:val="000000"/>
          <w:sz w:val="24"/>
          <w:szCs w:val="24"/>
        </w:rPr>
      </w:pPr>
      <w:r>
        <w:rPr>
          <w:b/>
          <w:color w:val="000000"/>
          <w:sz w:val="24"/>
          <w:szCs w:val="24"/>
        </w:rPr>
        <w:t>CANCELAMENTO DO REGISTRO DO LICITANTE VENCEDOR E DOS PREÇOS REGISTRADOS</w:t>
      </w:r>
      <w:bookmarkStart w:id="51" w:name="bookmark=id.111kx3o" w:colFirst="0" w:colLast="0"/>
      <w:bookmarkEnd w:id="51"/>
    </w:p>
    <w:p w14:paraId="11A3CEE9">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O registro do fornecedor será cancelado pelo gerenciador, quando o fornecedor:</w:t>
      </w:r>
      <w:bookmarkStart w:id="52" w:name="bookmark=id.3l18frh" w:colFirst="0" w:colLast="0"/>
      <w:bookmarkEnd w:id="52"/>
    </w:p>
    <w:p w14:paraId="6A4E8F9D">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Descumprir as condições da ata de registro de preços, sem motivo justificado;</w:t>
      </w:r>
    </w:p>
    <w:p w14:paraId="4643E911">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Não retirar a nota de empenho, ou instrumento equivalente, no prazo estabelecido pela Administração sem justificativa razoável;</w:t>
      </w:r>
    </w:p>
    <w:p w14:paraId="559B5595">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Não aceitar manter seu preço registrado, na hipótese prevista no item 7.2.2.</w:t>
      </w:r>
    </w:p>
    <w:p w14:paraId="2FE6840B">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 xml:space="preserve"> Sofrer sanção prevista nos incisos III ou IV do caput do art. 156 da Lei nº 14.133, de 2021.</w:t>
      </w:r>
    </w:p>
    <w:p w14:paraId="3998ABAC">
      <w:pPr>
        <w:numPr>
          <w:ilvl w:val="3"/>
          <w:numId w:val="11"/>
        </w:numPr>
        <w:pBdr>
          <w:top w:val="none" w:color="auto" w:sz="0" w:space="0"/>
          <w:left w:val="none" w:color="auto" w:sz="0" w:space="0"/>
          <w:bottom w:val="none" w:color="auto" w:sz="0" w:space="0"/>
          <w:right w:val="none" w:color="auto" w:sz="0" w:space="0"/>
          <w:between w:val="none" w:color="auto" w:sz="0" w:space="0"/>
        </w:pBdr>
        <w:tabs>
          <w:tab w:val="left" w:pos="1134"/>
        </w:tabs>
        <w:spacing w:before="120" w:after="120" w:line="276" w:lineRule="auto"/>
        <w:ind w:left="-567" w:right="-852" w:firstLine="0"/>
        <w:jc w:val="both"/>
        <w:rPr>
          <w:color w:val="000000"/>
          <w:sz w:val="24"/>
          <w:szCs w:val="24"/>
        </w:rPr>
      </w:pPr>
      <w:r>
        <w:rPr>
          <w:color w:val="000000"/>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28A54D28">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 xml:space="preserve"> O cancelamento de registros nas hipóteses previstas no item 9.1 será formalizado por despacho do órgão ou da entidade gerenciadora, garantidos os princípios do contraditório e da ampla defesa.</w:t>
      </w:r>
    </w:p>
    <w:p w14:paraId="7F5DD073">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Na hipótese de cancelamento do registro do fornecedor, o órgão ou a entidade gerenciadora poderá convocar os licitantes que compõem o cadastro de reserva, observada a ordem de classificação.</w:t>
      </w:r>
    </w:p>
    <w:p w14:paraId="12E259FB">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O cancelamento dos preços registrados poderá ser realizado pelo gerenciador, em determinada ata de registro de preços, total ou parcialmente, nas seguintes hipóteses, desde que devidamente comprovadas e justificadas:</w:t>
      </w:r>
      <w:bookmarkStart w:id="53" w:name="bookmark=id.206ipza" w:colFirst="0" w:colLast="0"/>
      <w:bookmarkEnd w:id="53"/>
      <w:r>
        <w:rPr>
          <w:color w:val="000000"/>
          <w:sz w:val="24"/>
          <w:szCs w:val="24"/>
        </w:rPr>
        <w:t xml:space="preserve"> </w:t>
      </w:r>
    </w:p>
    <w:p w14:paraId="47DBB50D">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Por razão de interesse público;</w:t>
      </w:r>
    </w:p>
    <w:p w14:paraId="0089DE52">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A pedido do fornecedor, decorrente de caso fortuito ou força maior; ou</w:t>
      </w:r>
    </w:p>
    <w:p w14:paraId="5E77315A">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Se não houver êxito nas negociações, nas hipóteses em que o preço de mercado tornar-se superior ou inferior ao preço registrado, nos termos do item 7.1.3.</w:t>
      </w:r>
    </w:p>
    <w:p w14:paraId="019BAC77">
      <w:pPr>
        <w:keepNext/>
        <w:keepLines/>
        <w:numPr>
          <w:ilvl w:val="0"/>
          <w:numId w:val="11"/>
        </w:numPr>
        <w:pBdr>
          <w:top w:val="none" w:color="auto" w:sz="0" w:space="0"/>
          <w:left w:val="none" w:color="auto" w:sz="0" w:space="0"/>
          <w:bottom w:val="none" w:color="auto" w:sz="0" w:space="0"/>
          <w:right w:val="none" w:color="auto" w:sz="0" w:space="0"/>
          <w:between w:val="none" w:color="auto" w:sz="0" w:space="0"/>
        </w:pBdr>
        <w:tabs>
          <w:tab w:val="left" w:pos="567"/>
        </w:tabs>
        <w:spacing w:before="288" w:after="288" w:line="312" w:lineRule="auto"/>
        <w:ind w:left="-567" w:right="-852" w:firstLine="0"/>
        <w:jc w:val="both"/>
        <w:rPr>
          <w:b/>
          <w:color w:val="000000"/>
          <w:sz w:val="24"/>
          <w:szCs w:val="24"/>
        </w:rPr>
      </w:pPr>
      <w:r>
        <w:rPr>
          <w:b/>
          <w:color w:val="000000"/>
          <w:sz w:val="24"/>
          <w:szCs w:val="24"/>
        </w:rPr>
        <w:t>DAS PENALIDADES</w:t>
      </w:r>
    </w:p>
    <w:p w14:paraId="529D6262">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O descumprimento da Ata de Registro de Preços ensejará aplicação das penalidades estabelecidas no edital.</w:t>
      </w:r>
    </w:p>
    <w:p w14:paraId="167163C9">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 xml:space="preserve">As sanções também se aplicam aos integrantes do cadastro de reserva no registro de preços que, convocados, não honrarem o compromisso assumido injustificadamente após terem assinado a ata. </w:t>
      </w:r>
    </w:p>
    <w:p w14:paraId="7F6A044F">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14CC0AC4">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O órgão ou entidade participante deverá comunicar ao órgão gerenciador qualquer das ocorrências previstas no item 9.1, dada a necessidade de instauração de procedimento para cancelamento do registro do fornecedor.</w:t>
      </w:r>
    </w:p>
    <w:p w14:paraId="45BD8C83">
      <w:pPr>
        <w:keepNext/>
        <w:keepLines/>
        <w:numPr>
          <w:ilvl w:val="0"/>
          <w:numId w:val="11"/>
        </w:numPr>
        <w:pBdr>
          <w:top w:val="none" w:color="auto" w:sz="0" w:space="0"/>
          <w:left w:val="none" w:color="auto" w:sz="0" w:space="0"/>
          <w:bottom w:val="none" w:color="auto" w:sz="0" w:space="0"/>
          <w:right w:val="none" w:color="auto" w:sz="0" w:space="0"/>
          <w:between w:val="none" w:color="auto" w:sz="0" w:space="0"/>
        </w:pBdr>
        <w:tabs>
          <w:tab w:val="left" w:pos="567"/>
        </w:tabs>
        <w:spacing w:before="288" w:after="288" w:line="312" w:lineRule="auto"/>
        <w:ind w:left="-567" w:right="-852" w:firstLine="0"/>
        <w:jc w:val="both"/>
        <w:rPr>
          <w:b/>
          <w:color w:val="000000"/>
          <w:sz w:val="24"/>
          <w:szCs w:val="24"/>
        </w:rPr>
      </w:pPr>
      <w:r>
        <w:rPr>
          <w:b/>
          <w:color w:val="000000"/>
          <w:sz w:val="24"/>
          <w:szCs w:val="24"/>
        </w:rPr>
        <w:t>CONDIÇÕES GERAIS</w:t>
      </w:r>
    </w:p>
    <w:p w14:paraId="7151293A">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color w:val="000000"/>
          <w:sz w:val="24"/>
          <w:szCs w:val="24"/>
        </w:rPr>
      </w:pPr>
      <w:r>
        <w:rPr>
          <w:color w:val="000000"/>
          <w:sz w:val="24"/>
          <w:szCs w:val="24"/>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69BE6EAB">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852" w:firstLine="0"/>
        <w:jc w:val="both"/>
        <w:rPr>
          <w:sz w:val="24"/>
          <w:szCs w:val="24"/>
        </w:rPr>
      </w:pPr>
      <w:r>
        <w:rPr>
          <w:color w:val="000000"/>
          <w:sz w:val="24"/>
          <w:szCs w:val="24"/>
        </w:rPr>
        <w:t xml:space="preserve">No caso de adjudicação por preço global de grupo de itens, só será admitida a contratação de parte de itens do grupo se houver prévia pesquisa de mercado e </w:t>
      </w:r>
      <w:r>
        <w:rPr>
          <w:sz w:val="24"/>
          <w:szCs w:val="24"/>
        </w:rPr>
        <w:t>demonstração de sua vantagem para o órgão ou a entidade.</w:t>
      </w:r>
    </w:p>
    <w:p w14:paraId="3A768334">
      <w:pPr>
        <w:widowControl w:val="0"/>
        <w:spacing w:before="120" w:after="120" w:line="276" w:lineRule="auto"/>
        <w:ind w:left="-567" w:right="-852"/>
        <w:jc w:val="both"/>
        <w:rPr>
          <w:sz w:val="24"/>
          <w:szCs w:val="24"/>
        </w:rPr>
      </w:pPr>
      <w:r>
        <w:rPr>
          <w:sz w:val="24"/>
          <w:szCs w:val="24"/>
        </w:rPr>
        <w:t xml:space="preserve">Para firmeza e validade do pactuado, a presente Ata foi lavrada em .... (....) vias de igual teor, que, depois de lida e achada em ordem, vai assinada pelas partes e encaminhada cópia aos demais órgãos participantes (se houver). </w:t>
      </w:r>
    </w:p>
    <w:p w14:paraId="4D596187">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852"/>
        <w:jc w:val="center"/>
        <w:rPr>
          <w:sz w:val="24"/>
          <w:szCs w:val="24"/>
        </w:rPr>
      </w:pPr>
    </w:p>
    <w:p w14:paraId="31DD2C67">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852"/>
        <w:rPr>
          <w:sz w:val="24"/>
          <w:szCs w:val="24"/>
        </w:rPr>
      </w:pPr>
      <w:r>
        <w:rPr>
          <w:sz w:val="24"/>
          <w:szCs w:val="24"/>
        </w:rPr>
        <w:t>XXXXXXX - BA, _____ de ___________ de 20XX.</w:t>
      </w:r>
    </w:p>
    <w:p w14:paraId="4A9C356A">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852"/>
        <w:jc w:val="right"/>
        <w:rPr>
          <w:sz w:val="24"/>
          <w:szCs w:val="24"/>
        </w:rPr>
      </w:pPr>
    </w:p>
    <w:p w14:paraId="5C96B2AE">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852"/>
        <w:rPr>
          <w:sz w:val="24"/>
          <w:szCs w:val="24"/>
        </w:rPr>
      </w:pPr>
    </w:p>
    <w:p w14:paraId="49A5D62A">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852"/>
        <w:rPr>
          <w:sz w:val="24"/>
          <w:szCs w:val="24"/>
        </w:rPr>
      </w:pPr>
    </w:p>
    <w:p w14:paraId="7E76AD5C">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852"/>
        <w:rPr>
          <w:sz w:val="24"/>
          <w:szCs w:val="24"/>
        </w:rPr>
      </w:pPr>
    </w:p>
    <w:p w14:paraId="6B019307">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852"/>
        <w:jc w:val="center"/>
        <w:rPr>
          <w:sz w:val="24"/>
          <w:szCs w:val="24"/>
        </w:rPr>
      </w:pPr>
      <w:r>
        <w:rPr>
          <w:sz w:val="24"/>
          <w:szCs w:val="24"/>
        </w:rPr>
        <w:t>___________________________________________</w:t>
      </w:r>
    </w:p>
    <w:p w14:paraId="12E80063">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852"/>
        <w:jc w:val="center"/>
        <w:rPr>
          <w:b/>
          <w:sz w:val="24"/>
          <w:szCs w:val="24"/>
        </w:rPr>
      </w:pPr>
      <w:r>
        <w:rPr>
          <w:b/>
          <w:sz w:val="24"/>
          <w:szCs w:val="24"/>
        </w:rPr>
        <w:t>PREFEITURA MUNICIPAL DE XXXXXXX</w:t>
      </w:r>
    </w:p>
    <w:p w14:paraId="52EA892C">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852"/>
        <w:jc w:val="center"/>
        <w:rPr>
          <w:b/>
          <w:sz w:val="24"/>
          <w:szCs w:val="24"/>
        </w:rPr>
      </w:pPr>
      <w:r>
        <w:rPr>
          <w:b/>
          <w:sz w:val="24"/>
          <w:szCs w:val="24"/>
        </w:rPr>
        <w:t>XXXXXXXXXXXXX</w:t>
      </w:r>
    </w:p>
    <w:p w14:paraId="0C6F56AB">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852"/>
        <w:jc w:val="center"/>
        <w:rPr>
          <w:b/>
          <w:sz w:val="24"/>
          <w:szCs w:val="24"/>
        </w:rPr>
      </w:pPr>
      <w:r>
        <w:rPr>
          <w:b/>
          <w:sz w:val="24"/>
          <w:szCs w:val="24"/>
        </w:rPr>
        <w:t>REPRESENTANTE LEGAL DO ÓRGÃO GERENCIADOR</w:t>
      </w:r>
    </w:p>
    <w:p w14:paraId="3BFD4771">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852"/>
        <w:jc w:val="center"/>
        <w:rPr>
          <w:b/>
          <w:sz w:val="24"/>
          <w:szCs w:val="24"/>
        </w:rPr>
      </w:pPr>
    </w:p>
    <w:p w14:paraId="0D10704A">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852"/>
        <w:jc w:val="center"/>
        <w:rPr>
          <w:b/>
          <w:sz w:val="24"/>
          <w:szCs w:val="24"/>
        </w:rPr>
      </w:pPr>
    </w:p>
    <w:p w14:paraId="22D98712">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852"/>
        <w:jc w:val="center"/>
        <w:rPr>
          <w:b/>
          <w:sz w:val="24"/>
          <w:szCs w:val="24"/>
        </w:rPr>
      </w:pPr>
      <w:r>
        <w:rPr>
          <w:b/>
          <w:sz w:val="24"/>
          <w:szCs w:val="24"/>
        </w:rPr>
        <w:t>__________________________________________</w:t>
      </w:r>
    </w:p>
    <w:p w14:paraId="24773CB1">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852"/>
        <w:jc w:val="center"/>
        <w:rPr>
          <w:b/>
          <w:sz w:val="24"/>
          <w:szCs w:val="24"/>
        </w:rPr>
      </w:pPr>
      <w:r>
        <w:rPr>
          <w:b/>
          <w:sz w:val="24"/>
          <w:szCs w:val="24"/>
        </w:rPr>
        <w:t>XXXXXXXXXXXXXXXXXXXXXX</w:t>
      </w:r>
    </w:p>
    <w:p w14:paraId="468C99DE">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852"/>
        <w:jc w:val="center"/>
        <w:rPr>
          <w:b/>
          <w:sz w:val="24"/>
          <w:szCs w:val="24"/>
        </w:rPr>
      </w:pPr>
      <w:r>
        <w:rPr>
          <w:b/>
          <w:sz w:val="24"/>
          <w:szCs w:val="24"/>
        </w:rPr>
        <w:t>REPRESENTANTE(S) LEGAL(IS) DO(S) FORNECEDOR(S) REGISTRADO(S)</w:t>
      </w:r>
    </w:p>
    <w:p w14:paraId="266AF224">
      <w:pPr>
        <w:ind w:left="-567" w:right="-852"/>
        <w:jc w:val="center"/>
        <w:rPr>
          <w:b/>
          <w:sz w:val="24"/>
          <w:szCs w:val="24"/>
        </w:rPr>
      </w:pPr>
    </w:p>
    <w:p w14:paraId="5CC204F8">
      <w:pPr>
        <w:jc w:val="center"/>
        <w:rPr>
          <w:b/>
          <w:color w:val="000000"/>
          <w:sz w:val="24"/>
          <w:szCs w:val="24"/>
        </w:rPr>
      </w:pPr>
      <w:r>
        <w:rPr>
          <w:b/>
          <w:color w:val="000000"/>
          <w:sz w:val="24"/>
          <w:szCs w:val="24"/>
        </w:rPr>
        <w:t>ANEXO III.1</w:t>
      </w:r>
    </w:p>
    <w:p w14:paraId="2E2D7D54">
      <w:pPr>
        <w:jc w:val="center"/>
        <w:rPr>
          <w:b/>
          <w:sz w:val="24"/>
          <w:szCs w:val="24"/>
        </w:rPr>
      </w:pPr>
      <w:r>
        <w:rPr>
          <w:b/>
          <w:sz w:val="24"/>
          <w:szCs w:val="24"/>
        </w:rPr>
        <w:t>MINUTA DE CADASTRO RESERVA</w:t>
      </w:r>
    </w:p>
    <w:p w14:paraId="732D10C2">
      <w:pPr>
        <w:widowControl w:val="0"/>
        <w:spacing w:line="360" w:lineRule="auto"/>
        <w:ind w:right="-30"/>
        <w:jc w:val="center"/>
        <w:rPr>
          <w:color w:val="000000"/>
        </w:rPr>
      </w:pPr>
    </w:p>
    <w:p w14:paraId="3FC3ED99">
      <w:pPr>
        <w:widowControl w:val="0"/>
        <w:spacing w:line="360" w:lineRule="auto"/>
        <w:ind w:right="-30"/>
        <w:jc w:val="both"/>
        <w:rPr>
          <w:sz w:val="24"/>
          <w:szCs w:val="24"/>
        </w:rPr>
      </w:pPr>
      <w:r>
        <w:rPr>
          <w:color w:val="000000"/>
          <w:sz w:val="24"/>
          <w:szCs w:val="24"/>
        </w:rPr>
        <w:t xml:space="preserve">Seguindo a ordem de classificação, segue </w:t>
      </w:r>
      <w:r>
        <w:rPr>
          <w:sz w:val="24"/>
          <w:szCs w:val="24"/>
        </w:rPr>
        <w:t>relação de fornecedores que aceitaram cotar os itens com preços iguais ao adjudicatário:</w:t>
      </w:r>
    </w:p>
    <w:tbl>
      <w:tblPr>
        <w:tblStyle w:val="9"/>
        <w:tblW w:w="9392" w:type="dxa"/>
        <w:tblInd w:w="10" w:type="dxa"/>
        <w:tblLayout w:type="fixed"/>
        <w:tblCellMar>
          <w:top w:w="0" w:type="dxa"/>
          <w:left w:w="108" w:type="dxa"/>
          <w:bottom w:w="0" w:type="dxa"/>
          <w:right w:w="108" w:type="dxa"/>
        </w:tblCellMar>
      </w:tblPr>
      <w:tblGrid>
        <w:gridCol w:w="497"/>
        <w:gridCol w:w="1333"/>
        <w:gridCol w:w="1253"/>
        <w:gridCol w:w="1541"/>
        <w:gridCol w:w="1121"/>
        <w:gridCol w:w="1121"/>
        <w:gridCol w:w="841"/>
        <w:gridCol w:w="841"/>
        <w:gridCol w:w="844"/>
      </w:tblGrid>
      <w:tr w14:paraId="309CAB25">
        <w:tblPrEx>
          <w:tblCellMar>
            <w:top w:w="0" w:type="dxa"/>
            <w:left w:w="108" w:type="dxa"/>
            <w:bottom w:w="0" w:type="dxa"/>
            <w:right w:w="108" w:type="dxa"/>
          </w:tblCellMar>
        </w:tblPrEx>
        <w:trPr>
          <w:trHeight w:val="511" w:hRule="atLeast"/>
        </w:trPr>
        <w:tc>
          <w:tcPr>
            <w:tcW w:w="497" w:type="dxa"/>
            <w:tcBorders>
              <w:top w:val="single" w:color="000000" w:sz="4" w:space="0"/>
              <w:left w:val="single" w:color="000000" w:sz="4" w:space="0"/>
              <w:bottom w:val="single" w:color="000000" w:sz="4" w:space="0"/>
              <w:right w:val="single" w:color="000000" w:sz="4" w:space="0"/>
            </w:tcBorders>
            <w:vAlign w:val="center"/>
          </w:tcPr>
          <w:p w14:paraId="2034BBE5">
            <w:pPr>
              <w:widowControl w:val="0"/>
              <w:spacing w:line="360" w:lineRule="auto"/>
              <w:ind w:right="-30"/>
              <w:jc w:val="center"/>
            </w:pPr>
            <w:r>
              <w:t>Item</w:t>
            </w:r>
          </w:p>
          <w:p w14:paraId="61B0441E">
            <w:pPr>
              <w:widowControl w:val="0"/>
              <w:spacing w:line="360" w:lineRule="auto"/>
              <w:ind w:right="-30"/>
              <w:jc w:val="center"/>
            </w:pPr>
            <w:r>
              <w:t>do</w:t>
            </w:r>
          </w:p>
          <w:p w14:paraId="0A1DCDD1">
            <w:pPr>
              <w:widowControl w:val="0"/>
              <w:spacing w:line="360" w:lineRule="auto"/>
              <w:ind w:right="-30"/>
              <w:jc w:val="center"/>
            </w:pPr>
            <w:r>
              <w:t>TR</w:t>
            </w:r>
          </w:p>
        </w:tc>
        <w:tc>
          <w:tcPr>
            <w:tcW w:w="8895" w:type="dxa"/>
            <w:gridSpan w:val="8"/>
            <w:tcBorders>
              <w:top w:val="single" w:color="000000" w:sz="4" w:space="0"/>
              <w:left w:val="single" w:color="000000" w:sz="4" w:space="0"/>
              <w:bottom w:val="single" w:color="000000" w:sz="4" w:space="0"/>
              <w:right w:val="single" w:color="000000" w:sz="4" w:space="0"/>
            </w:tcBorders>
          </w:tcPr>
          <w:p w14:paraId="60C87A00">
            <w:pPr>
              <w:widowControl w:val="0"/>
              <w:spacing w:line="360" w:lineRule="auto"/>
              <w:ind w:right="-30"/>
              <w:jc w:val="center"/>
              <w:rPr>
                <w:i/>
              </w:rPr>
            </w:pPr>
            <w:r>
              <w:t xml:space="preserve">Fornecedor </w:t>
            </w:r>
            <w:r>
              <w:rPr>
                <w:i/>
              </w:rPr>
              <w:t>(razão social, CNPJ/MF, endereço, contatos, representante)</w:t>
            </w:r>
          </w:p>
          <w:p w14:paraId="470A350F">
            <w:pPr>
              <w:widowControl w:val="0"/>
              <w:spacing w:line="360" w:lineRule="auto"/>
              <w:ind w:right="-30"/>
              <w:jc w:val="center"/>
            </w:pPr>
          </w:p>
        </w:tc>
      </w:tr>
      <w:tr w14:paraId="66807342">
        <w:tblPrEx>
          <w:tblCellMar>
            <w:top w:w="0" w:type="dxa"/>
            <w:left w:w="108" w:type="dxa"/>
            <w:bottom w:w="0" w:type="dxa"/>
            <w:right w:w="108" w:type="dxa"/>
          </w:tblCellMar>
        </w:tblPrEx>
        <w:trPr>
          <w:trHeight w:val="674" w:hRule="atLeast"/>
        </w:trPr>
        <w:tc>
          <w:tcPr>
            <w:tcW w:w="497" w:type="dxa"/>
            <w:tcBorders>
              <w:top w:val="nil"/>
              <w:left w:val="single" w:color="000000" w:sz="4" w:space="0"/>
              <w:bottom w:val="single" w:color="000000" w:sz="4" w:space="0"/>
              <w:right w:val="nil"/>
            </w:tcBorders>
            <w:vAlign w:val="center"/>
          </w:tcPr>
          <w:p w14:paraId="7AEDEB67">
            <w:pPr>
              <w:widowControl w:val="0"/>
              <w:spacing w:line="360" w:lineRule="auto"/>
              <w:ind w:right="-30"/>
              <w:jc w:val="center"/>
            </w:pPr>
            <w:r>
              <w:t>X</w:t>
            </w:r>
          </w:p>
        </w:tc>
        <w:tc>
          <w:tcPr>
            <w:tcW w:w="1333" w:type="dxa"/>
            <w:tcBorders>
              <w:top w:val="nil"/>
              <w:left w:val="single" w:color="000000" w:sz="4" w:space="0"/>
              <w:bottom w:val="single" w:color="000000" w:sz="4" w:space="0"/>
              <w:right w:val="nil"/>
            </w:tcBorders>
          </w:tcPr>
          <w:p w14:paraId="71E4798A">
            <w:pPr>
              <w:widowControl w:val="0"/>
              <w:spacing w:line="360" w:lineRule="auto"/>
              <w:ind w:right="-30"/>
              <w:jc w:val="both"/>
            </w:pPr>
            <w:r>
              <w:t>Especificação</w:t>
            </w:r>
          </w:p>
        </w:tc>
        <w:tc>
          <w:tcPr>
            <w:tcW w:w="1253" w:type="dxa"/>
            <w:tcBorders>
              <w:top w:val="nil"/>
              <w:left w:val="single" w:color="000000" w:sz="4" w:space="0"/>
              <w:bottom w:val="single" w:color="000000" w:sz="4" w:space="0"/>
              <w:right w:val="nil"/>
            </w:tcBorders>
          </w:tcPr>
          <w:p w14:paraId="2852B588">
            <w:pPr>
              <w:widowControl w:val="0"/>
              <w:spacing w:line="360" w:lineRule="auto"/>
              <w:ind w:right="-30"/>
              <w:jc w:val="center"/>
              <w:rPr>
                <w:i/>
              </w:rPr>
            </w:pPr>
            <w:r>
              <w:rPr>
                <w:i/>
              </w:rPr>
              <w:t xml:space="preserve">Marca </w:t>
            </w:r>
          </w:p>
          <w:p w14:paraId="0CBAC31C">
            <w:pPr>
              <w:widowControl w:val="0"/>
              <w:spacing w:line="360" w:lineRule="auto"/>
              <w:ind w:right="-30"/>
              <w:jc w:val="center"/>
              <w:rPr>
                <w:i/>
              </w:rPr>
            </w:pPr>
            <w:r>
              <w:rPr>
                <w:i/>
              </w:rPr>
              <w:t>(se exigida no edital)</w:t>
            </w:r>
          </w:p>
        </w:tc>
        <w:tc>
          <w:tcPr>
            <w:tcW w:w="1541" w:type="dxa"/>
            <w:tcBorders>
              <w:top w:val="nil"/>
              <w:left w:val="single" w:color="000000" w:sz="4" w:space="0"/>
              <w:bottom w:val="single" w:color="000000" w:sz="4" w:space="0"/>
              <w:right w:val="nil"/>
            </w:tcBorders>
          </w:tcPr>
          <w:p w14:paraId="730042E5">
            <w:pPr>
              <w:widowControl w:val="0"/>
              <w:spacing w:line="360" w:lineRule="auto"/>
              <w:ind w:right="-30"/>
              <w:jc w:val="center"/>
              <w:rPr>
                <w:i/>
              </w:rPr>
            </w:pPr>
            <w:r>
              <w:rPr>
                <w:i/>
              </w:rPr>
              <w:t>Modelo</w:t>
            </w:r>
          </w:p>
          <w:p w14:paraId="625FACD1">
            <w:pPr>
              <w:widowControl w:val="0"/>
              <w:spacing w:line="360" w:lineRule="auto"/>
              <w:ind w:right="-30"/>
              <w:jc w:val="center"/>
              <w:rPr>
                <w:i/>
              </w:rPr>
            </w:pPr>
            <w:r>
              <w:rPr>
                <w:i/>
              </w:rPr>
              <w:t>(se exigido no edital)</w:t>
            </w:r>
          </w:p>
        </w:tc>
        <w:tc>
          <w:tcPr>
            <w:tcW w:w="1121" w:type="dxa"/>
            <w:tcBorders>
              <w:top w:val="nil"/>
              <w:left w:val="single" w:color="000000" w:sz="4" w:space="0"/>
              <w:bottom w:val="single" w:color="000000" w:sz="4" w:space="0"/>
              <w:right w:val="nil"/>
            </w:tcBorders>
          </w:tcPr>
          <w:p w14:paraId="42C46C80">
            <w:pPr>
              <w:widowControl w:val="0"/>
              <w:spacing w:line="360" w:lineRule="auto"/>
              <w:ind w:right="-30"/>
              <w:jc w:val="center"/>
            </w:pPr>
            <w:r>
              <w:t>Unidade</w:t>
            </w:r>
          </w:p>
        </w:tc>
        <w:tc>
          <w:tcPr>
            <w:tcW w:w="1121" w:type="dxa"/>
            <w:tcBorders>
              <w:top w:val="nil"/>
              <w:left w:val="single" w:color="000000" w:sz="4" w:space="0"/>
              <w:bottom w:val="single" w:color="000000" w:sz="4" w:space="0"/>
              <w:right w:val="nil"/>
            </w:tcBorders>
          </w:tcPr>
          <w:p w14:paraId="128989DB">
            <w:pPr>
              <w:widowControl w:val="0"/>
              <w:spacing w:line="360" w:lineRule="auto"/>
              <w:ind w:right="-30"/>
              <w:jc w:val="center"/>
            </w:pPr>
            <w:r>
              <w:t>QuantidadeMáxima</w:t>
            </w:r>
          </w:p>
        </w:tc>
        <w:tc>
          <w:tcPr>
            <w:tcW w:w="841" w:type="dxa"/>
            <w:tcBorders>
              <w:top w:val="nil"/>
              <w:left w:val="single" w:color="000000" w:sz="4" w:space="0"/>
              <w:bottom w:val="single" w:color="000000" w:sz="4" w:space="0"/>
              <w:right w:val="single" w:color="000000" w:sz="4" w:space="0"/>
            </w:tcBorders>
          </w:tcPr>
          <w:p w14:paraId="6839939B">
            <w:pPr>
              <w:widowControl w:val="0"/>
              <w:spacing w:line="360" w:lineRule="auto"/>
              <w:ind w:right="-30"/>
              <w:jc w:val="center"/>
            </w:pPr>
            <w:r>
              <w:t>Quantidade Mínima</w:t>
            </w:r>
          </w:p>
        </w:tc>
        <w:tc>
          <w:tcPr>
            <w:tcW w:w="841" w:type="dxa"/>
            <w:tcBorders>
              <w:top w:val="nil"/>
              <w:left w:val="single" w:color="000000" w:sz="4" w:space="0"/>
              <w:bottom w:val="single" w:color="000000" w:sz="4" w:space="0"/>
              <w:right w:val="nil"/>
            </w:tcBorders>
          </w:tcPr>
          <w:p w14:paraId="7CAA6645">
            <w:pPr>
              <w:widowControl w:val="0"/>
              <w:spacing w:line="360" w:lineRule="auto"/>
              <w:ind w:right="-30"/>
              <w:jc w:val="center"/>
            </w:pPr>
            <w:r>
              <w:t>Valor Un</w:t>
            </w:r>
          </w:p>
        </w:tc>
        <w:tc>
          <w:tcPr>
            <w:tcW w:w="844" w:type="dxa"/>
            <w:tcBorders>
              <w:top w:val="nil"/>
              <w:left w:val="single" w:color="000000" w:sz="4" w:space="0"/>
              <w:bottom w:val="single" w:color="000000" w:sz="4" w:space="0"/>
              <w:right w:val="single" w:color="000000" w:sz="4" w:space="0"/>
            </w:tcBorders>
          </w:tcPr>
          <w:p w14:paraId="5F884595">
            <w:pPr>
              <w:widowControl w:val="0"/>
              <w:spacing w:line="360" w:lineRule="auto"/>
              <w:ind w:right="-30"/>
              <w:jc w:val="center"/>
            </w:pPr>
            <w:r>
              <w:rPr>
                <w:i/>
              </w:rPr>
              <w:t>Prazo garantia ou validade</w:t>
            </w:r>
          </w:p>
        </w:tc>
      </w:tr>
      <w:tr w14:paraId="20F3D71C">
        <w:tblPrEx>
          <w:tblCellMar>
            <w:top w:w="0" w:type="dxa"/>
            <w:left w:w="108" w:type="dxa"/>
            <w:bottom w:w="0" w:type="dxa"/>
            <w:right w:w="108" w:type="dxa"/>
          </w:tblCellMar>
        </w:tblPrEx>
        <w:trPr>
          <w:trHeight w:val="174" w:hRule="atLeast"/>
        </w:trPr>
        <w:tc>
          <w:tcPr>
            <w:tcW w:w="497" w:type="dxa"/>
            <w:tcBorders>
              <w:top w:val="nil"/>
              <w:left w:val="single" w:color="000000" w:sz="4" w:space="0"/>
              <w:bottom w:val="single" w:color="000000" w:sz="4" w:space="0"/>
              <w:right w:val="nil"/>
            </w:tcBorders>
          </w:tcPr>
          <w:p w14:paraId="75D2E435">
            <w:pPr>
              <w:widowControl w:val="0"/>
              <w:spacing w:line="360" w:lineRule="auto"/>
              <w:ind w:right="-30"/>
              <w:jc w:val="both"/>
            </w:pPr>
          </w:p>
        </w:tc>
        <w:tc>
          <w:tcPr>
            <w:tcW w:w="1333" w:type="dxa"/>
            <w:tcBorders>
              <w:top w:val="nil"/>
              <w:left w:val="single" w:color="000000" w:sz="4" w:space="0"/>
              <w:bottom w:val="single" w:color="000000" w:sz="4" w:space="0"/>
              <w:right w:val="nil"/>
            </w:tcBorders>
          </w:tcPr>
          <w:p w14:paraId="719423B4">
            <w:pPr>
              <w:widowControl w:val="0"/>
              <w:spacing w:line="360" w:lineRule="auto"/>
              <w:ind w:right="-30"/>
              <w:jc w:val="both"/>
            </w:pPr>
          </w:p>
        </w:tc>
        <w:tc>
          <w:tcPr>
            <w:tcW w:w="1253" w:type="dxa"/>
            <w:tcBorders>
              <w:top w:val="nil"/>
              <w:left w:val="single" w:color="000000" w:sz="4" w:space="0"/>
              <w:bottom w:val="single" w:color="000000" w:sz="4" w:space="0"/>
              <w:right w:val="nil"/>
            </w:tcBorders>
          </w:tcPr>
          <w:p w14:paraId="44E396CD">
            <w:pPr>
              <w:widowControl w:val="0"/>
              <w:spacing w:line="360" w:lineRule="auto"/>
              <w:ind w:right="-30"/>
              <w:jc w:val="both"/>
            </w:pPr>
          </w:p>
        </w:tc>
        <w:tc>
          <w:tcPr>
            <w:tcW w:w="1541" w:type="dxa"/>
            <w:tcBorders>
              <w:top w:val="nil"/>
              <w:left w:val="single" w:color="000000" w:sz="4" w:space="0"/>
              <w:bottom w:val="single" w:color="000000" w:sz="4" w:space="0"/>
              <w:right w:val="nil"/>
            </w:tcBorders>
          </w:tcPr>
          <w:p w14:paraId="734ED3C8">
            <w:pPr>
              <w:widowControl w:val="0"/>
              <w:spacing w:line="360" w:lineRule="auto"/>
              <w:ind w:right="-30"/>
              <w:jc w:val="both"/>
            </w:pPr>
          </w:p>
        </w:tc>
        <w:tc>
          <w:tcPr>
            <w:tcW w:w="1121" w:type="dxa"/>
            <w:tcBorders>
              <w:top w:val="nil"/>
              <w:left w:val="single" w:color="000000" w:sz="4" w:space="0"/>
              <w:bottom w:val="single" w:color="000000" w:sz="4" w:space="0"/>
              <w:right w:val="nil"/>
            </w:tcBorders>
          </w:tcPr>
          <w:p w14:paraId="2E25CB79">
            <w:pPr>
              <w:widowControl w:val="0"/>
              <w:spacing w:line="360" w:lineRule="auto"/>
              <w:ind w:right="-30"/>
              <w:jc w:val="both"/>
            </w:pPr>
          </w:p>
        </w:tc>
        <w:tc>
          <w:tcPr>
            <w:tcW w:w="1121" w:type="dxa"/>
            <w:tcBorders>
              <w:top w:val="nil"/>
              <w:left w:val="single" w:color="000000" w:sz="4" w:space="0"/>
              <w:bottom w:val="single" w:color="000000" w:sz="4" w:space="0"/>
              <w:right w:val="nil"/>
            </w:tcBorders>
          </w:tcPr>
          <w:p w14:paraId="7B2C2A5C">
            <w:pPr>
              <w:widowControl w:val="0"/>
              <w:spacing w:line="360" w:lineRule="auto"/>
              <w:ind w:right="-30"/>
              <w:jc w:val="both"/>
            </w:pPr>
          </w:p>
        </w:tc>
        <w:tc>
          <w:tcPr>
            <w:tcW w:w="841" w:type="dxa"/>
            <w:tcBorders>
              <w:top w:val="nil"/>
              <w:left w:val="single" w:color="000000" w:sz="4" w:space="0"/>
              <w:bottom w:val="single" w:color="000000" w:sz="4" w:space="0"/>
              <w:right w:val="single" w:color="000000" w:sz="4" w:space="0"/>
            </w:tcBorders>
          </w:tcPr>
          <w:p w14:paraId="424A01A9">
            <w:pPr>
              <w:widowControl w:val="0"/>
              <w:spacing w:line="360" w:lineRule="auto"/>
              <w:ind w:right="-30"/>
              <w:jc w:val="both"/>
            </w:pPr>
          </w:p>
        </w:tc>
        <w:tc>
          <w:tcPr>
            <w:tcW w:w="841" w:type="dxa"/>
            <w:tcBorders>
              <w:top w:val="nil"/>
              <w:left w:val="single" w:color="000000" w:sz="4" w:space="0"/>
              <w:bottom w:val="single" w:color="000000" w:sz="4" w:space="0"/>
              <w:right w:val="nil"/>
            </w:tcBorders>
          </w:tcPr>
          <w:p w14:paraId="0AAB828C">
            <w:pPr>
              <w:widowControl w:val="0"/>
              <w:spacing w:line="360" w:lineRule="auto"/>
              <w:ind w:right="-30"/>
              <w:jc w:val="both"/>
            </w:pPr>
          </w:p>
        </w:tc>
        <w:tc>
          <w:tcPr>
            <w:tcW w:w="844" w:type="dxa"/>
            <w:tcBorders>
              <w:top w:val="nil"/>
              <w:left w:val="single" w:color="000000" w:sz="4" w:space="0"/>
              <w:bottom w:val="single" w:color="000000" w:sz="4" w:space="0"/>
              <w:right w:val="single" w:color="000000" w:sz="4" w:space="0"/>
            </w:tcBorders>
          </w:tcPr>
          <w:p w14:paraId="7D338EE6">
            <w:pPr>
              <w:widowControl w:val="0"/>
              <w:spacing w:line="360" w:lineRule="auto"/>
              <w:ind w:right="-30"/>
              <w:jc w:val="both"/>
            </w:pPr>
          </w:p>
        </w:tc>
      </w:tr>
    </w:tbl>
    <w:p w14:paraId="6586B623">
      <w:pPr>
        <w:widowControl w:val="0"/>
        <w:spacing w:line="360" w:lineRule="auto"/>
        <w:ind w:right="-30"/>
        <w:jc w:val="center"/>
        <w:rPr>
          <w:color w:val="000000"/>
        </w:rPr>
      </w:pPr>
    </w:p>
    <w:p w14:paraId="438E9548">
      <w:pPr>
        <w:widowControl w:val="0"/>
        <w:spacing w:line="360" w:lineRule="auto"/>
        <w:ind w:right="-30"/>
        <w:jc w:val="center"/>
        <w:rPr>
          <w:color w:val="000000"/>
        </w:rPr>
      </w:pPr>
    </w:p>
    <w:p w14:paraId="1EB1B03D">
      <w:pPr>
        <w:widowControl w:val="0"/>
        <w:spacing w:line="360" w:lineRule="auto"/>
        <w:ind w:right="-30"/>
        <w:jc w:val="both"/>
        <w:rPr>
          <w:color w:val="000000"/>
          <w:sz w:val="24"/>
          <w:szCs w:val="24"/>
        </w:rPr>
      </w:pPr>
      <w:r>
        <w:rPr>
          <w:color w:val="000000"/>
          <w:sz w:val="24"/>
          <w:szCs w:val="24"/>
        </w:rPr>
        <w:t>Seguindo a ordem de classificação, segue relação de fornecedores que mantiveram sua proposta original:</w:t>
      </w:r>
    </w:p>
    <w:p w14:paraId="5B48E65F">
      <w:pPr>
        <w:widowControl w:val="0"/>
        <w:spacing w:line="360" w:lineRule="auto"/>
        <w:ind w:right="-30"/>
        <w:jc w:val="center"/>
      </w:pPr>
    </w:p>
    <w:tbl>
      <w:tblPr>
        <w:tblStyle w:val="9"/>
        <w:tblW w:w="9392" w:type="dxa"/>
        <w:tblInd w:w="10" w:type="dxa"/>
        <w:tblLayout w:type="fixed"/>
        <w:tblCellMar>
          <w:top w:w="0" w:type="dxa"/>
          <w:left w:w="108" w:type="dxa"/>
          <w:bottom w:w="0" w:type="dxa"/>
          <w:right w:w="108" w:type="dxa"/>
        </w:tblCellMar>
      </w:tblPr>
      <w:tblGrid>
        <w:gridCol w:w="696"/>
        <w:gridCol w:w="1134"/>
        <w:gridCol w:w="1253"/>
        <w:gridCol w:w="1541"/>
        <w:gridCol w:w="1121"/>
        <w:gridCol w:w="1121"/>
        <w:gridCol w:w="841"/>
        <w:gridCol w:w="841"/>
        <w:gridCol w:w="844"/>
      </w:tblGrid>
      <w:tr w14:paraId="1B14531A">
        <w:tblPrEx>
          <w:tblCellMar>
            <w:top w:w="0" w:type="dxa"/>
            <w:left w:w="108" w:type="dxa"/>
            <w:bottom w:w="0" w:type="dxa"/>
            <w:right w:w="108" w:type="dxa"/>
          </w:tblCellMar>
        </w:tblPrEx>
        <w:trPr>
          <w:trHeight w:val="511"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022B14CB">
            <w:pPr>
              <w:widowControl w:val="0"/>
              <w:spacing w:line="360" w:lineRule="auto"/>
              <w:ind w:right="-30"/>
              <w:jc w:val="center"/>
            </w:pPr>
            <w:r>
              <w:t>Item</w:t>
            </w:r>
          </w:p>
          <w:p w14:paraId="7735D50B">
            <w:pPr>
              <w:widowControl w:val="0"/>
              <w:spacing w:line="360" w:lineRule="auto"/>
              <w:ind w:right="-30"/>
              <w:jc w:val="center"/>
            </w:pPr>
            <w:r>
              <w:t>do</w:t>
            </w:r>
          </w:p>
          <w:p w14:paraId="6BCB6261">
            <w:pPr>
              <w:widowControl w:val="0"/>
              <w:spacing w:line="360" w:lineRule="auto"/>
              <w:ind w:right="-30"/>
              <w:jc w:val="center"/>
            </w:pPr>
            <w:r>
              <w:t>TR</w:t>
            </w:r>
          </w:p>
        </w:tc>
        <w:tc>
          <w:tcPr>
            <w:tcW w:w="8696" w:type="dxa"/>
            <w:gridSpan w:val="8"/>
            <w:tcBorders>
              <w:top w:val="single" w:color="000000" w:sz="4" w:space="0"/>
              <w:left w:val="single" w:color="000000" w:sz="4" w:space="0"/>
              <w:bottom w:val="single" w:color="000000" w:sz="4" w:space="0"/>
              <w:right w:val="single" w:color="000000" w:sz="4" w:space="0"/>
            </w:tcBorders>
          </w:tcPr>
          <w:p w14:paraId="46AF5D52">
            <w:pPr>
              <w:widowControl w:val="0"/>
              <w:spacing w:line="360" w:lineRule="auto"/>
              <w:ind w:right="-30"/>
              <w:jc w:val="center"/>
              <w:rPr>
                <w:i/>
              </w:rPr>
            </w:pPr>
            <w:r>
              <w:t xml:space="preserve">Fornecedor </w:t>
            </w:r>
            <w:r>
              <w:rPr>
                <w:i/>
              </w:rPr>
              <w:t>(razão social, CNPJ/MF, endereço, contatos, representante)</w:t>
            </w:r>
          </w:p>
          <w:p w14:paraId="5450D09C">
            <w:pPr>
              <w:widowControl w:val="0"/>
              <w:spacing w:line="360" w:lineRule="auto"/>
              <w:ind w:right="-30"/>
              <w:jc w:val="center"/>
            </w:pPr>
          </w:p>
        </w:tc>
      </w:tr>
      <w:tr w14:paraId="6026CC42">
        <w:tblPrEx>
          <w:tblCellMar>
            <w:top w:w="0" w:type="dxa"/>
            <w:left w:w="108" w:type="dxa"/>
            <w:bottom w:w="0" w:type="dxa"/>
            <w:right w:w="108" w:type="dxa"/>
          </w:tblCellMar>
        </w:tblPrEx>
        <w:trPr>
          <w:trHeight w:val="674" w:hRule="atLeast"/>
        </w:trPr>
        <w:tc>
          <w:tcPr>
            <w:tcW w:w="696" w:type="dxa"/>
            <w:tcBorders>
              <w:top w:val="nil"/>
              <w:left w:val="single" w:color="000000" w:sz="4" w:space="0"/>
              <w:bottom w:val="single" w:color="000000" w:sz="4" w:space="0"/>
              <w:right w:val="nil"/>
            </w:tcBorders>
            <w:vAlign w:val="center"/>
          </w:tcPr>
          <w:p w14:paraId="1D1B9A5D">
            <w:pPr>
              <w:widowControl w:val="0"/>
              <w:spacing w:line="360" w:lineRule="auto"/>
              <w:ind w:right="-30"/>
              <w:jc w:val="center"/>
            </w:pPr>
            <w:r>
              <w:t>X</w:t>
            </w:r>
          </w:p>
        </w:tc>
        <w:tc>
          <w:tcPr>
            <w:tcW w:w="1134" w:type="dxa"/>
            <w:tcBorders>
              <w:top w:val="nil"/>
              <w:left w:val="single" w:color="000000" w:sz="4" w:space="0"/>
              <w:bottom w:val="single" w:color="000000" w:sz="4" w:space="0"/>
              <w:right w:val="nil"/>
            </w:tcBorders>
          </w:tcPr>
          <w:p w14:paraId="6B39069B">
            <w:pPr>
              <w:widowControl w:val="0"/>
              <w:spacing w:line="360" w:lineRule="auto"/>
              <w:ind w:right="-30"/>
              <w:jc w:val="both"/>
            </w:pPr>
            <w:r>
              <w:t>Especificação</w:t>
            </w:r>
          </w:p>
        </w:tc>
        <w:tc>
          <w:tcPr>
            <w:tcW w:w="1253" w:type="dxa"/>
            <w:tcBorders>
              <w:top w:val="nil"/>
              <w:left w:val="single" w:color="000000" w:sz="4" w:space="0"/>
              <w:bottom w:val="single" w:color="000000" w:sz="4" w:space="0"/>
              <w:right w:val="nil"/>
            </w:tcBorders>
          </w:tcPr>
          <w:p w14:paraId="7CA3123E">
            <w:pPr>
              <w:widowControl w:val="0"/>
              <w:spacing w:line="360" w:lineRule="auto"/>
              <w:ind w:right="-30"/>
              <w:jc w:val="center"/>
              <w:rPr>
                <w:i/>
              </w:rPr>
            </w:pPr>
            <w:r>
              <w:rPr>
                <w:i/>
              </w:rPr>
              <w:t xml:space="preserve">Marca </w:t>
            </w:r>
          </w:p>
          <w:p w14:paraId="393D48EA">
            <w:pPr>
              <w:widowControl w:val="0"/>
              <w:spacing w:line="360" w:lineRule="auto"/>
              <w:ind w:right="-30"/>
              <w:jc w:val="center"/>
              <w:rPr>
                <w:i/>
              </w:rPr>
            </w:pPr>
            <w:r>
              <w:rPr>
                <w:i/>
              </w:rPr>
              <w:t>(se exigida no edital)</w:t>
            </w:r>
          </w:p>
        </w:tc>
        <w:tc>
          <w:tcPr>
            <w:tcW w:w="1541" w:type="dxa"/>
            <w:tcBorders>
              <w:top w:val="nil"/>
              <w:left w:val="single" w:color="000000" w:sz="4" w:space="0"/>
              <w:bottom w:val="single" w:color="000000" w:sz="4" w:space="0"/>
              <w:right w:val="nil"/>
            </w:tcBorders>
          </w:tcPr>
          <w:p w14:paraId="648B0A9B">
            <w:pPr>
              <w:widowControl w:val="0"/>
              <w:spacing w:line="360" w:lineRule="auto"/>
              <w:ind w:right="-30"/>
              <w:jc w:val="center"/>
              <w:rPr>
                <w:i/>
              </w:rPr>
            </w:pPr>
            <w:r>
              <w:rPr>
                <w:i/>
              </w:rPr>
              <w:t>Modelo</w:t>
            </w:r>
          </w:p>
          <w:p w14:paraId="353297CF">
            <w:pPr>
              <w:widowControl w:val="0"/>
              <w:spacing w:line="360" w:lineRule="auto"/>
              <w:ind w:right="-30"/>
              <w:jc w:val="center"/>
              <w:rPr>
                <w:i/>
              </w:rPr>
            </w:pPr>
            <w:r>
              <w:rPr>
                <w:i/>
              </w:rPr>
              <w:t>(se exigido no edital)</w:t>
            </w:r>
          </w:p>
        </w:tc>
        <w:tc>
          <w:tcPr>
            <w:tcW w:w="1121" w:type="dxa"/>
            <w:tcBorders>
              <w:top w:val="nil"/>
              <w:left w:val="single" w:color="000000" w:sz="4" w:space="0"/>
              <w:bottom w:val="single" w:color="000000" w:sz="4" w:space="0"/>
              <w:right w:val="nil"/>
            </w:tcBorders>
          </w:tcPr>
          <w:p w14:paraId="67023711">
            <w:pPr>
              <w:widowControl w:val="0"/>
              <w:spacing w:line="360" w:lineRule="auto"/>
              <w:ind w:right="-30"/>
              <w:jc w:val="center"/>
            </w:pPr>
            <w:r>
              <w:t>Unidade</w:t>
            </w:r>
          </w:p>
        </w:tc>
        <w:tc>
          <w:tcPr>
            <w:tcW w:w="1121" w:type="dxa"/>
            <w:tcBorders>
              <w:top w:val="nil"/>
              <w:left w:val="single" w:color="000000" w:sz="4" w:space="0"/>
              <w:bottom w:val="single" w:color="000000" w:sz="4" w:space="0"/>
              <w:right w:val="nil"/>
            </w:tcBorders>
          </w:tcPr>
          <w:p w14:paraId="14BB9578">
            <w:pPr>
              <w:widowControl w:val="0"/>
              <w:spacing w:line="360" w:lineRule="auto"/>
              <w:ind w:right="-30"/>
              <w:jc w:val="center"/>
            </w:pPr>
            <w:r>
              <w:t>QuantidadeMáxima</w:t>
            </w:r>
          </w:p>
        </w:tc>
        <w:tc>
          <w:tcPr>
            <w:tcW w:w="841" w:type="dxa"/>
            <w:tcBorders>
              <w:top w:val="nil"/>
              <w:left w:val="single" w:color="000000" w:sz="4" w:space="0"/>
              <w:bottom w:val="single" w:color="000000" w:sz="4" w:space="0"/>
              <w:right w:val="single" w:color="000000" w:sz="4" w:space="0"/>
            </w:tcBorders>
          </w:tcPr>
          <w:p w14:paraId="3F8FED38">
            <w:pPr>
              <w:widowControl w:val="0"/>
              <w:spacing w:line="360" w:lineRule="auto"/>
              <w:ind w:right="-30"/>
              <w:jc w:val="center"/>
            </w:pPr>
            <w:r>
              <w:t>Quantidade Mínima</w:t>
            </w:r>
          </w:p>
        </w:tc>
        <w:tc>
          <w:tcPr>
            <w:tcW w:w="841" w:type="dxa"/>
            <w:tcBorders>
              <w:top w:val="nil"/>
              <w:left w:val="single" w:color="000000" w:sz="4" w:space="0"/>
              <w:bottom w:val="single" w:color="000000" w:sz="4" w:space="0"/>
              <w:right w:val="nil"/>
            </w:tcBorders>
          </w:tcPr>
          <w:p w14:paraId="35A562F9">
            <w:pPr>
              <w:widowControl w:val="0"/>
              <w:spacing w:line="360" w:lineRule="auto"/>
              <w:ind w:right="-30"/>
              <w:jc w:val="center"/>
            </w:pPr>
            <w:r>
              <w:t>Valor Un</w:t>
            </w:r>
          </w:p>
        </w:tc>
        <w:tc>
          <w:tcPr>
            <w:tcW w:w="844" w:type="dxa"/>
            <w:tcBorders>
              <w:top w:val="nil"/>
              <w:left w:val="single" w:color="000000" w:sz="4" w:space="0"/>
              <w:bottom w:val="single" w:color="000000" w:sz="4" w:space="0"/>
              <w:right w:val="single" w:color="000000" w:sz="4" w:space="0"/>
            </w:tcBorders>
          </w:tcPr>
          <w:p w14:paraId="170BD95A">
            <w:pPr>
              <w:widowControl w:val="0"/>
              <w:spacing w:line="360" w:lineRule="auto"/>
              <w:ind w:right="-30"/>
              <w:jc w:val="center"/>
            </w:pPr>
            <w:r>
              <w:rPr>
                <w:i/>
              </w:rPr>
              <w:t>Prazo garantia ou validade</w:t>
            </w:r>
          </w:p>
        </w:tc>
      </w:tr>
      <w:tr w14:paraId="07B1CE12">
        <w:tblPrEx>
          <w:tblCellMar>
            <w:top w:w="0" w:type="dxa"/>
            <w:left w:w="108" w:type="dxa"/>
            <w:bottom w:w="0" w:type="dxa"/>
            <w:right w:w="108" w:type="dxa"/>
          </w:tblCellMar>
        </w:tblPrEx>
        <w:trPr>
          <w:trHeight w:val="174" w:hRule="atLeast"/>
        </w:trPr>
        <w:tc>
          <w:tcPr>
            <w:tcW w:w="696" w:type="dxa"/>
            <w:tcBorders>
              <w:top w:val="nil"/>
              <w:left w:val="single" w:color="000000" w:sz="4" w:space="0"/>
              <w:bottom w:val="single" w:color="000000" w:sz="4" w:space="0"/>
              <w:right w:val="nil"/>
            </w:tcBorders>
          </w:tcPr>
          <w:p w14:paraId="54F6DFCF">
            <w:pPr>
              <w:widowControl w:val="0"/>
              <w:spacing w:line="360" w:lineRule="auto"/>
              <w:ind w:right="-30"/>
              <w:jc w:val="both"/>
              <w:rPr>
                <w:sz w:val="24"/>
                <w:szCs w:val="24"/>
              </w:rPr>
            </w:pPr>
          </w:p>
        </w:tc>
        <w:tc>
          <w:tcPr>
            <w:tcW w:w="1134" w:type="dxa"/>
            <w:tcBorders>
              <w:top w:val="nil"/>
              <w:left w:val="single" w:color="000000" w:sz="4" w:space="0"/>
              <w:bottom w:val="single" w:color="000000" w:sz="4" w:space="0"/>
              <w:right w:val="nil"/>
            </w:tcBorders>
          </w:tcPr>
          <w:p w14:paraId="21CC9FFA">
            <w:pPr>
              <w:widowControl w:val="0"/>
              <w:spacing w:line="360" w:lineRule="auto"/>
              <w:ind w:right="-30"/>
              <w:jc w:val="both"/>
              <w:rPr>
                <w:sz w:val="24"/>
                <w:szCs w:val="24"/>
              </w:rPr>
            </w:pPr>
          </w:p>
        </w:tc>
        <w:tc>
          <w:tcPr>
            <w:tcW w:w="1253" w:type="dxa"/>
            <w:tcBorders>
              <w:top w:val="nil"/>
              <w:left w:val="single" w:color="000000" w:sz="4" w:space="0"/>
              <w:bottom w:val="single" w:color="000000" w:sz="4" w:space="0"/>
              <w:right w:val="nil"/>
            </w:tcBorders>
          </w:tcPr>
          <w:p w14:paraId="23E6269E">
            <w:pPr>
              <w:widowControl w:val="0"/>
              <w:spacing w:line="360" w:lineRule="auto"/>
              <w:ind w:right="-30"/>
              <w:jc w:val="both"/>
              <w:rPr>
                <w:sz w:val="24"/>
                <w:szCs w:val="24"/>
              </w:rPr>
            </w:pPr>
          </w:p>
        </w:tc>
        <w:tc>
          <w:tcPr>
            <w:tcW w:w="1541" w:type="dxa"/>
            <w:tcBorders>
              <w:top w:val="nil"/>
              <w:left w:val="single" w:color="000000" w:sz="4" w:space="0"/>
              <w:bottom w:val="single" w:color="000000" w:sz="4" w:space="0"/>
              <w:right w:val="nil"/>
            </w:tcBorders>
          </w:tcPr>
          <w:p w14:paraId="695AE3EF">
            <w:pPr>
              <w:widowControl w:val="0"/>
              <w:spacing w:line="360" w:lineRule="auto"/>
              <w:ind w:right="-30"/>
              <w:jc w:val="both"/>
              <w:rPr>
                <w:sz w:val="24"/>
                <w:szCs w:val="24"/>
              </w:rPr>
            </w:pPr>
          </w:p>
        </w:tc>
        <w:tc>
          <w:tcPr>
            <w:tcW w:w="1121" w:type="dxa"/>
            <w:tcBorders>
              <w:top w:val="nil"/>
              <w:left w:val="single" w:color="000000" w:sz="4" w:space="0"/>
              <w:bottom w:val="single" w:color="000000" w:sz="4" w:space="0"/>
              <w:right w:val="nil"/>
            </w:tcBorders>
          </w:tcPr>
          <w:p w14:paraId="05A592E4">
            <w:pPr>
              <w:widowControl w:val="0"/>
              <w:spacing w:line="360" w:lineRule="auto"/>
              <w:ind w:right="-30"/>
              <w:jc w:val="both"/>
              <w:rPr>
                <w:sz w:val="24"/>
                <w:szCs w:val="24"/>
              </w:rPr>
            </w:pPr>
          </w:p>
        </w:tc>
        <w:tc>
          <w:tcPr>
            <w:tcW w:w="1121" w:type="dxa"/>
            <w:tcBorders>
              <w:top w:val="nil"/>
              <w:left w:val="single" w:color="000000" w:sz="4" w:space="0"/>
              <w:bottom w:val="single" w:color="000000" w:sz="4" w:space="0"/>
              <w:right w:val="nil"/>
            </w:tcBorders>
          </w:tcPr>
          <w:p w14:paraId="6E976900">
            <w:pPr>
              <w:widowControl w:val="0"/>
              <w:spacing w:line="360" w:lineRule="auto"/>
              <w:ind w:right="-30"/>
              <w:jc w:val="both"/>
              <w:rPr>
                <w:sz w:val="24"/>
                <w:szCs w:val="24"/>
              </w:rPr>
            </w:pPr>
          </w:p>
        </w:tc>
        <w:tc>
          <w:tcPr>
            <w:tcW w:w="841" w:type="dxa"/>
            <w:tcBorders>
              <w:top w:val="nil"/>
              <w:left w:val="single" w:color="000000" w:sz="4" w:space="0"/>
              <w:bottom w:val="single" w:color="000000" w:sz="4" w:space="0"/>
              <w:right w:val="single" w:color="000000" w:sz="4" w:space="0"/>
            </w:tcBorders>
          </w:tcPr>
          <w:p w14:paraId="146B1BD7">
            <w:pPr>
              <w:widowControl w:val="0"/>
              <w:spacing w:line="360" w:lineRule="auto"/>
              <w:ind w:right="-30"/>
              <w:jc w:val="both"/>
              <w:rPr>
                <w:sz w:val="24"/>
                <w:szCs w:val="24"/>
              </w:rPr>
            </w:pPr>
          </w:p>
        </w:tc>
        <w:tc>
          <w:tcPr>
            <w:tcW w:w="841" w:type="dxa"/>
            <w:tcBorders>
              <w:top w:val="nil"/>
              <w:left w:val="single" w:color="000000" w:sz="4" w:space="0"/>
              <w:bottom w:val="single" w:color="000000" w:sz="4" w:space="0"/>
              <w:right w:val="nil"/>
            </w:tcBorders>
          </w:tcPr>
          <w:p w14:paraId="1A3D2061">
            <w:pPr>
              <w:widowControl w:val="0"/>
              <w:spacing w:line="360" w:lineRule="auto"/>
              <w:ind w:right="-30"/>
              <w:jc w:val="both"/>
              <w:rPr>
                <w:sz w:val="24"/>
                <w:szCs w:val="24"/>
              </w:rPr>
            </w:pPr>
          </w:p>
        </w:tc>
        <w:tc>
          <w:tcPr>
            <w:tcW w:w="844" w:type="dxa"/>
            <w:tcBorders>
              <w:top w:val="nil"/>
              <w:left w:val="single" w:color="000000" w:sz="4" w:space="0"/>
              <w:bottom w:val="single" w:color="000000" w:sz="4" w:space="0"/>
              <w:right w:val="single" w:color="000000" w:sz="4" w:space="0"/>
            </w:tcBorders>
          </w:tcPr>
          <w:p w14:paraId="5A2E5BE0">
            <w:pPr>
              <w:widowControl w:val="0"/>
              <w:spacing w:line="360" w:lineRule="auto"/>
              <w:ind w:right="-30"/>
              <w:jc w:val="both"/>
              <w:rPr>
                <w:sz w:val="24"/>
                <w:szCs w:val="24"/>
              </w:rPr>
            </w:pPr>
          </w:p>
        </w:tc>
      </w:tr>
    </w:tbl>
    <w:p w14:paraId="60B48709">
      <w:pPr>
        <w:jc w:val="center"/>
        <w:rPr>
          <w:b/>
          <w:color w:val="000000"/>
          <w:sz w:val="24"/>
          <w:szCs w:val="24"/>
        </w:rPr>
      </w:pPr>
    </w:p>
    <w:p w14:paraId="63AB4B81">
      <w:pPr>
        <w:jc w:val="center"/>
        <w:rPr>
          <w:b/>
          <w:color w:val="000000"/>
          <w:sz w:val="24"/>
          <w:szCs w:val="24"/>
        </w:rPr>
      </w:pPr>
    </w:p>
    <w:p w14:paraId="716CC3E1">
      <w:pPr>
        <w:jc w:val="center"/>
        <w:rPr>
          <w:b/>
          <w:color w:val="000000"/>
          <w:sz w:val="24"/>
          <w:szCs w:val="24"/>
        </w:rPr>
      </w:pPr>
    </w:p>
    <w:p w14:paraId="589AD3AA">
      <w:pPr>
        <w:jc w:val="center"/>
        <w:rPr>
          <w:b/>
          <w:color w:val="000000"/>
          <w:sz w:val="24"/>
          <w:szCs w:val="24"/>
        </w:rPr>
      </w:pPr>
    </w:p>
    <w:p w14:paraId="42260226">
      <w:pPr>
        <w:jc w:val="center"/>
        <w:rPr>
          <w:b/>
          <w:color w:val="000000"/>
          <w:sz w:val="24"/>
          <w:szCs w:val="24"/>
        </w:rPr>
      </w:pPr>
    </w:p>
    <w:p w14:paraId="437B84C9">
      <w:pPr>
        <w:jc w:val="center"/>
        <w:rPr>
          <w:b/>
          <w:color w:val="000000"/>
          <w:sz w:val="24"/>
          <w:szCs w:val="24"/>
        </w:rPr>
      </w:pPr>
    </w:p>
    <w:p w14:paraId="1BACAFDD">
      <w:pPr>
        <w:jc w:val="center"/>
        <w:rPr>
          <w:b/>
          <w:color w:val="000000"/>
          <w:sz w:val="24"/>
          <w:szCs w:val="24"/>
        </w:rPr>
      </w:pPr>
    </w:p>
    <w:p w14:paraId="53ABA452">
      <w:pPr>
        <w:jc w:val="center"/>
        <w:rPr>
          <w:b/>
          <w:color w:val="000000"/>
          <w:sz w:val="24"/>
          <w:szCs w:val="24"/>
        </w:rPr>
      </w:pPr>
    </w:p>
    <w:p w14:paraId="7BDD137D">
      <w:pPr>
        <w:jc w:val="center"/>
        <w:rPr>
          <w:b/>
          <w:color w:val="000000"/>
          <w:sz w:val="24"/>
          <w:szCs w:val="24"/>
        </w:rPr>
      </w:pPr>
    </w:p>
    <w:p w14:paraId="79AF8860">
      <w:pPr>
        <w:jc w:val="center"/>
        <w:rPr>
          <w:b/>
          <w:color w:val="000000"/>
          <w:sz w:val="24"/>
          <w:szCs w:val="24"/>
        </w:rPr>
      </w:pPr>
    </w:p>
    <w:p w14:paraId="742CBAB5">
      <w:pPr>
        <w:jc w:val="center"/>
        <w:rPr>
          <w:b/>
          <w:color w:val="000000"/>
          <w:sz w:val="24"/>
          <w:szCs w:val="24"/>
        </w:rPr>
      </w:pPr>
    </w:p>
    <w:p w14:paraId="64F89E4A">
      <w:pPr>
        <w:jc w:val="center"/>
        <w:rPr>
          <w:b/>
          <w:color w:val="000000"/>
          <w:sz w:val="24"/>
          <w:szCs w:val="24"/>
        </w:rPr>
      </w:pPr>
    </w:p>
    <w:p w14:paraId="3087F0D5">
      <w:pPr>
        <w:jc w:val="center"/>
        <w:rPr>
          <w:b/>
          <w:color w:val="000000"/>
          <w:sz w:val="24"/>
          <w:szCs w:val="24"/>
        </w:rPr>
      </w:pPr>
    </w:p>
    <w:p w14:paraId="60F7F49B">
      <w:pPr>
        <w:jc w:val="center"/>
        <w:rPr>
          <w:b/>
          <w:color w:val="000000"/>
          <w:sz w:val="24"/>
          <w:szCs w:val="24"/>
        </w:rPr>
      </w:pPr>
      <w:r>
        <w:rPr>
          <w:b/>
          <w:color w:val="000000"/>
          <w:sz w:val="24"/>
          <w:szCs w:val="24"/>
        </w:rPr>
        <w:t>ANEXO IV</w:t>
      </w:r>
    </w:p>
    <w:p w14:paraId="57D5628A">
      <w:pPr>
        <w:jc w:val="center"/>
        <w:rPr>
          <w:b/>
          <w:sz w:val="24"/>
          <w:szCs w:val="24"/>
        </w:rPr>
      </w:pPr>
      <w:r>
        <w:rPr>
          <w:b/>
          <w:sz w:val="24"/>
          <w:szCs w:val="24"/>
        </w:rPr>
        <w:t xml:space="preserve">MINUTA DE CONTRATO DE </w:t>
      </w:r>
      <w:r>
        <w:rPr>
          <w:b/>
          <w:sz w:val="24"/>
          <w:szCs w:val="24"/>
          <w:u w:val="single"/>
        </w:rPr>
        <w:t>FORNECIMENTO</w:t>
      </w:r>
    </w:p>
    <w:p w14:paraId="71DB52B7">
      <w:pPr>
        <w:rPr>
          <w:sz w:val="24"/>
          <w:szCs w:val="24"/>
        </w:rPr>
      </w:pPr>
    </w:p>
    <w:p w14:paraId="428F7B1D">
      <w:pPr>
        <w:tabs>
          <w:tab w:val="left" w:pos="4005"/>
        </w:tabs>
        <w:jc w:val="center"/>
        <w:rPr>
          <w:b/>
        </w:rPr>
      </w:pPr>
      <w:r>
        <w:rPr>
          <w:b/>
        </w:rPr>
        <w:t>PREFEITURA MUNICIPAL DE XXXXX</w:t>
      </w:r>
    </w:p>
    <w:p w14:paraId="124EA851">
      <w:pPr>
        <w:tabs>
          <w:tab w:val="left" w:pos="4005"/>
        </w:tabs>
        <w:jc w:val="center"/>
      </w:pPr>
      <w:r>
        <w:t>(Processo Administrativo n°.XXXX)</w:t>
      </w:r>
    </w:p>
    <w:p w14:paraId="00626D61">
      <w:pPr>
        <w:tabs>
          <w:tab w:val="left" w:pos="4005"/>
        </w:tabs>
      </w:pPr>
    </w:p>
    <w:p w14:paraId="29C33643">
      <w:pPr>
        <w:pBdr>
          <w:top w:val="none" w:color="auto" w:sz="0" w:space="0"/>
          <w:left w:val="none" w:color="auto" w:sz="0" w:space="0"/>
          <w:bottom w:val="none" w:color="auto" w:sz="0" w:space="0"/>
          <w:right w:val="none" w:color="auto" w:sz="0" w:space="0"/>
          <w:between w:val="none" w:color="auto" w:sz="0" w:space="0"/>
        </w:pBdr>
        <w:ind w:left="4860" w:right="-88"/>
        <w:jc w:val="both"/>
        <w:rPr>
          <w:b/>
          <w:color w:val="000000"/>
        </w:rPr>
      </w:pPr>
      <w:r>
        <w:rPr>
          <w:color w:val="000000"/>
        </w:rPr>
        <w:t>Termo de Contrato de fornecimento que entre si fazem o</w:t>
      </w:r>
      <w:r>
        <w:rPr>
          <w:b/>
          <w:color w:val="000000"/>
        </w:rPr>
        <w:t xml:space="preserve"> MUNICÍPIO DE XXXXXXXX </w:t>
      </w:r>
      <w:r>
        <w:rPr>
          <w:color w:val="000000"/>
        </w:rPr>
        <w:t>e a Empresa</w:t>
      </w:r>
      <w:r>
        <w:rPr>
          <w:b/>
          <w:color w:val="000000"/>
        </w:rPr>
        <w:t xml:space="preserve"> XXXXXXXXXXX</w:t>
      </w:r>
    </w:p>
    <w:p w14:paraId="3DF0906A">
      <w:pPr>
        <w:pBdr>
          <w:top w:val="none" w:color="auto" w:sz="0" w:space="0"/>
          <w:left w:val="none" w:color="auto" w:sz="0" w:space="0"/>
          <w:bottom w:val="none" w:color="auto" w:sz="0" w:space="0"/>
          <w:right w:val="none" w:color="auto" w:sz="0" w:space="0"/>
          <w:between w:val="none" w:color="auto" w:sz="0" w:space="0"/>
        </w:pBdr>
        <w:ind w:left="7938" w:right="-88"/>
        <w:jc w:val="both"/>
        <w:rPr>
          <w:b/>
          <w:color w:val="000000"/>
        </w:rPr>
      </w:pPr>
    </w:p>
    <w:p w14:paraId="1022DA97">
      <w:pPr>
        <w:pBdr>
          <w:top w:val="none" w:color="auto" w:sz="0" w:space="0"/>
          <w:left w:val="none" w:color="auto" w:sz="0" w:space="0"/>
          <w:bottom w:val="none" w:color="auto" w:sz="0" w:space="0"/>
          <w:right w:val="none" w:color="auto" w:sz="0" w:space="0"/>
          <w:between w:val="none" w:color="auto" w:sz="0" w:space="0"/>
        </w:pBdr>
        <w:ind w:right="-88"/>
        <w:jc w:val="center"/>
        <w:rPr>
          <w:b/>
          <w:color w:val="000000"/>
        </w:rPr>
      </w:pPr>
      <w:r>
        <w:rPr>
          <w:b/>
          <w:color w:val="000000"/>
        </w:rPr>
        <w:t>CONTRATO Nº ___/2024</w:t>
      </w:r>
    </w:p>
    <w:p w14:paraId="5A438BF1">
      <w:pPr>
        <w:tabs>
          <w:tab w:val="left" w:pos="4005"/>
        </w:tabs>
      </w:pPr>
    </w:p>
    <w:p w14:paraId="3C294E48">
      <w:pPr>
        <w:ind w:left="-567" w:right="-852"/>
        <w:jc w:val="both"/>
      </w:pPr>
      <w:r>
        <w:rPr>
          <w:color w:val="000000"/>
        </w:rPr>
        <w:t xml:space="preserve">O Município de XXXXXXXX, com sede no(a) XXXXXXXXXXXXXXX, na cidade de XXXXXXXXXXXX </w:t>
      </w:r>
      <w:r>
        <w:t xml:space="preserve">/Estado </w:t>
      </w:r>
      <w:r>
        <w:rPr>
          <w:color w:val="000000"/>
        </w:rPr>
        <w:t xml:space="preserve">BA </w:t>
      </w:r>
      <w:r>
        <w:t xml:space="preserve">inscrito(a) no CNPJ sob o nº </w:t>
      </w:r>
      <w:r>
        <w:rPr>
          <w:color w:val="000000"/>
        </w:rPr>
        <w:t>XXXXXXXXXXXXXX</w:t>
      </w:r>
      <w:r>
        <w:t xml:space="preserve">, neste ato representado(a) pelo(a) </w:t>
      </w:r>
      <w:r>
        <w:rPr>
          <w:color w:val="000000"/>
        </w:rPr>
        <w:t>XXXXXXXXXXX</w:t>
      </w:r>
      <w:r>
        <w:rPr>
          <w:color w:val="FF0000"/>
        </w:rPr>
        <w:t xml:space="preserve"> </w:t>
      </w:r>
      <w:r>
        <w:rPr>
          <w:color w:val="000000"/>
        </w:rPr>
        <w:t>(</w:t>
      </w:r>
      <w:r>
        <w:rPr>
          <w:i/>
          <w:color w:val="000000"/>
        </w:rPr>
        <w:t>cargo e nome</w:t>
      </w:r>
      <w:r>
        <w:rPr>
          <w:color w:val="000000"/>
        </w:rPr>
        <w:t xml:space="preserve">), </w:t>
      </w:r>
      <w:r>
        <w:t xml:space="preserve">nomeado(a) pela </w:t>
      </w:r>
      <w:r>
        <w:rPr>
          <w:color w:val="000000"/>
        </w:rPr>
        <w:t xml:space="preserve">Portaria nº XX, de XX de XXXXde 20XX, </w:t>
      </w:r>
      <w:r>
        <w:t>publicada no</w:t>
      </w:r>
      <w:r>
        <w:rPr>
          <w:i/>
        </w:rPr>
        <w:t xml:space="preserve"> DOM </w:t>
      </w:r>
      <w:r>
        <w:t xml:space="preserve">de </w:t>
      </w:r>
      <w:r>
        <w:rPr>
          <w:color w:val="000000"/>
        </w:rPr>
        <w:t>XX de XXXXXX de 202X</w:t>
      </w:r>
      <w:r>
        <w:t xml:space="preserve">, portador da Matrícula Funcional nº XXXXXX, doravante denominado CONTRATANTE, e o(a) </w:t>
      </w:r>
      <w:r>
        <w:rPr>
          <w:color w:val="000000"/>
        </w:rPr>
        <w:t>XXXXXXXXXXXX, inscrito(a) no CNPJ/MF sob o nº</w:t>
      </w:r>
      <w:r>
        <w:rPr>
          <w:i/>
          <w:color w:val="FF0000"/>
        </w:rPr>
        <w:t xml:space="preserve"> </w:t>
      </w:r>
      <w:r>
        <w:rPr>
          <w:color w:val="000000"/>
        </w:rPr>
        <w:t>XXXXXXXXX,</w:t>
      </w:r>
      <w:r>
        <w:rPr>
          <w:i/>
          <w:color w:val="000000"/>
        </w:rPr>
        <w:t xml:space="preserve"> </w:t>
      </w:r>
      <w:r>
        <w:rPr>
          <w:color w:val="000000"/>
        </w:rPr>
        <w:t>sediado(a) na XXXXXXXXXXXXXX</w:t>
      </w:r>
      <w:r>
        <w:t xml:space="preserve">, doravante designado CONTRATADO, </w:t>
      </w:r>
      <w:r>
        <w:rPr>
          <w:color w:val="000000"/>
        </w:rPr>
        <w:t xml:space="preserve">neste ato representado(a) por </w:t>
      </w:r>
      <w:r>
        <w:t>XXXXXXXXXXXX (nome e função no contratado), conforme atos constitutivos da empresa</w:t>
      </w:r>
      <w:r>
        <w:rPr>
          <w:i/>
        </w:rPr>
        <w:t xml:space="preserve"> </w:t>
      </w:r>
      <w:r>
        <w:rPr>
          <w:b/>
          <w:i/>
        </w:rPr>
        <w:t>OU</w:t>
      </w:r>
      <w:r>
        <w:rPr>
          <w:i/>
        </w:rPr>
        <w:t xml:space="preserve"> </w:t>
      </w:r>
      <w:r>
        <w:t xml:space="preserve">procuração apresentada nos autos, tendo em vista o que consta no Processo nº XXXX e em observância às disposições da </w:t>
      </w:r>
      <w:r>
        <w:fldChar w:fldCharType="begin"/>
      </w:r>
      <w:r>
        <w:instrText xml:space="preserve"> HYPERLINK "http://www.planalto.gov.br/ccivil_03/_ato2019-2022/2021/lei/L14133.htm" \h </w:instrText>
      </w:r>
      <w:r>
        <w:fldChar w:fldCharType="separate"/>
      </w:r>
      <w:r>
        <w:t>Lei nº 14.133, de 1º de abril de 2021</w:t>
      </w:r>
      <w:r>
        <w:fldChar w:fldCharType="end"/>
      </w:r>
      <w:r>
        <w:t xml:space="preserve">, e demais legislação aplicável, resolvem celebrar o presente Termo de Contrato, decorrente </w:t>
      </w:r>
      <w:r>
        <w:rPr>
          <w:color w:val="000000"/>
        </w:rPr>
        <w:t>do</w:t>
      </w:r>
      <w:r>
        <w:t xml:space="preserve"> </w:t>
      </w:r>
      <w:r>
        <w:rPr>
          <w:b/>
          <w:color w:val="000000"/>
        </w:rPr>
        <w:t xml:space="preserve">Pregão Eletrônico nº XX/2024 </w:t>
      </w:r>
      <w:r>
        <w:t xml:space="preserve">Edital nº XX/2024 e Processo Administrativo 003/2024, Tipo </w:t>
      </w:r>
      <w:r>
        <w:rPr>
          <w:b/>
        </w:rPr>
        <w:t xml:space="preserve">  MENOR PREÇO POR ITEM</w:t>
      </w:r>
      <w:r>
        <w:t>, bem como mediante as cláusulas e condições a seguir ajustadas:</w:t>
      </w:r>
    </w:p>
    <w:p w14:paraId="3ED2A74D">
      <w:pPr>
        <w:ind w:left="-567" w:right="-852"/>
        <w:jc w:val="both"/>
      </w:pPr>
    </w:p>
    <w:p w14:paraId="19DE8974">
      <w:pPr>
        <w:ind w:left="-567" w:right="-852"/>
        <w:jc w:val="both"/>
        <w:rPr>
          <w:b/>
        </w:rPr>
      </w:pPr>
      <w:r>
        <w:rPr>
          <w:b/>
        </w:rPr>
        <w:t>CLÁUSULA PRIMEIRA - DO OBJETO</w:t>
      </w:r>
    </w:p>
    <w:p w14:paraId="77BA5C98">
      <w:pPr>
        <w:ind w:left="-567" w:right="-852"/>
        <w:jc w:val="both"/>
        <w:rPr>
          <w:b/>
        </w:rPr>
      </w:pPr>
    </w:p>
    <w:p w14:paraId="5EF5D69C">
      <w:pPr>
        <w:pBdr>
          <w:top w:val="none" w:color="auto" w:sz="0" w:space="0"/>
          <w:left w:val="none" w:color="auto" w:sz="0" w:space="0"/>
          <w:bottom w:val="none" w:color="auto" w:sz="0" w:space="0"/>
          <w:right w:val="none" w:color="auto" w:sz="0" w:space="0"/>
          <w:between w:val="none" w:color="auto" w:sz="0" w:space="0"/>
        </w:pBdr>
        <w:ind w:left="-567" w:right="-852"/>
        <w:jc w:val="both"/>
        <w:rPr>
          <w:color w:val="000000"/>
        </w:rPr>
      </w:pPr>
      <w:r>
        <w:rPr>
          <w:color w:val="000000"/>
        </w:rPr>
        <w:t>1.1. Este Contrato tem como objeto Contratação de empresa para fornecimento de XXXXXXXXXXXXXXXXXXXXXXXXXXXX, nas quantidades estimadas nos Anexos deste Contrato e Termo de Referência.</w:t>
      </w:r>
    </w:p>
    <w:p w14:paraId="4B64B085">
      <w:pPr>
        <w:pBdr>
          <w:top w:val="none" w:color="auto" w:sz="0" w:space="0"/>
          <w:left w:val="none" w:color="auto" w:sz="0" w:space="0"/>
          <w:bottom w:val="none" w:color="auto" w:sz="0" w:space="0"/>
          <w:right w:val="none" w:color="auto" w:sz="0" w:space="0"/>
          <w:between w:val="none" w:color="auto" w:sz="0" w:space="0"/>
        </w:pBdr>
        <w:spacing w:after="288"/>
        <w:ind w:left="-567" w:right="-852"/>
        <w:jc w:val="both"/>
        <w:rPr>
          <w:color w:val="000000"/>
        </w:rPr>
      </w:pPr>
      <w:r>
        <w:rPr>
          <w:color w:val="000000"/>
        </w:rPr>
        <w:t>1.2.</w:t>
      </w:r>
      <w:r>
        <w:rPr>
          <w:b/>
          <w:color w:val="000000"/>
        </w:rPr>
        <w:t xml:space="preserve"> </w:t>
      </w:r>
      <w:r>
        <w:rPr>
          <w:color w:val="000000"/>
        </w:rPr>
        <w:t>Objeto da contratação:</w:t>
      </w:r>
    </w:p>
    <w:tbl>
      <w:tblPr>
        <w:tblStyle w:val="9"/>
        <w:tblW w:w="9782" w:type="dxa"/>
        <w:tblInd w:w="-431" w:type="dxa"/>
        <w:tblLayout w:type="fixed"/>
        <w:tblCellMar>
          <w:top w:w="0" w:type="dxa"/>
          <w:left w:w="108" w:type="dxa"/>
          <w:bottom w:w="0" w:type="dxa"/>
          <w:right w:w="108" w:type="dxa"/>
        </w:tblCellMar>
      </w:tblPr>
      <w:tblGrid>
        <w:gridCol w:w="852"/>
        <w:gridCol w:w="2268"/>
        <w:gridCol w:w="2126"/>
        <w:gridCol w:w="2268"/>
        <w:gridCol w:w="2268"/>
      </w:tblGrid>
      <w:tr w14:paraId="17ACA0F9">
        <w:tblPrEx>
          <w:tblCellMar>
            <w:top w:w="0" w:type="dxa"/>
            <w:left w:w="108" w:type="dxa"/>
            <w:bottom w:w="0" w:type="dxa"/>
            <w:right w:w="108" w:type="dxa"/>
          </w:tblCellMar>
        </w:tblPrEx>
        <w:trPr>
          <w:trHeight w:val="512" w:hRule="atLeast"/>
        </w:trPr>
        <w:tc>
          <w:tcPr>
            <w:tcW w:w="852" w:type="dxa"/>
            <w:tcBorders>
              <w:top w:val="single" w:color="000000" w:sz="4" w:space="0"/>
              <w:left w:val="single" w:color="000000" w:sz="4" w:space="0"/>
              <w:bottom w:val="single" w:color="000000" w:sz="4" w:space="0"/>
              <w:right w:val="single" w:color="000000" w:sz="4" w:space="0"/>
            </w:tcBorders>
          </w:tcPr>
          <w:p w14:paraId="02AED1CD">
            <w:pPr>
              <w:widowControl w:val="0"/>
              <w:spacing w:after="288"/>
              <w:jc w:val="center"/>
              <w:rPr>
                <w:b/>
                <w:color w:val="000000"/>
              </w:rPr>
            </w:pPr>
            <w:r>
              <w:rPr>
                <w:b/>
                <w:color w:val="000000"/>
              </w:rPr>
              <w:t>ITEM</w:t>
            </w:r>
          </w:p>
        </w:tc>
        <w:tc>
          <w:tcPr>
            <w:tcW w:w="2268" w:type="dxa"/>
            <w:tcBorders>
              <w:top w:val="single" w:color="000000" w:sz="4" w:space="0"/>
              <w:left w:val="single" w:color="000000" w:sz="4" w:space="0"/>
              <w:bottom w:val="single" w:color="000000" w:sz="4" w:space="0"/>
              <w:right w:val="single" w:color="000000" w:sz="4" w:space="0"/>
            </w:tcBorders>
          </w:tcPr>
          <w:p w14:paraId="2D938C10">
            <w:pPr>
              <w:widowControl w:val="0"/>
              <w:spacing w:after="288"/>
              <w:jc w:val="center"/>
              <w:rPr>
                <w:color w:val="000000"/>
              </w:rPr>
            </w:pPr>
            <w:r>
              <w:rPr>
                <w:b/>
                <w:color w:val="000000"/>
              </w:rPr>
              <w:t>ESPECIFICAÇÃO</w:t>
            </w:r>
          </w:p>
        </w:tc>
        <w:tc>
          <w:tcPr>
            <w:tcW w:w="2126" w:type="dxa"/>
            <w:tcBorders>
              <w:top w:val="single" w:color="000000" w:sz="4" w:space="0"/>
              <w:left w:val="single" w:color="000000" w:sz="4" w:space="0"/>
              <w:bottom w:val="single" w:color="000000" w:sz="4" w:space="0"/>
              <w:right w:val="single" w:color="000000" w:sz="4" w:space="0"/>
            </w:tcBorders>
          </w:tcPr>
          <w:p w14:paraId="7F99D25A">
            <w:pPr>
              <w:widowControl w:val="0"/>
              <w:spacing w:after="288"/>
              <w:jc w:val="center"/>
              <w:rPr>
                <w:b/>
              </w:rPr>
            </w:pPr>
            <w:r>
              <w:rPr>
                <w:b/>
              </w:rPr>
              <w:t>QUANTIDADE</w:t>
            </w:r>
          </w:p>
        </w:tc>
        <w:tc>
          <w:tcPr>
            <w:tcW w:w="2268" w:type="dxa"/>
            <w:tcBorders>
              <w:top w:val="single" w:color="000000" w:sz="4" w:space="0"/>
              <w:left w:val="single" w:color="000000" w:sz="4" w:space="0"/>
              <w:bottom w:val="single" w:color="000000" w:sz="4" w:space="0"/>
              <w:right w:val="single" w:color="000000" w:sz="4" w:space="0"/>
            </w:tcBorders>
          </w:tcPr>
          <w:p w14:paraId="0DB0AEE2">
            <w:pPr>
              <w:widowControl w:val="0"/>
              <w:spacing w:after="288"/>
              <w:jc w:val="center"/>
              <w:rPr>
                <w:b/>
              </w:rPr>
            </w:pPr>
            <w:r>
              <w:rPr>
                <w:b/>
              </w:rPr>
              <w:t>VALOR UNITÁRIO</w:t>
            </w:r>
          </w:p>
        </w:tc>
        <w:tc>
          <w:tcPr>
            <w:tcW w:w="2268" w:type="dxa"/>
            <w:tcBorders>
              <w:top w:val="single" w:color="000000" w:sz="4" w:space="0"/>
              <w:left w:val="single" w:color="000000" w:sz="4" w:space="0"/>
              <w:bottom w:val="single" w:color="000000" w:sz="4" w:space="0"/>
              <w:right w:val="single" w:color="000000" w:sz="4" w:space="0"/>
            </w:tcBorders>
          </w:tcPr>
          <w:p w14:paraId="6DFF5736">
            <w:pPr>
              <w:widowControl w:val="0"/>
              <w:spacing w:after="288"/>
              <w:jc w:val="center"/>
              <w:rPr>
                <w:b/>
              </w:rPr>
            </w:pPr>
            <w:r>
              <w:rPr>
                <w:b/>
              </w:rPr>
              <w:t>VALOR TOTAL</w:t>
            </w:r>
          </w:p>
        </w:tc>
      </w:tr>
      <w:tr w14:paraId="45486EFE">
        <w:tblPrEx>
          <w:tblCellMar>
            <w:top w:w="0" w:type="dxa"/>
            <w:left w:w="108" w:type="dxa"/>
            <w:bottom w:w="0" w:type="dxa"/>
            <w:right w:w="108" w:type="dxa"/>
          </w:tblCellMar>
        </w:tblPrEx>
        <w:tc>
          <w:tcPr>
            <w:tcW w:w="852" w:type="dxa"/>
            <w:tcBorders>
              <w:top w:val="single" w:color="000000" w:sz="4" w:space="0"/>
              <w:left w:val="single" w:color="000000" w:sz="4" w:space="0"/>
              <w:bottom w:val="single" w:color="000000" w:sz="4" w:space="0"/>
              <w:right w:val="single" w:color="000000" w:sz="4" w:space="0"/>
            </w:tcBorders>
          </w:tcPr>
          <w:p w14:paraId="45735127">
            <w:pPr>
              <w:widowControl w:val="0"/>
              <w:spacing w:after="288"/>
              <w:jc w:val="center"/>
              <w:rPr>
                <w:b/>
                <w:color w:val="000000"/>
              </w:rPr>
            </w:pPr>
            <w:r>
              <w:rPr>
                <w:b/>
                <w:color w:val="000000"/>
              </w:rPr>
              <w:t>1</w:t>
            </w:r>
          </w:p>
        </w:tc>
        <w:tc>
          <w:tcPr>
            <w:tcW w:w="2268" w:type="dxa"/>
            <w:tcBorders>
              <w:top w:val="single" w:color="000000" w:sz="4" w:space="0"/>
              <w:left w:val="single" w:color="000000" w:sz="4" w:space="0"/>
              <w:bottom w:val="single" w:color="000000" w:sz="4" w:space="0"/>
              <w:right w:val="single" w:color="000000" w:sz="4" w:space="0"/>
            </w:tcBorders>
          </w:tcPr>
          <w:p w14:paraId="3B97BA21">
            <w:pPr>
              <w:widowControl w:val="0"/>
              <w:spacing w:after="288"/>
              <w:rPr>
                <w:color w:val="000000"/>
              </w:rPr>
            </w:pPr>
          </w:p>
        </w:tc>
        <w:tc>
          <w:tcPr>
            <w:tcW w:w="2126" w:type="dxa"/>
            <w:tcBorders>
              <w:top w:val="single" w:color="000000" w:sz="4" w:space="0"/>
              <w:left w:val="single" w:color="000000" w:sz="4" w:space="0"/>
              <w:bottom w:val="single" w:color="000000" w:sz="4" w:space="0"/>
              <w:right w:val="single" w:color="000000" w:sz="4" w:space="0"/>
            </w:tcBorders>
          </w:tcPr>
          <w:p w14:paraId="46159D67">
            <w:pPr>
              <w:widowControl w:val="0"/>
              <w:spacing w:after="288"/>
              <w:rPr>
                <w:color w:val="000000"/>
              </w:rPr>
            </w:pPr>
          </w:p>
        </w:tc>
        <w:tc>
          <w:tcPr>
            <w:tcW w:w="2268" w:type="dxa"/>
            <w:tcBorders>
              <w:top w:val="single" w:color="000000" w:sz="4" w:space="0"/>
              <w:left w:val="single" w:color="000000" w:sz="4" w:space="0"/>
              <w:bottom w:val="single" w:color="000000" w:sz="4" w:space="0"/>
              <w:right w:val="single" w:color="000000" w:sz="4" w:space="0"/>
            </w:tcBorders>
          </w:tcPr>
          <w:p w14:paraId="527FBF22">
            <w:pPr>
              <w:widowControl w:val="0"/>
              <w:spacing w:after="288"/>
              <w:rPr>
                <w:color w:val="000000"/>
              </w:rPr>
            </w:pPr>
          </w:p>
        </w:tc>
        <w:tc>
          <w:tcPr>
            <w:tcW w:w="2268" w:type="dxa"/>
            <w:tcBorders>
              <w:top w:val="single" w:color="000000" w:sz="4" w:space="0"/>
              <w:left w:val="single" w:color="000000" w:sz="4" w:space="0"/>
              <w:bottom w:val="single" w:color="000000" w:sz="4" w:space="0"/>
              <w:right w:val="single" w:color="000000" w:sz="4" w:space="0"/>
            </w:tcBorders>
          </w:tcPr>
          <w:p w14:paraId="0CBDDD34">
            <w:pPr>
              <w:widowControl w:val="0"/>
              <w:spacing w:after="288"/>
              <w:rPr>
                <w:color w:val="000000"/>
              </w:rPr>
            </w:pPr>
          </w:p>
        </w:tc>
      </w:tr>
      <w:tr w14:paraId="3EB0693B">
        <w:tblPrEx>
          <w:tblCellMar>
            <w:top w:w="0" w:type="dxa"/>
            <w:left w:w="108" w:type="dxa"/>
            <w:bottom w:w="0" w:type="dxa"/>
            <w:right w:w="108" w:type="dxa"/>
          </w:tblCellMar>
        </w:tblPrEx>
        <w:tc>
          <w:tcPr>
            <w:tcW w:w="852" w:type="dxa"/>
            <w:tcBorders>
              <w:top w:val="single" w:color="000000" w:sz="4" w:space="0"/>
              <w:left w:val="single" w:color="000000" w:sz="4" w:space="0"/>
              <w:bottom w:val="single" w:color="000000" w:sz="4" w:space="0"/>
              <w:right w:val="single" w:color="000000" w:sz="4" w:space="0"/>
            </w:tcBorders>
          </w:tcPr>
          <w:p w14:paraId="0123ACB2">
            <w:pPr>
              <w:widowControl w:val="0"/>
              <w:spacing w:after="288"/>
              <w:jc w:val="center"/>
              <w:rPr>
                <w:b/>
                <w:color w:val="000000"/>
              </w:rPr>
            </w:pPr>
            <w:r>
              <w:rPr>
                <w:b/>
                <w:color w:val="000000"/>
              </w:rPr>
              <w:t>2</w:t>
            </w:r>
          </w:p>
        </w:tc>
        <w:tc>
          <w:tcPr>
            <w:tcW w:w="2268" w:type="dxa"/>
            <w:tcBorders>
              <w:top w:val="single" w:color="000000" w:sz="4" w:space="0"/>
              <w:left w:val="single" w:color="000000" w:sz="4" w:space="0"/>
              <w:bottom w:val="single" w:color="000000" w:sz="4" w:space="0"/>
              <w:right w:val="single" w:color="000000" w:sz="4" w:space="0"/>
            </w:tcBorders>
          </w:tcPr>
          <w:p w14:paraId="53227293">
            <w:pPr>
              <w:widowControl w:val="0"/>
              <w:spacing w:after="288"/>
              <w:rPr>
                <w:color w:val="000000"/>
              </w:rPr>
            </w:pPr>
          </w:p>
        </w:tc>
        <w:tc>
          <w:tcPr>
            <w:tcW w:w="2126" w:type="dxa"/>
            <w:tcBorders>
              <w:top w:val="single" w:color="000000" w:sz="4" w:space="0"/>
              <w:left w:val="single" w:color="000000" w:sz="4" w:space="0"/>
              <w:bottom w:val="single" w:color="000000" w:sz="4" w:space="0"/>
              <w:right w:val="single" w:color="000000" w:sz="4" w:space="0"/>
            </w:tcBorders>
          </w:tcPr>
          <w:p w14:paraId="687CAC90">
            <w:pPr>
              <w:widowControl w:val="0"/>
              <w:spacing w:after="288"/>
              <w:rPr>
                <w:color w:val="000000"/>
              </w:rPr>
            </w:pPr>
          </w:p>
        </w:tc>
        <w:tc>
          <w:tcPr>
            <w:tcW w:w="2268" w:type="dxa"/>
            <w:tcBorders>
              <w:top w:val="single" w:color="000000" w:sz="4" w:space="0"/>
              <w:left w:val="single" w:color="000000" w:sz="4" w:space="0"/>
              <w:bottom w:val="single" w:color="000000" w:sz="4" w:space="0"/>
              <w:right w:val="single" w:color="000000" w:sz="4" w:space="0"/>
            </w:tcBorders>
          </w:tcPr>
          <w:p w14:paraId="1B72C375">
            <w:pPr>
              <w:widowControl w:val="0"/>
              <w:spacing w:after="288"/>
              <w:rPr>
                <w:color w:val="000000"/>
              </w:rPr>
            </w:pPr>
          </w:p>
        </w:tc>
        <w:tc>
          <w:tcPr>
            <w:tcW w:w="2268" w:type="dxa"/>
            <w:tcBorders>
              <w:top w:val="single" w:color="000000" w:sz="4" w:space="0"/>
              <w:left w:val="single" w:color="000000" w:sz="4" w:space="0"/>
              <w:bottom w:val="single" w:color="000000" w:sz="4" w:space="0"/>
              <w:right w:val="single" w:color="000000" w:sz="4" w:space="0"/>
            </w:tcBorders>
          </w:tcPr>
          <w:p w14:paraId="3B7CBCB6">
            <w:pPr>
              <w:widowControl w:val="0"/>
              <w:spacing w:after="288"/>
              <w:rPr>
                <w:color w:val="000000"/>
              </w:rPr>
            </w:pPr>
          </w:p>
        </w:tc>
      </w:tr>
      <w:tr w14:paraId="16BAF957">
        <w:tblPrEx>
          <w:tblCellMar>
            <w:top w:w="0" w:type="dxa"/>
            <w:left w:w="108" w:type="dxa"/>
            <w:bottom w:w="0" w:type="dxa"/>
            <w:right w:w="108" w:type="dxa"/>
          </w:tblCellMar>
        </w:tblPrEx>
        <w:trPr>
          <w:trHeight w:val="259" w:hRule="atLeast"/>
        </w:trPr>
        <w:tc>
          <w:tcPr>
            <w:tcW w:w="852" w:type="dxa"/>
            <w:tcBorders>
              <w:top w:val="single" w:color="000000" w:sz="4" w:space="0"/>
              <w:left w:val="single" w:color="000000" w:sz="4" w:space="0"/>
              <w:bottom w:val="single" w:color="000000" w:sz="4" w:space="0"/>
              <w:right w:val="single" w:color="000000" w:sz="4" w:space="0"/>
            </w:tcBorders>
          </w:tcPr>
          <w:p w14:paraId="25936640">
            <w:pPr>
              <w:widowControl w:val="0"/>
              <w:spacing w:after="288"/>
              <w:jc w:val="center"/>
              <w:rPr>
                <w:b/>
                <w:color w:val="000000"/>
              </w:rPr>
            </w:pPr>
            <w:r>
              <w:rPr>
                <w:b/>
                <w:color w:val="000000"/>
              </w:rPr>
              <w:t>3</w:t>
            </w:r>
          </w:p>
        </w:tc>
        <w:tc>
          <w:tcPr>
            <w:tcW w:w="2268" w:type="dxa"/>
            <w:tcBorders>
              <w:top w:val="single" w:color="000000" w:sz="4" w:space="0"/>
              <w:left w:val="single" w:color="000000" w:sz="4" w:space="0"/>
              <w:bottom w:val="single" w:color="000000" w:sz="4" w:space="0"/>
              <w:right w:val="single" w:color="000000" w:sz="4" w:space="0"/>
            </w:tcBorders>
          </w:tcPr>
          <w:p w14:paraId="0670694B">
            <w:pPr>
              <w:widowControl w:val="0"/>
              <w:spacing w:after="288"/>
              <w:rPr>
                <w:color w:val="000000"/>
              </w:rPr>
            </w:pPr>
          </w:p>
        </w:tc>
        <w:tc>
          <w:tcPr>
            <w:tcW w:w="2126" w:type="dxa"/>
            <w:tcBorders>
              <w:top w:val="single" w:color="000000" w:sz="4" w:space="0"/>
              <w:left w:val="single" w:color="000000" w:sz="4" w:space="0"/>
              <w:bottom w:val="single" w:color="000000" w:sz="4" w:space="0"/>
              <w:right w:val="single" w:color="000000" w:sz="4" w:space="0"/>
            </w:tcBorders>
          </w:tcPr>
          <w:p w14:paraId="02F0B314">
            <w:pPr>
              <w:widowControl w:val="0"/>
              <w:spacing w:after="288"/>
              <w:rPr>
                <w:color w:val="000000"/>
              </w:rPr>
            </w:pPr>
          </w:p>
        </w:tc>
        <w:tc>
          <w:tcPr>
            <w:tcW w:w="2268" w:type="dxa"/>
            <w:tcBorders>
              <w:top w:val="single" w:color="000000" w:sz="4" w:space="0"/>
              <w:left w:val="single" w:color="000000" w:sz="4" w:space="0"/>
              <w:bottom w:val="single" w:color="000000" w:sz="4" w:space="0"/>
              <w:right w:val="single" w:color="000000" w:sz="4" w:space="0"/>
            </w:tcBorders>
          </w:tcPr>
          <w:p w14:paraId="4BF95C29">
            <w:pPr>
              <w:widowControl w:val="0"/>
              <w:spacing w:after="288"/>
              <w:rPr>
                <w:color w:val="000000"/>
              </w:rPr>
            </w:pPr>
          </w:p>
        </w:tc>
        <w:tc>
          <w:tcPr>
            <w:tcW w:w="2268" w:type="dxa"/>
            <w:tcBorders>
              <w:top w:val="single" w:color="000000" w:sz="4" w:space="0"/>
              <w:left w:val="single" w:color="000000" w:sz="4" w:space="0"/>
              <w:bottom w:val="single" w:color="000000" w:sz="4" w:space="0"/>
              <w:right w:val="single" w:color="000000" w:sz="4" w:space="0"/>
            </w:tcBorders>
          </w:tcPr>
          <w:p w14:paraId="4A65A39F">
            <w:pPr>
              <w:widowControl w:val="0"/>
              <w:spacing w:after="288"/>
              <w:rPr>
                <w:color w:val="000000"/>
              </w:rPr>
            </w:pPr>
          </w:p>
        </w:tc>
      </w:tr>
      <w:tr w14:paraId="167FFD39">
        <w:tblPrEx>
          <w:tblCellMar>
            <w:top w:w="0" w:type="dxa"/>
            <w:left w:w="108" w:type="dxa"/>
            <w:bottom w:w="0" w:type="dxa"/>
            <w:right w:w="108" w:type="dxa"/>
          </w:tblCellMar>
        </w:tblPrEx>
        <w:tc>
          <w:tcPr>
            <w:tcW w:w="852" w:type="dxa"/>
            <w:tcBorders>
              <w:top w:val="single" w:color="000000" w:sz="4" w:space="0"/>
              <w:left w:val="single" w:color="000000" w:sz="4" w:space="0"/>
              <w:bottom w:val="single" w:color="000000" w:sz="4" w:space="0"/>
              <w:right w:val="single" w:color="000000" w:sz="4" w:space="0"/>
            </w:tcBorders>
          </w:tcPr>
          <w:p w14:paraId="168CBC0C">
            <w:pPr>
              <w:widowControl w:val="0"/>
              <w:spacing w:after="288"/>
              <w:jc w:val="center"/>
              <w:rPr>
                <w:b/>
                <w:color w:val="000000"/>
              </w:rPr>
            </w:pPr>
            <w:r>
              <w:rPr>
                <w:b/>
                <w:color w:val="000000"/>
              </w:rPr>
              <w:t>...</w:t>
            </w:r>
          </w:p>
        </w:tc>
        <w:tc>
          <w:tcPr>
            <w:tcW w:w="2268" w:type="dxa"/>
            <w:tcBorders>
              <w:top w:val="single" w:color="000000" w:sz="4" w:space="0"/>
              <w:left w:val="single" w:color="000000" w:sz="4" w:space="0"/>
              <w:bottom w:val="single" w:color="000000" w:sz="4" w:space="0"/>
              <w:right w:val="single" w:color="000000" w:sz="4" w:space="0"/>
            </w:tcBorders>
          </w:tcPr>
          <w:p w14:paraId="1BD24F13">
            <w:pPr>
              <w:widowControl w:val="0"/>
              <w:spacing w:after="288"/>
              <w:jc w:val="center"/>
            </w:pPr>
          </w:p>
        </w:tc>
        <w:tc>
          <w:tcPr>
            <w:tcW w:w="2126" w:type="dxa"/>
            <w:tcBorders>
              <w:top w:val="single" w:color="000000" w:sz="4" w:space="0"/>
              <w:left w:val="single" w:color="000000" w:sz="4" w:space="0"/>
              <w:bottom w:val="single" w:color="000000" w:sz="4" w:space="0"/>
              <w:right w:val="single" w:color="000000" w:sz="4" w:space="0"/>
            </w:tcBorders>
          </w:tcPr>
          <w:p w14:paraId="56EA2A0F">
            <w:pPr>
              <w:widowControl w:val="0"/>
              <w:spacing w:after="288"/>
              <w:rPr>
                <w:color w:val="000000"/>
              </w:rPr>
            </w:pPr>
          </w:p>
        </w:tc>
        <w:tc>
          <w:tcPr>
            <w:tcW w:w="2268" w:type="dxa"/>
            <w:tcBorders>
              <w:top w:val="single" w:color="000000" w:sz="4" w:space="0"/>
              <w:left w:val="single" w:color="000000" w:sz="4" w:space="0"/>
              <w:bottom w:val="single" w:color="000000" w:sz="4" w:space="0"/>
              <w:right w:val="single" w:color="000000" w:sz="4" w:space="0"/>
            </w:tcBorders>
          </w:tcPr>
          <w:p w14:paraId="4E14778F">
            <w:pPr>
              <w:widowControl w:val="0"/>
              <w:spacing w:after="288"/>
              <w:rPr>
                <w:color w:val="000000"/>
              </w:rPr>
            </w:pPr>
          </w:p>
        </w:tc>
        <w:tc>
          <w:tcPr>
            <w:tcW w:w="2268" w:type="dxa"/>
            <w:tcBorders>
              <w:top w:val="single" w:color="000000" w:sz="4" w:space="0"/>
              <w:left w:val="single" w:color="000000" w:sz="4" w:space="0"/>
              <w:bottom w:val="single" w:color="000000" w:sz="4" w:space="0"/>
              <w:right w:val="single" w:color="000000" w:sz="4" w:space="0"/>
            </w:tcBorders>
          </w:tcPr>
          <w:p w14:paraId="166D3C65">
            <w:pPr>
              <w:widowControl w:val="0"/>
              <w:spacing w:after="288"/>
              <w:rPr>
                <w:color w:val="000000"/>
              </w:rPr>
            </w:pPr>
          </w:p>
        </w:tc>
      </w:tr>
    </w:tbl>
    <w:p w14:paraId="26AD0831">
      <w:pPr>
        <w:numPr>
          <w:ilvl w:val="1"/>
          <w:numId w:val="12"/>
        </w:numPr>
        <w:pBdr>
          <w:top w:val="none" w:color="auto" w:sz="0" w:space="0"/>
          <w:left w:val="none" w:color="auto" w:sz="0" w:space="0"/>
          <w:bottom w:val="none" w:color="auto" w:sz="0" w:space="0"/>
          <w:right w:val="none" w:color="auto" w:sz="0" w:space="0"/>
          <w:between w:val="none" w:color="auto" w:sz="0" w:space="0"/>
        </w:pBdr>
        <w:spacing w:after="288"/>
        <w:ind w:left="284" w:right="-852"/>
        <w:jc w:val="both"/>
        <w:rPr>
          <w:color w:val="000000"/>
        </w:rPr>
      </w:pPr>
      <w:r>
        <w:rPr>
          <w:color w:val="000000"/>
        </w:rPr>
        <w:t>Vinculam esta contratação, independentemente de transcrição:</w:t>
      </w:r>
    </w:p>
    <w:p w14:paraId="5132F7D8">
      <w:pPr>
        <w:numPr>
          <w:ilvl w:val="2"/>
          <w:numId w:val="12"/>
        </w:numPr>
        <w:pBdr>
          <w:top w:val="none" w:color="auto" w:sz="0" w:space="0"/>
          <w:left w:val="none" w:color="auto" w:sz="0" w:space="0"/>
          <w:bottom w:val="none" w:color="auto" w:sz="0" w:space="0"/>
          <w:right w:val="none" w:color="auto" w:sz="0" w:space="0"/>
          <w:between w:val="none" w:color="auto" w:sz="0" w:space="0"/>
        </w:pBdr>
        <w:spacing w:after="288"/>
        <w:ind w:left="284" w:right="-852" w:hanging="283"/>
        <w:jc w:val="both"/>
        <w:rPr>
          <w:color w:val="000000"/>
        </w:rPr>
      </w:pPr>
      <w:r>
        <w:rPr>
          <w:color w:val="000000"/>
        </w:rPr>
        <w:t>O Termo de Referência;</w:t>
      </w:r>
    </w:p>
    <w:p w14:paraId="6EB52C16">
      <w:pPr>
        <w:numPr>
          <w:ilvl w:val="2"/>
          <w:numId w:val="12"/>
        </w:numPr>
        <w:pBdr>
          <w:top w:val="none" w:color="auto" w:sz="0" w:space="0"/>
          <w:left w:val="none" w:color="auto" w:sz="0" w:space="0"/>
          <w:bottom w:val="none" w:color="auto" w:sz="0" w:space="0"/>
          <w:right w:val="none" w:color="auto" w:sz="0" w:space="0"/>
          <w:between w:val="none" w:color="auto" w:sz="0" w:space="0"/>
        </w:pBdr>
        <w:spacing w:after="288"/>
        <w:ind w:left="284" w:right="-852" w:hanging="283"/>
        <w:jc w:val="both"/>
        <w:rPr>
          <w:color w:val="000000"/>
        </w:rPr>
      </w:pPr>
      <w:r>
        <w:rPr>
          <w:color w:val="000000"/>
        </w:rPr>
        <w:t>O Edital da Licitação;</w:t>
      </w:r>
    </w:p>
    <w:p w14:paraId="59CEA309">
      <w:pPr>
        <w:numPr>
          <w:ilvl w:val="2"/>
          <w:numId w:val="12"/>
        </w:numPr>
        <w:pBdr>
          <w:top w:val="none" w:color="auto" w:sz="0" w:space="0"/>
          <w:left w:val="none" w:color="auto" w:sz="0" w:space="0"/>
          <w:bottom w:val="none" w:color="auto" w:sz="0" w:space="0"/>
          <w:right w:val="none" w:color="auto" w:sz="0" w:space="0"/>
          <w:between w:val="none" w:color="auto" w:sz="0" w:space="0"/>
        </w:pBdr>
        <w:spacing w:after="288"/>
        <w:ind w:left="284" w:right="-852" w:hanging="283"/>
        <w:jc w:val="both"/>
        <w:rPr>
          <w:color w:val="000000"/>
        </w:rPr>
      </w:pPr>
      <w:r>
        <w:rPr>
          <w:color w:val="000000"/>
        </w:rPr>
        <w:t>A Proposta do contratado;</w:t>
      </w:r>
    </w:p>
    <w:p w14:paraId="69B7B95B">
      <w:pPr>
        <w:numPr>
          <w:ilvl w:val="2"/>
          <w:numId w:val="12"/>
        </w:numPr>
        <w:pBdr>
          <w:top w:val="none" w:color="auto" w:sz="0" w:space="0"/>
          <w:left w:val="none" w:color="auto" w:sz="0" w:space="0"/>
          <w:bottom w:val="none" w:color="auto" w:sz="0" w:space="0"/>
          <w:right w:val="none" w:color="auto" w:sz="0" w:space="0"/>
          <w:between w:val="none" w:color="auto" w:sz="0" w:space="0"/>
        </w:pBdr>
        <w:spacing w:after="288"/>
        <w:ind w:left="284" w:right="-852" w:hanging="283"/>
        <w:jc w:val="both"/>
        <w:rPr>
          <w:color w:val="000000"/>
        </w:rPr>
      </w:pPr>
      <w:r>
        <w:rPr>
          <w:color w:val="000000"/>
        </w:rPr>
        <w:t>Eventuais anexos dos documentos supracitados.</w:t>
      </w:r>
    </w:p>
    <w:p w14:paraId="13EA5F4B">
      <w:pPr>
        <w:numPr>
          <w:ilvl w:val="0"/>
          <w:numId w:val="12"/>
        </w:numPr>
        <w:pBdr>
          <w:top w:val="none" w:color="auto" w:sz="0" w:space="0"/>
          <w:left w:val="none" w:color="auto" w:sz="0" w:space="0"/>
          <w:bottom w:val="none" w:color="auto" w:sz="0" w:space="0"/>
          <w:right w:val="none" w:color="auto" w:sz="0" w:space="0"/>
          <w:between w:val="none" w:color="auto" w:sz="0" w:space="0"/>
        </w:pBdr>
        <w:ind w:left="284" w:right="-852"/>
        <w:jc w:val="both"/>
        <w:rPr>
          <w:b/>
          <w:color w:val="000000"/>
        </w:rPr>
      </w:pPr>
      <w:r>
        <w:rPr>
          <w:b/>
          <w:color w:val="000000"/>
        </w:rPr>
        <w:t>CLÁUSULA SEGUNDA – VIGÊNCIA E PRORROGAÇÃO</w:t>
      </w:r>
    </w:p>
    <w:p w14:paraId="0CC0F2DD">
      <w:pPr>
        <w:pBdr>
          <w:top w:val="none" w:color="auto" w:sz="0" w:space="0"/>
          <w:left w:val="none" w:color="auto" w:sz="0" w:space="0"/>
          <w:bottom w:val="none" w:color="auto" w:sz="0" w:space="0"/>
          <w:right w:val="none" w:color="auto" w:sz="0" w:space="0"/>
          <w:between w:val="none" w:color="auto" w:sz="0" w:space="0"/>
        </w:pBdr>
        <w:ind w:left="284" w:right="-852"/>
        <w:jc w:val="both"/>
        <w:rPr>
          <w:color w:val="FF0000"/>
          <w:highlight w:val="yellow"/>
        </w:rPr>
      </w:pPr>
    </w:p>
    <w:p w14:paraId="0EB9A661">
      <w:pPr>
        <w:numPr>
          <w:ilvl w:val="1"/>
          <w:numId w:val="13"/>
        </w:numPr>
        <w:pBdr>
          <w:top w:val="none" w:color="auto" w:sz="0" w:space="0"/>
          <w:left w:val="none" w:color="auto" w:sz="0" w:space="0"/>
          <w:bottom w:val="none" w:color="auto" w:sz="0" w:space="0"/>
          <w:right w:val="none" w:color="auto" w:sz="0" w:space="0"/>
          <w:between w:val="none" w:color="auto" w:sz="0" w:space="0"/>
        </w:pBdr>
        <w:spacing w:after="288"/>
        <w:ind w:left="284" w:right="-852"/>
        <w:jc w:val="both"/>
        <w:rPr>
          <w:color w:val="000000"/>
        </w:rPr>
      </w:pPr>
      <w:r>
        <w:rPr>
          <w:color w:val="000000"/>
        </w:rPr>
        <w:t xml:space="preserve">O prazo de vigência da contratação é de XXXX contados do(a) XXXXXXXXXX, na forma do </w:t>
      </w:r>
      <w:r>
        <w:fldChar w:fldCharType="begin"/>
      </w:r>
      <w:r>
        <w:instrText xml:space="preserve"> HYPERLINK "http://www.planalto.gov.br/ccivil_03/_ato2019-2022/2021/lei/L14133.htm" \l "art105" \h </w:instrText>
      </w:r>
      <w:r>
        <w:fldChar w:fldCharType="separate"/>
      </w:r>
      <w:r>
        <w:rPr>
          <w:color w:val="000000"/>
          <w:u w:val="single"/>
        </w:rPr>
        <w:t>artigo 105 da Lei n° 14.133, de 2021</w:t>
      </w:r>
      <w:r>
        <w:rPr>
          <w:color w:val="000000"/>
          <w:u w:val="single"/>
        </w:rPr>
        <w:fldChar w:fldCharType="end"/>
      </w:r>
      <w:r>
        <w:rPr>
          <w:color w:val="000000"/>
        </w:rPr>
        <w:t>.</w:t>
      </w:r>
    </w:p>
    <w:p w14:paraId="38137B08">
      <w:pPr>
        <w:numPr>
          <w:ilvl w:val="2"/>
          <w:numId w:val="13"/>
        </w:numPr>
        <w:pBdr>
          <w:top w:val="none" w:color="auto" w:sz="0" w:space="0"/>
          <w:left w:val="none" w:color="auto" w:sz="0" w:space="0"/>
          <w:bottom w:val="none" w:color="auto" w:sz="0" w:space="0"/>
          <w:right w:val="none" w:color="auto" w:sz="0" w:space="0"/>
          <w:between w:val="none" w:color="auto" w:sz="0" w:space="0"/>
        </w:pBdr>
        <w:spacing w:after="288"/>
        <w:ind w:left="-142" w:right="-852"/>
        <w:jc w:val="both"/>
      </w:pPr>
      <w:r>
        <w:rPr>
          <w:color w:val="000000"/>
        </w:rPr>
        <w:t xml:space="preserve">O prazo de vigência será automaticamente prorrogado, independentemente de termo aditivo, quando o objeto não for concluído no período firmado acima, ressalvadas as providências cabíveis no caso de culpa do contratado, previstas neste instrumento. </w:t>
      </w:r>
    </w:p>
    <w:p w14:paraId="3C4FCB90">
      <w:pPr>
        <w:ind w:left="-142" w:right="-852"/>
        <w:jc w:val="both"/>
        <w:rPr>
          <w:b/>
        </w:rPr>
      </w:pPr>
      <w:r>
        <w:rPr>
          <w:b/>
        </w:rPr>
        <w:t xml:space="preserve">CLÁUSULA TERCEIRA – REGIME DE EXECUÇÃO DOS SERVIÇOS </w:t>
      </w:r>
    </w:p>
    <w:p w14:paraId="1A9D334A">
      <w:pPr>
        <w:ind w:left="-142" w:right="-852"/>
        <w:jc w:val="both"/>
        <w:rPr>
          <w:b/>
        </w:rPr>
      </w:pPr>
    </w:p>
    <w:p w14:paraId="1A6EE644">
      <w:pPr>
        <w:ind w:left="-142" w:right="-852"/>
        <w:jc w:val="both"/>
        <w:rPr>
          <w:color w:val="000000"/>
        </w:rPr>
      </w:pPr>
      <w:r>
        <w:rPr>
          <w:color w:val="000000"/>
        </w:rPr>
        <w:t>3.1. O regime de execução contratual, assim como os prazos e condições de conclusão, entrega, observação e recebimento do objeto constam no Termo de Referência, anexo a este Contrato.</w:t>
      </w:r>
    </w:p>
    <w:p w14:paraId="55FCBC29">
      <w:pPr>
        <w:ind w:left="-142" w:right="-852"/>
        <w:jc w:val="both"/>
        <w:rPr>
          <w:b/>
        </w:rPr>
      </w:pPr>
    </w:p>
    <w:p w14:paraId="4FAB328B">
      <w:pPr>
        <w:ind w:left="-142" w:right="-852"/>
        <w:jc w:val="both"/>
        <w:rPr>
          <w:b/>
        </w:rPr>
      </w:pPr>
      <w:r>
        <w:rPr>
          <w:b/>
        </w:rPr>
        <w:t xml:space="preserve">CLÁUSULA QUARTA – MODELO DE GESTÃO CONTRATUAL </w:t>
      </w:r>
    </w:p>
    <w:p w14:paraId="72FE5FD2">
      <w:pPr>
        <w:ind w:left="-142" w:right="-852"/>
        <w:jc w:val="both"/>
        <w:rPr>
          <w:b/>
        </w:rPr>
      </w:pPr>
    </w:p>
    <w:p w14:paraId="4141F022">
      <w:pPr>
        <w:ind w:left="-142" w:right="-852"/>
        <w:jc w:val="both"/>
      </w:pPr>
      <w:r>
        <w:t>4.1. Os modelos de gestão e de execução constam no Termo de Referência, anexo a este Contrato.</w:t>
      </w:r>
    </w:p>
    <w:p w14:paraId="396FA63B">
      <w:pPr>
        <w:ind w:left="-142" w:right="-852"/>
        <w:jc w:val="both"/>
      </w:pPr>
      <w:r>
        <w:t>4.2. O fiscal do contrato será o servidor XXXXXX, matrícula XXXXX.</w:t>
      </w:r>
    </w:p>
    <w:p w14:paraId="429E27CB">
      <w:pPr>
        <w:ind w:left="-142" w:right="-852"/>
        <w:jc w:val="both"/>
      </w:pPr>
      <w:r>
        <w:t>4.3. O gestor do contrato será o servidor XXXXX, matrícula XXXXX.</w:t>
      </w:r>
    </w:p>
    <w:p w14:paraId="1123D9C1">
      <w:pPr>
        <w:ind w:left="-142" w:right="-852"/>
        <w:jc w:val="both"/>
      </w:pPr>
    </w:p>
    <w:p w14:paraId="644D5DD0">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142" w:right="-852" w:hanging="360"/>
        <w:jc w:val="both"/>
        <w:rPr>
          <w:b/>
          <w:color w:val="FFFFFF"/>
        </w:rPr>
      </w:pPr>
      <w:r>
        <w:rPr>
          <w:b/>
          <w:color w:val="000000"/>
        </w:rPr>
        <w:t>CLÁUSULA QUINTA – SUBCONTRATAÇÃO</w:t>
      </w:r>
    </w:p>
    <w:p w14:paraId="661B73CA">
      <w:pPr>
        <w:numPr>
          <w:ilvl w:val="1"/>
          <w:numId w:val="14"/>
        </w:numPr>
        <w:pBdr>
          <w:top w:val="none" w:color="auto" w:sz="0" w:space="0"/>
          <w:left w:val="none" w:color="auto" w:sz="0" w:space="0"/>
          <w:bottom w:val="none" w:color="auto" w:sz="0" w:space="0"/>
          <w:right w:val="none" w:color="auto" w:sz="0" w:space="0"/>
          <w:between w:val="none" w:color="auto" w:sz="0" w:space="0"/>
        </w:pBdr>
        <w:spacing w:after="288"/>
        <w:ind w:left="-142" w:right="-852"/>
        <w:jc w:val="both"/>
        <w:rPr>
          <w:color w:val="000000"/>
        </w:rPr>
      </w:pPr>
      <w:r>
        <w:rPr>
          <w:color w:val="000000"/>
        </w:rPr>
        <w:t>Não será admitida a subcontratação do objeto contratual.</w:t>
      </w:r>
    </w:p>
    <w:p w14:paraId="406D61B3">
      <w:pPr>
        <w:ind w:left="-142" w:right="-852"/>
        <w:jc w:val="both"/>
        <w:rPr>
          <w:b/>
        </w:rPr>
      </w:pPr>
      <w:r>
        <w:rPr>
          <w:b/>
        </w:rPr>
        <w:t>CLÁUSULA SEXTA - PREÇO</w:t>
      </w:r>
    </w:p>
    <w:p w14:paraId="614D5025">
      <w:pPr>
        <w:ind w:left="-142" w:right="-852"/>
        <w:jc w:val="both"/>
        <w:rPr>
          <w:b/>
        </w:rPr>
      </w:pPr>
    </w:p>
    <w:p w14:paraId="129E06E9">
      <w:pPr>
        <w:numPr>
          <w:ilvl w:val="1"/>
          <w:numId w:val="15"/>
        </w:numPr>
        <w:pBdr>
          <w:top w:val="none" w:color="auto" w:sz="0" w:space="0"/>
          <w:left w:val="none" w:color="auto" w:sz="0" w:space="0"/>
          <w:bottom w:val="none" w:color="auto" w:sz="0" w:space="0"/>
          <w:right w:val="none" w:color="auto" w:sz="0" w:space="0"/>
          <w:between w:val="none" w:color="auto" w:sz="0" w:space="0"/>
        </w:pBdr>
        <w:spacing w:after="288"/>
        <w:ind w:left="-142" w:right="-852"/>
        <w:jc w:val="both"/>
        <w:rPr>
          <w:color w:val="000000"/>
        </w:rPr>
      </w:pPr>
      <w:r>
        <w:rPr>
          <w:color w:val="000000"/>
        </w:rPr>
        <w:t>O valor total da contratação é de R$.......... (.....)</w:t>
      </w:r>
    </w:p>
    <w:p w14:paraId="6EC46669">
      <w:pPr>
        <w:numPr>
          <w:ilvl w:val="1"/>
          <w:numId w:val="15"/>
        </w:numPr>
        <w:pBdr>
          <w:top w:val="none" w:color="auto" w:sz="0" w:space="0"/>
          <w:left w:val="none" w:color="auto" w:sz="0" w:space="0"/>
          <w:bottom w:val="none" w:color="auto" w:sz="0" w:space="0"/>
          <w:right w:val="none" w:color="auto" w:sz="0" w:space="0"/>
          <w:between w:val="none" w:color="auto" w:sz="0" w:space="0"/>
        </w:pBdr>
        <w:spacing w:after="288"/>
        <w:ind w:left="-142" w:right="-852" w:firstLine="0"/>
        <w:jc w:val="both"/>
        <w:rPr>
          <w:color w:val="000000"/>
        </w:rPr>
      </w:pPr>
      <w:r>
        <w:rPr>
          <w:color w:val="00000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5C572EE">
      <w:pPr>
        <w:ind w:left="-142" w:right="-852"/>
        <w:jc w:val="both"/>
        <w:rPr>
          <w:b/>
        </w:rPr>
      </w:pPr>
      <w:r>
        <w:rPr>
          <w:b/>
        </w:rPr>
        <w:t>CLÁUSULA SÉTIMA – CRITÉRIOS DE MEDIÇÃO E PAGAMENTO</w:t>
      </w:r>
    </w:p>
    <w:p w14:paraId="64889577">
      <w:pPr>
        <w:ind w:left="-142" w:right="-852"/>
        <w:jc w:val="both"/>
      </w:pPr>
      <w:r>
        <w:t>7.1. O prazo para pagamento ao contratado e demais condições a ele referentes encontram-se definidos no Termo de Referência, anexo a este Contrato</w:t>
      </w:r>
    </w:p>
    <w:p w14:paraId="74661B6C">
      <w:pPr>
        <w:ind w:left="-142" w:right="-852"/>
        <w:jc w:val="both"/>
        <w:rPr>
          <w:b/>
        </w:rPr>
      </w:pPr>
    </w:p>
    <w:p w14:paraId="5C1BE0D4">
      <w:pPr>
        <w:ind w:left="-142" w:right="-852"/>
        <w:jc w:val="both"/>
        <w:rPr>
          <w:b/>
        </w:rPr>
      </w:pPr>
      <w:r>
        <w:rPr>
          <w:b/>
        </w:rPr>
        <w:t>CLÁUSULA OITAVA- DA DOTAÇÃO ORÇAMENTÁRIA</w:t>
      </w:r>
    </w:p>
    <w:p w14:paraId="274FC89F">
      <w:pPr>
        <w:ind w:left="-142" w:right="-852"/>
        <w:jc w:val="both"/>
        <w:rPr>
          <w:b/>
        </w:rPr>
      </w:pPr>
    </w:p>
    <w:p w14:paraId="033BEECC">
      <w:pPr>
        <w:numPr>
          <w:ilvl w:val="1"/>
          <w:numId w:val="16"/>
        </w:numPr>
        <w:pBdr>
          <w:top w:val="none" w:color="auto" w:sz="0" w:space="0"/>
          <w:left w:val="none" w:color="auto" w:sz="0" w:space="0"/>
          <w:bottom w:val="none" w:color="auto" w:sz="0" w:space="0"/>
          <w:right w:val="none" w:color="auto" w:sz="0" w:space="0"/>
          <w:between w:val="none" w:color="auto" w:sz="0" w:space="0"/>
        </w:pBdr>
        <w:spacing w:after="288"/>
        <w:ind w:left="-142" w:right="-852"/>
        <w:jc w:val="both"/>
        <w:rPr>
          <w:color w:val="000000"/>
        </w:rPr>
      </w:pPr>
      <w:r>
        <w:rPr>
          <w:color w:val="000000"/>
        </w:rPr>
        <w:t>As despesas decorrentes da presente contratação correrão à conta de recursos específicos consignados no Orçamento deste exercício, na dotação abaixo discriminada:</w:t>
      </w:r>
    </w:p>
    <w:p w14:paraId="25992416">
      <w:pPr>
        <w:numPr>
          <w:ilvl w:val="1"/>
          <w:numId w:val="17"/>
        </w:numPr>
        <w:spacing w:after="288"/>
        <w:ind w:left="0" w:right="-852" w:firstLine="1134"/>
        <w:jc w:val="both"/>
      </w:pPr>
      <w:r>
        <w:t xml:space="preserve">Gestão/Unidade: </w:t>
      </w:r>
    </w:p>
    <w:p w14:paraId="50DA0647">
      <w:pPr>
        <w:numPr>
          <w:ilvl w:val="1"/>
          <w:numId w:val="17"/>
        </w:numPr>
        <w:spacing w:after="288"/>
        <w:ind w:left="0" w:right="-852" w:firstLine="1134"/>
        <w:jc w:val="both"/>
      </w:pPr>
      <w:r>
        <w:t xml:space="preserve">Fonte de Recursos:  </w:t>
      </w:r>
    </w:p>
    <w:p w14:paraId="47946656">
      <w:pPr>
        <w:numPr>
          <w:ilvl w:val="1"/>
          <w:numId w:val="17"/>
        </w:numPr>
        <w:spacing w:after="288"/>
        <w:ind w:left="0" w:right="-852" w:firstLine="1134"/>
        <w:jc w:val="both"/>
      </w:pPr>
      <w:r>
        <w:t xml:space="preserve">Programa de Trabalho: </w:t>
      </w:r>
    </w:p>
    <w:p w14:paraId="6DE47741">
      <w:pPr>
        <w:numPr>
          <w:ilvl w:val="1"/>
          <w:numId w:val="17"/>
        </w:numPr>
        <w:spacing w:after="288"/>
        <w:ind w:left="0" w:right="-852" w:firstLine="1134"/>
        <w:jc w:val="both"/>
      </w:pPr>
      <w:r>
        <w:t xml:space="preserve">Elemento de Despesa: </w:t>
      </w:r>
    </w:p>
    <w:p w14:paraId="77DFDF39">
      <w:pPr>
        <w:numPr>
          <w:ilvl w:val="1"/>
          <w:numId w:val="17"/>
        </w:numPr>
        <w:spacing w:after="288"/>
        <w:ind w:left="0" w:right="-852" w:firstLine="1134"/>
        <w:jc w:val="both"/>
      </w:pPr>
      <w:r>
        <w:t xml:space="preserve">Plano Interno: </w:t>
      </w:r>
    </w:p>
    <w:p w14:paraId="5E060900">
      <w:pPr>
        <w:numPr>
          <w:ilvl w:val="1"/>
          <w:numId w:val="17"/>
        </w:numPr>
        <w:spacing w:after="288"/>
        <w:ind w:left="0" w:right="-852" w:firstLine="1134"/>
        <w:jc w:val="both"/>
      </w:pPr>
      <w:r>
        <w:t>Nota de Empenho:</w:t>
      </w:r>
    </w:p>
    <w:p w14:paraId="1EDFB631">
      <w:pPr>
        <w:ind w:left="-567" w:right="-852"/>
        <w:jc w:val="both"/>
        <w:rPr>
          <w:b/>
        </w:rPr>
      </w:pPr>
      <w:r>
        <w:rPr>
          <w:b/>
        </w:rPr>
        <w:t>CLÁUSULA NONA – DO REAJUSTE DE PREÇO</w:t>
      </w:r>
    </w:p>
    <w:p w14:paraId="5D682F49">
      <w:pPr>
        <w:ind w:left="-567" w:right="-852"/>
        <w:jc w:val="both"/>
        <w:rPr>
          <w:b/>
        </w:rPr>
      </w:pPr>
    </w:p>
    <w:p w14:paraId="040837E2">
      <w:pPr>
        <w:numPr>
          <w:ilvl w:val="1"/>
          <w:numId w:val="18"/>
        </w:numPr>
        <w:pBdr>
          <w:top w:val="none" w:color="auto" w:sz="0" w:space="0"/>
          <w:left w:val="none" w:color="auto" w:sz="0" w:space="0"/>
          <w:bottom w:val="none" w:color="auto" w:sz="0" w:space="0"/>
          <w:right w:val="none" w:color="auto" w:sz="0" w:space="0"/>
          <w:between w:val="none" w:color="auto" w:sz="0" w:space="0"/>
        </w:pBdr>
        <w:spacing w:after="288"/>
        <w:ind w:left="-567" w:right="-852"/>
        <w:jc w:val="both"/>
        <w:rPr>
          <w:color w:val="000000"/>
        </w:rPr>
      </w:pPr>
      <w:r>
        <w:rPr>
          <w:color w:val="000000"/>
        </w:rPr>
        <w:t>Os preços inicialmente contratados são fixos e irreajustáveis no prazo de um ano contado da data do orçamento estimado, em 03/04/2024.</w:t>
      </w:r>
    </w:p>
    <w:p w14:paraId="588E1DAF">
      <w:pPr>
        <w:pStyle w:val="36"/>
        <w:numPr>
          <w:ilvl w:val="1"/>
          <w:numId w:val="18"/>
        </w:numPr>
        <w:ind w:left="-567" w:right="-852"/>
        <w:jc w:val="both"/>
        <w:rPr>
          <w:color w:val="000000"/>
        </w:rPr>
      </w:pPr>
      <w:r>
        <w:rPr>
          <w:color w:val="000000"/>
        </w:rPr>
        <w:t>Após o interregno de um ano, os preços iniciais poderão ser reajustados, mediante a aplicação, pelo contratante, do índice INPC (Índice Nacional de Preços ao Consumidor), exclusivamente para as obrigações iniciadas e concluídas após a ocorrência da anualidade.</w:t>
      </w:r>
    </w:p>
    <w:p w14:paraId="44DB2849">
      <w:pPr>
        <w:pStyle w:val="36"/>
        <w:ind w:left="360" w:right="-852"/>
        <w:jc w:val="both"/>
        <w:rPr>
          <w:color w:val="000000"/>
        </w:rPr>
      </w:pPr>
    </w:p>
    <w:p w14:paraId="23AB4A84">
      <w:pPr>
        <w:numPr>
          <w:ilvl w:val="1"/>
          <w:numId w:val="18"/>
        </w:numPr>
        <w:pBdr>
          <w:top w:val="none" w:color="auto" w:sz="0" w:space="0"/>
          <w:left w:val="none" w:color="auto" w:sz="0" w:space="0"/>
          <w:bottom w:val="none" w:color="auto" w:sz="0" w:space="0"/>
          <w:right w:val="none" w:color="auto" w:sz="0" w:space="0"/>
          <w:between w:val="none" w:color="auto" w:sz="0" w:space="0"/>
        </w:pBdr>
        <w:spacing w:after="288"/>
        <w:ind w:left="-426" w:right="-852"/>
        <w:jc w:val="both"/>
        <w:rPr>
          <w:color w:val="000000"/>
        </w:rPr>
      </w:pPr>
      <w:r>
        <w:rPr>
          <w:color w:val="000000"/>
        </w:rPr>
        <w:t>Nos reajustes subsequentes ao primeiro, o interregno mínimo de um ano será contado a partir dos efeitos financeiros do último reajuste.</w:t>
      </w:r>
    </w:p>
    <w:p w14:paraId="7B0BB5B2">
      <w:pPr>
        <w:numPr>
          <w:ilvl w:val="1"/>
          <w:numId w:val="18"/>
        </w:numPr>
        <w:pBdr>
          <w:top w:val="none" w:color="auto" w:sz="0" w:space="0"/>
          <w:left w:val="none" w:color="auto" w:sz="0" w:space="0"/>
          <w:bottom w:val="none" w:color="auto" w:sz="0" w:space="0"/>
          <w:right w:val="none" w:color="auto" w:sz="0" w:space="0"/>
          <w:between w:val="none" w:color="auto" w:sz="0" w:space="0"/>
        </w:pBdr>
        <w:spacing w:after="288"/>
        <w:ind w:left="-426" w:right="-852"/>
        <w:jc w:val="both"/>
        <w:rPr>
          <w:color w:val="000000"/>
        </w:rPr>
      </w:pPr>
      <w:r>
        <w:rPr>
          <w:color w:val="00000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03AC24B8">
      <w:pPr>
        <w:numPr>
          <w:ilvl w:val="1"/>
          <w:numId w:val="18"/>
        </w:numPr>
        <w:pBdr>
          <w:top w:val="none" w:color="auto" w:sz="0" w:space="0"/>
          <w:left w:val="none" w:color="auto" w:sz="0" w:space="0"/>
          <w:bottom w:val="none" w:color="auto" w:sz="0" w:space="0"/>
          <w:right w:val="none" w:color="auto" w:sz="0" w:space="0"/>
          <w:between w:val="none" w:color="auto" w:sz="0" w:space="0"/>
        </w:pBdr>
        <w:spacing w:after="288"/>
        <w:ind w:left="-426" w:right="-852"/>
        <w:jc w:val="both"/>
        <w:rPr>
          <w:color w:val="000000"/>
        </w:rPr>
      </w:pPr>
      <w:r>
        <w:rPr>
          <w:color w:val="000000"/>
        </w:rPr>
        <w:t>Nas aferições finais, o(s) índice(s) utilizado(s) para reajuste será(ão), obrigatoriamente, o(s) definitivo(s).</w:t>
      </w:r>
    </w:p>
    <w:p w14:paraId="2BF37352">
      <w:pPr>
        <w:numPr>
          <w:ilvl w:val="1"/>
          <w:numId w:val="18"/>
        </w:numPr>
        <w:pBdr>
          <w:top w:val="none" w:color="auto" w:sz="0" w:space="0"/>
          <w:left w:val="none" w:color="auto" w:sz="0" w:space="0"/>
          <w:bottom w:val="none" w:color="auto" w:sz="0" w:space="0"/>
          <w:right w:val="none" w:color="auto" w:sz="0" w:space="0"/>
          <w:between w:val="none" w:color="auto" w:sz="0" w:space="0"/>
        </w:pBdr>
        <w:spacing w:after="288"/>
        <w:ind w:left="-426" w:right="-852"/>
        <w:jc w:val="both"/>
        <w:rPr>
          <w:color w:val="000000"/>
        </w:rPr>
      </w:pPr>
      <w:r>
        <w:rPr>
          <w:color w:val="000000"/>
        </w:rPr>
        <w:t>Caso o(s) índice(s) estabelecido(s) para reajustamento venha(m) a ser extinto(s) ou de qualquer forma não possa(m) mais ser utilizado(s), será(ão) adotado(s), em substituição, o(s) que vier(em) a ser determinado(s) pela legislação então em vigor.</w:t>
      </w:r>
    </w:p>
    <w:p w14:paraId="1B674A8B">
      <w:pPr>
        <w:numPr>
          <w:ilvl w:val="1"/>
          <w:numId w:val="18"/>
        </w:numPr>
        <w:pBdr>
          <w:top w:val="none" w:color="auto" w:sz="0" w:space="0"/>
          <w:left w:val="none" w:color="auto" w:sz="0" w:space="0"/>
          <w:bottom w:val="none" w:color="auto" w:sz="0" w:space="0"/>
          <w:right w:val="none" w:color="auto" w:sz="0" w:space="0"/>
          <w:between w:val="none" w:color="auto" w:sz="0" w:space="0"/>
        </w:pBdr>
        <w:spacing w:after="288"/>
        <w:ind w:left="-426" w:right="-852"/>
        <w:jc w:val="both"/>
        <w:rPr>
          <w:color w:val="000000"/>
        </w:rPr>
      </w:pPr>
      <w:r>
        <w:rPr>
          <w:color w:val="000000"/>
        </w:rPr>
        <w:t xml:space="preserve">Na ausência de previsão legal quanto ao índice substituto, as partes elegerão novo índice oficial, para reajustamento do preço do valor remanescente, por meio de termo aditivo. </w:t>
      </w:r>
    </w:p>
    <w:p w14:paraId="479C6F08">
      <w:pPr>
        <w:numPr>
          <w:ilvl w:val="1"/>
          <w:numId w:val="18"/>
        </w:numPr>
        <w:pBdr>
          <w:top w:val="none" w:color="auto" w:sz="0" w:space="0"/>
          <w:left w:val="none" w:color="auto" w:sz="0" w:space="0"/>
          <w:bottom w:val="none" w:color="auto" w:sz="0" w:space="0"/>
          <w:right w:val="none" w:color="auto" w:sz="0" w:space="0"/>
          <w:between w:val="none" w:color="auto" w:sz="0" w:space="0"/>
        </w:pBdr>
        <w:spacing w:after="288"/>
        <w:ind w:left="-426" w:right="-852"/>
        <w:jc w:val="both"/>
        <w:rPr>
          <w:color w:val="000000"/>
        </w:rPr>
      </w:pPr>
      <w:r>
        <w:rPr>
          <w:color w:val="000000"/>
        </w:rPr>
        <w:t>O reajuste será realizado por apostilamento.</w:t>
      </w:r>
    </w:p>
    <w:p w14:paraId="7C2CAC41">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426" w:right="-852" w:hanging="360"/>
        <w:jc w:val="both"/>
        <w:rPr>
          <w:b/>
          <w:color w:val="FFFFFF"/>
        </w:rPr>
      </w:pPr>
      <w:r>
        <w:rPr>
          <w:b/>
          <w:color w:val="000000"/>
        </w:rPr>
        <w:t xml:space="preserve">CLÁUSULA DÉCIMA - OBRIGAÇÕES DO CONTRATANTE </w:t>
      </w:r>
      <w:r>
        <w:rPr>
          <w:b/>
        </w:rPr>
        <w:t>E CONTRATADA</w:t>
      </w:r>
    </w:p>
    <w:p w14:paraId="5EACEACE">
      <w:pPr>
        <w:spacing w:before="120" w:after="288" w:line="312" w:lineRule="auto"/>
        <w:ind w:left="-426" w:right="-852"/>
        <w:jc w:val="both"/>
        <w:rPr>
          <w:color w:val="000000"/>
        </w:rPr>
      </w:pPr>
      <w:r>
        <w:t>11.1. As obrigações do contratante e do contratado e demais condições a eles referentes encontram-se definidos no Termo de Referência, anexo a este Contrato.</w:t>
      </w:r>
    </w:p>
    <w:p w14:paraId="039D0664">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426" w:right="-852" w:hanging="360"/>
        <w:jc w:val="both"/>
        <w:rPr>
          <w:b/>
          <w:color w:val="FFFFFF"/>
        </w:rPr>
      </w:pPr>
      <w:r>
        <w:rPr>
          <w:b/>
          <w:color w:val="000000"/>
        </w:rPr>
        <w:t>CLÁUSULA DÉCIMA SEGUNDA– GARANTIA DE EXECUÇÃO (</w:t>
      </w:r>
      <w:r>
        <w:fldChar w:fldCharType="begin"/>
      </w:r>
      <w:r>
        <w:instrText xml:space="preserve"> HYPERLINK "http://www.planalto.gov.br/ccivil_03/_ato2019-2022/2021/lei/L14133.htm" \l "art92" \h </w:instrText>
      </w:r>
      <w:r>
        <w:fldChar w:fldCharType="separate"/>
      </w:r>
      <w:r>
        <w:rPr>
          <w:b/>
          <w:color w:val="000000"/>
        </w:rPr>
        <w:t>art. 92, XII e XIII</w:t>
      </w:r>
      <w:r>
        <w:rPr>
          <w:b/>
          <w:color w:val="000000"/>
        </w:rPr>
        <w:fldChar w:fldCharType="end"/>
      </w:r>
      <w:r>
        <w:rPr>
          <w:b/>
          <w:color w:val="000000"/>
        </w:rPr>
        <w:t>)</w:t>
      </w:r>
    </w:p>
    <w:p w14:paraId="5831B008">
      <w:pPr>
        <w:numPr>
          <w:ilvl w:val="1"/>
          <w:numId w:val="19"/>
        </w:numPr>
        <w:pBdr>
          <w:top w:val="none" w:color="auto" w:sz="0" w:space="0"/>
          <w:left w:val="none" w:color="auto" w:sz="0" w:space="0"/>
          <w:bottom w:val="none" w:color="auto" w:sz="0" w:space="0"/>
          <w:right w:val="none" w:color="auto" w:sz="0" w:space="0"/>
          <w:between w:val="none" w:color="auto" w:sz="0" w:space="0"/>
        </w:pBdr>
        <w:spacing w:after="288"/>
        <w:ind w:left="-426" w:right="-852"/>
        <w:jc w:val="both"/>
        <w:rPr>
          <w:color w:val="000000"/>
        </w:rPr>
      </w:pPr>
      <w:r>
        <w:rPr>
          <w:color w:val="000000"/>
        </w:rPr>
        <w:t>Não haverá exigência de garantia contratual da execução.</w:t>
      </w:r>
    </w:p>
    <w:p w14:paraId="28ECB1E9">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426" w:right="-852" w:hanging="360"/>
        <w:jc w:val="both"/>
        <w:rPr>
          <w:b/>
          <w:color w:val="FFFFFF"/>
        </w:rPr>
      </w:pPr>
      <w:r>
        <w:rPr>
          <w:b/>
          <w:color w:val="000000"/>
        </w:rPr>
        <w:t>CLÁUSULA DÉCIMA TERCEIRA – INFRAÇÕES E SANÇÕES ADMINISTRATIVAS (</w:t>
      </w:r>
      <w:r>
        <w:fldChar w:fldCharType="begin"/>
      </w:r>
      <w:r>
        <w:instrText xml:space="preserve"> HYPERLINK "http://www.planalto.gov.br/ccivil_03/_ato2019-2022/2021/lei/L14133.htm" \l "art92" \h </w:instrText>
      </w:r>
      <w:r>
        <w:fldChar w:fldCharType="separate"/>
      </w:r>
      <w:r>
        <w:rPr>
          <w:b/>
          <w:color w:val="000000"/>
        </w:rPr>
        <w:t>art. 92, XIV</w:t>
      </w:r>
      <w:r>
        <w:rPr>
          <w:b/>
          <w:color w:val="000000"/>
        </w:rPr>
        <w:fldChar w:fldCharType="end"/>
      </w:r>
      <w:r>
        <w:rPr>
          <w:b/>
          <w:color w:val="000000"/>
        </w:rPr>
        <w:t>)</w:t>
      </w:r>
    </w:p>
    <w:p w14:paraId="437ABB73">
      <w:pPr>
        <w:numPr>
          <w:ilvl w:val="1"/>
          <w:numId w:val="20"/>
        </w:numPr>
        <w:pBdr>
          <w:top w:val="none" w:color="auto" w:sz="0" w:space="0"/>
          <w:left w:val="none" w:color="auto" w:sz="0" w:space="0"/>
          <w:bottom w:val="none" w:color="auto" w:sz="0" w:space="0"/>
          <w:right w:val="none" w:color="auto" w:sz="0" w:space="0"/>
          <w:between w:val="none" w:color="auto" w:sz="0" w:space="0"/>
        </w:pBdr>
        <w:spacing w:after="288"/>
        <w:ind w:left="-426" w:right="-852"/>
        <w:jc w:val="both"/>
        <w:rPr>
          <w:color w:val="000000"/>
        </w:rPr>
      </w:pPr>
      <w:r>
        <w:rPr>
          <w:color w:val="000000"/>
        </w:rPr>
        <w:t xml:space="preserve">Comete infração administrativa, nos termos da </w:t>
      </w:r>
      <w:r>
        <w:fldChar w:fldCharType="begin"/>
      </w:r>
      <w:r>
        <w:instrText xml:space="preserve"> HYPERLINK "http://www.planalto.gov.br/ccivil_03/_ato2019-2022/2021/lei/L14133.htm" \h </w:instrText>
      </w:r>
      <w:r>
        <w:fldChar w:fldCharType="separate"/>
      </w:r>
      <w:r>
        <w:rPr>
          <w:color w:val="000080"/>
          <w:u w:val="single"/>
        </w:rPr>
        <w:t>Lei nº 14.133, de 2021</w:t>
      </w:r>
      <w:r>
        <w:rPr>
          <w:color w:val="000080"/>
          <w:u w:val="single"/>
        </w:rPr>
        <w:fldChar w:fldCharType="end"/>
      </w:r>
      <w:r>
        <w:rPr>
          <w:color w:val="000000"/>
        </w:rPr>
        <w:t>, o contratado que:</w:t>
      </w:r>
    </w:p>
    <w:p w14:paraId="340C7FD2">
      <w:pPr>
        <w:numPr>
          <w:ilvl w:val="2"/>
          <w:numId w:val="21"/>
        </w:numPr>
        <w:spacing w:after="288"/>
        <w:ind w:left="-426" w:right="-852"/>
        <w:jc w:val="both"/>
      </w:pPr>
      <w:r>
        <w:t>der causa à inexecução parcial do contrato;</w:t>
      </w:r>
    </w:p>
    <w:p w14:paraId="4EED522B">
      <w:pPr>
        <w:numPr>
          <w:ilvl w:val="2"/>
          <w:numId w:val="21"/>
        </w:numPr>
        <w:spacing w:after="288"/>
        <w:ind w:left="-426" w:right="-852"/>
        <w:jc w:val="both"/>
      </w:pPr>
      <w:r>
        <w:t>der causa à inexecução parcial do contrato que cause grave dano à Administração ou ao funcionamento dos serviços públicos ou ao interesse coletivo;</w:t>
      </w:r>
    </w:p>
    <w:p w14:paraId="2CEDE10E">
      <w:pPr>
        <w:numPr>
          <w:ilvl w:val="2"/>
          <w:numId w:val="21"/>
        </w:numPr>
        <w:spacing w:after="288"/>
        <w:ind w:left="-426" w:right="-852"/>
        <w:jc w:val="both"/>
      </w:pPr>
      <w:r>
        <w:t>der causa à inexecução total do contrato;</w:t>
      </w:r>
    </w:p>
    <w:p w14:paraId="1ACE45AE">
      <w:pPr>
        <w:numPr>
          <w:ilvl w:val="2"/>
          <w:numId w:val="21"/>
        </w:numPr>
        <w:spacing w:after="288"/>
        <w:ind w:left="-426" w:right="-852"/>
        <w:jc w:val="both"/>
      </w:pPr>
      <w:r>
        <w:t>ensejar o retardamento da execução ou da entrega do objeto da contratação sem motivo justificado;</w:t>
      </w:r>
    </w:p>
    <w:p w14:paraId="1C628FFC">
      <w:pPr>
        <w:numPr>
          <w:ilvl w:val="2"/>
          <w:numId w:val="21"/>
        </w:numPr>
        <w:spacing w:after="288"/>
        <w:ind w:left="-426" w:right="-852"/>
        <w:jc w:val="both"/>
      </w:pPr>
      <w:r>
        <w:t>apresentar documentação falsa ou prestar declaração falsa durante a execução do contrato;</w:t>
      </w:r>
    </w:p>
    <w:p w14:paraId="302B6222">
      <w:pPr>
        <w:numPr>
          <w:ilvl w:val="2"/>
          <w:numId w:val="21"/>
        </w:numPr>
        <w:spacing w:after="288"/>
        <w:ind w:left="-426" w:right="-852"/>
        <w:jc w:val="both"/>
      </w:pPr>
      <w:r>
        <w:t>praticar ato fraudulento na execução do contrato;</w:t>
      </w:r>
    </w:p>
    <w:p w14:paraId="3B7B2FCC">
      <w:pPr>
        <w:numPr>
          <w:ilvl w:val="2"/>
          <w:numId w:val="21"/>
        </w:numPr>
        <w:spacing w:after="288"/>
        <w:ind w:left="-426" w:right="-852"/>
        <w:jc w:val="both"/>
      </w:pPr>
      <w:r>
        <w:t>comportar-se de modo inidôneo ou cometer fraude de qualquer natureza;</w:t>
      </w:r>
    </w:p>
    <w:p w14:paraId="59AE4C5A">
      <w:pPr>
        <w:numPr>
          <w:ilvl w:val="2"/>
          <w:numId w:val="21"/>
        </w:numPr>
        <w:spacing w:after="288"/>
        <w:ind w:left="-426" w:right="-852"/>
        <w:jc w:val="both"/>
      </w:pPr>
      <w:r>
        <w:t xml:space="preserve">praticar ato lesivo previsto no </w:t>
      </w:r>
      <w:r>
        <w:fldChar w:fldCharType="begin"/>
      </w:r>
      <w:r>
        <w:instrText xml:space="preserve"> HYPERLINK "https://www.planalto.gov.br/ccivil_03/_ato2011-2014/2013/lei/l12846.htm" \l "art5" \h </w:instrText>
      </w:r>
      <w:r>
        <w:fldChar w:fldCharType="separate"/>
      </w:r>
      <w:r>
        <w:t>art. 5º da Lei nº 12.846, de 1º de agosto de 2013</w:t>
      </w:r>
      <w:r>
        <w:fldChar w:fldCharType="end"/>
      </w:r>
      <w:r>
        <w:t>.</w:t>
      </w:r>
    </w:p>
    <w:p w14:paraId="281224FB">
      <w:pPr>
        <w:numPr>
          <w:ilvl w:val="1"/>
          <w:numId w:val="20"/>
        </w:numPr>
        <w:pBdr>
          <w:top w:val="none" w:color="auto" w:sz="0" w:space="0"/>
          <w:left w:val="none" w:color="auto" w:sz="0" w:space="0"/>
          <w:bottom w:val="none" w:color="auto" w:sz="0" w:space="0"/>
          <w:right w:val="none" w:color="auto" w:sz="0" w:space="0"/>
          <w:between w:val="none" w:color="auto" w:sz="0" w:space="0"/>
        </w:pBdr>
        <w:spacing w:after="288"/>
        <w:ind w:left="-426" w:right="-852" w:firstLine="0"/>
        <w:jc w:val="both"/>
        <w:rPr>
          <w:color w:val="000000"/>
        </w:rPr>
      </w:pPr>
      <w:r>
        <w:rPr>
          <w:color w:val="000000"/>
        </w:rPr>
        <w:t>Serão aplicadas ao contratado que incorrer nas infrações acima descritas as seguintes sanções:</w:t>
      </w:r>
    </w:p>
    <w:p w14:paraId="21386639">
      <w:pPr>
        <w:numPr>
          <w:ilvl w:val="0"/>
          <w:numId w:val="22"/>
        </w:numPr>
        <w:pBdr>
          <w:top w:val="none" w:color="auto" w:sz="0" w:space="0"/>
          <w:left w:val="none" w:color="auto" w:sz="0" w:space="0"/>
          <w:bottom w:val="none" w:color="auto" w:sz="0" w:space="0"/>
          <w:right w:val="none" w:color="auto" w:sz="0" w:space="0"/>
          <w:between w:val="none" w:color="auto" w:sz="0" w:space="0"/>
        </w:pBdr>
        <w:spacing w:after="288"/>
        <w:ind w:left="-426" w:right="-852" w:firstLine="0"/>
        <w:jc w:val="both"/>
        <w:rPr>
          <w:color w:val="000000"/>
        </w:rPr>
      </w:pPr>
      <w:r>
        <w:rPr>
          <w:b/>
          <w:color w:val="000000"/>
        </w:rPr>
        <w:t>Advertência</w:t>
      </w:r>
      <w:r>
        <w:rPr>
          <w:color w:val="000000"/>
        </w:rPr>
        <w:t>, quando o contratado der causa à inexecução parcial do contrato, sempre que não se justificar a imposição de penalidade mais grave (</w:t>
      </w:r>
      <w:r>
        <w:fldChar w:fldCharType="begin"/>
      </w:r>
      <w:r>
        <w:instrText xml:space="preserve"> HYPERLINK "http://www.planalto.gov.br/ccivil_03/_ato2019-2022/2021/lei/L14133.htm" \l "art156%C2%A72" \h </w:instrText>
      </w:r>
      <w:r>
        <w:fldChar w:fldCharType="separate"/>
      </w:r>
      <w:r>
        <w:rPr>
          <w:color w:val="000000"/>
        </w:rPr>
        <w:t>art. 156, §2º, da Lei nº 14.133, de 2021</w:t>
      </w:r>
      <w:r>
        <w:rPr>
          <w:color w:val="000000"/>
        </w:rPr>
        <w:fldChar w:fldCharType="end"/>
      </w:r>
      <w:r>
        <w:rPr>
          <w:color w:val="000000"/>
        </w:rPr>
        <w:t>);</w:t>
      </w:r>
    </w:p>
    <w:p w14:paraId="07BCF38B">
      <w:pPr>
        <w:numPr>
          <w:ilvl w:val="0"/>
          <w:numId w:val="22"/>
        </w:numPr>
        <w:pBdr>
          <w:top w:val="none" w:color="auto" w:sz="0" w:space="0"/>
          <w:left w:val="none" w:color="auto" w:sz="0" w:space="0"/>
          <w:bottom w:val="none" w:color="auto" w:sz="0" w:space="0"/>
          <w:right w:val="none" w:color="auto" w:sz="0" w:space="0"/>
          <w:between w:val="none" w:color="auto" w:sz="0" w:space="0"/>
        </w:pBdr>
        <w:spacing w:after="288"/>
        <w:ind w:left="-567" w:right="-852" w:firstLine="0"/>
        <w:jc w:val="both"/>
        <w:rPr>
          <w:color w:val="000000"/>
        </w:rPr>
      </w:pPr>
      <w:r>
        <w:rPr>
          <w:b/>
          <w:color w:val="000000"/>
        </w:rPr>
        <w:t>Impedimento de licitar e contratar</w:t>
      </w:r>
      <w:r>
        <w:rPr>
          <w:color w:val="000000"/>
        </w:rPr>
        <w:t>, quando praticadas as condutas descritas nas alíneas “b”, “c” e “d” do subitem acima deste Contrato, sempre que não se justificar a imposição de penalidade mais grave (</w:t>
      </w:r>
      <w:r>
        <w:fldChar w:fldCharType="begin"/>
      </w:r>
      <w:r>
        <w:instrText xml:space="preserve"> HYPERLINK "http://www.planalto.gov.br/ccivil_03/_ato2019-2022/2021/lei/L14133.htm" \l "art156%C2%A74" \h </w:instrText>
      </w:r>
      <w:r>
        <w:fldChar w:fldCharType="separate"/>
      </w:r>
      <w:r>
        <w:rPr>
          <w:color w:val="000000"/>
        </w:rPr>
        <w:t>art. 156, § 4º, da Lei nº 14.133, de 2021</w:t>
      </w:r>
      <w:r>
        <w:rPr>
          <w:color w:val="000000"/>
        </w:rPr>
        <w:fldChar w:fldCharType="end"/>
      </w:r>
      <w:r>
        <w:rPr>
          <w:color w:val="000000"/>
        </w:rPr>
        <w:t>);</w:t>
      </w:r>
    </w:p>
    <w:p w14:paraId="7782D220">
      <w:pPr>
        <w:numPr>
          <w:ilvl w:val="0"/>
          <w:numId w:val="22"/>
        </w:numPr>
        <w:pBdr>
          <w:top w:val="none" w:color="auto" w:sz="0" w:space="0"/>
          <w:left w:val="none" w:color="auto" w:sz="0" w:space="0"/>
          <w:bottom w:val="none" w:color="auto" w:sz="0" w:space="0"/>
          <w:right w:val="none" w:color="auto" w:sz="0" w:space="0"/>
          <w:between w:val="none" w:color="auto" w:sz="0" w:space="0"/>
        </w:pBdr>
        <w:spacing w:after="288"/>
        <w:ind w:left="-567" w:right="-852" w:firstLine="0"/>
        <w:jc w:val="both"/>
        <w:rPr>
          <w:color w:val="000000"/>
        </w:rPr>
      </w:pPr>
      <w:r>
        <w:rPr>
          <w:b/>
          <w:color w:val="000000"/>
        </w:rPr>
        <w:t>Declaração de inidoneidade para licitar e contratar</w:t>
      </w:r>
      <w:r>
        <w:rPr>
          <w:color w:val="000000"/>
        </w:rPr>
        <w:t>, quando praticadas as condutas descritas nas alíneas “e”, “f”, “g” e “h” do subitem acima deste Contrato, bem como nas alíneas “b”, “c” e “d”, que justifiquem a imposição de penalidade mais grave (</w:t>
      </w:r>
      <w:r>
        <w:fldChar w:fldCharType="begin"/>
      </w:r>
      <w:r>
        <w:instrText xml:space="preserve"> HYPERLINK "http://www.planalto.gov.br/ccivil_03/_ato2019-2022/2021/lei/L14133.htm" \l "art156%C2%A75" \h </w:instrText>
      </w:r>
      <w:r>
        <w:fldChar w:fldCharType="separate"/>
      </w:r>
      <w:r>
        <w:rPr>
          <w:color w:val="000000"/>
        </w:rPr>
        <w:t>art. 156, §5º, da Lei nº 14.133, de 2021</w:t>
      </w:r>
      <w:r>
        <w:rPr>
          <w:color w:val="000000"/>
        </w:rPr>
        <w:fldChar w:fldCharType="end"/>
      </w:r>
      <w:r>
        <w:rPr>
          <w:color w:val="000000"/>
        </w:rPr>
        <w:t>).</w:t>
      </w:r>
    </w:p>
    <w:p w14:paraId="74DB40D1">
      <w:pPr>
        <w:numPr>
          <w:ilvl w:val="0"/>
          <w:numId w:val="22"/>
        </w:numPr>
        <w:pBdr>
          <w:top w:val="none" w:color="auto" w:sz="0" w:space="0"/>
          <w:left w:val="none" w:color="auto" w:sz="0" w:space="0"/>
          <w:bottom w:val="none" w:color="auto" w:sz="0" w:space="0"/>
          <w:right w:val="none" w:color="auto" w:sz="0" w:space="0"/>
          <w:between w:val="none" w:color="auto" w:sz="0" w:space="0"/>
        </w:pBdr>
        <w:spacing w:after="288"/>
        <w:ind w:left="-567" w:right="-852" w:firstLine="0"/>
        <w:jc w:val="both"/>
        <w:rPr>
          <w:color w:val="000000"/>
        </w:rPr>
      </w:pPr>
      <w:r>
        <w:rPr>
          <w:b/>
          <w:color w:val="000000"/>
        </w:rPr>
        <w:t>Multa:</w:t>
      </w:r>
    </w:p>
    <w:p w14:paraId="498D69F7">
      <w:pPr>
        <w:numPr>
          <w:ilvl w:val="1"/>
          <w:numId w:val="22"/>
        </w:numPr>
        <w:pBdr>
          <w:top w:val="none" w:color="auto" w:sz="0" w:space="0"/>
          <w:left w:val="none" w:color="auto" w:sz="0" w:space="0"/>
          <w:bottom w:val="none" w:color="auto" w:sz="0" w:space="0"/>
          <w:right w:val="none" w:color="auto" w:sz="0" w:space="0"/>
          <w:between w:val="none" w:color="auto" w:sz="0" w:space="0"/>
        </w:pBdr>
        <w:ind w:left="-567"/>
        <w:jc w:val="both"/>
        <w:rPr>
          <w:color w:val="000000"/>
        </w:rPr>
      </w:pPr>
      <w:r>
        <w:rPr>
          <w:color w:val="000000"/>
        </w:rPr>
        <w:t>moratória de 0,5% (meio por cento) por dia de atraso injustificado sobre o valor da parcela inadimplida, até o limite de 30 (trinta) dias;</w:t>
      </w:r>
    </w:p>
    <w:p w14:paraId="41141DFD">
      <w:pPr>
        <w:numPr>
          <w:ilvl w:val="1"/>
          <w:numId w:val="22"/>
        </w:numPr>
        <w:pBdr>
          <w:top w:val="none" w:color="auto" w:sz="0" w:space="0"/>
          <w:left w:val="none" w:color="auto" w:sz="0" w:space="0"/>
          <w:bottom w:val="none" w:color="auto" w:sz="0" w:space="0"/>
          <w:right w:val="none" w:color="auto" w:sz="0" w:space="0"/>
          <w:between w:val="none" w:color="auto" w:sz="0" w:space="0"/>
        </w:pBdr>
        <w:ind w:left="-567"/>
        <w:jc w:val="both"/>
        <w:rPr>
          <w:color w:val="000000"/>
        </w:rPr>
      </w:pPr>
      <w:r>
        <w:rPr>
          <w:color w:val="000000"/>
        </w:rPr>
        <w:t>compensatória de 5% ( cinco por cento) sobre o valor total do contrato, no caso de inexecução total do objeto.</w:t>
      </w:r>
    </w:p>
    <w:p w14:paraId="05CB09D0">
      <w:pPr>
        <w:pBdr>
          <w:top w:val="none" w:color="auto" w:sz="0" w:space="0"/>
          <w:left w:val="none" w:color="auto" w:sz="0" w:space="0"/>
          <w:bottom w:val="none" w:color="auto" w:sz="0" w:space="0"/>
          <w:right w:val="none" w:color="auto" w:sz="0" w:space="0"/>
          <w:between w:val="none" w:color="auto" w:sz="0" w:space="0"/>
        </w:pBdr>
        <w:ind w:left="-567"/>
        <w:jc w:val="both"/>
        <w:rPr>
          <w:color w:val="000000"/>
        </w:rPr>
      </w:pPr>
    </w:p>
    <w:p w14:paraId="58F2DFD1">
      <w:pPr>
        <w:numPr>
          <w:ilvl w:val="1"/>
          <w:numId w:val="20"/>
        </w:numPr>
        <w:pBdr>
          <w:top w:val="none" w:color="auto" w:sz="0" w:space="0"/>
          <w:left w:val="none" w:color="auto" w:sz="0" w:space="0"/>
          <w:bottom w:val="none" w:color="auto" w:sz="0" w:space="0"/>
          <w:right w:val="none" w:color="auto" w:sz="0" w:space="0"/>
          <w:between w:val="none" w:color="auto" w:sz="0" w:space="0"/>
        </w:pBdr>
        <w:spacing w:after="288"/>
        <w:ind w:left="-567" w:right="-852" w:firstLine="0"/>
        <w:jc w:val="both"/>
        <w:rPr>
          <w:color w:val="000000"/>
        </w:rPr>
      </w:pPr>
      <w:r>
        <w:rPr>
          <w:color w:val="000000"/>
        </w:rPr>
        <w:t>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"art156%C2%A79" \h </w:instrText>
      </w:r>
      <w:r>
        <w:fldChar w:fldCharType="separate"/>
      </w:r>
      <w:r>
        <w:rPr>
          <w:color w:val="000000"/>
        </w:rPr>
        <w:t>art. 156, §9º, da Lei nº 14.133, de 2021</w:t>
      </w:r>
      <w:r>
        <w:rPr>
          <w:color w:val="000000"/>
        </w:rPr>
        <w:fldChar w:fldCharType="end"/>
      </w:r>
      <w:r>
        <w:rPr>
          <w:color w:val="000000"/>
        </w:rPr>
        <w:t>)</w:t>
      </w:r>
    </w:p>
    <w:p w14:paraId="0E59C11C">
      <w:pPr>
        <w:numPr>
          <w:ilvl w:val="1"/>
          <w:numId w:val="20"/>
        </w:numPr>
        <w:pBdr>
          <w:top w:val="none" w:color="auto" w:sz="0" w:space="0"/>
          <w:left w:val="none" w:color="auto" w:sz="0" w:space="0"/>
          <w:bottom w:val="none" w:color="auto" w:sz="0" w:space="0"/>
          <w:right w:val="none" w:color="auto" w:sz="0" w:space="0"/>
          <w:between w:val="none" w:color="auto" w:sz="0" w:space="0"/>
        </w:pBdr>
        <w:spacing w:after="288"/>
        <w:ind w:left="-567" w:right="-852" w:firstLine="0"/>
        <w:jc w:val="both"/>
        <w:rPr>
          <w:color w:val="000000"/>
        </w:rPr>
      </w:pPr>
      <w:r>
        <w:rPr>
          <w:color w:val="000000"/>
        </w:rPr>
        <w:t>Todas as sanções previstas neste Contrato poderão ser aplicadas cumulativamente com a multa (</w:t>
      </w:r>
      <w:r>
        <w:fldChar w:fldCharType="begin"/>
      </w:r>
      <w:r>
        <w:instrText xml:space="preserve"> HYPERLINK "http://www.planalto.gov.br/ccivil_03/_ato2019-2022/2021/lei/L14133.htm" \l "art156%C2%A77" \h </w:instrText>
      </w:r>
      <w:r>
        <w:fldChar w:fldCharType="separate"/>
      </w:r>
      <w:r>
        <w:rPr>
          <w:color w:val="000000"/>
        </w:rPr>
        <w:t>art. 156, §7º, da Lei nº 14.133, de 2021</w:t>
      </w:r>
      <w:r>
        <w:rPr>
          <w:color w:val="000000"/>
        </w:rPr>
        <w:fldChar w:fldCharType="end"/>
      </w:r>
      <w:r>
        <w:rPr>
          <w:color w:val="000000"/>
        </w:rPr>
        <w:t>).</w:t>
      </w:r>
    </w:p>
    <w:p w14:paraId="799BFA77">
      <w:pPr>
        <w:numPr>
          <w:ilvl w:val="2"/>
          <w:numId w:val="20"/>
        </w:numPr>
        <w:pBdr>
          <w:top w:val="none" w:color="auto" w:sz="0" w:space="0"/>
          <w:left w:val="none" w:color="auto" w:sz="0" w:space="0"/>
          <w:bottom w:val="none" w:color="auto" w:sz="0" w:space="0"/>
          <w:right w:val="none" w:color="auto" w:sz="0" w:space="0"/>
          <w:between w:val="none" w:color="auto" w:sz="0" w:space="0"/>
        </w:pBdr>
        <w:spacing w:after="288"/>
        <w:ind w:left="-567" w:right="-852" w:firstLine="0"/>
        <w:jc w:val="both"/>
        <w:rPr>
          <w:color w:val="000000"/>
        </w:rPr>
      </w:pPr>
      <w:r>
        <w:rPr>
          <w:color w:val="000000"/>
        </w:rPr>
        <w:t>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\h </w:instrText>
      </w:r>
      <w:r>
        <w:fldChar w:fldCharType="separate"/>
      </w:r>
      <w:r>
        <w:rPr>
          <w:color w:val="000000"/>
        </w:rPr>
        <w:t>art. 157, da Lei nº 14.133, de 2021</w:t>
      </w:r>
      <w:r>
        <w:rPr>
          <w:color w:val="000000"/>
        </w:rPr>
        <w:fldChar w:fldCharType="end"/>
      </w:r>
      <w:r>
        <w:rPr>
          <w:color w:val="000000"/>
        </w:rPr>
        <w:t>)</w:t>
      </w:r>
    </w:p>
    <w:p w14:paraId="22157FAD">
      <w:pPr>
        <w:numPr>
          <w:ilvl w:val="2"/>
          <w:numId w:val="20"/>
        </w:numPr>
        <w:pBdr>
          <w:top w:val="none" w:color="auto" w:sz="0" w:space="0"/>
          <w:left w:val="none" w:color="auto" w:sz="0" w:space="0"/>
          <w:bottom w:val="none" w:color="auto" w:sz="0" w:space="0"/>
          <w:right w:val="none" w:color="auto" w:sz="0" w:space="0"/>
          <w:between w:val="none" w:color="auto" w:sz="0" w:space="0"/>
        </w:pBdr>
        <w:spacing w:after="288"/>
        <w:ind w:left="-567" w:right="-852" w:firstLine="0"/>
        <w:jc w:val="both"/>
        <w:rPr>
          <w:color w:val="000000"/>
        </w:rPr>
      </w:pPr>
      <w:r>
        <w:rPr>
          <w:color w:val="000000"/>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instrText xml:space="preserve"> HYPERLINK "http://www.planalto.gov.br/ccivil_03/_ato2019-2022/2021/lei/L14133.htm" \l "art156%C2%A78" \h </w:instrText>
      </w:r>
      <w:r>
        <w:fldChar w:fldCharType="separate"/>
      </w:r>
      <w:r>
        <w:rPr>
          <w:color w:val="000000"/>
        </w:rPr>
        <w:t>art. 156, §8º, da Lei nº 14.133, de 2021</w:t>
      </w:r>
      <w:r>
        <w:rPr>
          <w:color w:val="000000"/>
        </w:rPr>
        <w:fldChar w:fldCharType="end"/>
      </w:r>
      <w:r>
        <w:rPr>
          <w:color w:val="000000"/>
        </w:rPr>
        <w:t>).</w:t>
      </w:r>
    </w:p>
    <w:p w14:paraId="5A40837D">
      <w:pPr>
        <w:numPr>
          <w:ilvl w:val="2"/>
          <w:numId w:val="20"/>
        </w:numPr>
        <w:pBdr>
          <w:top w:val="none" w:color="auto" w:sz="0" w:space="0"/>
          <w:left w:val="none" w:color="auto" w:sz="0" w:space="0"/>
          <w:bottom w:val="none" w:color="auto" w:sz="0" w:space="0"/>
          <w:right w:val="none" w:color="auto" w:sz="0" w:space="0"/>
          <w:between w:val="none" w:color="auto" w:sz="0" w:space="0"/>
        </w:pBdr>
        <w:spacing w:after="288"/>
        <w:ind w:left="-567" w:right="-852" w:firstLine="0"/>
        <w:jc w:val="both"/>
        <w:rPr>
          <w:color w:val="000000"/>
        </w:rPr>
      </w:pPr>
      <w:bookmarkStart w:id="54" w:name="_heading=h.1t3h5sf" w:colFirst="0" w:colLast="0"/>
      <w:bookmarkEnd w:id="54"/>
      <w:r>
        <w:rPr>
          <w:color w:val="000000"/>
        </w:rPr>
        <w:t>Previamente ao encaminhamento à cobrança judicial, a multa poderá ser recolhida administrativamente no prazo máximo de 10 (dez)</w:t>
      </w:r>
      <w:r>
        <w:rPr>
          <w:i/>
          <w:color w:val="000000"/>
        </w:rPr>
        <w:t xml:space="preserve"> </w:t>
      </w:r>
      <w:r>
        <w:rPr>
          <w:color w:val="000000"/>
        </w:rPr>
        <w:t>dias, a contar da data do recebimento da comunicação enviada pela autoridade competente.</w:t>
      </w:r>
    </w:p>
    <w:p w14:paraId="68B95379">
      <w:pPr>
        <w:numPr>
          <w:ilvl w:val="1"/>
          <w:numId w:val="20"/>
        </w:numPr>
        <w:pBdr>
          <w:top w:val="none" w:color="auto" w:sz="0" w:space="0"/>
          <w:left w:val="none" w:color="auto" w:sz="0" w:space="0"/>
          <w:bottom w:val="none" w:color="auto" w:sz="0" w:space="0"/>
          <w:right w:val="none" w:color="auto" w:sz="0" w:space="0"/>
          <w:between w:val="none" w:color="auto" w:sz="0" w:space="0"/>
        </w:pBdr>
        <w:spacing w:after="288"/>
        <w:ind w:left="-567" w:right="-852" w:firstLine="0"/>
        <w:jc w:val="both"/>
        <w:rPr>
          <w:color w:val="000000"/>
        </w:rPr>
      </w:pPr>
      <w:r>
        <w:rPr>
          <w:color w:val="000000"/>
        </w:rPr>
        <w:t xml:space="preserve">A aplicação das sanções realizar-se-á em processo administrativo que assegure o contraditório e a ampla defesa ao Contratado, observando-se o procedimento previsto no </w:t>
      </w:r>
      <w:r>
        <w:rPr>
          <w:b/>
          <w:color w:val="000000"/>
        </w:rPr>
        <w:t xml:space="preserve">caput </w:t>
      </w:r>
      <w:r>
        <w:rPr>
          <w:color w:val="000000"/>
        </w:rPr>
        <w:t xml:space="preserve">e parágrafos do </w:t>
      </w:r>
      <w:r>
        <w:fldChar w:fldCharType="begin"/>
      </w:r>
      <w:r>
        <w:instrText xml:space="preserve"> HYPERLINK "http://www.planalto.gov.br/ccivil_03/_ato2019-2022/2021/lei/L14133.htm" \l "art158" \h </w:instrText>
      </w:r>
      <w:r>
        <w:fldChar w:fldCharType="separate"/>
      </w:r>
      <w:r>
        <w:rPr>
          <w:color w:val="000080"/>
          <w:u w:val="single"/>
        </w:rPr>
        <w:t>art. 158 da Lei nº 14.133, de 2021</w:t>
      </w:r>
      <w:r>
        <w:rPr>
          <w:color w:val="000080"/>
          <w:u w:val="single"/>
        </w:rPr>
        <w:fldChar w:fldCharType="end"/>
      </w:r>
      <w:r>
        <w:rPr>
          <w:color w:val="000000"/>
        </w:rPr>
        <w:t>, para as penalidades de impedimento de licitar e contratar e de declaração de inidoneidade para licitar ou contratar.</w:t>
      </w:r>
    </w:p>
    <w:p w14:paraId="60933108">
      <w:pPr>
        <w:numPr>
          <w:ilvl w:val="1"/>
          <w:numId w:val="20"/>
        </w:numPr>
        <w:pBdr>
          <w:top w:val="none" w:color="auto" w:sz="0" w:space="0"/>
          <w:left w:val="none" w:color="auto" w:sz="0" w:space="0"/>
          <w:bottom w:val="none" w:color="auto" w:sz="0" w:space="0"/>
          <w:right w:val="none" w:color="auto" w:sz="0" w:space="0"/>
          <w:between w:val="none" w:color="auto" w:sz="0" w:space="0"/>
        </w:pBdr>
        <w:spacing w:after="288"/>
        <w:ind w:left="-567" w:right="-852" w:firstLine="0"/>
        <w:jc w:val="both"/>
        <w:rPr>
          <w:color w:val="000000"/>
        </w:rPr>
      </w:pPr>
      <w:r>
        <w:rPr>
          <w:color w:val="000000"/>
        </w:rPr>
        <w:t>Na aplicação das sanções serão considerados (</w:t>
      </w:r>
      <w:r>
        <w:fldChar w:fldCharType="begin"/>
      </w:r>
      <w:r>
        <w:instrText xml:space="preserve"> HYPERLINK "http://www.planalto.gov.br/ccivil_03/_ato2019-2022/2021/lei/L14133.htm" \l "art156%C2%A71" \h </w:instrText>
      </w:r>
      <w:r>
        <w:fldChar w:fldCharType="separate"/>
      </w:r>
      <w:r>
        <w:rPr>
          <w:color w:val="000080"/>
          <w:u w:val="single"/>
        </w:rPr>
        <w:t>art. 156, §1º, da Lei nº 14.133, de 2021</w:t>
      </w:r>
      <w:r>
        <w:rPr>
          <w:color w:val="000080"/>
          <w:u w:val="single"/>
        </w:rPr>
        <w:fldChar w:fldCharType="end"/>
      </w:r>
      <w:r>
        <w:rPr>
          <w:color w:val="000000"/>
        </w:rPr>
        <w:t>):</w:t>
      </w:r>
    </w:p>
    <w:p w14:paraId="504E05DD">
      <w:pPr>
        <w:numPr>
          <w:ilvl w:val="0"/>
          <w:numId w:val="23"/>
        </w:numPr>
        <w:spacing w:after="288"/>
        <w:ind w:left="-567" w:right="-852" w:firstLine="0"/>
        <w:jc w:val="both"/>
      </w:pPr>
      <w:r>
        <w:t>a natureza e a gravidade da infração cometida;</w:t>
      </w:r>
    </w:p>
    <w:p w14:paraId="5FD2D2F9">
      <w:pPr>
        <w:numPr>
          <w:ilvl w:val="0"/>
          <w:numId w:val="23"/>
        </w:numPr>
        <w:spacing w:after="288"/>
        <w:ind w:left="-567" w:right="-852" w:firstLine="0"/>
        <w:jc w:val="both"/>
      </w:pPr>
      <w:r>
        <w:t>as peculiaridades do caso concreto;</w:t>
      </w:r>
    </w:p>
    <w:p w14:paraId="6A1147F5">
      <w:pPr>
        <w:numPr>
          <w:ilvl w:val="0"/>
          <w:numId w:val="23"/>
        </w:numPr>
        <w:spacing w:after="288"/>
        <w:ind w:left="-567" w:right="-852" w:firstLine="0"/>
        <w:jc w:val="both"/>
      </w:pPr>
      <w:r>
        <w:t>as circunstâncias agravantes ou atenuantes;</w:t>
      </w:r>
    </w:p>
    <w:p w14:paraId="59F54C94">
      <w:pPr>
        <w:numPr>
          <w:ilvl w:val="0"/>
          <w:numId w:val="23"/>
        </w:numPr>
        <w:spacing w:after="288"/>
        <w:ind w:left="-567" w:right="-852" w:firstLine="0"/>
        <w:jc w:val="both"/>
      </w:pPr>
      <w:r>
        <w:t>os danos que dela provierem para o Contratante;</w:t>
      </w:r>
    </w:p>
    <w:p w14:paraId="10E6EDF1">
      <w:pPr>
        <w:numPr>
          <w:ilvl w:val="0"/>
          <w:numId w:val="23"/>
        </w:numPr>
        <w:spacing w:after="288"/>
        <w:ind w:left="-567" w:right="-852" w:firstLine="0"/>
        <w:jc w:val="both"/>
      </w:pPr>
      <w:r>
        <w:t>a implantação ou o aperfeiçoamento de programa de integridade, conforme normas e orientações dos órgãos de controle.</w:t>
      </w:r>
    </w:p>
    <w:p w14:paraId="76B0339E">
      <w:pPr>
        <w:numPr>
          <w:ilvl w:val="1"/>
          <w:numId w:val="20"/>
        </w:numPr>
        <w:pBdr>
          <w:top w:val="none" w:color="auto" w:sz="0" w:space="0"/>
          <w:left w:val="none" w:color="auto" w:sz="0" w:space="0"/>
          <w:bottom w:val="none" w:color="auto" w:sz="0" w:space="0"/>
          <w:right w:val="none" w:color="auto" w:sz="0" w:space="0"/>
          <w:between w:val="none" w:color="auto" w:sz="0" w:space="0"/>
        </w:pBdr>
        <w:spacing w:after="288"/>
        <w:ind w:left="-567" w:right="-852" w:firstLine="0"/>
        <w:jc w:val="both"/>
        <w:rPr>
          <w:color w:val="000000"/>
        </w:rPr>
      </w:pPr>
      <w:r>
        <w:rPr>
          <w:color w:val="000000"/>
        </w:rPr>
        <w:t xml:space="preserve">Os atos previstos como infrações administrativas na </w:t>
      </w:r>
      <w:r>
        <w:fldChar w:fldCharType="begin"/>
      </w:r>
      <w:r>
        <w:instrText xml:space="preserve"> HYPERLINK "http://www.planalto.gov.br/ccivil_03/_ato2019-2022/2021/lei/L14133.htm" \h </w:instrText>
      </w:r>
      <w:r>
        <w:fldChar w:fldCharType="separate"/>
      </w:r>
      <w:r>
        <w:rPr>
          <w:color w:val="000080"/>
          <w:u w:val="single"/>
        </w:rPr>
        <w:t>Lei nº 14.133, de 2021</w:t>
      </w:r>
      <w:r>
        <w:rPr>
          <w:color w:val="000080"/>
          <w:u w:val="single"/>
        </w:rPr>
        <w:fldChar w:fldCharType="end"/>
      </w:r>
      <w:r>
        <w:rPr>
          <w:color w:val="000000"/>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\h </w:instrText>
      </w:r>
      <w:r>
        <w:fldChar w:fldCharType="separate"/>
      </w:r>
      <w:r>
        <w:rPr>
          <w:color w:val="000080"/>
          <w:u w:val="single"/>
        </w:rPr>
        <w:t>Lei nº 12.846, de 2013</w:t>
      </w:r>
      <w:r>
        <w:rPr>
          <w:color w:val="000080"/>
          <w:u w:val="single"/>
        </w:rPr>
        <w:fldChar w:fldCharType="end"/>
      </w:r>
      <w:r>
        <w:rPr>
          <w:color w:val="000000"/>
        </w:rPr>
        <w:t>, serão apurados e julgados conjuntamente, nos mesmos autos, observados o rito procedimental e autoridade competente definidos na referida Lei (</w:t>
      </w:r>
      <w:r>
        <w:fldChar w:fldCharType="begin"/>
      </w:r>
      <w:r>
        <w:instrText xml:space="preserve"> HYPERLINK "http://www.planalto.gov.br/ccivil_03/_ato2019-2022/2021/lei/L14133.htm%25art159" \h </w:instrText>
      </w:r>
      <w:r>
        <w:fldChar w:fldCharType="separate"/>
      </w:r>
      <w:r>
        <w:rPr>
          <w:color w:val="000080"/>
          <w:u w:val="single"/>
        </w:rPr>
        <w:t>art. 159</w:t>
      </w:r>
      <w:r>
        <w:rPr>
          <w:color w:val="000080"/>
          <w:u w:val="single"/>
        </w:rPr>
        <w:fldChar w:fldCharType="end"/>
      </w:r>
      <w:r>
        <w:rPr>
          <w:color w:val="000000"/>
        </w:rPr>
        <w:t>).</w:t>
      </w:r>
    </w:p>
    <w:p w14:paraId="5A2C55DC">
      <w:pPr>
        <w:numPr>
          <w:ilvl w:val="1"/>
          <w:numId w:val="20"/>
        </w:numPr>
        <w:pBdr>
          <w:top w:val="none" w:color="auto" w:sz="0" w:space="0"/>
          <w:left w:val="none" w:color="auto" w:sz="0" w:space="0"/>
          <w:bottom w:val="none" w:color="auto" w:sz="0" w:space="0"/>
          <w:right w:val="none" w:color="auto" w:sz="0" w:space="0"/>
          <w:between w:val="none" w:color="auto" w:sz="0" w:space="0"/>
        </w:pBdr>
        <w:spacing w:after="288"/>
        <w:ind w:left="-567" w:right="-852" w:firstLine="0"/>
        <w:jc w:val="both"/>
        <w:rPr>
          <w:color w:val="000000"/>
        </w:rPr>
      </w:pPr>
      <w:r>
        <w:rPr>
          <w:color w:val="00000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instrText xml:space="preserve"> HYPERLINK "http://www.planalto.gov.br/ccivil_03/_ato2019-2022/2021/lei/L14133.htm" \l "art160" \h </w:instrText>
      </w:r>
      <w:r>
        <w:fldChar w:fldCharType="separate"/>
      </w:r>
      <w:r>
        <w:rPr>
          <w:color w:val="000080"/>
          <w:u w:val="single"/>
        </w:rPr>
        <w:t>art. 160, da Lei nº 14.133, de 2021</w:t>
      </w:r>
      <w:r>
        <w:rPr>
          <w:color w:val="000080"/>
          <w:u w:val="single"/>
        </w:rPr>
        <w:fldChar w:fldCharType="end"/>
      </w:r>
      <w:r>
        <w:rPr>
          <w:color w:val="000000"/>
        </w:rPr>
        <w:t>).</w:t>
      </w:r>
    </w:p>
    <w:p w14:paraId="67864F26">
      <w:pPr>
        <w:numPr>
          <w:ilvl w:val="1"/>
          <w:numId w:val="20"/>
        </w:numPr>
        <w:pBdr>
          <w:top w:val="none" w:color="auto" w:sz="0" w:space="0"/>
          <w:left w:val="none" w:color="auto" w:sz="0" w:space="0"/>
          <w:bottom w:val="none" w:color="auto" w:sz="0" w:space="0"/>
          <w:right w:val="none" w:color="auto" w:sz="0" w:space="0"/>
          <w:between w:val="none" w:color="auto" w:sz="0" w:space="0"/>
        </w:pBdr>
        <w:spacing w:after="288"/>
        <w:ind w:left="-567" w:right="-852" w:firstLine="0"/>
        <w:jc w:val="both"/>
        <w:rPr>
          <w:color w:val="000000"/>
        </w:rPr>
      </w:pPr>
      <w:r>
        <w:rPr>
          <w:color w:val="000000"/>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\h </w:instrText>
      </w:r>
      <w:r>
        <w:fldChar w:fldCharType="separate"/>
      </w:r>
      <w:r>
        <w:rPr>
          <w:color w:val="000080"/>
          <w:u w:val="single"/>
        </w:rPr>
        <w:t>Art. 16 1, da Lei nº 14.133, de 2021</w:t>
      </w:r>
      <w:r>
        <w:rPr>
          <w:color w:val="000080"/>
          <w:u w:val="single"/>
        </w:rPr>
        <w:fldChar w:fldCharType="end"/>
      </w:r>
      <w:r>
        <w:rPr>
          <w:color w:val="000000"/>
        </w:rPr>
        <w:t>).</w:t>
      </w:r>
    </w:p>
    <w:p w14:paraId="1BCA0E0A">
      <w:pPr>
        <w:numPr>
          <w:ilvl w:val="1"/>
          <w:numId w:val="20"/>
        </w:numPr>
        <w:pBdr>
          <w:top w:val="none" w:color="auto" w:sz="0" w:space="0"/>
          <w:left w:val="none" w:color="auto" w:sz="0" w:space="0"/>
          <w:bottom w:val="none" w:color="auto" w:sz="0" w:space="0"/>
          <w:right w:val="none" w:color="auto" w:sz="0" w:space="0"/>
          <w:between w:val="none" w:color="auto" w:sz="0" w:space="0"/>
        </w:pBdr>
        <w:spacing w:after="288"/>
        <w:ind w:left="-567" w:right="-852" w:firstLine="0"/>
        <w:jc w:val="both"/>
        <w:rPr>
          <w:color w:val="000000"/>
        </w:rPr>
      </w:pPr>
      <w:r>
        <w:rPr>
          <w:color w:val="000000"/>
        </w:rPr>
        <w:t xml:space="preserve">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"163" \h </w:instrText>
      </w:r>
      <w:r>
        <w:fldChar w:fldCharType="separate"/>
      </w:r>
      <w:r>
        <w:rPr>
          <w:color w:val="000080"/>
          <w:u w:val="single"/>
        </w:rPr>
        <w:t>art. 163 da Lei nº 14.133/21</w:t>
      </w:r>
      <w:r>
        <w:rPr>
          <w:color w:val="000080"/>
          <w:u w:val="single"/>
        </w:rPr>
        <w:fldChar w:fldCharType="end"/>
      </w:r>
      <w:r>
        <w:rPr>
          <w:color w:val="000000"/>
        </w:rPr>
        <w:t>.</w:t>
      </w:r>
    </w:p>
    <w:p w14:paraId="27BA6DF0">
      <w:pPr>
        <w:numPr>
          <w:ilvl w:val="1"/>
          <w:numId w:val="20"/>
        </w:numPr>
        <w:pBdr>
          <w:top w:val="none" w:color="auto" w:sz="0" w:space="0"/>
          <w:left w:val="none" w:color="auto" w:sz="0" w:space="0"/>
          <w:bottom w:val="none" w:color="auto" w:sz="0" w:space="0"/>
          <w:right w:val="none" w:color="auto" w:sz="0" w:space="0"/>
          <w:between w:val="none" w:color="auto" w:sz="0" w:space="0"/>
        </w:pBdr>
        <w:spacing w:after="288"/>
        <w:ind w:left="-567" w:right="-852" w:firstLine="0"/>
        <w:jc w:val="both"/>
        <w:rPr>
          <w:color w:val="000000"/>
        </w:rPr>
      </w:pPr>
      <w:r>
        <w:rPr>
          <w:color w:val="000000"/>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407831C9">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567" w:right="-852" w:hanging="360"/>
        <w:jc w:val="both"/>
        <w:rPr>
          <w:b/>
          <w:color w:val="FFFFFF"/>
        </w:rPr>
      </w:pPr>
      <w:r>
        <w:rPr>
          <w:b/>
          <w:color w:val="000000"/>
        </w:rPr>
        <w:t>CLÁUSULA DÉCIMA QUARTA– DA EXTINÇÃO CONTRATUAL (</w:t>
      </w:r>
      <w:r>
        <w:fldChar w:fldCharType="begin"/>
      </w:r>
      <w:r>
        <w:instrText xml:space="preserve"> HYPERLINK "http://www.planalto.gov.br/ccivil_03/_ato2019-2022/2021/lei/L14133.htm" \l "art92" \h </w:instrText>
      </w:r>
      <w:r>
        <w:fldChar w:fldCharType="separate"/>
      </w:r>
      <w:r>
        <w:rPr>
          <w:b/>
          <w:color w:val="000000"/>
        </w:rPr>
        <w:t>art. 92, XIX</w:t>
      </w:r>
      <w:r>
        <w:rPr>
          <w:b/>
          <w:color w:val="000000"/>
        </w:rPr>
        <w:fldChar w:fldCharType="end"/>
      </w:r>
      <w:r>
        <w:rPr>
          <w:b/>
          <w:color w:val="000000"/>
        </w:rPr>
        <w:t>)</w:t>
      </w:r>
    </w:p>
    <w:p w14:paraId="01BCF512">
      <w:pPr>
        <w:numPr>
          <w:ilvl w:val="1"/>
          <w:numId w:val="24"/>
        </w:numPr>
        <w:pBdr>
          <w:top w:val="none" w:color="auto" w:sz="0" w:space="0"/>
          <w:left w:val="none" w:color="auto" w:sz="0" w:space="0"/>
          <w:bottom w:val="none" w:color="auto" w:sz="0" w:space="0"/>
          <w:right w:val="none" w:color="auto" w:sz="0" w:space="0"/>
          <w:between w:val="none" w:color="auto" w:sz="0" w:space="0"/>
        </w:pBdr>
        <w:spacing w:after="288"/>
        <w:ind w:left="-567" w:right="-852" w:hanging="284"/>
        <w:jc w:val="both"/>
        <w:rPr>
          <w:color w:val="000000"/>
        </w:rPr>
      </w:pPr>
      <w:r>
        <w:rPr>
          <w:color w:val="000000"/>
        </w:rPr>
        <w:t>O contrato se extingue quando cumpridas as obrigações de ambas as partes, ainda que isso ocorra antes do prazo estipulado para tanto.</w:t>
      </w:r>
    </w:p>
    <w:p w14:paraId="2B810F59">
      <w:pPr>
        <w:numPr>
          <w:ilvl w:val="1"/>
          <w:numId w:val="24"/>
        </w:numPr>
        <w:pBdr>
          <w:top w:val="none" w:color="auto" w:sz="0" w:space="0"/>
          <w:left w:val="none" w:color="auto" w:sz="0" w:space="0"/>
          <w:bottom w:val="none" w:color="auto" w:sz="0" w:space="0"/>
          <w:right w:val="none" w:color="auto" w:sz="0" w:space="0"/>
          <w:between w:val="none" w:color="auto" w:sz="0" w:space="0"/>
        </w:pBdr>
        <w:spacing w:after="288"/>
        <w:ind w:left="-567" w:right="-852" w:firstLine="0"/>
        <w:jc w:val="both"/>
        <w:rPr>
          <w:color w:val="000000"/>
        </w:rPr>
      </w:pPr>
      <w:r>
        <w:rPr>
          <w:color w:val="000000"/>
        </w:rPr>
        <w:t>Se as obrigações não forem cumpridas no prazo estipulado, a vigência ficará prorrogada até a conclusão do objeto, caso em que deverá a Administração providenciar a readequação do cronograma fixado para o contrato.</w:t>
      </w:r>
    </w:p>
    <w:p w14:paraId="62B7DD8C">
      <w:pPr>
        <w:numPr>
          <w:ilvl w:val="2"/>
          <w:numId w:val="24"/>
        </w:numPr>
        <w:pBdr>
          <w:top w:val="none" w:color="auto" w:sz="0" w:space="0"/>
          <w:left w:val="none" w:color="auto" w:sz="0" w:space="0"/>
          <w:bottom w:val="none" w:color="auto" w:sz="0" w:space="0"/>
          <w:right w:val="none" w:color="auto" w:sz="0" w:space="0"/>
          <w:between w:val="none" w:color="auto" w:sz="0" w:space="0"/>
        </w:pBdr>
        <w:spacing w:after="288"/>
        <w:ind w:left="-567" w:right="-852" w:firstLine="0"/>
        <w:jc w:val="both"/>
        <w:rPr>
          <w:color w:val="000000"/>
        </w:rPr>
      </w:pPr>
      <w:r>
        <w:rPr>
          <w:color w:val="000000"/>
        </w:rPr>
        <w:t>Quando a não conclusão do contrato referida no item anterior decorrer de culpa do contratado:</w:t>
      </w:r>
    </w:p>
    <w:p w14:paraId="2F166594">
      <w:pPr>
        <w:numPr>
          <w:ilvl w:val="0"/>
          <w:numId w:val="25"/>
        </w:numPr>
        <w:pBdr>
          <w:top w:val="none" w:color="auto" w:sz="0" w:space="0"/>
          <w:left w:val="none" w:color="auto" w:sz="0" w:space="0"/>
          <w:bottom w:val="none" w:color="auto" w:sz="0" w:space="0"/>
          <w:right w:val="none" w:color="auto" w:sz="0" w:space="0"/>
          <w:between w:val="none" w:color="auto" w:sz="0" w:space="0"/>
        </w:pBdr>
        <w:spacing w:after="288"/>
        <w:ind w:left="-567" w:right="-852" w:firstLine="0"/>
        <w:jc w:val="both"/>
        <w:rPr>
          <w:color w:val="000000"/>
        </w:rPr>
      </w:pPr>
      <w:r>
        <w:rPr>
          <w:color w:val="000000"/>
        </w:rPr>
        <w:t xml:space="preserve">ficará ele constituído em mora, sendo-lhe aplicáveis as respectivas sanções administrativas; e  </w:t>
      </w:r>
    </w:p>
    <w:p w14:paraId="2876AC98">
      <w:pPr>
        <w:numPr>
          <w:ilvl w:val="0"/>
          <w:numId w:val="25"/>
        </w:numPr>
        <w:pBdr>
          <w:top w:val="none" w:color="auto" w:sz="0" w:space="0"/>
          <w:left w:val="none" w:color="auto" w:sz="0" w:space="0"/>
          <w:bottom w:val="none" w:color="auto" w:sz="0" w:space="0"/>
          <w:right w:val="none" w:color="auto" w:sz="0" w:space="0"/>
          <w:between w:val="none" w:color="auto" w:sz="0" w:space="0"/>
        </w:pBdr>
        <w:spacing w:after="288"/>
        <w:ind w:left="-567" w:right="-852" w:firstLine="0"/>
        <w:jc w:val="both"/>
        <w:rPr>
          <w:i/>
          <w:color w:val="FF0000"/>
        </w:rPr>
      </w:pPr>
      <w:r>
        <w:rPr>
          <w:color w:val="000000"/>
        </w:rPr>
        <w:t>poderá a Administração optar pela extinção do contrato e, nesse caso, adotará as medidas admitidas em lei para a continuidade da execução contratual.</w:t>
      </w:r>
      <w:r>
        <w:rPr>
          <w:i/>
          <w:color w:val="FF0000"/>
        </w:rPr>
        <w:t xml:space="preserve"> </w:t>
      </w:r>
    </w:p>
    <w:p w14:paraId="262D2006">
      <w:pPr>
        <w:numPr>
          <w:ilvl w:val="2"/>
          <w:numId w:val="24"/>
        </w:numPr>
        <w:pBdr>
          <w:top w:val="none" w:color="auto" w:sz="0" w:space="0"/>
          <w:left w:val="none" w:color="auto" w:sz="0" w:space="0"/>
          <w:bottom w:val="none" w:color="auto" w:sz="0" w:space="0"/>
          <w:right w:val="none" w:color="auto" w:sz="0" w:space="0"/>
          <w:between w:val="none" w:color="auto" w:sz="0" w:space="0"/>
        </w:pBdr>
        <w:spacing w:after="288"/>
        <w:ind w:left="-567" w:right="-852" w:firstLine="0"/>
        <w:jc w:val="both"/>
        <w:rPr>
          <w:color w:val="000000"/>
        </w:rPr>
      </w:pPr>
      <w:r>
        <w:rPr>
          <w:color w:val="000000"/>
        </w:rPr>
        <w:t>O contrato pode ser extinto antes do prazo nele fixado, sem ônus para o Contratante, quando esta não dispuser de créditos orçamentários para sua continuidade ou quando entender que o contrato não mais lhe oferece vantagem.</w:t>
      </w:r>
    </w:p>
    <w:p w14:paraId="3CB06A39">
      <w:pPr>
        <w:numPr>
          <w:ilvl w:val="2"/>
          <w:numId w:val="24"/>
        </w:numPr>
        <w:pBdr>
          <w:top w:val="none" w:color="auto" w:sz="0" w:space="0"/>
          <w:left w:val="none" w:color="auto" w:sz="0" w:space="0"/>
          <w:bottom w:val="none" w:color="auto" w:sz="0" w:space="0"/>
          <w:right w:val="none" w:color="auto" w:sz="0" w:space="0"/>
          <w:between w:val="none" w:color="auto" w:sz="0" w:space="0"/>
        </w:pBdr>
        <w:spacing w:after="288"/>
        <w:ind w:left="-567" w:right="-852" w:firstLine="0"/>
        <w:jc w:val="both"/>
      </w:pPr>
      <w:r>
        <w:rPr>
          <w:color w:val="000000"/>
        </w:rPr>
        <w:t xml:space="preserve">A extinção nesta hipótese ocorrerá na próxima data de aniversário do contrato, desde que haja a </w:t>
      </w:r>
      <w:r>
        <w:t>notificação do contratado pelo contratante nesse sentido com pelo menos 2 (dois) meses de antecedência desse dia.</w:t>
      </w:r>
    </w:p>
    <w:p w14:paraId="1159E6D4">
      <w:pPr>
        <w:numPr>
          <w:ilvl w:val="2"/>
          <w:numId w:val="24"/>
        </w:numPr>
        <w:pBdr>
          <w:top w:val="none" w:color="auto" w:sz="0" w:space="0"/>
          <w:left w:val="none" w:color="auto" w:sz="0" w:space="0"/>
          <w:bottom w:val="none" w:color="auto" w:sz="0" w:space="0"/>
          <w:right w:val="none" w:color="auto" w:sz="0" w:space="0"/>
          <w:between w:val="none" w:color="auto" w:sz="0" w:space="0"/>
        </w:pBdr>
        <w:spacing w:after="288"/>
        <w:ind w:left="-567" w:right="-852" w:firstLine="0"/>
        <w:jc w:val="both"/>
        <w:rPr>
          <w:i/>
        </w:rPr>
      </w:pPr>
      <w:r>
        <w:t>Caso a notificação da não-continuidade do contrato de que trata este subitem ocorra com menos de 2 (dois) meses da data de aniversário, a extinção contratual ocorrerá após 2 (dois) meses da data da comunicação.</w:t>
      </w:r>
      <w:r>
        <w:rPr>
          <w:i/>
        </w:rPr>
        <w:t xml:space="preserve"> </w:t>
      </w:r>
    </w:p>
    <w:p w14:paraId="4C02E46D">
      <w:pPr>
        <w:numPr>
          <w:ilvl w:val="1"/>
          <w:numId w:val="24"/>
        </w:numPr>
        <w:pBdr>
          <w:top w:val="none" w:color="auto" w:sz="0" w:space="0"/>
          <w:left w:val="none" w:color="auto" w:sz="0" w:space="0"/>
          <w:bottom w:val="none" w:color="auto" w:sz="0" w:space="0"/>
          <w:right w:val="none" w:color="auto" w:sz="0" w:space="0"/>
          <w:between w:val="none" w:color="auto" w:sz="0" w:space="0"/>
        </w:pBdr>
        <w:spacing w:after="288"/>
        <w:ind w:left="-567" w:right="-852" w:firstLine="0"/>
        <w:jc w:val="both"/>
        <w:rPr>
          <w:color w:val="000000"/>
        </w:rPr>
      </w:pPr>
      <w:r>
        <w:t xml:space="preserve">O contrato pode </w:t>
      </w:r>
      <w:r>
        <w:rPr>
          <w:color w:val="000000"/>
        </w:rPr>
        <w:t xml:space="preserve">ser extinto antes de cumpridas as obrigações nele estipuladas, ou antes do prazo nele fixado, por algum dos motivos previstos no </w:t>
      </w:r>
      <w:r>
        <w:fldChar w:fldCharType="begin"/>
      </w:r>
      <w:r>
        <w:instrText xml:space="preserve"> HYPERLINK "http://www.planalto.gov.br/ccivil_03/_ato2019-2022/2021/lei/L14133.htm" \l "art137" \h </w:instrText>
      </w:r>
      <w:r>
        <w:fldChar w:fldCharType="separate"/>
      </w:r>
      <w:r>
        <w:rPr>
          <w:color w:val="000080"/>
          <w:u w:val="single"/>
        </w:rPr>
        <w:t>artigo 137 da Lei nº 14.133/21</w:t>
      </w:r>
      <w:r>
        <w:rPr>
          <w:color w:val="000080"/>
          <w:u w:val="single"/>
        </w:rPr>
        <w:fldChar w:fldCharType="end"/>
      </w:r>
      <w:r>
        <w:rPr>
          <w:color w:val="000000"/>
        </w:rPr>
        <w:t>, bem como amigavelmente, assegurados o contraditório e a ampla defesa.</w:t>
      </w:r>
    </w:p>
    <w:p w14:paraId="1FDC9254">
      <w:pPr>
        <w:numPr>
          <w:ilvl w:val="2"/>
          <w:numId w:val="24"/>
        </w:numPr>
        <w:pBdr>
          <w:top w:val="none" w:color="auto" w:sz="0" w:space="0"/>
          <w:left w:val="none" w:color="auto" w:sz="0" w:space="0"/>
          <w:bottom w:val="none" w:color="auto" w:sz="0" w:space="0"/>
          <w:right w:val="none" w:color="auto" w:sz="0" w:space="0"/>
          <w:between w:val="none" w:color="auto" w:sz="0" w:space="0"/>
        </w:pBdr>
        <w:spacing w:after="288"/>
        <w:ind w:left="-567" w:right="-852" w:firstLine="0"/>
        <w:jc w:val="both"/>
        <w:rPr>
          <w:color w:val="000000"/>
        </w:rPr>
      </w:pPr>
      <w:r>
        <w:rPr>
          <w:color w:val="000000"/>
        </w:rPr>
        <w:t xml:space="preserve">Nesta hipótese, aplicam-se também os </w:t>
      </w:r>
      <w:r>
        <w:fldChar w:fldCharType="begin"/>
      </w:r>
      <w:r>
        <w:instrText xml:space="preserve"> HYPERLINK "http://www.planalto.gov.br/ccivil_03/_ato2019-2022/2021/lei/L14133.htm" \l "art138" \h </w:instrText>
      </w:r>
      <w:r>
        <w:fldChar w:fldCharType="separate"/>
      </w:r>
      <w:r>
        <w:rPr>
          <w:color w:val="000080"/>
          <w:u w:val="single"/>
        </w:rPr>
        <w:t>artigos 138 e 139 da mesma Lei</w:t>
      </w:r>
      <w:r>
        <w:rPr>
          <w:color w:val="000080"/>
          <w:u w:val="single"/>
        </w:rPr>
        <w:fldChar w:fldCharType="end"/>
      </w:r>
      <w:r>
        <w:rPr>
          <w:color w:val="000000"/>
        </w:rPr>
        <w:t>.</w:t>
      </w:r>
    </w:p>
    <w:p w14:paraId="4888CC36">
      <w:pPr>
        <w:numPr>
          <w:ilvl w:val="2"/>
          <w:numId w:val="24"/>
        </w:numPr>
        <w:pBdr>
          <w:top w:val="none" w:color="auto" w:sz="0" w:space="0"/>
          <w:left w:val="none" w:color="auto" w:sz="0" w:space="0"/>
          <w:bottom w:val="none" w:color="auto" w:sz="0" w:space="0"/>
          <w:right w:val="none" w:color="auto" w:sz="0" w:space="0"/>
          <w:between w:val="none" w:color="auto" w:sz="0" w:space="0"/>
        </w:pBdr>
        <w:spacing w:after="288"/>
        <w:ind w:left="-567" w:right="-852" w:firstLine="0"/>
        <w:jc w:val="both"/>
        <w:rPr>
          <w:color w:val="000000"/>
        </w:rPr>
      </w:pPr>
      <w:r>
        <w:rPr>
          <w:color w:val="000000"/>
        </w:rPr>
        <w:t>A alteração social ou a modificação da finalidade ou da estrutura da empresa não ensejará a rescisão se não restringir sua capacidade de concluir o contrato.</w:t>
      </w:r>
    </w:p>
    <w:p w14:paraId="797E3CF9">
      <w:pPr>
        <w:numPr>
          <w:ilvl w:val="3"/>
          <w:numId w:val="24"/>
        </w:numPr>
        <w:pBdr>
          <w:top w:val="none" w:color="auto" w:sz="0" w:space="0"/>
          <w:left w:val="none" w:color="auto" w:sz="0" w:space="0"/>
          <w:bottom w:val="none" w:color="auto" w:sz="0" w:space="0"/>
          <w:right w:val="none" w:color="auto" w:sz="0" w:space="0"/>
          <w:between w:val="none" w:color="auto" w:sz="0" w:space="0"/>
        </w:pBdr>
        <w:spacing w:after="288"/>
        <w:ind w:left="-567" w:right="-852" w:firstLine="0"/>
        <w:jc w:val="both"/>
        <w:rPr>
          <w:color w:val="000000"/>
        </w:rPr>
      </w:pPr>
      <w:r>
        <w:rPr>
          <w:color w:val="000000"/>
        </w:rPr>
        <w:t>Se a operação implicar mudança da pessoa jurídica contratada, deverá ser formalizado termo aditivo para alteração subjetiva.</w:t>
      </w:r>
    </w:p>
    <w:p w14:paraId="6785374E">
      <w:pPr>
        <w:numPr>
          <w:ilvl w:val="1"/>
          <w:numId w:val="24"/>
        </w:numPr>
        <w:pBdr>
          <w:top w:val="none" w:color="auto" w:sz="0" w:space="0"/>
          <w:left w:val="none" w:color="auto" w:sz="0" w:space="0"/>
          <w:bottom w:val="none" w:color="auto" w:sz="0" w:space="0"/>
          <w:right w:val="none" w:color="auto" w:sz="0" w:space="0"/>
          <w:between w:val="none" w:color="auto" w:sz="0" w:space="0"/>
        </w:pBdr>
        <w:spacing w:after="288"/>
        <w:ind w:left="-567" w:right="-852" w:firstLine="0"/>
        <w:jc w:val="both"/>
        <w:rPr>
          <w:color w:val="000000"/>
        </w:rPr>
      </w:pPr>
      <w:r>
        <w:rPr>
          <w:color w:val="000000"/>
        </w:rPr>
        <w:t>O termo de rescisão, sempre que possível, será precedido:</w:t>
      </w:r>
    </w:p>
    <w:p w14:paraId="3AFB4AD4">
      <w:pPr>
        <w:numPr>
          <w:ilvl w:val="2"/>
          <w:numId w:val="24"/>
        </w:numPr>
        <w:pBdr>
          <w:top w:val="none" w:color="auto" w:sz="0" w:space="0"/>
          <w:left w:val="none" w:color="auto" w:sz="0" w:space="0"/>
          <w:bottom w:val="none" w:color="auto" w:sz="0" w:space="0"/>
          <w:right w:val="none" w:color="auto" w:sz="0" w:space="0"/>
          <w:between w:val="none" w:color="auto" w:sz="0" w:space="0"/>
        </w:pBdr>
        <w:spacing w:after="288"/>
        <w:ind w:left="-567" w:right="-852" w:firstLine="0"/>
        <w:jc w:val="both"/>
        <w:rPr>
          <w:color w:val="000000"/>
        </w:rPr>
      </w:pPr>
      <w:r>
        <w:rPr>
          <w:color w:val="000000"/>
        </w:rPr>
        <w:t>Balanço dos eventos contratuais já cumpridos ou parcialmente cumpridos;</w:t>
      </w:r>
    </w:p>
    <w:p w14:paraId="0F537045">
      <w:pPr>
        <w:numPr>
          <w:ilvl w:val="2"/>
          <w:numId w:val="24"/>
        </w:numPr>
        <w:pBdr>
          <w:top w:val="none" w:color="auto" w:sz="0" w:space="0"/>
          <w:left w:val="none" w:color="auto" w:sz="0" w:space="0"/>
          <w:bottom w:val="none" w:color="auto" w:sz="0" w:space="0"/>
          <w:right w:val="none" w:color="auto" w:sz="0" w:space="0"/>
          <w:between w:val="none" w:color="auto" w:sz="0" w:space="0"/>
        </w:pBdr>
        <w:spacing w:after="288"/>
        <w:ind w:left="-567" w:right="-852" w:firstLine="0"/>
        <w:jc w:val="both"/>
        <w:rPr>
          <w:color w:val="000000"/>
        </w:rPr>
      </w:pPr>
      <w:r>
        <w:rPr>
          <w:color w:val="000000"/>
        </w:rPr>
        <w:t>Relação dos pagamentos já efetuados e ainda devidos;</w:t>
      </w:r>
    </w:p>
    <w:p w14:paraId="0B5F575F">
      <w:pPr>
        <w:numPr>
          <w:ilvl w:val="2"/>
          <w:numId w:val="24"/>
        </w:numPr>
        <w:pBdr>
          <w:top w:val="none" w:color="auto" w:sz="0" w:space="0"/>
          <w:left w:val="none" w:color="auto" w:sz="0" w:space="0"/>
          <w:bottom w:val="none" w:color="auto" w:sz="0" w:space="0"/>
          <w:right w:val="none" w:color="auto" w:sz="0" w:space="0"/>
          <w:between w:val="none" w:color="auto" w:sz="0" w:space="0"/>
        </w:pBdr>
        <w:spacing w:after="288"/>
        <w:ind w:left="-567" w:right="-852" w:firstLine="0"/>
        <w:jc w:val="both"/>
        <w:rPr>
          <w:color w:val="000000"/>
        </w:rPr>
      </w:pPr>
      <w:r>
        <w:rPr>
          <w:color w:val="000000"/>
        </w:rPr>
        <w:t>Indenizações e multas.</w:t>
      </w:r>
    </w:p>
    <w:p w14:paraId="171F393F">
      <w:pPr>
        <w:numPr>
          <w:ilvl w:val="1"/>
          <w:numId w:val="24"/>
        </w:numPr>
        <w:pBdr>
          <w:top w:val="none" w:color="auto" w:sz="0" w:space="0"/>
          <w:left w:val="none" w:color="auto" w:sz="0" w:space="0"/>
          <w:bottom w:val="none" w:color="auto" w:sz="0" w:space="0"/>
          <w:right w:val="none" w:color="auto" w:sz="0" w:space="0"/>
          <w:between w:val="none" w:color="auto" w:sz="0" w:space="0"/>
        </w:pBdr>
        <w:spacing w:after="288"/>
        <w:ind w:left="-567" w:right="-852" w:firstLine="0"/>
        <w:jc w:val="both"/>
        <w:rPr>
          <w:color w:val="000000"/>
        </w:rPr>
      </w:pPr>
      <w:r>
        <w:rPr>
          <w:color w:val="000000"/>
        </w:rPr>
        <w:t>A extinção do contrato não configura óbice para o reconhecimento do desequilíbrio econômico-financeiro, hipótese em que será concedida indenização por meio de termo indenizatório (</w:t>
      </w:r>
      <w:r>
        <w:fldChar w:fldCharType="begin"/>
      </w:r>
      <w:r>
        <w:instrText xml:space="preserve"> HYPERLINK "http://www.planalto.gov.br/ccivil_03/_ato2019-2022/2021/lei/L14133.htm" \l "art131" \h </w:instrText>
      </w:r>
      <w:r>
        <w:fldChar w:fldCharType="separate"/>
      </w:r>
      <w:r>
        <w:rPr>
          <w:color w:val="000080"/>
          <w:u w:val="single"/>
        </w:rPr>
        <w:t xml:space="preserve">art. 131, </w:t>
      </w:r>
      <w:r>
        <w:rPr>
          <w:color w:val="000080"/>
          <w:u w:val="single"/>
        </w:rPr>
        <w:fldChar w:fldCharType="end"/>
      </w:r>
      <w:r>
        <w:fldChar w:fldCharType="begin"/>
      </w:r>
      <w:r>
        <w:instrText xml:space="preserve"> HYPERLINK "http://www.planalto.gov.br/ccivil_03/_ato2019-2022/2021/lei/L14133.htm" \l "art131" \h </w:instrText>
      </w:r>
      <w:r>
        <w:fldChar w:fldCharType="separate"/>
      </w:r>
      <w:r>
        <w:rPr>
          <w:i/>
          <w:color w:val="000080"/>
          <w:u w:val="single"/>
        </w:rPr>
        <w:t xml:space="preserve">caput, </w:t>
      </w:r>
      <w:r>
        <w:rPr>
          <w:i/>
          <w:color w:val="000080"/>
          <w:u w:val="single"/>
        </w:rPr>
        <w:fldChar w:fldCharType="end"/>
      </w:r>
      <w:r>
        <w:fldChar w:fldCharType="begin"/>
      </w:r>
      <w:r>
        <w:instrText xml:space="preserve"> HYPERLINK "http://www.planalto.gov.br/ccivil_03/_ato2019-2022/2021/lei/L14133.htm" \l "art131" \h </w:instrText>
      </w:r>
      <w:r>
        <w:fldChar w:fldCharType="separate"/>
      </w:r>
      <w:r>
        <w:rPr>
          <w:color w:val="000080"/>
          <w:u w:val="single"/>
        </w:rPr>
        <w:t>da Lei n.º 14.133, de 2021</w:t>
      </w:r>
      <w:r>
        <w:rPr>
          <w:color w:val="000080"/>
          <w:u w:val="single"/>
        </w:rPr>
        <w:fldChar w:fldCharType="end"/>
      </w:r>
      <w:r>
        <w:rPr>
          <w:color w:val="000000"/>
        </w:rPr>
        <w:t xml:space="preserve">). </w:t>
      </w:r>
    </w:p>
    <w:p w14:paraId="5D0C6A6D">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567" w:right="-852" w:hanging="360"/>
        <w:jc w:val="both"/>
        <w:rPr>
          <w:b/>
          <w:color w:val="000000"/>
        </w:rPr>
      </w:pPr>
      <w:r>
        <w:rPr>
          <w:b/>
          <w:color w:val="000000"/>
        </w:rPr>
        <w:t>CLÁUSULA DÉCIMA QUINTA –DOS CASOS OMISSOS (</w:t>
      </w:r>
      <w:r>
        <w:fldChar w:fldCharType="begin"/>
      </w:r>
      <w:r>
        <w:instrText xml:space="preserve"> HYPERLINK "http://www.planalto.gov.br/ccivil_03/_ato2019-2022/2021/lei/L14133.htm" \l "art92" \h </w:instrText>
      </w:r>
      <w:r>
        <w:fldChar w:fldCharType="separate"/>
      </w:r>
      <w:r>
        <w:rPr>
          <w:b/>
          <w:color w:val="000000"/>
        </w:rPr>
        <w:t>art. 92, III</w:t>
      </w:r>
      <w:r>
        <w:rPr>
          <w:b/>
          <w:color w:val="000000"/>
        </w:rPr>
        <w:fldChar w:fldCharType="end"/>
      </w:r>
      <w:r>
        <w:rPr>
          <w:b/>
          <w:color w:val="000000"/>
        </w:rPr>
        <w:t>)</w:t>
      </w:r>
    </w:p>
    <w:p w14:paraId="1282EEA5">
      <w:pPr>
        <w:numPr>
          <w:ilvl w:val="1"/>
          <w:numId w:val="26"/>
        </w:numPr>
        <w:pBdr>
          <w:top w:val="none" w:color="auto" w:sz="0" w:space="0"/>
          <w:left w:val="none" w:color="auto" w:sz="0" w:space="0"/>
          <w:bottom w:val="none" w:color="auto" w:sz="0" w:space="0"/>
          <w:right w:val="none" w:color="auto" w:sz="0" w:space="0"/>
          <w:between w:val="none" w:color="auto" w:sz="0" w:space="0"/>
        </w:pBdr>
        <w:spacing w:after="288"/>
        <w:ind w:left="-567" w:right="-852"/>
        <w:jc w:val="both"/>
        <w:rPr>
          <w:color w:val="000000"/>
        </w:rPr>
      </w:pPr>
      <w:r>
        <w:rPr>
          <w:color w:val="000000"/>
        </w:rPr>
        <w:t xml:space="preserve">Os casos omissos serão decididos pelo contratante, segundo as disposições contidas na Lei </w:t>
      </w:r>
      <w:r>
        <w:fldChar w:fldCharType="begin"/>
      </w:r>
      <w:r>
        <w:instrText xml:space="preserve"> HYPERLINK "http://www.planalto.gov.br/ccivil_03/_ato2019-2022/2021/lei/L14133.htm" \h </w:instrText>
      </w:r>
      <w:r>
        <w:fldChar w:fldCharType="separate"/>
      </w:r>
      <w:r>
        <w:rPr>
          <w:color w:val="000080"/>
          <w:u w:val="single"/>
        </w:rPr>
        <w:t>nº 14.133, de 2021</w:t>
      </w:r>
      <w:r>
        <w:rPr>
          <w:color w:val="000080"/>
          <w:u w:val="single"/>
        </w:rPr>
        <w:fldChar w:fldCharType="end"/>
      </w:r>
      <w:r>
        <w:rPr>
          <w:color w:val="000000"/>
        </w:rPr>
        <w:t>, Decret</w:t>
      </w:r>
      <w:r>
        <w:t xml:space="preserve">o Municipal nº 296 </w:t>
      </w:r>
      <w:r>
        <w:rPr>
          <w:color w:val="000000"/>
        </w:rPr>
        <w:t xml:space="preserve">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color w:val="000080"/>
          <w:u w:val="single"/>
        </w:rPr>
        <w:t>Lei nº 8.078, de 1990 – Código de Defesa do Consumidor</w:t>
      </w:r>
      <w:r>
        <w:rPr>
          <w:color w:val="000080"/>
          <w:u w:val="single"/>
        </w:rPr>
        <w:fldChar w:fldCharType="end"/>
      </w:r>
      <w:r>
        <w:rPr>
          <w:color w:val="000000"/>
        </w:rPr>
        <w:t xml:space="preserve"> – e normas e princípios gerais dos contratos.</w:t>
      </w:r>
    </w:p>
    <w:p w14:paraId="19F2C9DE">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567" w:right="-852" w:hanging="360"/>
        <w:jc w:val="both"/>
        <w:rPr>
          <w:b/>
          <w:color w:val="FFFFFF"/>
        </w:rPr>
      </w:pPr>
      <w:r>
        <w:rPr>
          <w:b/>
          <w:color w:val="000000"/>
        </w:rPr>
        <w:t>CLÁUSULA DÉCIMA SEXTA – ALTERAÇÕES</w:t>
      </w:r>
    </w:p>
    <w:p w14:paraId="2019EB06">
      <w:pPr>
        <w:numPr>
          <w:ilvl w:val="1"/>
          <w:numId w:val="27"/>
        </w:numPr>
        <w:pBdr>
          <w:top w:val="none" w:color="auto" w:sz="0" w:space="0"/>
          <w:left w:val="none" w:color="auto" w:sz="0" w:space="0"/>
          <w:bottom w:val="none" w:color="auto" w:sz="0" w:space="0"/>
          <w:right w:val="none" w:color="auto" w:sz="0" w:space="0"/>
          <w:between w:val="none" w:color="auto" w:sz="0" w:space="0"/>
        </w:pBdr>
        <w:spacing w:after="288"/>
        <w:ind w:left="-567" w:right="-852"/>
        <w:jc w:val="both"/>
        <w:rPr>
          <w:color w:val="000000"/>
        </w:rPr>
      </w:pPr>
      <w:r>
        <w:rPr>
          <w:color w:val="000000"/>
        </w:rPr>
        <w:t xml:space="preserve">Eventuais alterações contratuais reger-se-ão pela disciplina dos </w:t>
      </w:r>
      <w:r>
        <w:fldChar w:fldCharType="begin"/>
      </w:r>
      <w:r>
        <w:instrText xml:space="preserve"> HYPERLINK "http://www.planalto.gov.br/ccivil_03/_ato2019-2022/2021/lei/L14133.htm" \l "art124" \h </w:instrText>
      </w:r>
      <w:r>
        <w:fldChar w:fldCharType="separate"/>
      </w:r>
      <w:r>
        <w:rPr>
          <w:color w:val="000080"/>
          <w:u w:val="single"/>
        </w:rPr>
        <w:t>arts. 124 e seguintes da Lei nº 14.133, de 2021</w:t>
      </w:r>
      <w:r>
        <w:rPr>
          <w:color w:val="000080"/>
          <w:u w:val="single"/>
        </w:rPr>
        <w:fldChar w:fldCharType="end"/>
      </w:r>
      <w:r>
        <w:rPr>
          <w:color w:val="000000"/>
        </w:rPr>
        <w:t>.</w:t>
      </w:r>
    </w:p>
    <w:p w14:paraId="1A33C190">
      <w:pPr>
        <w:numPr>
          <w:ilvl w:val="1"/>
          <w:numId w:val="27"/>
        </w:numPr>
        <w:pBdr>
          <w:top w:val="none" w:color="auto" w:sz="0" w:space="0"/>
          <w:left w:val="none" w:color="auto" w:sz="0" w:space="0"/>
          <w:bottom w:val="none" w:color="auto" w:sz="0" w:space="0"/>
          <w:right w:val="none" w:color="auto" w:sz="0" w:space="0"/>
          <w:between w:val="none" w:color="auto" w:sz="0" w:space="0"/>
        </w:pBdr>
        <w:spacing w:after="288"/>
        <w:ind w:left="-567" w:right="-852"/>
        <w:jc w:val="both"/>
        <w:rPr>
          <w:color w:val="000000"/>
        </w:rPr>
      </w:pPr>
      <w:r>
        <w:rPr>
          <w:color w:val="000000"/>
        </w:rPr>
        <w:t>O contratado é obrigado a aceitar, nas mesmas condições contratuais, os acréscimos ou supressões que se fizerem necessários, até o limite de 25% (vinte e cinco por cento) do valor inicial atualizado do contrato.</w:t>
      </w:r>
    </w:p>
    <w:p w14:paraId="14E0C954">
      <w:pPr>
        <w:numPr>
          <w:ilvl w:val="1"/>
          <w:numId w:val="27"/>
        </w:numPr>
        <w:pBdr>
          <w:top w:val="none" w:color="auto" w:sz="0" w:space="0"/>
          <w:left w:val="none" w:color="auto" w:sz="0" w:space="0"/>
          <w:bottom w:val="none" w:color="auto" w:sz="0" w:space="0"/>
          <w:right w:val="none" w:color="auto" w:sz="0" w:space="0"/>
          <w:between w:val="none" w:color="auto" w:sz="0" w:space="0"/>
        </w:pBdr>
        <w:spacing w:after="288"/>
        <w:ind w:left="-567" w:right="-852"/>
        <w:jc w:val="both"/>
        <w:rPr>
          <w:color w:val="000000"/>
        </w:rPr>
      </w:pPr>
      <w:r>
        <w:rPr>
          <w:color w:val="000000"/>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\h </w:instrText>
      </w:r>
      <w:r>
        <w:fldChar w:fldCharType="separate"/>
      </w:r>
      <w:r>
        <w:rPr>
          <w:color w:val="000080"/>
          <w:u w:val="single"/>
        </w:rPr>
        <w:t>art. 136 da Lei nº 14.133, de 2021</w:t>
      </w:r>
      <w:r>
        <w:rPr>
          <w:color w:val="000080"/>
          <w:u w:val="single"/>
        </w:rPr>
        <w:fldChar w:fldCharType="end"/>
      </w:r>
      <w:r>
        <w:rPr>
          <w:color w:val="000000"/>
        </w:rPr>
        <w:t>.</w:t>
      </w:r>
    </w:p>
    <w:p w14:paraId="1C57287C">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567" w:right="-852" w:hanging="360"/>
        <w:jc w:val="both"/>
        <w:rPr>
          <w:b/>
          <w:color w:val="FFFFFF"/>
        </w:rPr>
      </w:pPr>
      <w:r>
        <w:rPr>
          <w:b/>
          <w:color w:val="000000"/>
        </w:rPr>
        <w:t>CLÁUSULA DÉCIMA SÉTIMA– PUBLICAÇÃO</w:t>
      </w:r>
    </w:p>
    <w:p w14:paraId="7D52FFE5">
      <w:pPr>
        <w:numPr>
          <w:ilvl w:val="1"/>
          <w:numId w:val="28"/>
        </w:numPr>
        <w:pBdr>
          <w:top w:val="none" w:color="auto" w:sz="0" w:space="0"/>
          <w:left w:val="none" w:color="auto" w:sz="0" w:space="0"/>
          <w:bottom w:val="none" w:color="auto" w:sz="0" w:space="0"/>
          <w:right w:val="none" w:color="auto" w:sz="0" w:space="0"/>
          <w:between w:val="none" w:color="auto" w:sz="0" w:space="0"/>
        </w:pBdr>
        <w:spacing w:after="288"/>
        <w:ind w:left="-567" w:right="-852"/>
        <w:jc w:val="both"/>
        <w:rPr>
          <w:b/>
        </w:rPr>
      </w:pPr>
      <w:r>
        <w:rPr>
          <w:color w:val="000000"/>
        </w:rP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 \l "art94" \h </w:instrText>
      </w:r>
      <w:r>
        <w:fldChar w:fldCharType="separate"/>
      </w:r>
      <w:r>
        <w:rPr>
          <w:color w:val="000080"/>
          <w:u w:val="single"/>
        </w:rPr>
        <w:t>art. 94 da Lei 14.133, de 2021</w:t>
      </w:r>
      <w:r>
        <w:rPr>
          <w:color w:val="000080"/>
          <w:u w:val="single"/>
        </w:rPr>
        <w:fldChar w:fldCharType="end"/>
      </w:r>
      <w:r>
        <w:rPr>
          <w:color w:val="000000"/>
        </w:rPr>
        <w:t xml:space="preserve">, bem como no respectivo sítio oficial na Internet, em atenção ao </w:t>
      </w:r>
      <w:r>
        <w:fldChar w:fldCharType="begin"/>
      </w:r>
      <w:r>
        <w:instrText xml:space="preserve"> HYPERLINK "https://www.planalto.gov.br/ccivil_03/_ato2011-2014/2011/lei/l12527.htm" \l "art8%C2%A72" \h </w:instrText>
      </w:r>
      <w:r>
        <w:fldChar w:fldCharType="separate"/>
      </w:r>
      <w:r>
        <w:rPr>
          <w:color w:val="000080"/>
          <w:u w:val="single"/>
        </w:rPr>
        <w:t>art. 8º, §2º, da Lei n. 12.527, de 2011</w:t>
      </w:r>
      <w:r>
        <w:rPr>
          <w:color w:val="000080"/>
          <w:u w:val="single"/>
        </w:rPr>
        <w:fldChar w:fldCharType="end"/>
      </w:r>
      <w:r>
        <w:rPr>
          <w:color w:val="000000"/>
        </w:rPr>
        <w:t>.</w:t>
      </w:r>
    </w:p>
    <w:p w14:paraId="1F2B3A15">
      <w:pPr>
        <w:ind w:left="-567" w:right="-852"/>
        <w:jc w:val="both"/>
        <w:rPr>
          <w:b/>
        </w:rPr>
      </w:pPr>
      <w:r>
        <w:rPr>
          <w:b/>
        </w:rPr>
        <w:t>CLÁUSULA DÉCIMA OITAVA– FORO</w:t>
      </w:r>
    </w:p>
    <w:p w14:paraId="70A7ADE7">
      <w:pPr>
        <w:ind w:left="-567" w:right="-852"/>
        <w:jc w:val="both"/>
        <w:rPr>
          <w:b/>
        </w:rPr>
      </w:pPr>
    </w:p>
    <w:p w14:paraId="1CE77BBB">
      <w:pPr>
        <w:pBdr>
          <w:top w:val="none" w:color="auto" w:sz="0" w:space="0"/>
          <w:left w:val="none" w:color="auto" w:sz="0" w:space="0"/>
          <w:bottom w:val="none" w:color="auto" w:sz="0" w:space="0"/>
          <w:right w:val="none" w:color="auto" w:sz="0" w:space="0"/>
          <w:between w:val="none" w:color="auto" w:sz="0" w:space="0"/>
        </w:pBdr>
        <w:spacing w:after="288"/>
        <w:ind w:left="-567" w:right="-852"/>
        <w:jc w:val="both"/>
        <w:rPr>
          <w:color w:val="000000"/>
        </w:rPr>
      </w:pPr>
      <w:r>
        <w:rPr>
          <w:color w:val="000000"/>
        </w:rPr>
        <w:t xml:space="preserve">18.1. </w:t>
      </w:r>
      <w:r>
        <w:t xml:space="preserve">Fica eleito o Foro da Comarca de Ipirá - BA, para dirimir os litígios que decorrerem da execução deste Termo de Contrato que não puderem ser compostos pela conciliação, conforme </w:t>
      </w:r>
      <w:r>
        <w:fldChar w:fldCharType="begin"/>
      </w:r>
      <w:r>
        <w:instrText xml:space="preserve"> HYPERLINK "http://www.planalto.gov.br/ccivil_03/_ato2019-2022/2021/lei/L14133.htm" \l "art92%C2%A71" \h </w:instrText>
      </w:r>
      <w:r>
        <w:fldChar w:fldCharType="separate"/>
      </w:r>
      <w:r>
        <w:t>art. 92, §1º, da Lei nº 14.133/21</w:t>
      </w:r>
      <w:r>
        <w:fldChar w:fldCharType="end"/>
      </w:r>
    </w:p>
    <w:p w14:paraId="1D240959">
      <w:pPr>
        <w:pBdr>
          <w:top w:val="none" w:color="auto" w:sz="0" w:space="0"/>
          <w:left w:val="none" w:color="auto" w:sz="0" w:space="0"/>
          <w:bottom w:val="none" w:color="auto" w:sz="0" w:space="0"/>
          <w:right w:val="none" w:color="auto" w:sz="0" w:space="0"/>
          <w:between w:val="none" w:color="auto" w:sz="0" w:space="0"/>
        </w:pBdr>
        <w:ind w:left="-567" w:right="-852"/>
        <w:jc w:val="both"/>
        <w:rPr>
          <w:color w:val="000000"/>
        </w:rPr>
      </w:pPr>
      <w:r>
        <w:rPr>
          <w:color w:val="000000"/>
        </w:rPr>
        <w:t xml:space="preserve">18.2. Para firmeza e validade do pactuado, o presente Termo de Contrato foi lavrado em duas (duas) vias de igual teor, que, depois de lido e achado em ordem, vai assinado pelos contraentes. </w:t>
      </w:r>
    </w:p>
    <w:p w14:paraId="53CD00EB">
      <w:pPr>
        <w:ind w:right="-852"/>
        <w:jc w:val="both"/>
      </w:pPr>
    </w:p>
    <w:p w14:paraId="0F5D1E71">
      <w:pPr>
        <w:ind w:right="-852"/>
        <w:jc w:val="both"/>
      </w:pPr>
    </w:p>
    <w:p w14:paraId="10C831CF">
      <w:pPr>
        <w:ind w:right="-852"/>
        <w:jc w:val="center"/>
      </w:pPr>
      <w:r>
        <w:t>XXXXXXX-BA, __ de __________ de 2024.</w:t>
      </w:r>
    </w:p>
    <w:p w14:paraId="0750F41A">
      <w:pPr>
        <w:ind w:right="-852"/>
        <w:jc w:val="center"/>
      </w:pPr>
    </w:p>
    <w:p w14:paraId="546A8022">
      <w:pPr>
        <w:ind w:right="-852"/>
        <w:jc w:val="center"/>
        <w:rPr>
          <w:b/>
        </w:rPr>
      </w:pPr>
      <w:r>
        <w:rPr>
          <w:b/>
        </w:rPr>
        <w:t>___________________________________________</w:t>
      </w:r>
    </w:p>
    <w:p w14:paraId="4A56AC61">
      <w:pPr>
        <w:ind w:right="-852"/>
        <w:jc w:val="center"/>
        <w:rPr>
          <w:b/>
        </w:rPr>
      </w:pPr>
      <w:r>
        <w:rPr>
          <w:b/>
        </w:rPr>
        <w:t xml:space="preserve">PREFEITURA MUNICIPAL DE </w:t>
      </w:r>
      <w:r>
        <w:rPr>
          <w:b/>
          <w:color w:val="000000"/>
        </w:rPr>
        <w:t>XXXX XXXX</w:t>
      </w:r>
    </w:p>
    <w:p w14:paraId="572B43A9">
      <w:pPr>
        <w:ind w:right="-852"/>
        <w:jc w:val="center"/>
        <w:rPr>
          <w:b/>
        </w:rPr>
      </w:pPr>
      <w:r>
        <w:rPr>
          <w:b/>
        </w:rPr>
        <w:t>REPRESENTANTE – XXXXXXXX</w:t>
      </w:r>
    </w:p>
    <w:p w14:paraId="5141A7A7">
      <w:pPr>
        <w:ind w:right="-852"/>
        <w:jc w:val="center"/>
        <w:rPr>
          <w:b/>
        </w:rPr>
      </w:pPr>
      <w:r>
        <w:rPr>
          <w:b/>
        </w:rPr>
        <w:t>AUTORIDADE COMPETENTE</w:t>
      </w:r>
    </w:p>
    <w:p w14:paraId="6369BB66">
      <w:pPr>
        <w:ind w:right="-852"/>
        <w:jc w:val="center"/>
        <w:rPr>
          <w:b/>
        </w:rPr>
      </w:pPr>
    </w:p>
    <w:p w14:paraId="082A4EF6">
      <w:pPr>
        <w:ind w:right="-852"/>
        <w:jc w:val="center"/>
        <w:rPr>
          <w:b/>
        </w:rPr>
      </w:pPr>
      <w:r>
        <w:rPr>
          <w:b/>
        </w:rPr>
        <w:t>__________________________________________</w:t>
      </w:r>
    </w:p>
    <w:p w14:paraId="72A01903">
      <w:pPr>
        <w:ind w:right="-852"/>
        <w:jc w:val="center"/>
        <w:rPr>
          <w:b/>
        </w:rPr>
      </w:pPr>
      <w:r>
        <w:rPr>
          <w:b/>
        </w:rPr>
        <w:t>EMPRESA</w:t>
      </w:r>
    </w:p>
    <w:p w14:paraId="74DD9186">
      <w:pPr>
        <w:ind w:right="-852"/>
        <w:jc w:val="center"/>
        <w:rPr>
          <w:b/>
        </w:rPr>
      </w:pPr>
      <w:r>
        <w:rPr>
          <w:b/>
        </w:rPr>
        <w:t xml:space="preserve">REPRESENTANTE - </w:t>
      </w:r>
      <w:r>
        <w:t>XXXXXXXXXXXXXXXXXXX</w:t>
      </w:r>
    </w:p>
    <w:p w14:paraId="6FB3BB43">
      <w:pPr>
        <w:ind w:right="-852"/>
        <w:jc w:val="center"/>
        <w:rPr>
          <w:b/>
        </w:rPr>
      </w:pPr>
      <w:r>
        <w:rPr>
          <w:b/>
        </w:rPr>
        <w:t>CONTRATADA</w:t>
      </w:r>
    </w:p>
    <w:p w14:paraId="1FCA6F4E">
      <w:pPr>
        <w:ind w:right="-852"/>
      </w:pPr>
    </w:p>
    <w:p w14:paraId="6B40CCCA">
      <w:pPr>
        <w:ind w:right="-852"/>
        <w:rPr>
          <w:b/>
        </w:rPr>
      </w:pPr>
    </w:p>
    <w:p w14:paraId="4C4E295B">
      <w:pPr>
        <w:spacing w:after="288"/>
        <w:ind w:right="-852" w:firstLine="567"/>
        <w:jc w:val="both"/>
        <w:rPr>
          <w:b/>
          <w:color w:val="000000"/>
        </w:rPr>
      </w:pPr>
      <w:r>
        <w:rPr>
          <w:b/>
          <w:color w:val="000000"/>
        </w:rPr>
        <w:t>TESTEMUNHAS:</w:t>
      </w:r>
    </w:p>
    <w:p w14:paraId="5D4B7598">
      <w:pPr>
        <w:spacing w:after="288"/>
        <w:ind w:right="-852" w:firstLine="567"/>
        <w:rPr>
          <w:b/>
          <w:color w:val="000000"/>
        </w:rPr>
      </w:pPr>
      <w:r>
        <w:rPr>
          <w:b/>
          <w:color w:val="000000"/>
        </w:rPr>
        <w:t>1-</w:t>
      </w:r>
    </w:p>
    <w:p w14:paraId="7C56AF66">
      <w:pPr>
        <w:spacing w:after="288"/>
        <w:ind w:right="-852" w:firstLine="567"/>
        <w:rPr>
          <w:b/>
          <w:color w:val="000000"/>
        </w:rPr>
      </w:pPr>
      <w:r>
        <w:rPr>
          <w:b/>
          <w:color w:val="000000"/>
        </w:rPr>
        <w:t xml:space="preserve">2- </w:t>
      </w:r>
    </w:p>
    <w:p w14:paraId="2D8E79ED">
      <w:pPr>
        <w:ind w:right="-852"/>
      </w:pPr>
    </w:p>
    <w:p w14:paraId="1D7DD7E5">
      <w:pPr>
        <w:jc w:val="center"/>
        <w:rPr>
          <w:b/>
          <w:color w:val="000000"/>
          <w:sz w:val="24"/>
          <w:szCs w:val="24"/>
        </w:rPr>
      </w:pPr>
      <w:r>
        <w:rPr>
          <w:b/>
          <w:color w:val="000000"/>
          <w:sz w:val="24"/>
          <w:szCs w:val="24"/>
        </w:rPr>
        <w:t>ANEXO V</w:t>
      </w:r>
    </w:p>
    <w:p w14:paraId="3F5677A6">
      <w:pPr>
        <w:jc w:val="center"/>
        <w:rPr>
          <w:b/>
          <w:color w:val="000000"/>
          <w:sz w:val="24"/>
          <w:szCs w:val="24"/>
        </w:rPr>
      </w:pPr>
    </w:p>
    <w:p w14:paraId="05EF8CD8">
      <w:pPr>
        <w:jc w:val="center"/>
        <w:rPr>
          <w:b/>
          <w:color w:val="000000"/>
          <w:sz w:val="24"/>
          <w:szCs w:val="24"/>
        </w:rPr>
      </w:pPr>
      <w:r>
        <w:rPr>
          <w:b/>
          <w:color w:val="000000"/>
          <w:sz w:val="24"/>
          <w:szCs w:val="24"/>
        </w:rPr>
        <w:t xml:space="preserve">MODELO DE DECLARAÇÃO DE CUMPRIMENTO DOS REQUISITOS DE HABILITAÇÃO </w:t>
      </w:r>
    </w:p>
    <w:p w14:paraId="059F086F">
      <w:pPr>
        <w:jc w:val="center"/>
        <w:rPr>
          <w:color w:val="000000"/>
          <w:sz w:val="24"/>
          <w:szCs w:val="24"/>
        </w:rPr>
      </w:pPr>
    </w:p>
    <w:p w14:paraId="703C5931">
      <w:pPr>
        <w:jc w:val="center"/>
        <w:rPr>
          <w:color w:val="000000"/>
          <w:sz w:val="24"/>
          <w:szCs w:val="24"/>
        </w:rPr>
      </w:pPr>
    </w:p>
    <w:p w14:paraId="0A197B1B">
      <w:pPr>
        <w:rPr>
          <w:b/>
          <w:sz w:val="24"/>
          <w:szCs w:val="24"/>
        </w:rPr>
      </w:pPr>
      <w:r>
        <w:rPr>
          <w:b/>
          <w:sz w:val="24"/>
          <w:szCs w:val="24"/>
        </w:rPr>
        <w:t>PROCESSO LICITATÓRIO Nº XXX/2024</w:t>
      </w:r>
    </w:p>
    <w:p w14:paraId="5A22FAB7">
      <w:pPr>
        <w:rPr>
          <w:sz w:val="24"/>
          <w:szCs w:val="24"/>
        </w:rPr>
      </w:pPr>
    </w:p>
    <w:p w14:paraId="4C55FA5C">
      <w:pPr>
        <w:rPr>
          <w:sz w:val="24"/>
          <w:szCs w:val="24"/>
        </w:rPr>
      </w:pPr>
      <w:r>
        <w:rPr>
          <w:b/>
          <w:sz w:val="24"/>
          <w:szCs w:val="24"/>
        </w:rPr>
        <w:t xml:space="preserve">MODALIDADE </w:t>
      </w:r>
      <w:r>
        <w:rPr>
          <w:sz w:val="24"/>
          <w:szCs w:val="24"/>
        </w:rPr>
        <w:t xml:space="preserve">– </w:t>
      </w:r>
      <w:r>
        <w:rPr>
          <w:b/>
          <w:sz w:val="24"/>
          <w:szCs w:val="24"/>
        </w:rPr>
        <w:t xml:space="preserve">PREGÃO ELETRÔNICO </w:t>
      </w:r>
    </w:p>
    <w:p w14:paraId="08B20B40">
      <w:pPr>
        <w:rPr>
          <w:b/>
          <w:sz w:val="24"/>
          <w:szCs w:val="24"/>
        </w:rPr>
      </w:pPr>
    </w:p>
    <w:p w14:paraId="121F30D3">
      <w:pPr>
        <w:rPr>
          <w:b/>
          <w:sz w:val="24"/>
          <w:szCs w:val="24"/>
        </w:rPr>
      </w:pPr>
      <w:r>
        <w:rPr>
          <w:b/>
          <w:sz w:val="24"/>
          <w:szCs w:val="24"/>
        </w:rPr>
        <w:t>TIPO – MENOR PREÇO POR ITEM</w:t>
      </w:r>
    </w:p>
    <w:p w14:paraId="52C06DF6">
      <w:pPr>
        <w:rPr>
          <w:sz w:val="24"/>
          <w:szCs w:val="24"/>
        </w:rPr>
      </w:pPr>
    </w:p>
    <w:p w14:paraId="44097700">
      <w:pPr>
        <w:jc w:val="both"/>
        <w:rPr>
          <w:sz w:val="24"/>
          <w:szCs w:val="24"/>
        </w:rPr>
      </w:pPr>
      <w:r>
        <w:rPr>
          <w:sz w:val="24"/>
          <w:szCs w:val="24"/>
        </w:rPr>
        <w:t xml:space="preserve"> </w:t>
      </w:r>
      <w:r>
        <w:rPr>
          <w:b/>
          <w:sz w:val="24"/>
          <w:szCs w:val="24"/>
        </w:rPr>
        <w:t>___________________</w:t>
      </w:r>
      <w:r>
        <w:rPr>
          <w:sz w:val="24"/>
          <w:szCs w:val="24"/>
        </w:rPr>
        <w:t xml:space="preserve">(RAZÃO SOCIAL DA LICITANTE), _______________(CNPJ Nº), sediada no (a)__________________________ </w:t>
      </w:r>
    </w:p>
    <w:p w14:paraId="6D9E224B">
      <w:pPr>
        <w:jc w:val="both"/>
        <w:rPr>
          <w:sz w:val="24"/>
          <w:szCs w:val="24"/>
        </w:rPr>
      </w:pPr>
      <w:r>
        <w:rPr>
          <w:sz w:val="24"/>
          <w:szCs w:val="24"/>
        </w:rPr>
        <w:t xml:space="preserve">(ENDEREÇO COMPLETO), declara, sob as penas da lei, que cumpre, plenamente, os requisitos exigidos no procedimento licitatório referenciado. </w:t>
      </w:r>
    </w:p>
    <w:p w14:paraId="74FC8340">
      <w:pPr>
        <w:jc w:val="both"/>
        <w:rPr>
          <w:sz w:val="24"/>
          <w:szCs w:val="24"/>
        </w:rPr>
      </w:pPr>
    </w:p>
    <w:p w14:paraId="2E1ED492">
      <w:pPr>
        <w:jc w:val="both"/>
        <w:rPr>
          <w:sz w:val="24"/>
          <w:szCs w:val="24"/>
        </w:rPr>
      </w:pPr>
      <w:r>
        <w:rPr>
          <w:sz w:val="24"/>
          <w:szCs w:val="24"/>
        </w:rPr>
        <w:t xml:space="preserve">Igualmente, declaramos sob as penas da lei, que nossos diretores, responsáveis legais e técnicos, membros de conselho técnico, consultivo, deliberativo ou administrativo ou sócio, não são empregados ou ocupantes de cargo comissionado na Administração Pública, bem como nossa Empresa não está incursa em nenhum dos impedimentos elencados no Edital da licitação referenciada. </w:t>
      </w:r>
    </w:p>
    <w:p w14:paraId="79B6C482">
      <w:pPr>
        <w:jc w:val="both"/>
        <w:rPr>
          <w:sz w:val="24"/>
          <w:szCs w:val="24"/>
        </w:rPr>
      </w:pPr>
    </w:p>
    <w:p w14:paraId="0C2F03EE">
      <w:pPr>
        <w:jc w:val="both"/>
        <w:rPr>
          <w:sz w:val="24"/>
          <w:szCs w:val="24"/>
        </w:rPr>
      </w:pPr>
      <w:r>
        <w:rPr>
          <w:sz w:val="24"/>
          <w:szCs w:val="24"/>
        </w:rPr>
        <w:t>Finalizando, declaramos que temos pleno conhecimento de todos os aspectos relativos à licitação em causa e nossa plena concordância com as condições estabelecidas no Edital da licitação e seus anexos.</w:t>
      </w:r>
    </w:p>
    <w:p w14:paraId="0F8D61FC">
      <w:pPr>
        <w:jc w:val="both"/>
        <w:rPr>
          <w:sz w:val="24"/>
          <w:szCs w:val="24"/>
        </w:rPr>
      </w:pPr>
    </w:p>
    <w:p w14:paraId="070A9BB8">
      <w:pPr>
        <w:jc w:val="center"/>
        <w:rPr>
          <w:sz w:val="24"/>
          <w:szCs w:val="24"/>
        </w:rPr>
      </w:pPr>
    </w:p>
    <w:p w14:paraId="3F64879E">
      <w:pPr>
        <w:jc w:val="center"/>
        <w:rPr>
          <w:sz w:val="24"/>
          <w:szCs w:val="24"/>
        </w:rPr>
      </w:pPr>
      <w:r>
        <w:rPr>
          <w:sz w:val="24"/>
          <w:szCs w:val="24"/>
        </w:rPr>
        <w:t>Cidade, ___ de ___________ de 2024.</w:t>
      </w:r>
    </w:p>
    <w:p w14:paraId="2BB2D08D">
      <w:pPr>
        <w:jc w:val="center"/>
        <w:rPr>
          <w:sz w:val="24"/>
          <w:szCs w:val="24"/>
        </w:rPr>
      </w:pPr>
    </w:p>
    <w:p w14:paraId="5DF719E0">
      <w:pPr>
        <w:jc w:val="center"/>
        <w:rPr>
          <w:sz w:val="24"/>
          <w:szCs w:val="24"/>
        </w:rPr>
      </w:pPr>
    </w:p>
    <w:p w14:paraId="1A2A5E5D">
      <w:pPr>
        <w:jc w:val="center"/>
        <w:rPr>
          <w:sz w:val="24"/>
          <w:szCs w:val="24"/>
        </w:rPr>
      </w:pPr>
      <w:r>
        <w:rPr>
          <w:sz w:val="24"/>
          <w:szCs w:val="24"/>
        </w:rPr>
        <w:t>_______________________________________</w:t>
      </w:r>
    </w:p>
    <w:p w14:paraId="40542C17">
      <w:pPr>
        <w:ind w:left="-180"/>
        <w:jc w:val="center"/>
        <w:rPr>
          <w:b/>
          <w:sz w:val="24"/>
          <w:szCs w:val="24"/>
        </w:rPr>
      </w:pPr>
      <w:r>
        <w:rPr>
          <w:b/>
          <w:sz w:val="24"/>
          <w:szCs w:val="24"/>
        </w:rPr>
        <w:t>(nome, carimbo, assinatura do responsável legal da empresa).</w:t>
      </w:r>
    </w:p>
    <w:p w14:paraId="16128EA5">
      <w:pPr>
        <w:jc w:val="both"/>
        <w:rPr>
          <w:b/>
          <w:sz w:val="24"/>
          <w:szCs w:val="24"/>
        </w:rPr>
      </w:pPr>
    </w:p>
    <w:p w14:paraId="379E9E88">
      <w:pPr>
        <w:jc w:val="center"/>
        <w:rPr>
          <w:color w:val="000000"/>
          <w:sz w:val="24"/>
          <w:szCs w:val="24"/>
        </w:rPr>
      </w:pPr>
    </w:p>
    <w:p w14:paraId="07878CB1">
      <w:pPr>
        <w:jc w:val="center"/>
        <w:rPr>
          <w:color w:val="000000"/>
          <w:sz w:val="24"/>
          <w:szCs w:val="24"/>
        </w:rPr>
      </w:pPr>
    </w:p>
    <w:p w14:paraId="0CF399AB">
      <w:pPr>
        <w:jc w:val="center"/>
        <w:rPr>
          <w:color w:val="000000"/>
          <w:sz w:val="24"/>
          <w:szCs w:val="24"/>
        </w:rPr>
      </w:pPr>
    </w:p>
    <w:p w14:paraId="7CC89702">
      <w:pPr>
        <w:jc w:val="center"/>
        <w:rPr>
          <w:color w:val="000000"/>
          <w:sz w:val="24"/>
          <w:szCs w:val="24"/>
        </w:rPr>
      </w:pPr>
    </w:p>
    <w:p w14:paraId="4E13156E">
      <w:pPr>
        <w:jc w:val="center"/>
        <w:rPr>
          <w:color w:val="000000"/>
          <w:sz w:val="24"/>
          <w:szCs w:val="24"/>
        </w:rPr>
      </w:pPr>
    </w:p>
    <w:p w14:paraId="13F153E2">
      <w:pPr>
        <w:jc w:val="center"/>
        <w:rPr>
          <w:color w:val="000000"/>
          <w:sz w:val="24"/>
          <w:szCs w:val="24"/>
        </w:rPr>
      </w:pPr>
    </w:p>
    <w:p w14:paraId="26B85077">
      <w:pPr>
        <w:rPr>
          <w:color w:val="000000"/>
          <w:sz w:val="24"/>
          <w:szCs w:val="24"/>
        </w:rPr>
      </w:pPr>
    </w:p>
    <w:p w14:paraId="36CA9758">
      <w:pPr>
        <w:jc w:val="center"/>
        <w:rPr>
          <w:color w:val="000000"/>
          <w:sz w:val="24"/>
          <w:szCs w:val="24"/>
        </w:rPr>
      </w:pPr>
    </w:p>
    <w:p w14:paraId="0DF4436D">
      <w:pPr>
        <w:jc w:val="center"/>
        <w:rPr>
          <w:color w:val="000000"/>
          <w:sz w:val="24"/>
          <w:szCs w:val="24"/>
        </w:rPr>
      </w:pPr>
    </w:p>
    <w:p w14:paraId="0147DC8C">
      <w:pPr>
        <w:jc w:val="center"/>
        <w:rPr>
          <w:color w:val="000000"/>
          <w:sz w:val="24"/>
          <w:szCs w:val="24"/>
        </w:rPr>
      </w:pPr>
    </w:p>
    <w:p w14:paraId="28BA1106">
      <w:pPr>
        <w:jc w:val="center"/>
        <w:rPr>
          <w:color w:val="000000"/>
          <w:sz w:val="24"/>
          <w:szCs w:val="24"/>
        </w:rPr>
      </w:pPr>
    </w:p>
    <w:p w14:paraId="7DB2EAFB">
      <w:pPr>
        <w:jc w:val="center"/>
        <w:rPr>
          <w:color w:val="000000"/>
          <w:sz w:val="24"/>
          <w:szCs w:val="24"/>
        </w:rPr>
      </w:pPr>
    </w:p>
    <w:p w14:paraId="52C83A2B">
      <w:pPr>
        <w:jc w:val="center"/>
        <w:rPr>
          <w:color w:val="000000"/>
          <w:sz w:val="24"/>
          <w:szCs w:val="24"/>
        </w:rPr>
      </w:pPr>
    </w:p>
    <w:p w14:paraId="1A6FB00E">
      <w:pPr>
        <w:jc w:val="center"/>
        <w:rPr>
          <w:color w:val="000000"/>
          <w:sz w:val="24"/>
          <w:szCs w:val="24"/>
        </w:rPr>
      </w:pPr>
    </w:p>
    <w:p w14:paraId="37002636">
      <w:pPr>
        <w:jc w:val="center"/>
        <w:rPr>
          <w:color w:val="000000"/>
          <w:sz w:val="24"/>
          <w:szCs w:val="24"/>
        </w:rPr>
      </w:pPr>
    </w:p>
    <w:p w14:paraId="2AA7FCE8">
      <w:pPr>
        <w:jc w:val="center"/>
        <w:rPr>
          <w:color w:val="000000"/>
          <w:sz w:val="24"/>
          <w:szCs w:val="24"/>
        </w:rPr>
      </w:pPr>
    </w:p>
    <w:p w14:paraId="76EF1D07">
      <w:pPr>
        <w:jc w:val="center"/>
        <w:rPr>
          <w:color w:val="000000"/>
          <w:sz w:val="24"/>
          <w:szCs w:val="24"/>
        </w:rPr>
      </w:pPr>
    </w:p>
    <w:p w14:paraId="4BCBE422">
      <w:pPr>
        <w:jc w:val="center"/>
        <w:rPr>
          <w:b/>
          <w:color w:val="000000"/>
          <w:sz w:val="24"/>
          <w:szCs w:val="24"/>
        </w:rPr>
      </w:pPr>
      <w:r>
        <w:rPr>
          <w:b/>
          <w:color w:val="000000"/>
          <w:sz w:val="24"/>
          <w:szCs w:val="24"/>
        </w:rPr>
        <w:t>ANEXO VI</w:t>
      </w:r>
    </w:p>
    <w:p w14:paraId="7340E92F">
      <w:pPr>
        <w:jc w:val="center"/>
        <w:rPr>
          <w:b/>
          <w:color w:val="000000"/>
          <w:sz w:val="24"/>
          <w:szCs w:val="24"/>
        </w:rPr>
      </w:pPr>
    </w:p>
    <w:p w14:paraId="01CDAA0E">
      <w:pPr>
        <w:ind w:left="720"/>
        <w:rPr>
          <w:b/>
          <w:color w:val="000000"/>
          <w:sz w:val="24"/>
          <w:szCs w:val="24"/>
        </w:rPr>
      </w:pPr>
      <w:r>
        <w:rPr>
          <w:b/>
          <w:color w:val="000000"/>
          <w:sz w:val="24"/>
          <w:szCs w:val="24"/>
        </w:rPr>
        <w:t>MODELO DE DECLARAÇÃO DE EXISTÊNCIA DE CARGOS RESERVADOS PREVISTO EM LEI</w:t>
      </w:r>
    </w:p>
    <w:p w14:paraId="69D56C58">
      <w:pPr>
        <w:jc w:val="center"/>
        <w:rPr>
          <w:b/>
          <w:color w:val="000000"/>
          <w:sz w:val="24"/>
          <w:szCs w:val="24"/>
        </w:rPr>
      </w:pPr>
    </w:p>
    <w:p w14:paraId="6613494D">
      <w:pPr>
        <w:jc w:val="center"/>
        <w:rPr>
          <w:b/>
          <w:color w:val="000000"/>
          <w:sz w:val="24"/>
          <w:szCs w:val="24"/>
        </w:rPr>
      </w:pPr>
    </w:p>
    <w:p w14:paraId="3459EF58">
      <w:pPr>
        <w:jc w:val="center"/>
        <w:rPr>
          <w:color w:val="000000"/>
          <w:sz w:val="24"/>
          <w:szCs w:val="24"/>
        </w:rPr>
      </w:pPr>
    </w:p>
    <w:p w14:paraId="5A54CAB9">
      <w:pPr>
        <w:jc w:val="both"/>
        <w:rPr>
          <w:sz w:val="24"/>
          <w:szCs w:val="24"/>
        </w:rPr>
      </w:pPr>
      <w:r>
        <w:rPr>
          <w:sz w:val="24"/>
          <w:szCs w:val="24"/>
        </w:rPr>
        <w:t>___________________(RAZÃO SOCIAL DA LICITANTE), _______________(CNPJ Nº),</w:t>
      </w:r>
    </w:p>
    <w:p w14:paraId="41DD2C80">
      <w:pPr>
        <w:jc w:val="both"/>
        <w:rPr>
          <w:b/>
          <w:sz w:val="24"/>
          <w:szCs w:val="24"/>
        </w:rPr>
      </w:pPr>
      <w:r>
        <w:rPr>
          <w:sz w:val="24"/>
          <w:szCs w:val="24"/>
        </w:rPr>
        <w:t>sediada no (a)__________________________ (ENDEREÇO COMPLETO), declara, sob as penas da lei, que a empresa possui a reserva de cargos prevista em lei para pessoa com deficiência ou para reabilitado da Previdência Social e que atende às regras de acessibilidade previstas na legislação, conforme disposto no art. 93 da Lei nº 8.213, de 24 de julho de 1991.</w:t>
      </w:r>
    </w:p>
    <w:p w14:paraId="61128CA4">
      <w:pPr>
        <w:jc w:val="center"/>
        <w:rPr>
          <w:b/>
          <w:sz w:val="24"/>
          <w:szCs w:val="24"/>
        </w:rPr>
      </w:pPr>
    </w:p>
    <w:p w14:paraId="33FDB95D">
      <w:pPr>
        <w:jc w:val="center"/>
        <w:rPr>
          <w:b/>
          <w:sz w:val="24"/>
          <w:szCs w:val="24"/>
        </w:rPr>
      </w:pPr>
    </w:p>
    <w:p w14:paraId="36ED3CD0">
      <w:pPr>
        <w:jc w:val="center"/>
        <w:rPr>
          <w:b/>
          <w:sz w:val="24"/>
          <w:szCs w:val="24"/>
        </w:rPr>
      </w:pPr>
    </w:p>
    <w:p w14:paraId="69759CE0">
      <w:pPr>
        <w:jc w:val="center"/>
        <w:rPr>
          <w:b/>
          <w:sz w:val="24"/>
          <w:szCs w:val="24"/>
        </w:rPr>
      </w:pPr>
    </w:p>
    <w:p w14:paraId="6A606994">
      <w:pPr>
        <w:jc w:val="center"/>
        <w:rPr>
          <w:b/>
          <w:sz w:val="24"/>
          <w:szCs w:val="24"/>
        </w:rPr>
      </w:pPr>
    </w:p>
    <w:p w14:paraId="20519B62">
      <w:pPr>
        <w:jc w:val="center"/>
        <w:rPr>
          <w:sz w:val="24"/>
          <w:szCs w:val="24"/>
        </w:rPr>
      </w:pPr>
    </w:p>
    <w:p w14:paraId="2754CA6E">
      <w:pPr>
        <w:jc w:val="center"/>
        <w:rPr>
          <w:sz w:val="24"/>
          <w:szCs w:val="24"/>
        </w:rPr>
      </w:pPr>
      <w:r>
        <w:rPr>
          <w:sz w:val="24"/>
          <w:szCs w:val="24"/>
        </w:rPr>
        <w:t>Cidade, ___ de ___________ de 2024.</w:t>
      </w:r>
    </w:p>
    <w:p w14:paraId="30E4CC3D">
      <w:pPr>
        <w:jc w:val="center"/>
        <w:rPr>
          <w:sz w:val="24"/>
          <w:szCs w:val="24"/>
        </w:rPr>
      </w:pPr>
    </w:p>
    <w:p w14:paraId="38CE1023">
      <w:pPr>
        <w:jc w:val="center"/>
        <w:rPr>
          <w:sz w:val="24"/>
          <w:szCs w:val="24"/>
        </w:rPr>
      </w:pPr>
    </w:p>
    <w:p w14:paraId="50EA2B99">
      <w:pPr>
        <w:jc w:val="center"/>
        <w:rPr>
          <w:sz w:val="24"/>
          <w:szCs w:val="24"/>
        </w:rPr>
      </w:pPr>
    </w:p>
    <w:p w14:paraId="6B1B1988">
      <w:pPr>
        <w:jc w:val="center"/>
        <w:rPr>
          <w:sz w:val="24"/>
          <w:szCs w:val="24"/>
        </w:rPr>
      </w:pPr>
      <w:r>
        <w:rPr>
          <w:sz w:val="24"/>
          <w:szCs w:val="24"/>
        </w:rPr>
        <w:t>___________________________________________________________</w:t>
      </w:r>
    </w:p>
    <w:p w14:paraId="6FD94474">
      <w:pPr>
        <w:ind w:left="-180"/>
        <w:jc w:val="center"/>
        <w:rPr>
          <w:b/>
          <w:sz w:val="24"/>
          <w:szCs w:val="24"/>
        </w:rPr>
      </w:pPr>
      <w:r>
        <w:rPr>
          <w:b/>
          <w:sz w:val="24"/>
          <w:szCs w:val="24"/>
        </w:rPr>
        <w:t xml:space="preserve">(nome, carimbo, e assinatura do responsável legal da empresa). </w:t>
      </w:r>
    </w:p>
    <w:p w14:paraId="3C8F5F69">
      <w:pPr>
        <w:jc w:val="center"/>
        <w:rPr>
          <w:b/>
          <w:sz w:val="24"/>
          <w:szCs w:val="24"/>
        </w:rPr>
      </w:pPr>
    </w:p>
    <w:p w14:paraId="10EE9C9D">
      <w:pPr>
        <w:jc w:val="center"/>
        <w:rPr>
          <w:color w:val="000000"/>
          <w:sz w:val="24"/>
          <w:szCs w:val="24"/>
        </w:rPr>
      </w:pPr>
    </w:p>
    <w:p w14:paraId="44991DC0">
      <w:pPr>
        <w:jc w:val="center"/>
        <w:rPr>
          <w:color w:val="000000"/>
          <w:sz w:val="24"/>
          <w:szCs w:val="24"/>
        </w:rPr>
      </w:pPr>
    </w:p>
    <w:p w14:paraId="2DA63918">
      <w:pPr>
        <w:jc w:val="center"/>
        <w:rPr>
          <w:color w:val="000000"/>
          <w:sz w:val="24"/>
          <w:szCs w:val="24"/>
        </w:rPr>
      </w:pPr>
    </w:p>
    <w:p w14:paraId="54CDE6EE">
      <w:pPr>
        <w:jc w:val="center"/>
        <w:rPr>
          <w:color w:val="000000"/>
          <w:sz w:val="24"/>
          <w:szCs w:val="24"/>
        </w:rPr>
      </w:pPr>
    </w:p>
    <w:p w14:paraId="7D31B346">
      <w:pPr>
        <w:jc w:val="center"/>
        <w:rPr>
          <w:color w:val="000000"/>
          <w:sz w:val="24"/>
          <w:szCs w:val="24"/>
        </w:rPr>
      </w:pPr>
    </w:p>
    <w:p w14:paraId="51B126F4">
      <w:pPr>
        <w:jc w:val="center"/>
        <w:rPr>
          <w:color w:val="000000"/>
          <w:sz w:val="24"/>
          <w:szCs w:val="24"/>
        </w:rPr>
      </w:pPr>
    </w:p>
    <w:p w14:paraId="5E75A10E">
      <w:pPr>
        <w:jc w:val="center"/>
        <w:rPr>
          <w:color w:val="000000"/>
          <w:sz w:val="24"/>
          <w:szCs w:val="24"/>
        </w:rPr>
      </w:pPr>
    </w:p>
    <w:p w14:paraId="12A46920">
      <w:pPr>
        <w:jc w:val="center"/>
        <w:rPr>
          <w:color w:val="000000"/>
          <w:sz w:val="24"/>
          <w:szCs w:val="24"/>
        </w:rPr>
      </w:pPr>
    </w:p>
    <w:p w14:paraId="1B403035">
      <w:pPr>
        <w:jc w:val="center"/>
        <w:rPr>
          <w:color w:val="000000"/>
          <w:sz w:val="24"/>
          <w:szCs w:val="24"/>
        </w:rPr>
      </w:pPr>
    </w:p>
    <w:p w14:paraId="0A253BFC">
      <w:pPr>
        <w:jc w:val="center"/>
        <w:rPr>
          <w:color w:val="000000"/>
          <w:sz w:val="24"/>
          <w:szCs w:val="24"/>
        </w:rPr>
      </w:pPr>
    </w:p>
    <w:p w14:paraId="6373D333">
      <w:pPr>
        <w:jc w:val="center"/>
        <w:rPr>
          <w:color w:val="000000"/>
          <w:sz w:val="24"/>
          <w:szCs w:val="24"/>
        </w:rPr>
      </w:pPr>
    </w:p>
    <w:p w14:paraId="28AD412F">
      <w:pPr>
        <w:jc w:val="center"/>
        <w:rPr>
          <w:color w:val="000000"/>
          <w:sz w:val="24"/>
          <w:szCs w:val="24"/>
        </w:rPr>
      </w:pPr>
    </w:p>
    <w:p w14:paraId="3194A220">
      <w:pPr>
        <w:jc w:val="center"/>
        <w:rPr>
          <w:color w:val="000000"/>
          <w:sz w:val="24"/>
          <w:szCs w:val="24"/>
        </w:rPr>
      </w:pPr>
    </w:p>
    <w:p w14:paraId="1B466336">
      <w:pPr>
        <w:jc w:val="center"/>
        <w:rPr>
          <w:color w:val="000000"/>
          <w:sz w:val="24"/>
          <w:szCs w:val="24"/>
        </w:rPr>
      </w:pPr>
    </w:p>
    <w:p w14:paraId="162DA744">
      <w:pPr>
        <w:jc w:val="center"/>
        <w:rPr>
          <w:color w:val="000000"/>
          <w:sz w:val="24"/>
          <w:szCs w:val="24"/>
        </w:rPr>
      </w:pPr>
    </w:p>
    <w:p w14:paraId="23215F4F">
      <w:pPr>
        <w:rPr>
          <w:color w:val="000000"/>
          <w:sz w:val="24"/>
          <w:szCs w:val="24"/>
        </w:rPr>
      </w:pPr>
    </w:p>
    <w:p w14:paraId="5C1BEC8B">
      <w:pPr>
        <w:rPr>
          <w:color w:val="000000"/>
          <w:sz w:val="24"/>
          <w:szCs w:val="24"/>
        </w:rPr>
      </w:pPr>
    </w:p>
    <w:p w14:paraId="6DCA20ED">
      <w:pPr>
        <w:rPr>
          <w:color w:val="000000"/>
          <w:sz w:val="24"/>
          <w:szCs w:val="24"/>
        </w:rPr>
      </w:pPr>
    </w:p>
    <w:p w14:paraId="361739E0">
      <w:pPr>
        <w:rPr>
          <w:color w:val="000000"/>
          <w:sz w:val="24"/>
          <w:szCs w:val="24"/>
        </w:rPr>
      </w:pPr>
    </w:p>
    <w:p w14:paraId="759C9B07">
      <w:pPr>
        <w:rPr>
          <w:color w:val="000000"/>
          <w:sz w:val="24"/>
          <w:szCs w:val="24"/>
        </w:rPr>
      </w:pPr>
    </w:p>
    <w:p w14:paraId="3E6AB6E3">
      <w:pPr>
        <w:rPr>
          <w:color w:val="000000"/>
          <w:sz w:val="24"/>
          <w:szCs w:val="24"/>
        </w:rPr>
      </w:pPr>
    </w:p>
    <w:p w14:paraId="094423B3">
      <w:pPr>
        <w:rPr>
          <w:color w:val="000000"/>
          <w:sz w:val="24"/>
          <w:szCs w:val="24"/>
        </w:rPr>
      </w:pPr>
    </w:p>
    <w:p w14:paraId="49E2F1D2">
      <w:pPr>
        <w:rPr>
          <w:color w:val="000000"/>
          <w:sz w:val="24"/>
          <w:szCs w:val="24"/>
        </w:rPr>
      </w:pPr>
    </w:p>
    <w:p w14:paraId="55C9E99A">
      <w:pPr>
        <w:jc w:val="center"/>
        <w:rPr>
          <w:color w:val="000000"/>
          <w:sz w:val="24"/>
          <w:szCs w:val="24"/>
        </w:rPr>
      </w:pPr>
    </w:p>
    <w:p w14:paraId="697CD61B">
      <w:pPr>
        <w:jc w:val="center"/>
        <w:rPr>
          <w:color w:val="000000"/>
          <w:sz w:val="24"/>
          <w:szCs w:val="24"/>
        </w:rPr>
      </w:pPr>
    </w:p>
    <w:p w14:paraId="7AD74AAF">
      <w:pPr>
        <w:jc w:val="center"/>
        <w:rPr>
          <w:b/>
          <w:color w:val="000000"/>
          <w:sz w:val="24"/>
          <w:szCs w:val="24"/>
        </w:rPr>
      </w:pPr>
      <w:r>
        <w:rPr>
          <w:b/>
          <w:color w:val="000000"/>
          <w:sz w:val="24"/>
          <w:szCs w:val="24"/>
        </w:rPr>
        <w:t>ANEXO VII</w:t>
      </w:r>
    </w:p>
    <w:p w14:paraId="2C156781">
      <w:pPr>
        <w:jc w:val="center"/>
        <w:rPr>
          <w:b/>
          <w:color w:val="000000"/>
          <w:sz w:val="24"/>
          <w:szCs w:val="24"/>
        </w:rPr>
      </w:pPr>
    </w:p>
    <w:p w14:paraId="1DEB99B0">
      <w:pPr>
        <w:jc w:val="center"/>
        <w:rPr>
          <w:b/>
          <w:color w:val="000000"/>
          <w:sz w:val="24"/>
          <w:szCs w:val="24"/>
        </w:rPr>
      </w:pPr>
      <w:r>
        <w:rPr>
          <w:b/>
          <w:color w:val="000000"/>
          <w:sz w:val="24"/>
          <w:szCs w:val="24"/>
        </w:rPr>
        <w:t>MODELO DE DECLARAÇÃO DE MICROEMPRESA E EMPRESA DE PEQUENO PORTE, OU COOPERATIVA ENQUADRADA NO ARTIGO 34 DA LEI Nº 11.488, DE 2007.</w:t>
      </w:r>
    </w:p>
    <w:p w14:paraId="532E5D1F">
      <w:pPr>
        <w:jc w:val="center"/>
        <w:rPr>
          <w:b/>
          <w:color w:val="000000"/>
          <w:sz w:val="24"/>
          <w:szCs w:val="24"/>
        </w:rPr>
      </w:pPr>
    </w:p>
    <w:p w14:paraId="7D27B5EC">
      <w:pPr>
        <w:rPr>
          <w:b/>
          <w:sz w:val="24"/>
          <w:szCs w:val="24"/>
        </w:rPr>
      </w:pPr>
      <w:r>
        <w:rPr>
          <w:b/>
          <w:sz w:val="24"/>
          <w:szCs w:val="24"/>
        </w:rPr>
        <w:t>PROCESSO LICITATÓRIO Nº XXX/20XX</w:t>
      </w:r>
    </w:p>
    <w:p w14:paraId="474C9A0B">
      <w:pPr>
        <w:rPr>
          <w:sz w:val="24"/>
          <w:szCs w:val="24"/>
        </w:rPr>
      </w:pPr>
    </w:p>
    <w:p w14:paraId="474E95EE">
      <w:pPr>
        <w:rPr>
          <w:sz w:val="24"/>
          <w:szCs w:val="24"/>
        </w:rPr>
      </w:pPr>
      <w:r>
        <w:rPr>
          <w:b/>
          <w:sz w:val="24"/>
          <w:szCs w:val="24"/>
        </w:rPr>
        <w:t xml:space="preserve">MODALIDADE </w:t>
      </w:r>
      <w:r>
        <w:rPr>
          <w:sz w:val="24"/>
          <w:szCs w:val="24"/>
        </w:rPr>
        <w:t xml:space="preserve">– </w:t>
      </w:r>
      <w:r>
        <w:rPr>
          <w:b/>
          <w:sz w:val="24"/>
          <w:szCs w:val="24"/>
        </w:rPr>
        <w:t xml:space="preserve">PREGÃO ELETRÔNICO </w:t>
      </w:r>
    </w:p>
    <w:p w14:paraId="252BC245">
      <w:pPr>
        <w:rPr>
          <w:b/>
          <w:sz w:val="24"/>
          <w:szCs w:val="24"/>
        </w:rPr>
      </w:pPr>
    </w:p>
    <w:p w14:paraId="7E405A39">
      <w:pPr>
        <w:rPr>
          <w:b/>
          <w:sz w:val="24"/>
          <w:szCs w:val="24"/>
        </w:rPr>
      </w:pPr>
      <w:r>
        <w:rPr>
          <w:b/>
          <w:sz w:val="24"/>
          <w:szCs w:val="24"/>
        </w:rPr>
        <w:t>TIPO – MENOR PREÇO POR ITEM</w:t>
      </w:r>
    </w:p>
    <w:p w14:paraId="22991EE8">
      <w:pPr>
        <w:jc w:val="center"/>
        <w:rPr>
          <w:b/>
          <w:sz w:val="24"/>
          <w:szCs w:val="24"/>
        </w:rPr>
      </w:pPr>
    </w:p>
    <w:p w14:paraId="44243CA7">
      <w:pPr>
        <w:jc w:val="both"/>
        <w:rPr>
          <w:sz w:val="24"/>
          <w:szCs w:val="24"/>
        </w:rPr>
      </w:pPr>
      <w:r>
        <w:rPr>
          <w:sz w:val="24"/>
          <w:szCs w:val="24"/>
        </w:rPr>
        <w:t xml:space="preserve">DECLARO, sob as penas da Lei, em atendimento ao Edital do </w:t>
      </w:r>
      <w:r>
        <w:rPr>
          <w:b/>
          <w:sz w:val="24"/>
          <w:szCs w:val="24"/>
        </w:rPr>
        <w:t>Pregão Eletrônico nº XXX/20XX</w:t>
      </w:r>
      <w:r>
        <w:rPr>
          <w:sz w:val="24"/>
          <w:szCs w:val="24"/>
        </w:rPr>
        <w:t xml:space="preserve">, promovido pela PREFEITURA DE MUNICIPAL DE XXXXXXX, marcado para às </w:t>
      </w:r>
      <w:r>
        <w:rPr>
          <w:b/>
          <w:sz w:val="24"/>
          <w:szCs w:val="24"/>
        </w:rPr>
        <w:t>XX:00</w:t>
      </w:r>
      <w:r>
        <w:rPr>
          <w:sz w:val="24"/>
          <w:szCs w:val="24"/>
        </w:rPr>
        <w:t xml:space="preserve"> horas do dia </w:t>
      </w:r>
      <w:r>
        <w:rPr>
          <w:b/>
          <w:sz w:val="24"/>
          <w:szCs w:val="24"/>
        </w:rPr>
        <w:t>XX/XX/20XX</w:t>
      </w:r>
      <w:r>
        <w:rPr>
          <w:sz w:val="24"/>
          <w:szCs w:val="24"/>
        </w:rPr>
        <w:t xml:space="preserve">, que a empresa (nome completo) – CNPJ n.º ____________, com sede (ou domicílio) no (endereço completo), por mim representada, atende os requisitos previstos na Lei Complementar n° 123, de 14/12/2006, em especial quanto ao seu art. 3º. </w:t>
      </w:r>
    </w:p>
    <w:p w14:paraId="6252A1C1">
      <w:pPr>
        <w:jc w:val="center"/>
        <w:rPr>
          <w:sz w:val="24"/>
          <w:szCs w:val="24"/>
        </w:rPr>
      </w:pPr>
      <w:r>
        <w:rPr>
          <w:sz w:val="24"/>
          <w:szCs w:val="24"/>
        </w:rPr>
        <w:t>Cidade, ___ de ___________ de 20XX.</w:t>
      </w:r>
    </w:p>
    <w:p w14:paraId="21E8211E">
      <w:pPr>
        <w:jc w:val="center"/>
        <w:rPr>
          <w:sz w:val="24"/>
          <w:szCs w:val="24"/>
        </w:rPr>
      </w:pPr>
    </w:p>
    <w:p w14:paraId="55799AB6">
      <w:pPr>
        <w:jc w:val="center"/>
        <w:rPr>
          <w:sz w:val="24"/>
          <w:szCs w:val="24"/>
        </w:rPr>
      </w:pPr>
    </w:p>
    <w:p w14:paraId="38C13B56">
      <w:pPr>
        <w:jc w:val="center"/>
        <w:rPr>
          <w:sz w:val="24"/>
          <w:szCs w:val="24"/>
        </w:rPr>
      </w:pPr>
      <w:r>
        <w:rPr>
          <w:sz w:val="24"/>
          <w:szCs w:val="24"/>
        </w:rPr>
        <w:t>_______________________________________</w:t>
      </w:r>
    </w:p>
    <w:p w14:paraId="33FF1F95">
      <w:pPr>
        <w:ind w:left="-180"/>
        <w:jc w:val="center"/>
        <w:rPr>
          <w:b/>
          <w:sz w:val="24"/>
          <w:szCs w:val="24"/>
        </w:rPr>
      </w:pPr>
      <w:r>
        <w:rPr>
          <w:b/>
          <w:sz w:val="24"/>
          <w:szCs w:val="24"/>
        </w:rPr>
        <w:t>(nome, carimbo e assinatura do representante legal da empresa).</w:t>
      </w:r>
    </w:p>
    <w:p w14:paraId="36E0A243">
      <w:pPr>
        <w:rPr>
          <w:color w:val="000000"/>
          <w:sz w:val="24"/>
          <w:szCs w:val="24"/>
        </w:rPr>
      </w:pPr>
    </w:p>
    <w:p w14:paraId="6E545953">
      <w:pPr>
        <w:rPr>
          <w:color w:val="000000"/>
          <w:sz w:val="24"/>
          <w:szCs w:val="24"/>
        </w:rPr>
      </w:pPr>
    </w:p>
    <w:p w14:paraId="43AE92CA">
      <w:pPr>
        <w:rPr>
          <w:color w:val="000000"/>
          <w:sz w:val="24"/>
          <w:szCs w:val="24"/>
        </w:rPr>
      </w:pPr>
    </w:p>
    <w:p w14:paraId="7D0D46DD">
      <w:pPr>
        <w:rPr>
          <w:color w:val="000000"/>
          <w:sz w:val="24"/>
          <w:szCs w:val="24"/>
        </w:rPr>
      </w:pPr>
    </w:p>
    <w:p w14:paraId="49B04AD9">
      <w:pPr>
        <w:rPr>
          <w:color w:val="000000"/>
          <w:sz w:val="24"/>
          <w:szCs w:val="24"/>
        </w:rPr>
      </w:pPr>
    </w:p>
    <w:p w14:paraId="67F67E74">
      <w:pPr>
        <w:rPr>
          <w:color w:val="000000"/>
          <w:sz w:val="24"/>
          <w:szCs w:val="24"/>
        </w:rPr>
      </w:pPr>
    </w:p>
    <w:p w14:paraId="6D819B75">
      <w:pPr>
        <w:rPr>
          <w:color w:val="000000"/>
          <w:sz w:val="24"/>
          <w:szCs w:val="24"/>
        </w:rPr>
      </w:pPr>
    </w:p>
    <w:p w14:paraId="4D0045B3">
      <w:pPr>
        <w:rPr>
          <w:color w:val="000000"/>
          <w:sz w:val="24"/>
          <w:szCs w:val="24"/>
        </w:rPr>
      </w:pPr>
    </w:p>
    <w:p w14:paraId="3BBA4E71">
      <w:pPr>
        <w:rPr>
          <w:color w:val="000000"/>
          <w:sz w:val="24"/>
          <w:szCs w:val="24"/>
        </w:rPr>
      </w:pPr>
    </w:p>
    <w:p w14:paraId="000ABF27">
      <w:pPr>
        <w:rPr>
          <w:color w:val="000000"/>
          <w:sz w:val="24"/>
          <w:szCs w:val="24"/>
        </w:rPr>
      </w:pPr>
    </w:p>
    <w:p w14:paraId="2F1FD210">
      <w:pPr>
        <w:rPr>
          <w:color w:val="000000"/>
          <w:sz w:val="24"/>
          <w:szCs w:val="24"/>
        </w:rPr>
      </w:pPr>
    </w:p>
    <w:p w14:paraId="21D06931">
      <w:pPr>
        <w:rPr>
          <w:color w:val="000000"/>
          <w:sz w:val="24"/>
          <w:szCs w:val="24"/>
        </w:rPr>
      </w:pPr>
    </w:p>
    <w:p w14:paraId="05519F88">
      <w:pPr>
        <w:rPr>
          <w:color w:val="000000"/>
          <w:sz w:val="24"/>
          <w:szCs w:val="24"/>
        </w:rPr>
      </w:pPr>
    </w:p>
    <w:p w14:paraId="6AE0DFAB">
      <w:pPr>
        <w:rPr>
          <w:color w:val="000000"/>
          <w:sz w:val="24"/>
          <w:szCs w:val="24"/>
        </w:rPr>
      </w:pPr>
    </w:p>
    <w:p w14:paraId="48C6350E">
      <w:pPr>
        <w:rPr>
          <w:color w:val="000000"/>
          <w:sz w:val="24"/>
          <w:szCs w:val="24"/>
        </w:rPr>
      </w:pPr>
    </w:p>
    <w:p w14:paraId="0671A459">
      <w:pPr>
        <w:rPr>
          <w:color w:val="000000"/>
          <w:sz w:val="24"/>
          <w:szCs w:val="24"/>
        </w:rPr>
      </w:pPr>
    </w:p>
    <w:p w14:paraId="391F2687">
      <w:pPr>
        <w:rPr>
          <w:color w:val="000000"/>
          <w:sz w:val="24"/>
          <w:szCs w:val="24"/>
        </w:rPr>
      </w:pPr>
    </w:p>
    <w:p w14:paraId="56D4278B">
      <w:pPr>
        <w:rPr>
          <w:color w:val="000000"/>
          <w:sz w:val="24"/>
          <w:szCs w:val="24"/>
        </w:rPr>
      </w:pPr>
    </w:p>
    <w:p w14:paraId="31D500A9">
      <w:pPr>
        <w:rPr>
          <w:color w:val="000000"/>
          <w:sz w:val="24"/>
          <w:szCs w:val="24"/>
        </w:rPr>
      </w:pPr>
    </w:p>
    <w:p w14:paraId="24038BBD">
      <w:pPr>
        <w:rPr>
          <w:color w:val="000000"/>
          <w:sz w:val="24"/>
          <w:szCs w:val="24"/>
        </w:rPr>
      </w:pPr>
    </w:p>
    <w:p w14:paraId="4C246DA2">
      <w:pPr>
        <w:rPr>
          <w:color w:val="000000"/>
          <w:sz w:val="24"/>
          <w:szCs w:val="24"/>
        </w:rPr>
      </w:pPr>
    </w:p>
    <w:p w14:paraId="7044FEB3">
      <w:pPr>
        <w:rPr>
          <w:color w:val="000000"/>
          <w:sz w:val="24"/>
          <w:szCs w:val="24"/>
        </w:rPr>
      </w:pPr>
    </w:p>
    <w:p w14:paraId="1240C455">
      <w:pPr>
        <w:jc w:val="center"/>
        <w:rPr>
          <w:b/>
          <w:color w:val="000000"/>
          <w:sz w:val="24"/>
          <w:szCs w:val="24"/>
        </w:rPr>
      </w:pPr>
    </w:p>
    <w:p w14:paraId="15066A2B">
      <w:pPr>
        <w:jc w:val="center"/>
        <w:rPr>
          <w:b/>
          <w:color w:val="000000"/>
          <w:sz w:val="24"/>
          <w:szCs w:val="24"/>
        </w:rPr>
      </w:pPr>
    </w:p>
    <w:p w14:paraId="4F61EB88">
      <w:pPr>
        <w:jc w:val="center"/>
        <w:rPr>
          <w:b/>
          <w:color w:val="000000"/>
          <w:sz w:val="24"/>
          <w:szCs w:val="24"/>
        </w:rPr>
      </w:pPr>
    </w:p>
    <w:p w14:paraId="0D0D2174">
      <w:pPr>
        <w:jc w:val="center"/>
        <w:rPr>
          <w:b/>
          <w:color w:val="000000"/>
          <w:sz w:val="24"/>
          <w:szCs w:val="24"/>
        </w:rPr>
      </w:pPr>
    </w:p>
    <w:p w14:paraId="19085A91">
      <w:pPr>
        <w:jc w:val="center"/>
        <w:rPr>
          <w:b/>
          <w:color w:val="000000"/>
          <w:sz w:val="24"/>
          <w:szCs w:val="24"/>
        </w:rPr>
      </w:pPr>
    </w:p>
    <w:p w14:paraId="63E02794">
      <w:pPr>
        <w:jc w:val="center"/>
        <w:rPr>
          <w:b/>
          <w:color w:val="000000"/>
          <w:sz w:val="24"/>
          <w:szCs w:val="24"/>
        </w:rPr>
      </w:pPr>
    </w:p>
    <w:p w14:paraId="0A6FABEE">
      <w:pPr>
        <w:jc w:val="center"/>
        <w:rPr>
          <w:b/>
          <w:color w:val="000000"/>
          <w:sz w:val="24"/>
          <w:szCs w:val="24"/>
        </w:rPr>
      </w:pPr>
    </w:p>
    <w:p w14:paraId="0B2C2AF5">
      <w:pPr>
        <w:jc w:val="center"/>
        <w:rPr>
          <w:b/>
          <w:color w:val="000000"/>
          <w:sz w:val="24"/>
          <w:szCs w:val="24"/>
        </w:rPr>
      </w:pPr>
      <w:r>
        <w:rPr>
          <w:b/>
          <w:color w:val="000000"/>
          <w:sz w:val="24"/>
          <w:szCs w:val="24"/>
        </w:rPr>
        <w:t>ANEXO VIII</w:t>
      </w:r>
    </w:p>
    <w:p w14:paraId="5F365EC5">
      <w:pPr>
        <w:jc w:val="center"/>
        <w:rPr>
          <w:b/>
          <w:color w:val="000000"/>
          <w:sz w:val="24"/>
          <w:szCs w:val="24"/>
        </w:rPr>
      </w:pPr>
    </w:p>
    <w:p w14:paraId="1633F749">
      <w:pPr>
        <w:jc w:val="center"/>
        <w:rPr>
          <w:b/>
          <w:color w:val="000000"/>
          <w:sz w:val="24"/>
          <w:szCs w:val="24"/>
        </w:rPr>
      </w:pPr>
      <w:r>
        <w:rPr>
          <w:b/>
          <w:color w:val="000000"/>
          <w:sz w:val="24"/>
          <w:szCs w:val="24"/>
        </w:rPr>
        <w:t>MODELO DECLARAÇÃO DA LICITANTE DE CUMPRIMENTO AO ARTIGO 7º, INCISO XXXIII, DA CONSTITUIÇÃO FEDERAL (ART. 68, INCISO VI, DA LEI 14.133/2021).</w:t>
      </w:r>
    </w:p>
    <w:p w14:paraId="67FE08AD">
      <w:pPr>
        <w:jc w:val="center"/>
        <w:rPr>
          <w:b/>
          <w:sz w:val="24"/>
          <w:szCs w:val="24"/>
        </w:rPr>
      </w:pPr>
    </w:p>
    <w:p w14:paraId="04681F6D">
      <w:pPr>
        <w:jc w:val="center"/>
        <w:rPr>
          <w:b/>
          <w:sz w:val="24"/>
          <w:szCs w:val="24"/>
        </w:rPr>
      </w:pPr>
    </w:p>
    <w:p w14:paraId="49FE7733">
      <w:pPr>
        <w:tabs>
          <w:tab w:val="left" w:pos="4005"/>
        </w:tabs>
        <w:rPr>
          <w:sz w:val="24"/>
          <w:szCs w:val="24"/>
        </w:rPr>
      </w:pPr>
    </w:p>
    <w:p w14:paraId="17531A40">
      <w:pPr>
        <w:rPr>
          <w:b/>
          <w:sz w:val="24"/>
          <w:szCs w:val="24"/>
        </w:rPr>
      </w:pPr>
      <w:r>
        <w:rPr>
          <w:b/>
          <w:sz w:val="24"/>
          <w:szCs w:val="24"/>
        </w:rPr>
        <w:t>PROCESSO LICITATÓRIO Nº XXX/2024</w:t>
      </w:r>
    </w:p>
    <w:p w14:paraId="0B0BBDD4">
      <w:pPr>
        <w:rPr>
          <w:sz w:val="24"/>
          <w:szCs w:val="24"/>
        </w:rPr>
      </w:pPr>
    </w:p>
    <w:p w14:paraId="0F13FFB3">
      <w:pPr>
        <w:rPr>
          <w:sz w:val="24"/>
          <w:szCs w:val="24"/>
        </w:rPr>
      </w:pPr>
      <w:r>
        <w:rPr>
          <w:b/>
          <w:sz w:val="24"/>
          <w:szCs w:val="24"/>
        </w:rPr>
        <w:t xml:space="preserve">MODALIDADE </w:t>
      </w:r>
      <w:r>
        <w:rPr>
          <w:sz w:val="24"/>
          <w:szCs w:val="24"/>
        </w:rPr>
        <w:t xml:space="preserve">– </w:t>
      </w:r>
      <w:r>
        <w:rPr>
          <w:b/>
          <w:sz w:val="24"/>
          <w:szCs w:val="24"/>
        </w:rPr>
        <w:t xml:space="preserve">PREGÃO ELETRÔNICO </w:t>
      </w:r>
    </w:p>
    <w:p w14:paraId="570A26D6">
      <w:pPr>
        <w:rPr>
          <w:b/>
          <w:sz w:val="24"/>
          <w:szCs w:val="24"/>
        </w:rPr>
      </w:pPr>
    </w:p>
    <w:p w14:paraId="4F1BB5CC">
      <w:pPr>
        <w:rPr>
          <w:b/>
          <w:sz w:val="24"/>
          <w:szCs w:val="24"/>
        </w:rPr>
      </w:pPr>
      <w:r>
        <w:rPr>
          <w:b/>
          <w:sz w:val="24"/>
          <w:szCs w:val="24"/>
        </w:rPr>
        <w:t>TIPO – MENOR PREÇO POR ITEM</w:t>
      </w:r>
    </w:p>
    <w:p w14:paraId="5BFC5490">
      <w:pPr>
        <w:rPr>
          <w:sz w:val="24"/>
          <w:szCs w:val="24"/>
        </w:rPr>
      </w:pPr>
    </w:p>
    <w:p w14:paraId="5A50D689">
      <w:pPr>
        <w:rPr>
          <w:b/>
          <w:sz w:val="24"/>
          <w:szCs w:val="24"/>
        </w:rPr>
      </w:pPr>
    </w:p>
    <w:p w14:paraId="1B57A9BF">
      <w:pPr>
        <w:rPr>
          <w:sz w:val="24"/>
          <w:szCs w:val="24"/>
        </w:rPr>
      </w:pPr>
    </w:p>
    <w:p w14:paraId="02A3FA47">
      <w:pPr>
        <w:rPr>
          <w:sz w:val="24"/>
          <w:szCs w:val="24"/>
        </w:rPr>
      </w:pPr>
    </w:p>
    <w:p w14:paraId="3AB2BDC3">
      <w:pPr>
        <w:jc w:val="both"/>
        <w:rPr>
          <w:sz w:val="24"/>
          <w:szCs w:val="24"/>
        </w:rPr>
      </w:pPr>
      <w:r>
        <w:rPr>
          <w:sz w:val="24"/>
          <w:szCs w:val="24"/>
        </w:rPr>
        <w:t>A signatária________________________________, inscrita no CNPJ nº_________________, por intermédio de seu responsável legal _______________________, portador da Carteira de Identidade nº__________ e CPF nº_____________, declara par aos devidos fins do disposto no art. 68, inciso VI, da Lei nº 14.133/2021, que não emprega menor de dezoito anos em trabalho noturno, perigoso ou insalubre e não emprega menor de dezesseis anos.</w:t>
      </w:r>
    </w:p>
    <w:p w14:paraId="1773CBEB">
      <w:pPr>
        <w:jc w:val="both"/>
        <w:rPr>
          <w:sz w:val="24"/>
          <w:szCs w:val="24"/>
        </w:rPr>
      </w:pPr>
    </w:p>
    <w:p w14:paraId="5C30E7FB">
      <w:pPr>
        <w:jc w:val="both"/>
        <w:rPr>
          <w:sz w:val="24"/>
          <w:szCs w:val="24"/>
        </w:rPr>
      </w:pPr>
      <w:r>
        <w:rPr>
          <w:sz w:val="24"/>
          <w:szCs w:val="24"/>
        </w:rPr>
        <w:t>Ressalva: emprega menor, a partir de quatorze anos, na condição de aprendiz</w:t>
      </w:r>
    </w:p>
    <w:p w14:paraId="2296308A">
      <w:pPr>
        <w:rPr>
          <w:sz w:val="24"/>
          <w:szCs w:val="24"/>
        </w:rPr>
      </w:pPr>
    </w:p>
    <w:p w14:paraId="5F50F28B">
      <w:pPr>
        <w:jc w:val="center"/>
        <w:rPr>
          <w:b/>
          <w:sz w:val="24"/>
          <w:szCs w:val="24"/>
        </w:rPr>
      </w:pPr>
      <w:r>
        <w:rPr>
          <w:b/>
          <w:sz w:val="24"/>
          <w:szCs w:val="24"/>
        </w:rPr>
        <w:t>Sim(  )                   Não (  )</w:t>
      </w:r>
    </w:p>
    <w:p w14:paraId="1AE681EE">
      <w:pPr>
        <w:jc w:val="center"/>
        <w:rPr>
          <w:b/>
          <w:sz w:val="24"/>
          <w:szCs w:val="24"/>
        </w:rPr>
      </w:pPr>
    </w:p>
    <w:p w14:paraId="62B5056A">
      <w:pPr>
        <w:jc w:val="center"/>
        <w:rPr>
          <w:b/>
          <w:sz w:val="24"/>
          <w:szCs w:val="24"/>
        </w:rPr>
      </w:pPr>
    </w:p>
    <w:p w14:paraId="6ED00D49">
      <w:pPr>
        <w:jc w:val="center"/>
        <w:rPr>
          <w:b/>
          <w:sz w:val="24"/>
          <w:szCs w:val="24"/>
        </w:rPr>
      </w:pPr>
    </w:p>
    <w:p w14:paraId="3F50BD55">
      <w:pPr>
        <w:jc w:val="center"/>
        <w:rPr>
          <w:b/>
          <w:sz w:val="24"/>
          <w:szCs w:val="24"/>
        </w:rPr>
      </w:pPr>
      <w:r>
        <w:rPr>
          <w:sz w:val="24"/>
          <w:szCs w:val="24"/>
        </w:rPr>
        <w:t>Cidade, ___ de ___________ de 20XX</w:t>
      </w:r>
      <w:r>
        <w:rPr>
          <w:b/>
          <w:sz w:val="24"/>
          <w:szCs w:val="24"/>
        </w:rPr>
        <w:t>.</w:t>
      </w:r>
    </w:p>
    <w:p w14:paraId="447C2A50">
      <w:pPr>
        <w:jc w:val="center"/>
        <w:rPr>
          <w:b/>
          <w:sz w:val="24"/>
          <w:szCs w:val="24"/>
        </w:rPr>
      </w:pPr>
    </w:p>
    <w:p w14:paraId="1053AE44">
      <w:pPr>
        <w:rPr>
          <w:sz w:val="24"/>
          <w:szCs w:val="24"/>
        </w:rPr>
      </w:pPr>
    </w:p>
    <w:p w14:paraId="49C6EF07">
      <w:pPr>
        <w:rPr>
          <w:sz w:val="24"/>
          <w:szCs w:val="24"/>
        </w:rPr>
      </w:pPr>
    </w:p>
    <w:p w14:paraId="2CEAFBBC">
      <w:pPr>
        <w:rPr>
          <w:sz w:val="24"/>
          <w:szCs w:val="24"/>
        </w:rPr>
      </w:pPr>
    </w:p>
    <w:p w14:paraId="1FF00658">
      <w:pPr>
        <w:rPr>
          <w:sz w:val="24"/>
          <w:szCs w:val="24"/>
        </w:rPr>
      </w:pPr>
    </w:p>
    <w:p w14:paraId="2300E49E">
      <w:pPr>
        <w:jc w:val="center"/>
        <w:rPr>
          <w:sz w:val="24"/>
          <w:szCs w:val="24"/>
        </w:rPr>
      </w:pPr>
      <w:r>
        <w:rPr>
          <w:b/>
          <w:sz w:val="24"/>
          <w:szCs w:val="24"/>
        </w:rPr>
        <w:t>(nome, carimbo, e assinatura do responsável legal da empresa).</w:t>
      </w:r>
    </w:p>
    <w:p w14:paraId="1BA868A4">
      <w:pPr>
        <w:rPr>
          <w:sz w:val="24"/>
          <w:szCs w:val="24"/>
        </w:rPr>
      </w:pPr>
      <w:r>
        <w:rPr>
          <w:sz w:val="24"/>
          <w:szCs w:val="24"/>
        </w:rPr>
        <w:t xml:space="preserve"> </w:t>
      </w:r>
    </w:p>
    <w:p w14:paraId="550C30E9">
      <w:pPr>
        <w:jc w:val="center"/>
        <w:rPr>
          <w:sz w:val="24"/>
          <w:szCs w:val="24"/>
        </w:rPr>
      </w:pPr>
    </w:p>
    <w:p w14:paraId="2B4AD32A">
      <w:pPr>
        <w:jc w:val="center"/>
        <w:rPr>
          <w:sz w:val="24"/>
          <w:szCs w:val="24"/>
        </w:rPr>
      </w:pPr>
    </w:p>
    <w:p w14:paraId="6BFAA733">
      <w:pPr>
        <w:jc w:val="center"/>
        <w:rPr>
          <w:sz w:val="24"/>
          <w:szCs w:val="24"/>
        </w:rPr>
      </w:pPr>
    </w:p>
    <w:p w14:paraId="52873495">
      <w:pPr>
        <w:jc w:val="center"/>
        <w:rPr>
          <w:sz w:val="24"/>
          <w:szCs w:val="24"/>
        </w:rPr>
      </w:pPr>
    </w:p>
    <w:p w14:paraId="228B15C8">
      <w:pPr>
        <w:jc w:val="center"/>
        <w:rPr>
          <w:sz w:val="24"/>
          <w:szCs w:val="24"/>
        </w:rPr>
      </w:pPr>
    </w:p>
    <w:p w14:paraId="0CE141B1">
      <w:pPr>
        <w:jc w:val="center"/>
        <w:rPr>
          <w:sz w:val="24"/>
          <w:szCs w:val="24"/>
        </w:rPr>
      </w:pPr>
    </w:p>
    <w:p w14:paraId="16A71C7F">
      <w:pPr>
        <w:jc w:val="center"/>
        <w:rPr>
          <w:sz w:val="24"/>
          <w:szCs w:val="24"/>
        </w:rPr>
      </w:pPr>
    </w:p>
    <w:p w14:paraId="4E86F597">
      <w:pPr>
        <w:jc w:val="center"/>
        <w:rPr>
          <w:sz w:val="24"/>
          <w:szCs w:val="24"/>
        </w:rPr>
      </w:pPr>
    </w:p>
    <w:p w14:paraId="57262E76">
      <w:pPr>
        <w:jc w:val="center"/>
        <w:rPr>
          <w:sz w:val="24"/>
          <w:szCs w:val="24"/>
        </w:rPr>
      </w:pPr>
    </w:p>
    <w:p w14:paraId="4A9E466E">
      <w:pPr>
        <w:jc w:val="center"/>
        <w:rPr>
          <w:sz w:val="24"/>
          <w:szCs w:val="24"/>
        </w:rPr>
      </w:pPr>
    </w:p>
    <w:p w14:paraId="7C02101A">
      <w:pPr>
        <w:jc w:val="center"/>
        <w:rPr>
          <w:sz w:val="24"/>
          <w:szCs w:val="24"/>
        </w:rPr>
      </w:pPr>
    </w:p>
    <w:p w14:paraId="3503D443">
      <w:pPr>
        <w:jc w:val="center"/>
        <w:rPr>
          <w:sz w:val="24"/>
          <w:szCs w:val="24"/>
        </w:rPr>
      </w:pPr>
    </w:p>
    <w:p w14:paraId="43804EF8">
      <w:pPr>
        <w:jc w:val="center"/>
        <w:rPr>
          <w:sz w:val="24"/>
          <w:szCs w:val="24"/>
        </w:rPr>
      </w:pPr>
    </w:p>
    <w:p w14:paraId="2EA1DE3D">
      <w:pPr>
        <w:jc w:val="center"/>
        <w:rPr>
          <w:b/>
          <w:color w:val="000000"/>
          <w:sz w:val="24"/>
          <w:szCs w:val="24"/>
        </w:rPr>
      </w:pPr>
      <w:r>
        <w:rPr>
          <w:b/>
          <w:color w:val="000000"/>
          <w:sz w:val="24"/>
          <w:szCs w:val="24"/>
        </w:rPr>
        <w:t>ANEXO IX</w:t>
      </w:r>
    </w:p>
    <w:p w14:paraId="2A9BD25A">
      <w:pPr>
        <w:jc w:val="center"/>
        <w:rPr>
          <w:b/>
          <w:color w:val="000000"/>
          <w:sz w:val="24"/>
          <w:szCs w:val="24"/>
        </w:rPr>
      </w:pPr>
    </w:p>
    <w:p w14:paraId="2652878F">
      <w:pPr>
        <w:jc w:val="center"/>
        <w:rPr>
          <w:b/>
          <w:color w:val="000000"/>
          <w:sz w:val="24"/>
          <w:szCs w:val="24"/>
        </w:rPr>
      </w:pPr>
      <w:r>
        <w:rPr>
          <w:b/>
          <w:color w:val="000000"/>
          <w:sz w:val="24"/>
          <w:szCs w:val="24"/>
        </w:rPr>
        <w:t xml:space="preserve">MODELO DE DECLARAÇÃO DA LICITANTE DE QUE A PROPOSTA ECONÔMICA COMPREENDE A INTEGRALIDADE DOS CUSTOS (art. 63, §1º, da Lei nº 14.133/2021). </w:t>
      </w:r>
    </w:p>
    <w:p w14:paraId="64074E11">
      <w:pPr>
        <w:jc w:val="center"/>
        <w:rPr>
          <w:b/>
          <w:sz w:val="24"/>
          <w:szCs w:val="24"/>
        </w:rPr>
      </w:pPr>
    </w:p>
    <w:p w14:paraId="13C9BA5B">
      <w:pPr>
        <w:jc w:val="center"/>
        <w:rPr>
          <w:b/>
          <w:sz w:val="24"/>
          <w:szCs w:val="24"/>
        </w:rPr>
      </w:pPr>
    </w:p>
    <w:p w14:paraId="4EAE14B3">
      <w:pPr>
        <w:tabs>
          <w:tab w:val="left" w:pos="4005"/>
        </w:tabs>
        <w:rPr>
          <w:sz w:val="24"/>
          <w:szCs w:val="24"/>
        </w:rPr>
      </w:pPr>
    </w:p>
    <w:p w14:paraId="4D5D9373">
      <w:pPr>
        <w:rPr>
          <w:b/>
          <w:sz w:val="24"/>
          <w:szCs w:val="24"/>
        </w:rPr>
      </w:pPr>
      <w:r>
        <w:rPr>
          <w:b/>
          <w:sz w:val="24"/>
          <w:szCs w:val="24"/>
        </w:rPr>
        <w:t>PROCESSO LICITATÓRIO Nº XXX/2024</w:t>
      </w:r>
    </w:p>
    <w:p w14:paraId="38BD3CC9">
      <w:pPr>
        <w:rPr>
          <w:sz w:val="24"/>
          <w:szCs w:val="24"/>
        </w:rPr>
      </w:pPr>
    </w:p>
    <w:p w14:paraId="3494BC76">
      <w:pPr>
        <w:rPr>
          <w:sz w:val="24"/>
          <w:szCs w:val="24"/>
        </w:rPr>
      </w:pPr>
      <w:r>
        <w:rPr>
          <w:b/>
          <w:sz w:val="24"/>
          <w:szCs w:val="24"/>
        </w:rPr>
        <w:t xml:space="preserve">MODALIDADE </w:t>
      </w:r>
      <w:r>
        <w:rPr>
          <w:sz w:val="24"/>
          <w:szCs w:val="24"/>
        </w:rPr>
        <w:t xml:space="preserve">– </w:t>
      </w:r>
      <w:r>
        <w:rPr>
          <w:b/>
          <w:sz w:val="24"/>
          <w:szCs w:val="24"/>
        </w:rPr>
        <w:t xml:space="preserve">PREGÃO ELETRÔNICO </w:t>
      </w:r>
    </w:p>
    <w:p w14:paraId="711E1750">
      <w:pPr>
        <w:rPr>
          <w:b/>
          <w:sz w:val="24"/>
          <w:szCs w:val="24"/>
        </w:rPr>
      </w:pPr>
    </w:p>
    <w:p w14:paraId="335E4478">
      <w:pPr>
        <w:rPr>
          <w:b/>
          <w:sz w:val="24"/>
          <w:szCs w:val="24"/>
        </w:rPr>
      </w:pPr>
      <w:r>
        <w:rPr>
          <w:b/>
          <w:sz w:val="24"/>
          <w:szCs w:val="24"/>
        </w:rPr>
        <w:t>TIPO – MENOR PREÇO POR ITEM</w:t>
      </w:r>
    </w:p>
    <w:p w14:paraId="426E480F">
      <w:pPr>
        <w:rPr>
          <w:sz w:val="24"/>
          <w:szCs w:val="24"/>
        </w:rPr>
      </w:pPr>
    </w:p>
    <w:p w14:paraId="0BDFA1FE">
      <w:pPr>
        <w:rPr>
          <w:b/>
          <w:sz w:val="24"/>
          <w:szCs w:val="24"/>
        </w:rPr>
      </w:pPr>
    </w:p>
    <w:p w14:paraId="39CAB90C">
      <w:pPr>
        <w:rPr>
          <w:sz w:val="24"/>
          <w:szCs w:val="24"/>
        </w:rPr>
      </w:pPr>
    </w:p>
    <w:p w14:paraId="7983C0FD">
      <w:pPr>
        <w:rPr>
          <w:sz w:val="24"/>
          <w:szCs w:val="24"/>
        </w:rPr>
      </w:pPr>
    </w:p>
    <w:p w14:paraId="2773B295">
      <w:pPr>
        <w:jc w:val="both"/>
        <w:rPr>
          <w:sz w:val="24"/>
          <w:szCs w:val="24"/>
        </w:rPr>
      </w:pPr>
      <w:r>
        <w:rPr>
          <w:sz w:val="24"/>
          <w:szCs w:val="24"/>
        </w:rPr>
        <w:t xml:space="preserve">A empresa________________________________, inscrita no CNPJ nº_________________, por intermédio de seu responsável legal _______________________, portador da Carteira de Identidade nº__________ e CPF nº_____________, declara par aos devidos fins do disposto no art. 63, </w:t>
      </w:r>
      <w:r>
        <w:rPr>
          <w:color w:val="000000"/>
          <w:sz w:val="24"/>
          <w:szCs w:val="24"/>
        </w:rPr>
        <w:t xml:space="preserve">§1º, </w:t>
      </w:r>
      <w:r>
        <w:rPr>
          <w:sz w:val="24"/>
          <w:szCs w:val="24"/>
        </w:rPr>
        <w:t xml:space="preserve">da Lei nº 14.133/2021, que </w:t>
      </w:r>
      <w:r>
        <w:rPr>
          <w:color w:val="000000"/>
          <w:sz w:val="24"/>
          <w:szCs w:val="24"/>
        </w:rPr>
        <w:t>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5648599">
      <w:pPr>
        <w:jc w:val="both"/>
        <w:rPr>
          <w:sz w:val="24"/>
          <w:szCs w:val="24"/>
        </w:rPr>
      </w:pPr>
    </w:p>
    <w:p w14:paraId="0B3D0CAF">
      <w:pPr>
        <w:jc w:val="center"/>
        <w:rPr>
          <w:b/>
          <w:sz w:val="24"/>
          <w:szCs w:val="24"/>
        </w:rPr>
      </w:pPr>
    </w:p>
    <w:p w14:paraId="345D0B75">
      <w:pPr>
        <w:jc w:val="center"/>
        <w:rPr>
          <w:b/>
          <w:sz w:val="24"/>
          <w:szCs w:val="24"/>
        </w:rPr>
      </w:pPr>
    </w:p>
    <w:p w14:paraId="395EB3EF">
      <w:pPr>
        <w:jc w:val="center"/>
        <w:rPr>
          <w:b/>
          <w:sz w:val="24"/>
          <w:szCs w:val="24"/>
        </w:rPr>
      </w:pPr>
      <w:r>
        <w:rPr>
          <w:sz w:val="24"/>
          <w:szCs w:val="24"/>
        </w:rPr>
        <w:t>Cidade, ___ de ___________ de 2024</w:t>
      </w:r>
      <w:r>
        <w:rPr>
          <w:b/>
          <w:sz w:val="24"/>
          <w:szCs w:val="24"/>
        </w:rPr>
        <w:t>.</w:t>
      </w:r>
    </w:p>
    <w:p w14:paraId="02E858E2">
      <w:pPr>
        <w:jc w:val="center"/>
        <w:rPr>
          <w:b/>
          <w:sz w:val="24"/>
          <w:szCs w:val="24"/>
        </w:rPr>
      </w:pPr>
    </w:p>
    <w:p w14:paraId="02E2247A">
      <w:pPr>
        <w:rPr>
          <w:sz w:val="24"/>
          <w:szCs w:val="24"/>
        </w:rPr>
      </w:pPr>
    </w:p>
    <w:p w14:paraId="5AC20377">
      <w:pPr>
        <w:rPr>
          <w:sz w:val="24"/>
          <w:szCs w:val="24"/>
        </w:rPr>
      </w:pPr>
    </w:p>
    <w:p w14:paraId="3C602142">
      <w:pPr>
        <w:rPr>
          <w:sz w:val="24"/>
          <w:szCs w:val="24"/>
        </w:rPr>
      </w:pPr>
    </w:p>
    <w:p w14:paraId="2EF92CAF">
      <w:pPr>
        <w:rPr>
          <w:sz w:val="24"/>
          <w:szCs w:val="24"/>
        </w:rPr>
      </w:pPr>
    </w:p>
    <w:p w14:paraId="43EB5743">
      <w:pPr>
        <w:jc w:val="center"/>
        <w:rPr>
          <w:b/>
          <w:sz w:val="24"/>
          <w:szCs w:val="24"/>
        </w:rPr>
      </w:pPr>
      <w:r>
        <w:rPr>
          <w:b/>
          <w:sz w:val="24"/>
          <w:szCs w:val="24"/>
        </w:rPr>
        <w:t>(nome, carimbo, e assinatura do responsável legal da empresa).</w:t>
      </w:r>
    </w:p>
    <w:p w14:paraId="70441446">
      <w:pPr>
        <w:jc w:val="center"/>
        <w:rPr>
          <w:color w:val="000000"/>
          <w:sz w:val="24"/>
          <w:szCs w:val="24"/>
        </w:rPr>
      </w:pPr>
    </w:p>
    <w:p w14:paraId="0CA875D9">
      <w:pPr>
        <w:jc w:val="center"/>
        <w:rPr>
          <w:sz w:val="24"/>
          <w:szCs w:val="24"/>
        </w:rPr>
      </w:pPr>
    </w:p>
    <w:p w14:paraId="050F38BF"/>
    <w:p w14:paraId="53283277"/>
    <w:p w14:paraId="2605F8A7"/>
    <w:p w14:paraId="0B85F570"/>
    <w:sectPr>
      <w:headerReference r:id="rId5" w:type="default"/>
      <w:footerReference r:id="rId6" w:type="default"/>
      <w:pgSz w:w="11906" w:h="16838"/>
      <w:pgMar w:top="1702" w:right="1701" w:bottom="709" w:left="1701" w:header="284" w:footer="72"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Georgia">
    <w:panose1 w:val="02040502050405020303"/>
    <w:charset w:val="00"/>
    <w:family w:val="roman"/>
    <w:pitch w:val="default"/>
    <w:sig w:usb0="00000287" w:usb1="00000000" w:usb2="00000000" w:usb3="00000000" w:csb0="2000009F" w:csb1="00000000"/>
  </w:font>
  <w:font w:name="Ecofont_Spranq_eco_Sans">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7385357"/>
      <w:docPartObj>
        <w:docPartGallery w:val="AutoText"/>
      </w:docPartObj>
    </w:sdtPr>
    <w:sdtContent>
      <w:p w14:paraId="5E061CDF">
        <w:pPr>
          <w:pStyle w:val="17"/>
          <w:jc w:val="right"/>
        </w:pPr>
        <w:r>
          <w:fldChar w:fldCharType="begin"/>
        </w:r>
        <w:r>
          <w:instrText xml:space="preserve">PAGE   \* MERGEFORMAT</w:instrText>
        </w:r>
        <w:r>
          <w:fldChar w:fldCharType="separate"/>
        </w:r>
        <w:r>
          <w:t>25</w:t>
        </w:r>
        <w:r>
          <w:fldChar w:fldCharType="end"/>
        </w:r>
      </w:p>
    </w:sdtContent>
  </w:sdt>
  <w:p w14:paraId="4DDD4A76">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F4AD0">
    <w:pPr>
      <w:pStyle w:val="16"/>
      <w:rPr>
        <w:b/>
        <w:sz w:val="44"/>
        <w:szCs w:val="44"/>
      </w:rPr>
    </w:pPr>
    <w:r>
      <mc:AlternateContent>
        <mc:Choice Requires="wps">
          <w:drawing>
            <wp:anchor distT="0" distB="0" distL="114300" distR="114300" simplePos="0" relativeHeight="251659264" behindDoc="0" locked="0" layoutInCell="1" allowOverlap="1">
              <wp:simplePos x="0" y="0"/>
              <wp:positionH relativeFrom="column">
                <wp:posOffset>1218565</wp:posOffset>
              </wp:positionH>
              <wp:positionV relativeFrom="paragraph">
                <wp:posOffset>-2540</wp:posOffset>
              </wp:positionV>
              <wp:extent cx="3638550" cy="768350"/>
              <wp:effectExtent l="0" t="0" r="19050" b="12700"/>
              <wp:wrapNone/>
              <wp:docPr id="298" name="Caixa de Texto 298"/>
              <wp:cNvGraphicFramePr/>
              <a:graphic xmlns:a="http://schemas.openxmlformats.org/drawingml/2006/main">
                <a:graphicData uri="http://schemas.microsoft.com/office/word/2010/wordprocessingShape">
                  <wps:wsp>
                    <wps:cNvSpPr txBox="1">
                      <a:spLocks noChangeArrowheads="1"/>
                    </wps:cNvSpPr>
                    <wps:spPr bwMode="auto">
                      <a:xfrm>
                        <a:off x="0" y="0"/>
                        <a:ext cx="3638550" cy="768350"/>
                      </a:xfrm>
                      <a:prstGeom prst="rect">
                        <a:avLst/>
                      </a:prstGeom>
                      <a:solidFill>
                        <a:srgbClr val="FFFFFF"/>
                      </a:solidFill>
                      <a:ln w="9525">
                        <a:solidFill>
                          <a:srgbClr val="000000"/>
                        </a:solidFill>
                        <a:miter lim="800000"/>
                      </a:ln>
                    </wps:spPr>
                    <wps:txbx>
                      <w:txbxContent>
                        <w:p w14:paraId="4AB16FAB">
                          <w:pPr>
                            <w:pStyle w:val="16"/>
                            <w:jc w:val="center"/>
                            <w:rPr>
                              <w:b/>
                              <w:sz w:val="24"/>
                              <w:szCs w:val="24"/>
                            </w:rPr>
                          </w:pPr>
                          <w:r>
                            <w:rPr>
                              <w:b/>
                              <w:sz w:val="24"/>
                              <w:szCs w:val="24"/>
                            </w:rPr>
                            <w:t>Prefeitura Municipal de Ipirá</w:t>
                          </w:r>
                        </w:p>
                        <w:p w14:paraId="3DE672E0">
                          <w:pPr>
                            <w:pStyle w:val="16"/>
                            <w:jc w:val="center"/>
                            <w:rPr>
                              <w:b/>
                              <w:sz w:val="16"/>
                              <w:szCs w:val="16"/>
                            </w:rPr>
                          </w:pPr>
                          <w:r>
                            <w:rPr>
                              <w:b/>
                              <w:sz w:val="16"/>
                              <w:szCs w:val="16"/>
                            </w:rPr>
                            <w:t>ESTADO DA BAHIA</w:t>
                          </w:r>
                        </w:p>
                        <w:p w14:paraId="42B2BC41">
                          <w:pPr>
                            <w:pStyle w:val="16"/>
                            <w:jc w:val="center"/>
                            <w:rPr>
                              <w:b/>
                              <w:sz w:val="16"/>
                              <w:szCs w:val="16"/>
                            </w:rPr>
                          </w:pPr>
                          <w:r>
                            <w:rPr>
                              <w:b/>
                              <w:sz w:val="16"/>
                              <w:szCs w:val="16"/>
                            </w:rPr>
                            <w:t>Centro Administrativo Ba 052 – Estrada do Feijão – Km 86</w:t>
                          </w:r>
                        </w:p>
                        <w:p w14:paraId="50E2A0E1">
                          <w:pPr>
                            <w:pStyle w:val="16"/>
                            <w:jc w:val="center"/>
                            <w:rPr>
                              <w:b/>
                              <w:sz w:val="16"/>
                              <w:szCs w:val="16"/>
                            </w:rPr>
                          </w:pPr>
                          <w:r>
                            <w:rPr>
                              <w:b/>
                              <w:sz w:val="16"/>
                              <w:szCs w:val="16"/>
                            </w:rPr>
                            <w:t>– CEP 44.600-000 -</w:t>
                          </w:r>
                        </w:p>
                        <w:p w14:paraId="4F345F1F">
                          <w:pPr>
                            <w:pStyle w:val="16"/>
                            <w:jc w:val="center"/>
                            <w:rPr>
                              <w:rFonts w:ascii="Courier New" w:hAnsi="Courier New" w:cs="Courier New"/>
                              <w:sz w:val="16"/>
                              <w:szCs w:val="16"/>
                            </w:rPr>
                          </w:pPr>
                          <w:r>
                            <w:rPr>
                              <w:b/>
                              <w:sz w:val="16"/>
                              <w:szCs w:val="16"/>
                            </w:rPr>
                            <w:t>CNPJ 14.042.659/0001-15 – PABX (**75) 3254-1004</w:t>
                          </w:r>
                        </w:p>
                        <w:p w14:paraId="429E5418"/>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95.95pt;margin-top:-0.2pt;height:60.5pt;width:286.5pt;z-index:251659264;mso-width-relative:page;mso-height-relative:page;" fillcolor="#FFFFFF" filled="t" stroked="t" coordsize="21600,21600" o:gfxdata="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p7BiNcAAAAJAQAADwAAAAAAAAABACAAAAAiAAAAZHJzL2Rvd25yZXYueG1sUEsB&#10;AhQAFAAAAAgAh07iQCRX7CEvAgAAhAQAAA4AAAAAAAAAAQAgAAAAJgEAAGRycy9lMm9Eb2MueG1s&#10;UEsFBgAAAAAGAAYAWQEAAMcFAAAAAA==&#10;">
              <v:fill on="t" focussize="0,0"/>
              <v:stroke color="#000000" miterlimit="8" joinstyle="miter"/>
              <v:imagedata o:title=""/>
              <o:lock v:ext="edit" aspectratio="f"/>
              <v:textbox>
                <w:txbxContent>
                  <w:p w14:paraId="4AB16FAB">
                    <w:pPr>
                      <w:pStyle w:val="16"/>
                      <w:jc w:val="center"/>
                      <w:rPr>
                        <w:b/>
                        <w:sz w:val="24"/>
                        <w:szCs w:val="24"/>
                      </w:rPr>
                    </w:pPr>
                    <w:r>
                      <w:rPr>
                        <w:b/>
                        <w:sz w:val="24"/>
                        <w:szCs w:val="24"/>
                      </w:rPr>
                      <w:t>Prefeitura Municipal de Ipirá</w:t>
                    </w:r>
                  </w:p>
                  <w:p w14:paraId="3DE672E0">
                    <w:pPr>
                      <w:pStyle w:val="16"/>
                      <w:jc w:val="center"/>
                      <w:rPr>
                        <w:b/>
                        <w:sz w:val="16"/>
                        <w:szCs w:val="16"/>
                      </w:rPr>
                    </w:pPr>
                    <w:r>
                      <w:rPr>
                        <w:b/>
                        <w:sz w:val="16"/>
                        <w:szCs w:val="16"/>
                      </w:rPr>
                      <w:t>ESTADO DA BAHIA</w:t>
                    </w:r>
                  </w:p>
                  <w:p w14:paraId="42B2BC41">
                    <w:pPr>
                      <w:pStyle w:val="16"/>
                      <w:jc w:val="center"/>
                      <w:rPr>
                        <w:b/>
                        <w:sz w:val="16"/>
                        <w:szCs w:val="16"/>
                      </w:rPr>
                    </w:pPr>
                    <w:r>
                      <w:rPr>
                        <w:b/>
                        <w:sz w:val="16"/>
                        <w:szCs w:val="16"/>
                      </w:rPr>
                      <w:t>Centro Administrativo Ba 052 – Estrada do Feijão – Km 86</w:t>
                    </w:r>
                  </w:p>
                  <w:p w14:paraId="50E2A0E1">
                    <w:pPr>
                      <w:pStyle w:val="16"/>
                      <w:jc w:val="center"/>
                      <w:rPr>
                        <w:b/>
                        <w:sz w:val="16"/>
                        <w:szCs w:val="16"/>
                      </w:rPr>
                    </w:pPr>
                    <w:r>
                      <w:rPr>
                        <w:b/>
                        <w:sz w:val="16"/>
                        <w:szCs w:val="16"/>
                      </w:rPr>
                      <w:t>– CEP 44.600-000 -</w:t>
                    </w:r>
                  </w:p>
                  <w:p w14:paraId="4F345F1F">
                    <w:pPr>
                      <w:pStyle w:val="16"/>
                      <w:jc w:val="center"/>
                      <w:rPr>
                        <w:rFonts w:ascii="Courier New" w:hAnsi="Courier New" w:cs="Courier New"/>
                        <w:sz w:val="16"/>
                        <w:szCs w:val="16"/>
                      </w:rPr>
                    </w:pPr>
                    <w:r>
                      <w:rPr>
                        <w:b/>
                        <w:sz w:val="16"/>
                        <w:szCs w:val="16"/>
                      </w:rPr>
                      <w:t>CNPJ 14.042.659/0001-15 – PABX (**75) 3254-1004</w:t>
                    </w:r>
                  </w:p>
                  <w:p w14:paraId="429E5418"/>
                </w:txbxContent>
              </v:textbox>
            </v:shape>
          </w:pict>
        </mc:Fallback>
      </mc:AlternateContent>
    </w:r>
    <w:r>
      <w:rPr>
        <w:b/>
        <w:sz w:val="44"/>
        <w:szCs w:val="44"/>
      </w:rPr>
      <w:t xml:space="preserve"> </w:t>
    </w:r>
    <w:r>
      <w:drawing>
        <wp:inline distT="0" distB="0" distL="0" distR="0">
          <wp:extent cx="800735" cy="768350"/>
          <wp:effectExtent l="0" t="0" r="0" b="0"/>
          <wp:docPr id="1" name="Imagem 1" descr="Descrição: BRASÃO 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crição: BRASÃO PREFEITU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10250" cy="777044"/>
                  </a:xfrm>
                  <a:prstGeom prst="rect">
                    <a:avLst/>
                  </a:prstGeom>
                  <a:noFill/>
                  <a:ln>
                    <a:noFill/>
                  </a:ln>
                </pic:spPr>
              </pic:pic>
            </a:graphicData>
          </a:graphic>
        </wp:inline>
      </w:drawing>
    </w:r>
  </w:p>
  <w:p w14:paraId="062CA330">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653F1"/>
    <w:multiLevelType w:val="multilevel"/>
    <w:tmpl w:val="008653F1"/>
    <w:lvl w:ilvl="0" w:tentative="0">
      <w:start w:val="7"/>
      <w:numFmt w:val="decimal"/>
      <w:lvlText w:val="%1."/>
      <w:lvlJc w:val="left"/>
      <w:pPr>
        <w:ind w:left="400" w:hanging="400"/>
      </w:pPr>
    </w:lvl>
    <w:lvl w:ilvl="1" w:tentative="0">
      <w:start w:val="1"/>
      <w:numFmt w:val="decimal"/>
      <w:lvlText w:val="%1.%2."/>
      <w:lvlJc w:val="left"/>
      <w:pPr>
        <w:ind w:left="607" w:hanging="720"/>
      </w:pPr>
      <w:rPr>
        <w:b/>
      </w:rPr>
    </w:lvl>
    <w:lvl w:ilvl="2" w:tentative="0">
      <w:start w:val="1"/>
      <w:numFmt w:val="decimal"/>
      <w:lvlText w:val="%1.%2.%3."/>
      <w:lvlJc w:val="left"/>
      <w:pPr>
        <w:ind w:left="494" w:hanging="720"/>
      </w:pPr>
      <w:rPr>
        <w:b/>
      </w:rPr>
    </w:lvl>
    <w:lvl w:ilvl="3" w:tentative="0">
      <w:start w:val="1"/>
      <w:numFmt w:val="decimal"/>
      <w:lvlText w:val="%1.%2.%3.%4."/>
      <w:lvlJc w:val="left"/>
      <w:pPr>
        <w:ind w:left="1931" w:hanging="1080"/>
      </w:pPr>
      <w:rPr>
        <w:b/>
      </w:rPr>
    </w:lvl>
    <w:lvl w:ilvl="4" w:tentative="0">
      <w:start w:val="1"/>
      <w:numFmt w:val="decimal"/>
      <w:lvlText w:val="%1.%2.%3.%4.%5."/>
      <w:lvlJc w:val="left"/>
      <w:pPr>
        <w:ind w:left="628" w:hanging="1080"/>
      </w:pPr>
    </w:lvl>
    <w:lvl w:ilvl="5" w:tentative="0">
      <w:start w:val="1"/>
      <w:numFmt w:val="decimal"/>
      <w:lvlText w:val="%1.%2.%3.%4.%5.%6."/>
      <w:lvlJc w:val="left"/>
      <w:pPr>
        <w:ind w:left="875" w:hanging="1440"/>
      </w:pPr>
    </w:lvl>
    <w:lvl w:ilvl="6" w:tentative="0">
      <w:start w:val="1"/>
      <w:numFmt w:val="decimal"/>
      <w:lvlText w:val="%1.%2.%3.%4.%5.%6.%7."/>
      <w:lvlJc w:val="left"/>
      <w:pPr>
        <w:ind w:left="762" w:hanging="1440"/>
      </w:pPr>
    </w:lvl>
    <w:lvl w:ilvl="7" w:tentative="0">
      <w:start w:val="1"/>
      <w:numFmt w:val="decimal"/>
      <w:lvlText w:val="%1.%2.%3.%4.%5.%6.%7.%8."/>
      <w:lvlJc w:val="left"/>
      <w:pPr>
        <w:ind w:left="1009" w:hanging="1800"/>
      </w:pPr>
    </w:lvl>
    <w:lvl w:ilvl="8" w:tentative="0">
      <w:start w:val="1"/>
      <w:numFmt w:val="decimal"/>
      <w:lvlText w:val="%1.%2.%3.%4.%5.%6.%7.%8.%9."/>
      <w:lvlJc w:val="left"/>
      <w:pPr>
        <w:ind w:left="1256" w:hanging="2160"/>
      </w:pPr>
    </w:lvl>
  </w:abstractNum>
  <w:abstractNum w:abstractNumId="1">
    <w:nsid w:val="00B674F6"/>
    <w:multiLevelType w:val="multilevel"/>
    <w:tmpl w:val="00B674F6"/>
    <w:lvl w:ilvl="0" w:tentative="0">
      <w:start w:val="17"/>
      <w:numFmt w:val="decimal"/>
      <w:lvlText w:val="%1."/>
      <w:lvlJc w:val="left"/>
      <w:pPr>
        <w:ind w:left="440" w:hanging="440"/>
      </w:pPr>
    </w:lvl>
    <w:lvl w:ilvl="1" w:tentative="0">
      <w:start w:val="1"/>
      <w:numFmt w:val="decimal"/>
      <w:lvlText w:val="%1.%2."/>
      <w:lvlJc w:val="left"/>
      <w:pPr>
        <w:ind w:left="440" w:hanging="44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2">
    <w:nsid w:val="02982A9B"/>
    <w:multiLevelType w:val="multilevel"/>
    <w:tmpl w:val="02982A9B"/>
    <w:lvl w:ilvl="0" w:tentative="0">
      <w:start w:val="12"/>
      <w:numFmt w:val="decimal"/>
      <w:lvlText w:val="%1"/>
      <w:lvlJc w:val="left"/>
      <w:pPr>
        <w:ind w:left="440" w:hanging="440"/>
      </w:pPr>
    </w:lvl>
    <w:lvl w:ilvl="1" w:tentative="0">
      <w:start w:val="1"/>
      <w:numFmt w:val="decimal"/>
      <w:lvlText w:val="%1.%2"/>
      <w:lvlJc w:val="left"/>
      <w:pPr>
        <w:ind w:left="440" w:hanging="44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3">
    <w:nsid w:val="0B736564"/>
    <w:multiLevelType w:val="multilevel"/>
    <w:tmpl w:val="0B736564"/>
    <w:lvl w:ilvl="0" w:tentative="0">
      <w:start w:val="1"/>
      <w:numFmt w:val="decimal"/>
      <w:lvlText w:val="%1."/>
      <w:lvlJc w:val="left"/>
      <w:pPr>
        <w:ind w:left="360" w:hanging="360"/>
      </w:pPr>
      <w:rPr>
        <w:b/>
        <w:i w:val="0"/>
      </w:rPr>
    </w:lvl>
    <w:lvl w:ilvl="1" w:tentative="0">
      <w:start w:val="1"/>
      <w:numFmt w:val="upperRoman"/>
      <w:lvlText w:val="%2."/>
      <w:lvlJc w:val="right"/>
      <w:pPr>
        <w:ind w:left="360" w:hanging="360"/>
      </w:pPr>
    </w:lvl>
    <w:lvl w:ilvl="2" w:tentative="0">
      <w:start w:val="1"/>
      <w:numFmt w:val="decimal"/>
      <w:lvlText w:val="%1.%2.%3."/>
      <w:lvlJc w:val="left"/>
      <w:pPr>
        <w:ind w:left="1135" w:firstLine="0"/>
      </w:pPr>
      <w:rPr>
        <w:b w:val="0"/>
        <w:i w:val="0"/>
      </w:rPr>
    </w:lvl>
    <w:lvl w:ilvl="3" w:tentative="0">
      <w:start w:val="1"/>
      <w:numFmt w:val="decimal"/>
      <w:lvlText w:val="%1.%2.%3.%4."/>
      <w:lvlJc w:val="left"/>
      <w:pPr>
        <w:ind w:left="851" w:firstLine="0"/>
      </w:pPr>
      <w:rPr>
        <w:b/>
        <w:i w:val="0"/>
      </w:rPr>
    </w:lvl>
    <w:lvl w:ilvl="4" w:tentative="0">
      <w:start w:val="1"/>
      <w:numFmt w:val="decimal"/>
      <w:lvlText w:val="%1.%2.%3.%4.%5."/>
      <w:lvlJc w:val="left"/>
      <w:pPr>
        <w:ind w:left="1134" w:firstLine="0"/>
      </w:pPr>
      <w:rPr>
        <w:b/>
        <w:i w:val="0"/>
      </w:r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109967B0"/>
    <w:multiLevelType w:val="multilevel"/>
    <w:tmpl w:val="109967B0"/>
    <w:lvl w:ilvl="0" w:tentative="0">
      <w:start w:val="1"/>
      <w:numFmt w:val="decimal"/>
      <w:pStyle w:val="30"/>
      <w:lvlText w:val="%1."/>
      <w:lvlJc w:val="left"/>
      <w:pPr>
        <w:tabs>
          <w:tab w:val="left" w:pos="720"/>
        </w:tabs>
        <w:ind w:left="720" w:hanging="720"/>
      </w:pPr>
    </w:lvl>
    <w:lvl w:ilvl="1" w:tentative="0">
      <w:start w:val="1"/>
      <w:numFmt w:val="decimal"/>
      <w:pStyle w:val="31"/>
      <w:lvlText w:val="%2."/>
      <w:lvlJc w:val="left"/>
      <w:pPr>
        <w:tabs>
          <w:tab w:val="left" w:pos="1440"/>
        </w:tabs>
        <w:ind w:left="1440" w:hanging="720"/>
      </w:pPr>
    </w:lvl>
    <w:lvl w:ilvl="2" w:tentative="0">
      <w:start w:val="1"/>
      <w:numFmt w:val="decimal"/>
      <w:pStyle w:val="52"/>
      <w:lvlText w:val="%3."/>
      <w:lvlJc w:val="left"/>
      <w:pPr>
        <w:tabs>
          <w:tab w:val="left" w:pos="2160"/>
        </w:tabs>
        <w:ind w:left="2160" w:hanging="720"/>
      </w:pPr>
    </w:lvl>
    <w:lvl w:ilvl="3" w:tentative="0">
      <w:start w:val="1"/>
      <w:numFmt w:val="decimal"/>
      <w:pStyle w:val="33"/>
      <w:lvlText w:val="%4."/>
      <w:lvlJc w:val="left"/>
      <w:pPr>
        <w:tabs>
          <w:tab w:val="left" w:pos="2880"/>
        </w:tabs>
        <w:ind w:left="2880" w:hanging="720"/>
      </w:pPr>
    </w:lvl>
    <w:lvl w:ilvl="4" w:tentative="0">
      <w:start w:val="1"/>
      <w:numFmt w:val="decimal"/>
      <w:pStyle w:val="34"/>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5">
    <w:nsid w:val="126725A6"/>
    <w:multiLevelType w:val="multilevel"/>
    <w:tmpl w:val="126725A6"/>
    <w:lvl w:ilvl="0" w:tentative="0">
      <w:start w:val="5"/>
      <w:numFmt w:val="decimal"/>
      <w:lvlText w:val="%1."/>
      <w:lvlJc w:val="left"/>
      <w:pPr>
        <w:ind w:left="740" w:hanging="740"/>
      </w:pPr>
      <w:rPr>
        <w:color w:val="000000"/>
      </w:rPr>
    </w:lvl>
    <w:lvl w:ilvl="1" w:tentative="0">
      <w:start w:val="16"/>
      <w:numFmt w:val="decimal"/>
      <w:lvlText w:val="%1.%2."/>
      <w:lvlJc w:val="left"/>
      <w:pPr>
        <w:ind w:left="740" w:hanging="740"/>
      </w:pPr>
      <w:rPr>
        <w:b/>
        <w:color w:val="000000"/>
      </w:rPr>
    </w:lvl>
    <w:lvl w:ilvl="2" w:tentative="0">
      <w:start w:val="1"/>
      <w:numFmt w:val="decimal"/>
      <w:lvlText w:val="%1.%2.%3."/>
      <w:lvlJc w:val="left"/>
      <w:pPr>
        <w:ind w:left="740" w:hanging="740"/>
      </w:pPr>
      <w:rPr>
        <w:b/>
        <w:color w:val="000000"/>
      </w:rPr>
    </w:lvl>
    <w:lvl w:ilvl="3" w:tentative="0">
      <w:start w:val="1"/>
      <w:numFmt w:val="decimal"/>
      <w:lvlText w:val="%1.%2.%3.%4."/>
      <w:lvlJc w:val="left"/>
      <w:pPr>
        <w:ind w:left="1080" w:hanging="1080"/>
      </w:pPr>
      <w:rPr>
        <w:color w:val="000000"/>
      </w:rPr>
    </w:lvl>
    <w:lvl w:ilvl="4" w:tentative="0">
      <w:start w:val="1"/>
      <w:numFmt w:val="decimal"/>
      <w:lvlText w:val="%1.%2.%3.%4.%5."/>
      <w:lvlJc w:val="left"/>
      <w:pPr>
        <w:ind w:left="1080" w:hanging="1080"/>
      </w:pPr>
      <w:rPr>
        <w:color w:val="000000"/>
      </w:rPr>
    </w:lvl>
    <w:lvl w:ilvl="5" w:tentative="0">
      <w:start w:val="1"/>
      <w:numFmt w:val="decimal"/>
      <w:lvlText w:val="%1.%2.%3.%4.%5.%6."/>
      <w:lvlJc w:val="left"/>
      <w:pPr>
        <w:ind w:left="1440" w:hanging="1440"/>
      </w:pPr>
      <w:rPr>
        <w:color w:val="000000"/>
      </w:rPr>
    </w:lvl>
    <w:lvl w:ilvl="6" w:tentative="0">
      <w:start w:val="1"/>
      <w:numFmt w:val="decimal"/>
      <w:lvlText w:val="%1.%2.%3.%4.%5.%6.%7."/>
      <w:lvlJc w:val="left"/>
      <w:pPr>
        <w:ind w:left="1440" w:hanging="1440"/>
      </w:pPr>
      <w:rPr>
        <w:color w:val="000000"/>
      </w:rPr>
    </w:lvl>
    <w:lvl w:ilvl="7" w:tentative="0">
      <w:start w:val="1"/>
      <w:numFmt w:val="decimal"/>
      <w:lvlText w:val="%1.%2.%3.%4.%5.%6.%7.%8."/>
      <w:lvlJc w:val="left"/>
      <w:pPr>
        <w:ind w:left="1800" w:hanging="1800"/>
      </w:pPr>
      <w:rPr>
        <w:color w:val="000000"/>
      </w:rPr>
    </w:lvl>
    <w:lvl w:ilvl="8" w:tentative="0">
      <w:start w:val="1"/>
      <w:numFmt w:val="decimal"/>
      <w:lvlText w:val="%1.%2.%3.%4.%5.%6.%7.%8.%9."/>
      <w:lvlJc w:val="left"/>
      <w:pPr>
        <w:ind w:left="2160" w:hanging="2160"/>
      </w:pPr>
      <w:rPr>
        <w:color w:val="000000"/>
      </w:rPr>
    </w:lvl>
  </w:abstractNum>
  <w:abstractNum w:abstractNumId="6">
    <w:nsid w:val="176116E2"/>
    <w:multiLevelType w:val="multilevel"/>
    <w:tmpl w:val="176116E2"/>
    <w:lvl w:ilvl="0" w:tentative="0">
      <w:start w:val="6"/>
      <w:numFmt w:val="decimal"/>
      <w:lvlText w:val="%1"/>
      <w:lvlJc w:val="left"/>
      <w:pPr>
        <w:ind w:left="360" w:hanging="360"/>
      </w:pPr>
    </w:lvl>
    <w:lvl w:ilvl="1" w:tentative="0">
      <w:start w:val="1"/>
      <w:numFmt w:val="decimal"/>
      <w:pStyle w:val="39"/>
      <w:lvlText w:val="%1.%2"/>
      <w:lvlJc w:val="left"/>
      <w:pPr>
        <w:ind w:left="247" w:hanging="360"/>
      </w:pPr>
      <w:rPr>
        <w:b/>
      </w:rPr>
    </w:lvl>
    <w:lvl w:ilvl="2" w:tentative="0">
      <w:start w:val="1"/>
      <w:numFmt w:val="decimal"/>
      <w:pStyle w:val="42"/>
      <w:lvlText w:val="%1.%2.%3"/>
      <w:lvlJc w:val="left"/>
      <w:pPr>
        <w:ind w:left="494" w:hanging="720"/>
      </w:pPr>
      <w:rPr>
        <w:b/>
      </w:rPr>
    </w:lvl>
    <w:lvl w:ilvl="3" w:tentative="0">
      <w:start w:val="1"/>
      <w:numFmt w:val="decimal"/>
      <w:pStyle w:val="43"/>
      <w:lvlText w:val="%1.%2.%3.%4"/>
      <w:lvlJc w:val="left"/>
      <w:pPr>
        <w:ind w:left="741" w:hanging="1080"/>
      </w:pPr>
    </w:lvl>
    <w:lvl w:ilvl="4" w:tentative="0">
      <w:start w:val="1"/>
      <w:numFmt w:val="decimal"/>
      <w:lvlText w:val="%1.%2.%3.%4.%5"/>
      <w:lvlJc w:val="left"/>
      <w:pPr>
        <w:ind w:left="628" w:hanging="1080"/>
      </w:pPr>
    </w:lvl>
    <w:lvl w:ilvl="5" w:tentative="0">
      <w:start w:val="1"/>
      <w:numFmt w:val="decimal"/>
      <w:lvlText w:val="%1.%2.%3.%4.%5.%6"/>
      <w:lvlJc w:val="left"/>
      <w:pPr>
        <w:ind w:left="875" w:hanging="1440"/>
      </w:pPr>
    </w:lvl>
    <w:lvl w:ilvl="6" w:tentative="0">
      <w:start w:val="1"/>
      <w:numFmt w:val="decimal"/>
      <w:lvlText w:val="%1.%2.%3.%4.%5.%6.%7"/>
      <w:lvlJc w:val="left"/>
      <w:pPr>
        <w:ind w:left="762" w:hanging="1440"/>
      </w:pPr>
    </w:lvl>
    <w:lvl w:ilvl="7" w:tentative="0">
      <w:start w:val="1"/>
      <w:numFmt w:val="decimal"/>
      <w:lvlText w:val="%1.%2.%3.%4.%5.%6.%7.%8"/>
      <w:lvlJc w:val="left"/>
      <w:pPr>
        <w:ind w:left="1009" w:hanging="1800"/>
      </w:pPr>
    </w:lvl>
    <w:lvl w:ilvl="8" w:tentative="0">
      <w:start w:val="1"/>
      <w:numFmt w:val="decimal"/>
      <w:lvlText w:val="%1.%2.%3.%4.%5.%6.%7.%8.%9"/>
      <w:lvlJc w:val="left"/>
      <w:pPr>
        <w:ind w:left="896" w:hanging="1800"/>
      </w:pPr>
    </w:lvl>
  </w:abstractNum>
  <w:abstractNum w:abstractNumId="7">
    <w:nsid w:val="20481BC1"/>
    <w:multiLevelType w:val="multilevel"/>
    <w:tmpl w:val="20481BC1"/>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2AA0CC4"/>
    <w:multiLevelType w:val="multilevel"/>
    <w:tmpl w:val="22AA0CC4"/>
    <w:lvl w:ilvl="0" w:tentative="0">
      <w:start w:val="5"/>
      <w:numFmt w:val="decimal"/>
      <w:lvlText w:val="%1."/>
      <w:lvlJc w:val="left"/>
      <w:pPr>
        <w:ind w:left="360" w:hanging="360"/>
      </w:pPr>
    </w:lvl>
    <w:lvl w:ilvl="1" w:tentative="0">
      <w:start w:val="1"/>
      <w:numFmt w:val="decimal"/>
      <w:lvlText w:val="%1.%2."/>
      <w:lvlJc w:val="left"/>
      <w:pPr>
        <w:ind w:left="720" w:hanging="720"/>
      </w:pPr>
    </w:lvl>
    <w:lvl w:ilvl="2" w:tentative="0">
      <w:start w:val="1"/>
      <w:numFmt w:val="decimal"/>
      <w:lvlText w:val="%1.%2.%3."/>
      <w:lvlJc w:val="left"/>
      <w:pPr>
        <w:ind w:left="720" w:hanging="720"/>
      </w:pPr>
      <w:rPr>
        <w:color w:val="000000"/>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9">
    <w:nsid w:val="27EE0D09"/>
    <w:multiLevelType w:val="multilevel"/>
    <w:tmpl w:val="27EE0D09"/>
    <w:lvl w:ilvl="0" w:tentative="0">
      <w:start w:val="1"/>
      <w:numFmt w:val="decimal"/>
      <w:lvlText w:val="%1."/>
      <w:lvlJc w:val="left"/>
      <w:pPr>
        <w:ind w:left="360" w:hanging="360"/>
      </w:pPr>
    </w:lvl>
    <w:lvl w:ilvl="1" w:tentative="0">
      <w:start w:val="1"/>
      <w:numFmt w:val="decimal"/>
      <w:lvlText w:val="%1.%2."/>
      <w:lvlJc w:val="left"/>
      <w:pPr>
        <w:ind w:left="792" w:hanging="432"/>
      </w:pPr>
      <w:rPr>
        <w:b/>
        <w:color w:val="000000"/>
      </w:rPr>
    </w:lvl>
    <w:lvl w:ilvl="2" w:tentative="0">
      <w:start w:val="1"/>
      <w:numFmt w:val="decimal"/>
      <w:lvlText w:val="%1.%2.%3."/>
      <w:lvlJc w:val="left"/>
      <w:pPr>
        <w:ind w:left="1224" w:hanging="504"/>
      </w:pPr>
      <w:rPr>
        <w:b/>
        <w:i w:val="0"/>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0">
    <w:nsid w:val="2B5801EC"/>
    <w:multiLevelType w:val="multilevel"/>
    <w:tmpl w:val="2B5801EC"/>
    <w:lvl w:ilvl="0" w:tentative="0">
      <w:start w:val="1"/>
      <w:numFmt w:val="decimal"/>
      <w:lvlText w:val="%1."/>
      <w:lvlJc w:val="left"/>
      <w:pPr>
        <w:ind w:left="360" w:hanging="360"/>
      </w:pPr>
      <w:rPr>
        <w:rFonts w:ascii="Arial" w:hAnsi="Arial" w:eastAsia="Arial" w:cs="Arial"/>
        <w:b/>
      </w:rPr>
    </w:lvl>
    <w:lvl w:ilvl="1" w:tentative="0">
      <w:start w:val="1"/>
      <w:numFmt w:val="decimal"/>
      <w:lvlText w:val="%1.%2."/>
      <w:lvlJc w:val="left"/>
      <w:pPr>
        <w:ind w:left="432" w:hanging="432"/>
      </w:pPr>
      <w:rPr>
        <w:rFonts w:ascii="Arial" w:hAnsi="Arial" w:eastAsia="Arial" w:cs="Arial"/>
        <w:b/>
      </w:rPr>
    </w:lvl>
    <w:lvl w:ilvl="2" w:tentative="0">
      <w:start w:val="1"/>
      <w:numFmt w:val="decimal"/>
      <w:lvlText w:val="%1.%2.%3"/>
      <w:lvlJc w:val="left"/>
      <w:pPr>
        <w:ind w:left="1922" w:hanging="504"/>
      </w:pPr>
      <w:rPr>
        <w:rFonts w:ascii="Arial" w:hAnsi="Arial" w:eastAsia="Arial" w:cs="Arial"/>
        <w:b/>
        <w:color w:val="000000"/>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1">
    <w:nsid w:val="2E7901C9"/>
    <w:multiLevelType w:val="multilevel"/>
    <w:tmpl w:val="2E7901C9"/>
    <w:lvl w:ilvl="0" w:tentative="0">
      <w:start w:val="1"/>
      <w:numFmt w:val="lowerRoman"/>
      <w:lvlText w:val="%1."/>
      <w:lvlJc w:val="right"/>
      <w:pPr>
        <w:ind w:left="1287" w:hanging="360"/>
      </w:pPr>
    </w:lvl>
    <w:lvl w:ilvl="1" w:tentative="0">
      <w:start w:val="1"/>
      <w:numFmt w:val="decimal"/>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2">
    <w:nsid w:val="2F871379"/>
    <w:multiLevelType w:val="multilevel"/>
    <w:tmpl w:val="2F871379"/>
    <w:lvl w:ilvl="0" w:tentative="0">
      <w:start w:val="8"/>
      <w:numFmt w:val="decimal"/>
      <w:lvlText w:val="%1."/>
      <w:lvlJc w:val="left"/>
      <w:pPr>
        <w:ind w:left="400" w:hanging="400"/>
      </w:pPr>
    </w:lvl>
    <w:lvl w:ilvl="1" w:tentative="0">
      <w:start w:val="1"/>
      <w:numFmt w:val="decimal"/>
      <w:lvlText w:val="%1.%2."/>
      <w:lvlJc w:val="left"/>
      <w:pPr>
        <w:ind w:left="720" w:hanging="720"/>
      </w:pPr>
      <w:rPr>
        <w:b/>
      </w:rPr>
    </w:lvl>
    <w:lvl w:ilvl="2" w:tentative="0">
      <w:start w:val="1"/>
      <w:numFmt w:val="decimal"/>
      <w:lvlText w:val="%1.%2.%3."/>
      <w:lvlJc w:val="left"/>
      <w:pPr>
        <w:ind w:left="720" w:hanging="720"/>
      </w:pPr>
      <w:rPr>
        <w:b/>
      </w:rPr>
    </w:lvl>
    <w:lvl w:ilvl="3" w:tentative="0">
      <w:start w:val="1"/>
      <w:numFmt w:val="decimal"/>
      <w:lvlText w:val="%1.%2.%3.%4."/>
      <w:lvlJc w:val="left"/>
      <w:pPr>
        <w:ind w:left="1080" w:hanging="1080"/>
      </w:pPr>
      <w:rPr>
        <w:b/>
      </w:r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2160" w:hanging="2160"/>
      </w:pPr>
    </w:lvl>
  </w:abstractNum>
  <w:abstractNum w:abstractNumId="13">
    <w:nsid w:val="36BA3930"/>
    <w:multiLevelType w:val="multilevel"/>
    <w:tmpl w:val="36BA3930"/>
    <w:lvl w:ilvl="0" w:tentative="0">
      <w:start w:val="9"/>
      <w:numFmt w:val="decimal"/>
      <w:lvlText w:val="%1."/>
      <w:lvlJc w:val="left"/>
      <w:pPr>
        <w:ind w:left="400" w:hanging="400"/>
      </w:pPr>
    </w:lvl>
    <w:lvl w:ilvl="1" w:tentative="0">
      <w:start w:val="1"/>
      <w:numFmt w:val="decimal"/>
      <w:lvlText w:val="%1.%2."/>
      <w:lvlJc w:val="left"/>
      <w:pPr>
        <w:ind w:left="720" w:hanging="720"/>
      </w:pPr>
      <w:rPr>
        <w:b/>
        <w:i w:val="0"/>
      </w:rPr>
    </w:lvl>
    <w:lvl w:ilvl="2" w:tentative="0">
      <w:start w:val="1"/>
      <w:numFmt w:val="decimal"/>
      <w:lvlText w:val="%1.%2.%3."/>
      <w:lvlJc w:val="left"/>
      <w:pPr>
        <w:ind w:left="720" w:hanging="720"/>
      </w:pPr>
      <w:rPr>
        <w:b/>
      </w:rPr>
    </w:lvl>
    <w:lvl w:ilvl="3" w:tentative="0">
      <w:start w:val="1"/>
      <w:numFmt w:val="decimal"/>
      <w:lvlText w:val="%1.%2.%3.%4."/>
      <w:lvlJc w:val="left"/>
      <w:pPr>
        <w:ind w:left="1080" w:hanging="1080"/>
      </w:pPr>
      <w:rPr>
        <w:b/>
      </w:r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2160" w:hanging="2160"/>
      </w:pPr>
    </w:lvl>
  </w:abstractNum>
  <w:abstractNum w:abstractNumId="14">
    <w:nsid w:val="3D31438B"/>
    <w:multiLevelType w:val="multilevel"/>
    <w:tmpl w:val="3D31438B"/>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080" w:hanging="360"/>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5">
    <w:nsid w:val="44581397"/>
    <w:multiLevelType w:val="multilevel"/>
    <w:tmpl w:val="44581397"/>
    <w:lvl w:ilvl="0" w:tentative="0">
      <w:start w:val="14"/>
      <w:numFmt w:val="decimal"/>
      <w:lvlText w:val="%1."/>
      <w:lvlJc w:val="left"/>
      <w:pPr>
        <w:ind w:left="495" w:hanging="495"/>
      </w:pPr>
    </w:lvl>
    <w:lvl w:ilvl="1" w:tentative="0">
      <w:start w:val="1"/>
      <w:numFmt w:val="decimal"/>
      <w:lvlText w:val="%1.%2."/>
      <w:lvlJc w:val="left"/>
      <w:pPr>
        <w:ind w:left="720" w:hanging="720"/>
      </w:pPr>
      <w:rPr>
        <w:b/>
        <w:i w:val="0"/>
        <w:color w:val="000000"/>
      </w:rPr>
    </w:lvl>
    <w:lvl w:ilvl="2" w:tentative="0">
      <w:start w:val="1"/>
      <w:numFmt w:val="decimal"/>
      <w:lvlText w:val="%1.%2.%3."/>
      <w:lvlJc w:val="left"/>
      <w:pPr>
        <w:ind w:left="720" w:hanging="720"/>
      </w:pPr>
      <w:rPr>
        <w:b/>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6">
    <w:nsid w:val="44937C5B"/>
    <w:multiLevelType w:val="multilevel"/>
    <w:tmpl w:val="44937C5B"/>
    <w:lvl w:ilvl="0" w:tentative="0">
      <w:start w:val="6"/>
      <w:numFmt w:val="decimal"/>
      <w:lvlText w:val="%1."/>
      <w:lvlJc w:val="left"/>
      <w:pPr>
        <w:ind w:left="360" w:hanging="360"/>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7">
    <w:nsid w:val="4AB00BFC"/>
    <w:multiLevelType w:val="multilevel"/>
    <w:tmpl w:val="4AB00BFC"/>
    <w:lvl w:ilvl="0" w:tentative="0">
      <w:start w:val="6"/>
      <w:numFmt w:val="decimal"/>
      <w:lvlText w:val="%1."/>
      <w:lvlJc w:val="left"/>
      <w:pPr>
        <w:ind w:left="540" w:hanging="540"/>
      </w:pPr>
    </w:lvl>
    <w:lvl w:ilvl="1" w:tentative="0">
      <w:start w:val="13"/>
      <w:numFmt w:val="decimal"/>
      <w:lvlText w:val="%1.%2."/>
      <w:lvlJc w:val="left"/>
      <w:pPr>
        <w:ind w:left="720" w:hanging="720"/>
      </w:pPr>
      <w:rPr>
        <w:b/>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2160" w:hanging="2160"/>
      </w:pPr>
    </w:lvl>
  </w:abstractNum>
  <w:abstractNum w:abstractNumId="18">
    <w:nsid w:val="4D5F6B53"/>
    <w:multiLevelType w:val="multilevel"/>
    <w:tmpl w:val="4D5F6B53"/>
    <w:lvl w:ilvl="0" w:tentative="0">
      <w:start w:val="9"/>
      <w:numFmt w:val="decimal"/>
      <w:lvlText w:val="%1."/>
      <w:lvlJc w:val="left"/>
      <w:pPr>
        <w:ind w:left="540" w:hanging="540"/>
      </w:pPr>
      <w:rPr>
        <w:i w:val="0"/>
      </w:rPr>
    </w:lvl>
    <w:lvl w:ilvl="1" w:tentative="0">
      <w:start w:val="21"/>
      <w:numFmt w:val="decimal"/>
      <w:lvlText w:val="%1.%2."/>
      <w:lvlJc w:val="left"/>
      <w:pPr>
        <w:ind w:left="720" w:hanging="720"/>
      </w:pPr>
      <w:rPr>
        <w:i w:val="0"/>
      </w:rPr>
    </w:lvl>
    <w:lvl w:ilvl="2" w:tentative="0">
      <w:start w:val="1"/>
      <w:numFmt w:val="decimal"/>
      <w:lvlText w:val="%1.%2.%3."/>
      <w:lvlJc w:val="left"/>
      <w:pPr>
        <w:ind w:left="720" w:hanging="720"/>
      </w:pPr>
      <w:rPr>
        <w:i w:val="0"/>
      </w:rPr>
    </w:lvl>
    <w:lvl w:ilvl="3" w:tentative="0">
      <w:start w:val="1"/>
      <w:numFmt w:val="decimal"/>
      <w:lvlText w:val="%1.%2.%3.%4."/>
      <w:lvlJc w:val="left"/>
      <w:pPr>
        <w:ind w:left="1080" w:hanging="1080"/>
      </w:pPr>
      <w:rPr>
        <w:i w:val="0"/>
      </w:rPr>
    </w:lvl>
    <w:lvl w:ilvl="4" w:tentative="0">
      <w:start w:val="1"/>
      <w:numFmt w:val="decimal"/>
      <w:lvlText w:val="%1.%2.%3.%4.%5."/>
      <w:lvlJc w:val="left"/>
      <w:pPr>
        <w:ind w:left="1080" w:hanging="1080"/>
      </w:pPr>
      <w:rPr>
        <w:i w:val="0"/>
      </w:rPr>
    </w:lvl>
    <w:lvl w:ilvl="5" w:tentative="0">
      <w:start w:val="1"/>
      <w:numFmt w:val="decimal"/>
      <w:lvlText w:val="%1.%2.%3.%4.%5.%6."/>
      <w:lvlJc w:val="left"/>
      <w:pPr>
        <w:ind w:left="1440" w:hanging="1440"/>
      </w:pPr>
      <w:rPr>
        <w:i w:val="0"/>
      </w:rPr>
    </w:lvl>
    <w:lvl w:ilvl="6" w:tentative="0">
      <w:start w:val="1"/>
      <w:numFmt w:val="decimal"/>
      <w:lvlText w:val="%1.%2.%3.%4.%5.%6.%7."/>
      <w:lvlJc w:val="left"/>
      <w:pPr>
        <w:ind w:left="1440" w:hanging="1440"/>
      </w:pPr>
      <w:rPr>
        <w:i w:val="0"/>
      </w:rPr>
    </w:lvl>
    <w:lvl w:ilvl="7" w:tentative="0">
      <w:start w:val="1"/>
      <w:numFmt w:val="decimal"/>
      <w:lvlText w:val="%1.%2.%3.%4.%5.%6.%7.%8."/>
      <w:lvlJc w:val="left"/>
      <w:pPr>
        <w:ind w:left="1800" w:hanging="1800"/>
      </w:pPr>
      <w:rPr>
        <w:i w:val="0"/>
      </w:rPr>
    </w:lvl>
    <w:lvl w:ilvl="8" w:tentative="0">
      <w:start w:val="1"/>
      <w:numFmt w:val="decimal"/>
      <w:lvlText w:val="%1.%2.%3.%4.%5.%6.%7.%8.%9."/>
      <w:lvlJc w:val="left"/>
      <w:pPr>
        <w:ind w:left="2160" w:hanging="2160"/>
      </w:pPr>
      <w:rPr>
        <w:i w:val="0"/>
      </w:rPr>
    </w:lvl>
  </w:abstractNum>
  <w:abstractNum w:abstractNumId="19">
    <w:nsid w:val="4F426625"/>
    <w:multiLevelType w:val="multilevel"/>
    <w:tmpl w:val="4F426625"/>
    <w:lvl w:ilvl="0" w:tentative="0">
      <w:start w:val="1"/>
      <w:numFmt w:val="decimal"/>
      <w:lvlText w:val="%1."/>
      <w:lvlJc w:val="left"/>
      <w:pPr>
        <w:ind w:left="380" w:hanging="380"/>
      </w:pPr>
    </w:lvl>
    <w:lvl w:ilvl="1" w:tentative="0">
      <w:start w:val="3"/>
      <w:numFmt w:val="decimal"/>
      <w:lvlText w:val="%1.%2."/>
      <w:lvlJc w:val="left"/>
      <w:pPr>
        <w:ind w:left="1287" w:hanging="720"/>
      </w:pPr>
    </w:lvl>
    <w:lvl w:ilvl="2" w:tentative="0">
      <w:start w:val="1"/>
      <w:numFmt w:val="decimal"/>
      <w:lvlText w:val="%1.%2.%3."/>
      <w:lvlJc w:val="left"/>
      <w:pPr>
        <w:ind w:left="1854" w:hanging="720"/>
      </w:pPr>
    </w:lvl>
    <w:lvl w:ilvl="3" w:tentative="0">
      <w:start w:val="1"/>
      <w:numFmt w:val="decimal"/>
      <w:lvlText w:val="%1.%2.%3.%4."/>
      <w:lvlJc w:val="left"/>
      <w:pPr>
        <w:ind w:left="2781" w:hanging="1078"/>
      </w:pPr>
    </w:lvl>
    <w:lvl w:ilvl="4" w:tentative="0">
      <w:start w:val="1"/>
      <w:numFmt w:val="decimal"/>
      <w:lvlText w:val="%1.%2.%3.%4.%5."/>
      <w:lvlJc w:val="left"/>
      <w:pPr>
        <w:ind w:left="3348" w:hanging="1080"/>
      </w:pPr>
    </w:lvl>
    <w:lvl w:ilvl="5" w:tentative="0">
      <w:start w:val="1"/>
      <w:numFmt w:val="decimal"/>
      <w:lvlText w:val="%1.%2.%3.%4.%5.%6."/>
      <w:lvlJc w:val="left"/>
      <w:pPr>
        <w:ind w:left="4275" w:hanging="1440"/>
      </w:pPr>
    </w:lvl>
    <w:lvl w:ilvl="6" w:tentative="0">
      <w:start w:val="1"/>
      <w:numFmt w:val="decimal"/>
      <w:lvlText w:val="%1.%2.%3.%4.%5.%6.%7."/>
      <w:lvlJc w:val="left"/>
      <w:pPr>
        <w:ind w:left="4842" w:hanging="1440"/>
      </w:pPr>
    </w:lvl>
    <w:lvl w:ilvl="7" w:tentative="0">
      <w:start w:val="1"/>
      <w:numFmt w:val="decimal"/>
      <w:lvlText w:val="%1.%2.%3.%4.%5.%6.%7.%8."/>
      <w:lvlJc w:val="left"/>
      <w:pPr>
        <w:ind w:left="5769" w:hanging="1800"/>
      </w:pPr>
    </w:lvl>
    <w:lvl w:ilvl="8" w:tentative="0">
      <w:start w:val="1"/>
      <w:numFmt w:val="decimal"/>
      <w:lvlText w:val="%1.%2.%3.%4.%5.%6.%7.%8.%9."/>
      <w:lvlJc w:val="left"/>
      <w:pPr>
        <w:ind w:left="6336" w:hanging="1800"/>
      </w:pPr>
    </w:lvl>
  </w:abstractNum>
  <w:abstractNum w:abstractNumId="20">
    <w:nsid w:val="5534703D"/>
    <w:multiLevelType w:val="multilevel"/>
    <w:tmpl w:val="5534703D"/>
    <w:lvl w:ilvl="0" w:tentative="0">
      <w:start w:val="13"/>
      <w:numFmt w:val="decimal"/>
      <w:lvlText w:val="%1."/>
      <w:lvlJc w:val="left"/>
      <w:pPr>
        <w:ind w:left="500" w:hanging="500"/>
      </w:pPr>
    </w:lvl>
    <w:lvl w:ilvl="1" w:tentative="0">
      <w:start w:val="1"/>
      <w:numFmt w:val="decimal"/>
      <w:lvlText w:val="%1.%2."/>
      <w:lvlJc w:val="left"/>
      <w:pPr>
        <w:ind w:left="720" w:hanging="720"/>
      </w:pPr>
      <w:rPr>
        <w:i w:val="0"/>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1">
    <w:nsid w:val="57F64CCE"/>
    <w:multiLevelType w:val="multilevel"/>
    <w:tmpl w:val="57F64CCE"/>
    <w:lvl w:ilvl="0" w:tentative="0">
      <w:start w:val="14"/>
      <w:numFmt w:val="decimal"/>
      <w:lvlText w:val="%1."/>
      <w:lvlJc w:val="left"/>
      <w:pPr>
        <w:ind w:left="500" w:hanging="500"/>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2">
    <w:nsid w:val="5E1879EE"/>
    <w:multiLevelType w:val="multilevel"/>
    <w:tmpl w:val="5E1879EE"/>
    <w:lvl w:ilvl="0" w:tentative="0">
      <w:start w:val="9"/>
      <w:numFmt w:val="decimal"/>
      <w:lvlText w:val="%1"/>
      <w:lvlJc w:val="left"/>
      <w:pPr>
        <w:ind w:left="360" w:hanging="360"/>
      </w:pPr>
    </w:lvl>
    <w:lvl w:ilvl="1" w:tentative="0">
      <w:start w:val="1"/>
      <w:numFmt w:val="decimal"/>
      <w:lvlText w:val="%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3">
    <w:nsid w:val="634A5C9C"/>
    <w:multiLevelType w:val="multilevel"/>
    <w:tmpl w:val="634A5C9C"/>
    <w:lvl w:ilvl="0" w:tentative="0">
      <w:start w:val="2"/>
      <w:numFmt w:val="decimal"/>
      <w:lvlText w:val="%1."/>
      <w:lvlJc w:val="left"/>
      <w:pPr>
        <w:ind w:left="360" w:hanging="360"/>
      </w:pPr>
    </w:lvl>
    <w:lvl w:ilvl="1" w:tentative="0">
      <w:start w:val="1"/>
      <w:numFmt w:val="decimal"/>
      <w:lvlText w:val="%1.%2."/>
      <w:lvlJc w:val="left"/>
      <w:pPr>
        <w:ind w:left="720" w:hanging="720"/>
      </w:pPr>
    </w:lvl>
    <w:lvl w:ilvl="2" w:tentative="0">
      <w:start w:val="1"/>
      <w:numFmt w:val="decimal"/>
      <w:lvlText w:val="%1.%2.%3."/>
      <w:lvlJc w:val="left"/>
      <w:pPr>
        <w:ind w:left="720" w:hanging="720"/>
      </w:pPr>
      <w:rPr>
        <w:i w:val="0"/>
        <w:color w:val="000000"/>
        <w:sz w:val="24"/>
        <w:szCs w:val="24"/>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4">
    <w:nsid w:val="6A0343FD"/>
    <w:multiLevelType w:val="multilevel"/>
    <w:tmpl w:val="6A0343FD"/>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25">
    <w:nsid w:val="6E8249CC"/>
    <w:multiLevelType w:val="multilevel"/>
    <w:tmpl w:val="6E8249CC"/>
    <w:lvl w:ilvl="0" w:tentative="0">
      <w:start w:val="8"/>
      <w:numFmt w:val="decimal"/>
      <w:lvlText w:val="%1."/>
      <w:lvlJc w:val="left"/>
      <w:pPr>
        <w:ind w:left="360" w:hanging="360"/>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6">
    <w:nsid w:val="753E1EB0"/>
    <w:multiLevelType w:val="multilevel"/>
    <w:tmpl w:val="753E1EB0"/>
    <w:lvl w:ilvl="0" w:tentative="0">
      <w:start w:val="16"/>
      <w:numFmt w:val="decimal"/>
      <w:lvlText w:val="%1"/>
      <w:lvlJc w:val="left"/>
      <w:pPr>
        <w:ind w:left="380" w:hanging="380"/>
      </w:pPr>
    </w:lvl>
    <w:lvl w:ilvl="1" w:tentative="0">
      <w:start w:val="1"/>
      <w:numFmt w:val="decimal"/>
      <w:lvlText w:val="%1.%2"/>
      <w:lvlJc w:val="left"/>
      <w:pPr>
        <w:ind w:left="380" w:hanging="38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27">
    <w:nsid w:val="77E67438"/>
    <w:multiLevelType w:val="multilevel"/>
    <w:tmpl w:val="77E67438"/>
    <w:lvl w:ilvl="0" w:tentative="0">
      <w:start w:val="15"/>
      <w:numFmt w:val="decimal"/>
      <w:lvlText w:val="%1"/>
      <w:lvlJc w:val="left"/>
      <w:pPr>
        <w:ind w:left="380" w:hanging="380"/>
      </w:pPr>
    </w:lvl>
    <w:lvl w:ilvl="1" w:tentative="0">
      <w:start w:val="1"/>
      <w:numFmt w:val="decimal"/>
      <w:lvlText w:val="%1.%2"/>
      <w:lvlJc w:val="left"/>
      <w:pPr>
        <w:ind w:left="380" w:hanging="38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num w:numId="1">
    <w:abstractNumId w:val="4"/>
  </w:num>
  <w:num w:numId="2">
    <w:abstractNumId w:val="6"/>
  </w:num>
  <w:num w:numId="3">
    <w:abstractNumId w:val="10"/>
  </w:num>
  <w:num w:numId="4">
    <w:abstractNumId w:val="5"/>
  </w:num>
  <w:num w:numId="5">
    <w:abstractNumId w:val="17"/>
  </w:num>
  <w:num w:numId="6">
    <w:abstractNumId w:val="0"/>
  </w:num>
  <w:num w:numId="7">
    <w:abstractNumId w:val="12"/>
  </w:num>
  <w:num w:numId="8">
    <w:abstractNumId w:val="13"/>
  </w:num>
  <w:num w:numId="9">
    <w:abstractNumId w:val="18"/>
  </w:num>
  <w:num w:numId="10">
    <w:abstractNumId w:val="15"/>
  </w:num>
  <w:num w:numId="11">
    <w:abstractNumId w:val="9"/>
  </w:num>
  <w:num w:numId="12">
    <w:abstractNumId w:val="19"/>
  </w:num>
  <w:num w:numId="13">
    <w:abstractNumId w:val="23"/>
  </w:num>
  <w:num w:numId="14">
    <w:abstractNumId w:val="8"/>
  </w:num>
  <w:num w:numId="15">
    <w:abstractNumId w:val="16"/>
  </w:num>
  <w:num w:numId="16">
    <w:abstractNumId w:val="25"/>
  </w:num>
  <w:num w:numId="17">
    <w:abstractNumId w:val="3"/>
  </w:num>
  <w:num w:numId="18">
    <w:abstractNumId w:val="22"/>
  </w:num>
  <w:num w:numId="19">
    <w:abstractNumId w:val="2"/>
  </w:num>
  <w:num w:numId="20">
    <w:abstractNumId w:val="20"/>
  </w:num>
  <w:num w:numId="21">
    <w:abstractNumId w:val="14"/>
  </w:num>
  <w:num w:numId="22">
    <w:abstractNumId w:val="11"/>
  </w:num>
  <w:num w:numId="23">
    <w:abstractNumId w:val="24"/>
  </w:num>
  <w:num w:numId="24">
    <w:abstractNumId w:val="21"/>
  </w:num>
  <w:num w:numId="25">
    <w:abstractNumId w:val="7"/>
  </w:num>
  <w:num w:numId="26">
    <w:abstractNumId w:val="27"/>
  </w:num>
  <w:num w:numId="27">
    <w:abstractNumId w:val="26"/>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1F3"/>
    <w:rsid w:val="000017D0"/>
    <w:rsid w:val="00017100"/>
    <w:rsid w:val="00061545"/>
    <w:rsid w:val="00075C03"/>
    <w:rsid w:val="00077A4F"/>
    <w:rsid w:val="00080F6D"/>
    <w:rsid w:val="00082233"/>
    <w:rsid w:val="00083614"/>
    <w:rsid w:val="000A7E5F"/>
    <w:rsid w:val="000B77E6"/>
    <w:rsid w:val="000C7861"/>
    <w:rsid w:val="000D3E7C"/>
    <w:rsid w:val="000E25BA"/>
    <w:rsid w:val="000E4198"/>
    <w:rsid w:val="000E6D2C"/>
    <w:rsid w:val="00100D52"/>
    <w:rsid w:val="00101368"/>
    <w:rsid w:val="001063C5"/>
    <w:rsid w:val="001125EF"/>
    <w:rsid w:val="00116BCC"/>
    <w:rsid w:val="001216A5"/>
    <w:rsid w:val="0013081C"/>
    <w:rsid w:val="0016569C"/>
    <w:rsid w:val="00185B9A"/>
    <w:rsid w:val="001971DE"/>
    <w:rsid w:val="001B3EB9"/>
    <w:rsid w:val="001C0540"/>
    <w:rsid w:val="001C5235"/>
    <w:rsid w:val="001E68F1"/>
    <w:rsid w:val="00207F07"/>
    <w:rsid w:val="00217E7A"/>
    <w:rsid w:val="00227A42"/>
    <w:rsid w:val="00252D2A"/>
    <w:rsid w:val="002562E8"/>
    <w:rsid w:val="00266E9B"/>
    <w:rsid w:val="002829A6"/>
    <w:rsid w:val="002935E0"/>
    <w:rsid w:val="002A5D50"/>
    <w:rsid w:val="002B7ABD"/>
    <w:rsid w:val="002D77AD"/>
    <w:rsid w:val="002E2D6D"/>
    <w:rsid w:val="002F7A4C"/>
    <w:rsid w:val="00305099"/>
    <w:rsid w:val="00311D0D"/>
    <w:rsid w:val="0033208D"/>
    <w:rsid w:val="0033265E"/>
    <w:rsid w:val="0033275F"/>
    <w:rsid w:val="00337FBD"/>
    <w:rsid w:val="003478B6"/>
    <w:rsid w:val="0036078E"/>
    <w:rsid w:val="003612CB"/>
    <w:rsid w:val="00365C24"/>
    <w:rsid w:val="0037595F"/>
    <w:rsid w:val="00382309"/>
    <w:rsid w:val="00390A25"/>
    <w:rsid w:val="003A4C4D"/>
    <w:rsid w:val="003B0B73"/>
    <w:rsid w:val="003B7A72"/>
    <w:rsid w:val="003C35E5"/>
    <w:rsid w:val="003E6002"/>
    <w:rsid w:val="003F7DDA"/>
    <w:rsid w:val="004005EF"/>
    <w:rsid w:val="00411F69"/>
    <w:rsid w:val="00417F17"/>
    <w:rsid w:val="0043093B"/>
    <w:rsid w:val="00441BD6"/>
    <w:rsid w:val="00482B2C"/>
    <w:rsid w:val="004875D9"/>
    <w:rsid w:val="00493E32"/>
    <w:rsid w:val="00493FE5"/>
    <w:rsid w:val="004E41F3"/>
    <w:rsid w:val="004F0BF2"/>
    <w:rsid w:val="00512514"/>
    <w:rsid w:val="00515DD9"/>
    <w:rsid w:val="0052239F"/>
    <w:rsid w:val="00522D43"/>
    <w:rsid w:val="00527E19"/>
    <w:rsid w:val="00552CF1"/>
    <w:rsid w:val="00572490"/>
    <w:rsid w:val="005A5F0A"/>
    <w:rsid w:val="005C0A9B"/>
    <w:rsid w:val="005C633B"/>
    <w:rsid w:val="005D1CF5"/>
    <w:rsid w:val="005E0170"/>
    <w:rsid w:val="00617038"/>
    <w:rsid w:val="006218ED"/>
    <w:rsid w:val="00633B56"/>
    <w:rsid w:val="0063729B"/>
    <w:rsid w:val="006403AA"/>
    <w:rsid w:val="00662704"/>
    <w:rsid w:val="00677683"/>
    <w:rsid w:val="00691082"/>
    <w:rsid w:val="00692F21"/>
    <w:rsid w:val="006977AE"/>
    <w:rsid w:val="006A47FD"/>
    <w:rsid w:val="006A74D2"/>
    <w:rsid w:val="006B2881"/>
    <w:rsid w:val="006D1D63"/>
    <w:rsid w:val="006D7456"/>
    <w:rsid w:val="006E59F1"/>
    <w:rsid w:val="00722758"/>
    <w:rsid w:val="007315F8"/>
    <w:rsid w:val="00764DB9"/>
    <w:rsid w:val="007749CD"/>
    <w:rsid w:val="007A1604"/>
    <w:rsid w:val="007A7D5C"/>
    <w:rsid w:val="007B04BF"/>
    <w:rsid w:val="007B4032"/>
    <w:rsid w:val="007E6F20"/>
    <w:rsid w:val="007F7E91"/>
    <w:rsid w:val="00815762"/>
    <w:rsid w:val="00850EFD"/>
    <w:rsid w:val="00853685"/>
    <w:rsid w:val="00882E68"/>
    <w:rsid w:val="0088728D"/>
    <w:rsid w:val="0089417D"/>
    <w:rsid w:val="008A418E"/>
    <w:rsid w:val="008B50DB"/>
    <w:rsid w:val="008B690A"/>
    <w:rsid w:val="008E7746"/>
    <w:rsid w:val="009034A9"/>
    <w:rsid w:val="00904492"/>
    <w:rsid w:val="00905671"/>
    <w:rsid w:val="009266CB"/>
    <w:rsid w:val="00936EE6"/>
    <w:rsid w:val="00953F22"/>
    <w:rsid w:val="00967BA3"/>
    <w:rsid w:val="00984708"/>
    <w:rsid w:val="009949EA"/>
    <w:rsid w:val="009A4A91"/>
    <w:rsid w:val="00A00076"/>
    <w:rsid w:val="00A23E67"/>
    <w:rsid w:val="00A3782A"/>
    <w:rsid w:val="00A5452B"/>
    <w:rsid w:val="00A560B6"/>
    <w:rsid w:val="00A7694A"/>
    <w:rsid w:val="00A775D1"/>
    <w:rsid w:val="00AA13AE"/>
    <w:rsid w:val="00AB0E6A"/>
    <w:rsid w:val="00AB697F"/>
    <w:rsid w:val="00AD095D"/>
    <w:rsid w:val="00AF07C6"/>
    <w:rsid w:val="00AF5655"/>
    <w:rsid w:val="00AF6A4D"/>
    <w:rsid w:val="00AF7825"/>
    <w:rsid w:val="00B015DF"/>
    <w:rsid w:val="00B44994"/>
    <w:rsid w:val="00B50CE3"/>
    <w:rsid w:val="00B553EE"/>
    <w:rsid w:val="00B70C41"/>
    <w:rsid w:val="00B75618"/>
    <w:rsid w:val="00B941D2"/>
    <w:rsid w:val="00B954D6"/>
    <w:rsid w:val="00BC515D"/>
    <w:rsid w:val="00BE7300"/>
    <w:rsid w:val="00BF6A8B"/>
    <w:rsid w:val="00C27CA3"/>
    <w:rsid w:val="00CA4329"/>
    <w:rsid w:val="00CD1D22"/>
    <w:rsid w:val="00CD6FAB"/>
    <w:rsid w:val="00CF3BE6"/>
    <w:rsid w:val="00CF79E4"/>
    <w:rsid w:val="00D10ED1"/>
    <w:rsid w:val="00D6116C"/>
    <w:rsid w:val="00D6663E"/>
    <w:rsid w:val="00D72CFD"/>
    <w:rsid w:val="00D73256"/>
    <w:rsid w:val="00DA403C"/>
    <w:rsid w:val="00DB24BA"/>
    <w:rsid w:val="00DB2FCA"/>
    <w:rsid w:val="00DC4620"/>
    <w:rsid w:val="00DC5211"/>
    <w:rsid w:val="00DD3434"/>
    <w:rsid w:val="00DE7963"/>
    <w:rsid w:val="00DF7980"/>
    <w:rsid w:val="00E05081"/>
    <w:rsid w:val="00E122E7"/>
    <w:rsid w:val="00E213E1"/>
    <w:rsid w:val="00E40151"/>
    <w:rsid w:val="00E53E20"/>
    <w:rsid w:val="00E750FF"/>
    <w:rsid w:val="00E8441C"/>
    <w:rsid w:val="00E90F79"/>
    <w:rsid w:val="00E93BC8"/>
    <w:rsid w:val="00E95BD3"/>
    <w:rsid w:val="00E97D4F"/>
    <w:rsid w:val="00EA2DF6"/>
    <w:rsid w:val="00EE39B2"/>
    <w:rsid w:val="00EE4E19"/>
    <w:rsid w:val="00F02D99"/>
    <w:rsid w:val="00F2178A"/>
    <w:rsid w:val="00F27457"/>
    <w:rsid w:val="00F4740C"/>
    <w:rsid w:val="00F5311E"/>
    <w:rsid w:val="00F729CC"/>
    <w:rsid w:val="00F77FAE"/>
    <w:rsid w:val="00F97AFC"/>
    <w:rsid w:val="00FA1F52"/>
    <w:rsid w:val="00FA7D95"/>
    <w:rsid w:val="00FB4089"/>
    <w:rsid w:val="00FC22B2"/>
    <w:rsid w:val="00FD21E1"/>
    <w:rsid w:val="00FD6795"/>
    <w:rsid w:val="00FE0866"/>
    <w:rsid w:val="00FE4A79"/>
    <w:rsid w:val="00FF1450"/>
    <w:rsid w:val="00FF14CD"/>
    <w:rsid w:val="00FF32D6"/>
    <w:rsid w:val="1CB278F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sdException w:qFormat="1" w:unhideWhenUsed="0" w:uiPriority="0" w:semiHidden="0" w:name="Quote"/>
  </w:latentStyles>
  <w:style w:type="paragraph" w:default="1" w:styleId="1">
    <w:name w:val="Normal"/>
    <w:qFormat/>
    <w:uiPriority w:val="0"/>
    <w:pPr>
      <w:spacing w:after="0" w:line="240" w:lineRule="auto"/>
    </w:pPr>
    <w:rPr>
      <w:rFonts w:ascii="Arial" w:hAnsi="Arial" w:eastAsia="Arial" w:cs="Arial"/>
      <w:sz w:val="20"/>
      <w:szCs w:val="20"/>
      <w:lang w:val="pt-BR" w:eastAsia="pt-BR" w:bidi="ar-SA"/>
    </w:rPr>
  </w:style>
  <w:style w:type="paragraph" w:styleId="2">
    <w:name w:val="heading 1"/>
    <w:basedOn w:val="1"/>
    <w:next w:val="1"/>
    <w:link w:val="20"/>
    <w:qFormat/>
    <w:uiPriority w:val="9"/>
    <w:pPr>
      <w:keepNext/>
      <w:keepLines/>
      <w:spacing w:before="480"/>
      <w:outlineLvl w:val="0"/>
    </w:pPr>
    <w:rPr>
      <w:rFonts w:ascii="Cambria" w:hAnsi="Cambria" w:eastAsia="Cambria" w:cs="Cambria"/>
      <w:b/>
      <w:color w:val="366091"/>
      <w:sz w:val="28"/>
      <w:szCs w:val="28"/>
    </w:rPr>
  </w:style>
  <w:style w:type="paragraph" w:styleId="3">
    <w:name w:val="heading 2"/>
    <w:basedOn w:val="1"/>
    <w:next w:val="1"/>
    <w:link w:val="21"/>
    <w:semiHidden/>
    <w:unhideWhenUsed/>
    <w:qFormat/>
    <w:uiPriority w:val="9"/>
    <w:pPr>
      <w:keepNext/>
      <w:tabs>
        <w:tab w:val="left" w:pos="1701"/>
      </w:tabs>
      <w:jc w:val="center"/>
      <w:outlineLvl w:val="1"/>
    </w:pPr>
    <w:rPr>
      <w:rFonts w:ascii="Times New Roman" w:hAnsi="Times New Roman" w:eastAsia="Times New Roman" w:cs="Times New Roman"/>
      <w:b/>
      <w:color w:val="000000"/>
    </w:rPr>
  </w:style>
  <w:style w:type="paragraph" w:styleId="4">
    <w:name w:val="heading 3"/>
    <w:basedOn w:val="1"/>
    <w:next w:val="1"/>
    <w:link w:val="22"/>
    <w:semiHidden/>
    <w:unhideWhenUsed/>
    <w:qFormat/>
    <w:uiPriority w:val="9"/>
    <w:pPr>
      <w:keepNext/>
      <w:keepLines/>
      <w:spacing w:before="280" w:after="80"/>
      <w:outlineLvl w:val="2"/>
    </w:pPr>
    <w:rPr>
      <w:b/>
      <w:sz w:val="28"/>
      <w:szCs w:val="28"/>
    </w:rPr>
  </w:style>
  <w:style w:type="paragraph" w:styleId="5">
    <w:name w:val="heading 4"/>
    <w:basedOn w:val="1"/>
    <w:next w:val="1"/>
    <w:link w:val="23"/>
    <w:semiHidden/>
    <w:unhideWhenUsed/>
    <w:qFormat/>
    <w:uiPriority w:val="9"/>
    <w:pPr>
      <w:keepNext/>
      <w:keepLines/>
      <w:spacing w:before="240" w:after="40"/>
      <w:outlineLvl w:val="3"/>
    </w:pPr>
    <w:rPr>
      <w:b/>
      <w:sz w:val="24"/>
      <w:szCs w:val="24"/>
    </w:rPr>
  </w:style>
  <w:style w:type="paragraph" w:styleId="6">
    <w:name w:val="heading 5"/>
    <w:basedOn w:val="1"/>
    <w:next w:val="1"/>
    <w:link w:val="24"/>
    <w:semiHidden/>
    <w:unhideWhenUsed/>
    <w:qFormat/>
    <w:uiPriority w:val="9"/>
    <w:pPr>
      <w:keepNext/>
      <w:keepLines/>
      <w:spacing w:before="220" w:after="40"/>
      <w:outlineLvl w:val="4"/>
    </w:pPr>
    <w:rPr>
      <w:b/>
      <w:sz w:val="22"/>
      <w:szCs w:val="22"/>
    </w:rPr>
  </w:style>
  <w:style w:type="paragraph" w:styleId="7">
    <w:name w:val="heading 6"/>
    <w:basedOn w:val="1"/>
    <w:next w:val="1"/>
    <w:link w:val="25"/>
    <w:semiHidden/>
    <w:unhideWhenUsed/>
    <w:qFormat/>
    <w:uiPriority w:val="9"/>
    <w:pPr>
      <w:keepNext/>
      <w:keepLines/>
      <w:spacing w:before="200" w:after="40"/>
      <w:outlineLvl w:val="5"/>
    </w:pPr>
    <w:rPr>
      <w:b/>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annotation reference"/>
    <w:basedOn w:val="8"/>
    <w:unhideWhenUsed/>
    <w:uiPriority w:val="0"/>
    <w:rPr>
      <w:sz w:val="16"/>
      <w:szCs w:val="16"/>
    </w:rPr>
  </w:style>
  <w:style w:type="character" w:styleId="11">
    <w:name w:val="FollowedHyperlink"/>
    <w:basedOn w:val="8"/>
    <w:semiHidden/>
    <w:unhideWhenUsed/>
    <w:qFormat/>
    <w:uiPriority w:val="99"/>
    <w:rPr>
      <w:color w:val="954F72" w:themeColor="followedHyperlink"/>
      <w:u w:val="single"/>
      <w14:textFill>
        <w14:solidFill>
          <w14:schemeClr w14:val="folHlink"/>
        </w14:solidFill>
      </w14:textFill>
    </w:rPr>
  </w:style>
  <w:style w:type="character" w:styleId="12">
    <w:name w:val="Hyperlink"/>
    <w:qFormat/>
    <w:uiPriority w:val="99"/>
    <w:rPr>
      <w:color w:val="000080"/>
      <w:u w:val="single"/>
    </w:rPr>
  </w:style>
  <w:style w:type="paragraph" w:styleId="13">
    <w:name w:val="annotation text"/>
    <w:basedOn w:val="1"/>
    <w:link w:val="29"/>
    <w:unhideWhenUsed/>
    <w:uiPriority w:val="0"/>
    <w:rPr>
      <w:rFonts w:ascii="Ecofont_Spranq_eco_Sans" w:hAnsi="Ecofont_Spranq_eco_Sans" w:cs="Tahoma" w:eastAsiaTheme="minorEastAsia"/>
    </w:rPr>
  </w:style>
  <w:style w:type="paragraph" w:styleId="14">
    <w:name w:val="Title"/>
    <w:basedOn w:val="1"/>
    <w:next w:val="1"/>
    <w:link w:val="27"/>
    <w:qFormat/>
    <w:uiPriority w:val="10"/>
    <w:pPr>
      <w:keepNext/>
      <w:keepLines/>
      <w:spacing w:before="480" w:after="120"/>
    </w:pPr>
    <w:rPr>
      <w:b/>
      <w:sz w:val="72"/>
      <w:szCs w:val="72"/>
    </w:rPr>
  </w:style>
  <w:style w:type="paragraph" w:styleId="15">
    <w:name w:val="Normal (Web)"/>
    <w:basedOn w:val="1"/>
    <w:unhideWhenUsed/>
    <w:qFormat/>
    <w:uiPriority w:val="99"/>
    <w:pPr>
      <w:spacing w:before="100" w:beforeAutospacing="1" w:after="100" w:afterAutospacing="1"/>
    </w:pPr>
    <w:rPr>
      <w:rFonts w:ascii="Times New Roman" w:hAnsi="Times New Roman" w:eastAsia="Times New Roman" w:cs="Times New Roman"/>
      <w:sz w:val="24"/>
      <w:szCs w:val="24"/>
    </w:rPr>
  </w:style>
  <w:style w:type="paragraph" w:styleId="16">
    <w:name w:val="header"/>
    <w:basedOn w:val="1"/>
    <w:link w:val="48"/>
    <w:unhideWhenUsed/>
    <w:qFormat/>
    <w:uiPriority w:val="99"/>
    <w:pPr>
      <w:tabs>
        <w:tab w:val="center" w:pos="4252"/>
        <w:tab w:val="right" w:pos="8504"/>
      </w:tabs>
    </w:pPr>
  </w:style>
  <w:style w:type="paragraph" w:styleId="17">
    <w:name w:val="footer"/>
    <w:basedOn w:val="1"/>
    <w:link w:val="49"/>
    <w:unhideWhenUsed/>
    <w:uiPriority w:val="99"/>
    <w:pPr>
      <w:tabs>
        <w:tab w:val="center" w:pos="4252"/>
        <w:tab w:val="right" w:pos="8504"/>
      </w:tabs>
    </w:pPr>
  </w:style>
  <w:style w:type="paragraph" w:styleId="18">
    <w:name w:val="Balloon Text"/>
    <w:basedOn w:val="1"/>
    <w:link w:val="57"/>
    <w:semiHidden/>
    <w:unhideWhenUsed/>
    <w:uiPriority w:val="99"/>
    <w:rPr>
      <w:rFonts w:ascii="Segoe UI" w:hAnsi="Segoe UI" w:cs="Segoe UI"/>
      <w:sz w:val="18"/>
      <w:szCs w:val="18"/>
    </w:rPr>
  </w:style>
  <w:style w:type="paragraph" w:styleId="19">
    <w:name w:val="Subtitle"/>
    <w:basedOn w:val="1"/>
    <w:next w:val="1"/>
    <w:link w:val="28"/>
    <w:qFormat/>
    <w:uiPriority w:val="0"/>
    <w:pPr>
      <w:keepNext/>
      <w:keepLines/>
      <w:spacing w:before="360" w:after="80"/>
    </w:pPr>
    <w:rPr>
      <w:rFonts w:ascii="Georgia" w:hAnsi="Georgia" w:eastAsia="Georgia" w:cs="Georgia"/>
      <w:i/>
      <w:color w:val="666666"/>
      <w:sz w:val="48"/>
      <w:szCs w:val="48"/>
    </w:rPr>
  </w:style>
  <w:style w:type="character" w:customStyle="1" w:styleId="20">
    <w:name w:val="Título 1 Char"/>
    <w:basedOn w:val="8"/>
    <w:link w:val="2"/>
    <w:qFormat/>
    <w:uiPriority w:val="9"/>
    <w:rPr>
      <w:rFonts w:ascii="Cambria" w:hAnsi="Cambria" w:eastAsia="Cambria" w:cs="Cambria"/>
      <w:b/>
      <w:color w:val="366091"/>
      <w:sz w:val="28"/>
      <w:szCs w:val="28"/>
      <w:lang w:eastAsia="pt-BR"/>
    </w:rPr>
  </w:style>
  <w:style w:type="character" w:customStyle="1" w:styleId="21">
    <w:name w:val="Título 2 Char"/>
    <w:basedOn w:val="8"/>
    <w:link w:val="3"/>
    <w:semiHidden/>
    <w:uiPriority w:val="9"/>
    <w:rPr>
      <w:rFonts w:ascii="Times New Roman" w:hAnsi="Times New Roman" w:eastAsia="Times New Roman" w:cs="Times New Roman"/>
      <w:b/>
      <w:color w:val="000000"/>
      <w:sz w:val="20"/>
      <w:szCs w:val="20"/>
      <w:lang w:eastAsia="pt-BR"/>
    </w:rPr>
  </w:style>
  <w:style w:type="character" w:customStyle="1" w:styleId="22">
    <w:name w:val="Título 3 Char"/>
    <w:basedOn w:val="8"/>
    <w:link w:val="4"/>
    <w:semiHidden/>
    <w:qFormat/>
    <w:uiPriority w:val="9"/>
    <w:rPr>
      <w:rFonts w:ascii="Arial" w:hAnsi="Arial" w:eastAsia="Arial" w:cs="Arial"/>
      <w:b/>
      <w:sz w:val="28"/>
      <w:szCs w:val="28"/>
      <w:lang w:eastAsia="pt-BR"/>
    </w:rPr>
  </w:style>
  <w:style w:type="character" w:customStyle="1" w:styleId="23">
    <w:name w:val="Título 4 Char"/>
    <w:basedOn w:val="8"/>
    <w:link w:val="5"/>
    <w:semiHidden/>
    <w:qFormat/>
    <w:uiPriority w:val="9"/>
    <w:rPr>
      <w:rFonts w:ascii="Arial" w:hAnsi="Arial" w:eastAsia="Arial" w:cs="Arial"/>
      <w:b/>
      <w:sz w:val="24"/>
      <w:szCs w:val="24"/>
      <w:lang w:eastAsia="pt-BR"/>
    </w:rPr>
  </w:style>
  <w:style w:type="character" w:customStyle="1" w:styleId="24">
    <w:name w:val="Título 5 Char"/>
    <w:basedOn w:val="8"/>
    <w:link w:val="6"/>
    <w:semiHidden/>
    <w:qFormat/>
    <w:uiPriority w:val="9"/>
    <w:rPr>
      <w:rFonts w:ascii="Arial" w:hAnsi="Arial" w:eastAsia="Arial" w:cs="Arial"/>
      <w:b/>
      <w:lang w:eastAsia="pt-BR"/>
    </w:rPr>
  </w:style>
  <w:style w:type="character" w:customStyle="1" w:styleId="25">
    <w:name w:val="Título 6 Char"/>
    <w:basedOn w:val="8"/>
    <w:link w:val="7"/>
    <w:semiHidden/>
    <w:qFormat/>
    <w:uiPriority w:val="9"/>
    <w:rPr>
      <w:rFonts w:ascii="Arial" w:hAnsi="Arial" w:eastAsia="Arial" w:cs="Arial"/>
      <w:b/>
      <w:sz w:val="20"/>
      <w:szCs w:val="20"/>
      <w:lang w:eastAsia="pt-BR"/>
    </w:rPr>
  </w:style>
  <w:style w:type="table" w:customStyle="1" w:styleId="26">
    <w:name w:val="Table Normal"/>
    <w:qFormat/>
    <w:uiPriority w:val="0"/>
    <w:pPr>
      <w:spacing w:after="0" w:line="240" w:lineRule="auto"/>
    </w:pPr>
    <w:rPr>
      <w:rFonts w:ascii="Arial" w:hAnsi="Arial" w:eastAsia="Arial" w:cs="Arial"/>
      <w:sz w:val="20"/>
      <w:szCs w:val="20"/>
      <w:lang w:eastAsia="pt-BR"/>
    </w:rPr>
    <w:tblPr>
      <w:tblCellMar>
        <w:top w:w="0" w:type="dxa"/>
        <w:left w:w="0" w:type="dxa"/>
        <w:bottom w:w="0" w:type="dxa"/>
        <w:right w:w="0" w:type="dxa"/>
      </w:tblCellMar>
    </w:tblPr>
  </w:style>
  <w:style w:type="character" w:customStyle="1" w:styleId="27">
    <w:name w:val="Título Char"/>
    <w:basedOn w:val="8"/>
    <w:link w:val="14"/>
    <w:uiPriority w:val="10"/>
    <w:rPr>
      <w:rFonts w:ascii="Arial" w:hAnsi="Arial" w:eastAsia="Arial" w:cs="Arial"/>
      <w:b/>
      <w:sz w:val="72"/>
      <w:szCs w:val="72"/>
      <w:lang w:eastAsia="pt-BR"/>
    </w:rPr>
  </w:style>
  <w:style w:type="character" w:customStyle="1" w:styleId="28">
    <w:name w:val="Subtítulo Char"/>
    <w:basedOn w:val="8"/>
    <w:link w:val="19"/>
    <w:qFormat/>
    <w:uiPriority w:val="0"/>
    <w:rPr>
      <w:rFonts w:ascii="Georgia" w:hAnsi="Georgia" w:eastAsia="Georgia" w:cs="Georgia"/>
      <w:i/>
      <w:color w:val="666666"/>
      <w:sz w:val="48"/>
      <w:szCs w:val="48"/>
      <w:lang w:eastAsia="pt-BR"/>
    </w:rPr>
  </w:style>
  <w:style w:type="character" w:customStyle="1" w:styleId="29">
    <w:name w:val="Texto de comentário Char"/>
    <w:basedOn w:val="8"/>
    <w:link w:val="13"/>
    <w:qFormat/>
    <w:uiPriority w:val="0"/>
    <w:rPr>
      <w:rFonts w:ascii="Ecofont_Spranq_eco_Sans" w:hAnsi="Ecofont_Spranq_eco_Sans" w:cs="Tahoma" w:eastAsiaTheme="minorEastAsia"/>
      <w:sz w:val="20"/>
      <w:szCs w:val="20"/>
      <w:lang w:eastAsia="pt-BR"/>
    </w:rPr>
  </w:style>
  <w:style w:type="paragraph" w:customStyle="1" w:styleId="30">
    <w:name w:val="Nivel 01"/>
    <w:basedOn w:val="2"/>
    <w:next w:val="1"/>
    <w:link w:val="50"/>
    <w:autoRedefine/>
    <w:qFormat/>
    <w:uiPriority w:val="0"/>
    <w:pPr>
      <w:numPr>
        <w:ilvl w:val="0"/>
        <w:numId w:val="1"/>
      </w:numPr>
      <w:tabs>
        <w:tab w:val="left" w:pos="567"/>
      </w:tabs>
      <w:spacing w:before="288" w:beforeLines="120" w:after="288" w:afterLines="120" w:line="312" w:lineRule="auto"/>
      <w:jc w:val="both"/>
    </w:pPr>
    <w:rPr>
      <w:rFonts w:ascii="Arial" w:hAnsi="Arial" w:cs="Arial" w:eastAsiaTheme="majorEastAsia"/>
      <w:bCs/>
      <w:color w:val="auto"/>
      <w:sz w:val="20"/>
      <w:szCs w:val="20"/>
    </w:rPr>
  </w:style>
  <w:style w:type="paragraph" w:customStyle="1" w:styleId="31">
    <w:name w:val="Nivel 2"/>
    <w:basedOn w:val="1"/>
    <w:link w:val="35"/>
    <w:qFormat/>
    <w:uiPriority w:val="0"/>
    <w:pPr>
      <w:numPr>
        <w:ilvl w:val="1"/>
        <w:numId w:val="1"/>
      </w:numPr>
      <w:spacing w:before="120" w:after="120" w:line="276" w:lineRule="auto"/>
      <w:ind w:left="0" w:firstLine="0"/>
      <w:jc w:val="both"/>
    </w:pPr>
    <w:rPr>
      <w:rFonts w:eastAsiaTheme="minorEastAsia"/>
      <w:color w:val="000000"/>
    </w:rPr>
  </w:style>
  <w:style w:type="paragraph" w:customStyle="1" w:styleId="32">
    <w:name w:val="Nivel 3"/>
    <w:basedOn w:val="1"/>
    <w:link w:val="41"/>
    <w:qFormat/>
    <w:uiPriority w:val="0"/>
    <w:pPr>
      <w:numPr>
        <w:ilvl w:val="2"/>
        <w:numId w:val="1"/>
      </w:numPr>
      <w:spacing w:before="120" w:after="120" w:line="276" w:lineRule="auto"/>
      <w:ind w:left="284" w:firstLine="0"/>
      <w:jc w:val="both"/>
    </w:pPr>
    <w:rPr>
      <w:rFonts w:eastAsiaTheme="minorEastAsia"/>
      <w:color w:val="000000"/>
    </w:rPr>
  </w:style>
  <w:style w:type="paragraph" w:customStyle="1" w:styleId="33">
    <w:name w:val="Nivel 4"/>
    <w:basedOn w:val="32"/>
    <w:qFormat/>
    <w:uiPriority w:val="0"/>
    <w:pPr>
      <w:numPr>
        <w:ilvl w:val="3"/>
      </w:numPr>
      <w:ind w:left="567" w:firstLine="0"/>
    </w:pPr>
    <w:rPr>
      <w:color w:val="auto"/>
    </w:rPr>
  </w:style>
  <w:style w:type="paragraph" w:customStyle="1" w:styleId="34">
    <w:name w:val="Nivel 5"/>
    <w:basedOn w:val="33"/>
    <w:qFormat/>
    <w:uiPriority w:val="0"/>
    <w:pPr>
      <w:numPr>
        <w:ilvl w:val="4"/>
      </w:numPr>
      <w:ind w:left="851" w:firstLine="0"/>
    </w:pPr>
  </w:style>
  <w:style w:type="character" w:customStyle="1" w:styleId="35">
    <w:name w:val="Nivel 2 Char"/>
    <w:basedOn w:val="8"/>
    <w:link w:val="31"/>
    <w:qFormat/>
    <w:locked/>
    <w:uiPriority w:val="0"/>
    <w:rPr>
      <w:rFonts w:ascii="Arial" w:hAnsi="Arial" w:cs="Arial" w:eastAsiaTheme="minorEastAsia"/>
      <w:color w:val="000000"/>
      <w:sz w:val="20"/>
      <w:szCs w:val="20"/>
      <w:lang w:eastAsia="pt-BR"/>
    </w:rPr>
  </w:style>
  <w:style w:type="paragraph" w:styleId="36">
    <w:name w:val="List Paragraph"/>
    <w:basedOn w:val="1"/>
    <w:qFormat/>
    <w:uiPriority w:val="34"/>
    <w:pPr>
      <w:ind w:left="720"/>
      <w:contextualSpacing/>
    </w:pPr>
  </w:style>
  <w:style w:type="paragraph" w:customStyle="1" w:styleId="37">
    <w:name w:val="ou"/>
    <w:basedOn w:val="36"/>
    <w:link w:val="38"/>
    <w:qFormat/>
    <w:uiPriority w:val="0"/>
    <w:pPr>
      <w:spacing w:before="60" w:after="60" w:line="259" w:lineRule="auto"/>
      <w:ind w:left="0"/>
      <w:contextualSpacing w:val="0"/>
      <w:jc w:val="center"/>
    </w:pPr>
    <w:rPr>
      <w:rFonts w:eastAsiaTheme="minorHAnsi"/>
      <w:b/>
      <w:bCs/>
      <w:i/>
      <w:iCs/>
      <w:color w:val="FF0000"/>
      <w:sz w:val="24"/>
      <w:szCs w:val="24"/>
      <w:u w:val="single"/>
    </w:rPr>
  </w:style>
  <w:style w:type="character" w:customStyle="1" w:styleId="38">
    <w:name w:val="ou Char"/>
    <w:basedOn w:val="8"/>
    <w:link w:val="37"/>
    <w:qFormat/>
    <w:uiPriority w:val="0"/>
    <w:rPr>
      <w:rFonts w:ascii="Arial" w:hAnsi="Arial" w:cs="Arial"/>
      <w:b/>
      <w:bCs/>
      <w:i/>
      <w:iCs/>
      <w:color w:val="FF0000"/>
      <w:sz w:val="24"/>
      <w:szCs w:val="24"/>
      <w:u w:val="single"/>
      <w:lang w:eastAsia="pt-BR"/>
    </w:rPr>
  </w:style>
  <w:style w:type="paragraph" w:customStyle="1" w:styleId="39">
    <w:name w:val="Nível 2 -Red"/>
    <w:basedOn w:val="31"/>
    <w:link w:val="40"/>
    <w:qFormat/>
    <w:uiPriority w:val="0"/>
    <w:pPr>
      <w:numPr>
        <w:numId w:val="2"/>
      </w:numPr>
      <w:ind w:left="0" w:firstLine="0"/>
    </w:pPr>
    <w:rPr>
      <w:i/>
      <w:iCs/>
      <w:color w:val="FF0000"/>
    </w:rPr>
  </w:style>
  <w:style w:type="character" w:customStyle="1" w:styleId="40">
    <w:name w:val="Nível 2 -Red Char"/>
    <w:basedOn w:val="35"/>
    <w:link w:val="39"/>
    <w:qFormat/>
    <w:uiPriority w:val="0"/>
    <w:rPr>
      <w:rFonts w:ascii="Arial" w:hAnsi="Arial" w:cs="Arial" w:eastAsiaTheme="minorEastAsia"/>
      <w:i/>
      <w:iCs/>
      <w:color w:val="FF0000"/>
      <w:sz w:val="20"/>
      <w:szCs w:val="20"/>
      <w:lang w:eastAsia="pt-BR"/>
    </w:rPr>
  </w:style>
  <w:style w:type="character" w:customStyle="1" w:styleId="41">
    <w:name w:val="Nivel 3 Char"/>
    <w:basedOn w:val="8"/>
    <w:link w:val="32"/>
    <w:qFormat/>
    <w:uiPriority w:val="0"/>
    <w:rPr>
      <w:rFonts w:ascii="Arial" w:hAnsi="Arial" w:cs="Arial" w:eastAsiaTheme="minorEastAsia"/>
      <w:color w:val="000000"/>
      <w:sz w:val="20"/>
      <w:szCs w:val="20"/>
      <w:lang w:eastAsia="pt-BR"/>
    </w:rPr>
  </w:style>
  <w:style w:type="paragraph" w:customStyle="1" w:styleId="42">
    <w:name w:val="Nível 3-R"/>
    <w:basedOn w:val="32"/>
    <w:link w:val="44"/>
    <w:qFormat/>
    <w:uiPriority w:val="0"/>
    <w:pPr>
      <w:numPr>
        <w:numId w:val="2"/>
      </w:numPr>
      <w:ind w:left="284" w:firstLine="0"/>
    </w:pPr>
    <w:rPr>
      <w:i/>
      <w:iCs/>
      <w:color w:val="FF0000"/>
    </w:rPr>
  </w:style>
  <w:style w:type="paragraph" w:customStyle="1" w:styleId="43">
    <w:name w:val="Nível 4-R"/>
    <w:basedOn w:val="33"/>
    <w:link w:val="45"/>
    <w:qFormat/>
    <w:uiPriority w:val="0"/>
    <w:pPr>
      <w:numPr>
        <w:numId w:val="2"/>
      </w:numPr>
      <w:ind w:left="567" w:firstLine="0"/>
    </w:pPr>
    <w:rPr>
      <w:i/>
      <w:iCs/>
      <w:color w:val="FF0000"/>
    </w:rPr>
  </w:style>
  <w:style w:type="character" w:customStyle="1" w:styleId="44">
    <w:name w:val="Nível 3-R Char"/>
    <w:basedOn w:val="41"/>
    <w:link w:val="42"/>
    <w:qFormat/>
    <w:uiPriority w:val="0"/>
    <w:rPr>
      <w:rFonts w:ascii="Arial" w:hAnsi="Arial" w:cs="Arial" w:eastAsiaTheme="minorEastAsia"/>
      <w:i/>
      <w:iCs/>
      <w:color w:val="FF0000"/>
      <w:sz w:val="20"/>
      <w:szCs w:val="20"/>
      <w:lang w:eastAsia="pt-BR"/>
    </w:rPr>
  </w:style>
  <w:style w:type="character" w:customStyle="1" w:styleId="45">
    <w:name w:val="Nível 4-R Char"/>
    <w:basedOn w:val="8"/>
    <w:link w:val="43"/>
    <w:uiPriority w:val="0"/>
    <w:rPr>
      <w:rFonts w:ascii="Arial" w:hAnsi="Arial" w:cs="Arial" w:eastAsiaTheme="minorEastAsia"/>
      <w:i/>
      <w:iCs/>
      <w:color w:val="FF0000"/>
      <w:sz w:val="20"/>
      <w:szCs w:val="20"/>
      <w:lang w:eastAsia="pt-BR"/>
    </w:rPr>
  </w:style>
  <w:style w:type="paragraph" w:styleId="46">
    <w:name w:val="Quote"/>
    <w:basedOn w:val="1"/>
    <w:next w:val="1"/>
    <w:link w:val="47"/>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cs="Tahoma"/>
      <w:i/>
      <w:iCs/>
      <w:color w:val="000000"/>
      <w:szCs w:val="24"/>
      <w:lang w:eastAsia="en-US"/>
    </w:rPr>
  </w:style>
  <w:style w:type="character" w:customStyle="1" w:styleId="47">
    <w:name w:val="Citação Char"/>
    <w:basedOn w:val="8"/>
    <w:link w:val="46"/>
    <w:qFormat/>
    <w:uiPriority w:val="0"/>
    <w:rPr>
      <w:rFonts w:ascii="Arial" w:hAnsi="Arial" w:eastAsia="Calibri" w:cs="Tahoma"/>
      <w:i/>
      <w:iCs/>
      <w:color w:val="000000"/>
      <w:sz w:val="20"/>
      <w:szCs w:val="24"/>
      <w:shd w:val="clear" w:color="auto" w:fill="FFFFCC"/>
    </w:rPr>
  </w:style>
  <w:style w:type="character" w:customStyle="1" w:styleId="48">
    <w:name w:val="Cabeçalho Char"/>
    <w:basedOn w:val="8"/>
    <w:link w:val="16"/>
    <w:uiPriority w:val="99"/>
    <w:rPr>
      <w:rFonts w:ascii="Arial" w:hAnsi="Arial" w:eastAsia="Arial" w:cs="Arial"/>
      <w:sz w:val="20"/>
      <w:szCs w:val="20"/>
      <w:lang w:eastAsia="pt-BR"/>
    </w:rPr>
  </w:style>
  <w:style w:type="character" w:customStyle="1" w:styleId="49">
    <w:name w:val="Rodapé Char"/>
    <w:basedOn w:val="8"/>
    <w:link w:val="17"/>
    <w:uiPriority w:val="99"/>
    <w:rPr>
      <w:rFonts w:ascii="Arial" w:hAnsi="Arial" w:eastAsia="Arial" w:cs="Arial"/>
      <w:sz w:val="20"/>
      <w:szCs w:val="20"/>
      <w:lang w:eastAsia="pt-BR"/>
    </w:rPr>
  </w:style>
  <w:style w:type="character" w:customStyle="1" w:styleId="50">
    <w:name w:val="Nivel 01 Char"/>
    <w:basedOn w:val="27"/>
    <w:link w:val="30"/>
    <w:uiPriority w:val="0"/>
    <w:rPr>
      <w:rFonts w:ascii="Arial" w:hAnsi="Arial" w:cs="Arial" w:eastAsiaTheme="majorEastAsia"/>
      <w:bCs/>
      <w:sz w:val="20"/>
      <w:szCs w:val="20"/>
      <w:lang w:eastAsia="pt-BR"/>
    </w:rPr>
  </w:style>
  <w:style w:type="paragraph" w:customStyle="1" w:styleId="51">
    <w:name w:val="Nível 4"/>
    <w:basedOn w:val="1"/>
    <w:link w:val="55"/>
    <w:qFormat/>
    <w:uiPriority w:val="0"/>
    <w:pPr>
      <w:spacing w:before="120" w:after="120" w:line="276" w:lineRule="auto"/>
      <w:ind w:left="567"/>
      <w:jc w:val="both"/>
    </w:pPr>
    <w:rPr>
      <w:rFonts w:eastAsia="Times New Roman"/>
      <w:color w:val="FF0000"/>
    </w:rPr>
  </w:style>
  <w:style w:type="paragraph" w:customStyle="1" w:styleId="52">
    <w:name w:val="Nível 3"/>
    <w:basedOn w:val="42"/>
    <w:link w:val="53"/>
    <w:qFormat/>
    <w:uiPriority w:val="0"/>
    <w:pPr>
      <w:numPr>
        <w:numId w:val="1"/>
      </w:numPr>
      <w:ind w:left="284" w:firstLine="0"/>
    </w:pPr>
    <w:rPr>
      <w:rFonts w:eastAsia="Times New Roman"/>
      <w:i w:val="0"/>
      <w:iCs w:val="0"/>
    </w:rPr>
  </w:style>
  <w:style w:type="character" w:customStyle="1" w:styleId="53">
    <w:name w:val="Nível 3 Char"/>
    <w:basedOn w:val="44"/>
    <w:link w:val="52"/>
    <w:uiPriority w:val="0"/>
    <w:rPr>
      <w:rFonts w:ascii="Arial" w:hAnsi="Arial" w:eastAsia="Times New Roman" w:cs="Arial"/>
      <w:i w:val="0"/>
      <w:iCs w:val="0"/>
      <w:color w:val="FF0000"/>
      <w:sz w:val="20"/>
      <w:szCs w:val="20"/>
      <w:lang w:eastAsia="pt-BR"/>
    </w:rPr>
  </w:style>
  <w:style w:type="paragraph" w:customStyle="1" w:styleId="54">
    <w:name w:val="SubTitNN"/>
    <w:basedOn w:val="1"/>
    <w:link w:val="56"/>
    <w:qFormat/>
    <w:uiPriority w:val="0"/>
    <w:pPr>
      <w:spacing w:before="240" w:after="120" w:line="276" w:lineRule="auto"/>
      <w:jc w:val="both"/>
    </w:pPr>
    <w:rPr>
      <w:rFonts w:eastAsia="Times New Roman"/>
      <w:b/>
      <w:bCs/>
      <w:iCs/>
    </w:rPr>
  </w:style>
  <w:style w:type="character" w:customStyle="1" w:styleId="55">
    <w:name w:val="Nível 4 Char"/>
    <w:basedOn w:val="53"/>
    <w:link w:val="51"/>
    <w:uiPriority w:val="0"/>
    <w:rPr>
      <w:rFonts w:ascii="Arial" w:hAnsi="Arial" w:eastAsia="Times New Roman" w:cs="Arial"/>
      <w:color w:val="FF0000"/>
      <w:sz w:val="20"/>
      <w:szCs w:val="20"/>
      <w:lang w:eastAsia="pt-BR"/>
    </w:rPr>
  </w:style>
  <w:style w:type="character" w:customStyle="1" w:styleId="56">
    <w:name w:val="SubTitNN Char"/>
    <w:basedOn w:val="8"/>
    <w:link w:val="54"/>
    <w:uiPriority w:val="0"/>
    <w:rPr>
      <w:rFonts w:ascii="Arial" w:hAnsi="Arial" w:eastAsia="Times New Roman" w:cs="Arial"/>
      <w:b/>
      <w:bCs/>
      <w:iCs/>
      <w:sz w:val="20"/>
      <w:szCs w:val="20"/>
      <w:lang w:eastAsia="pt-BR"/>
    </w:rPr>
  </w:style>
  <w:style w:type="character" w:customStyle="1" w:styleId="57">
    <w:name w:val="Texto de balão Char"/>
    <w:basedOn w:val="8"/>
    <w:link w:val="18"/>
    <w:semiHidden/>
    <w:uiPriority w:val="99"/>
    <w:rPr>
      <w:rFonts w:ascii="Segoe UI" w:hAnsi="Segoe UI" w:eastAsia="Arial" w:cs="Segoe UI"/>
      <w:sz w:val="18"/>
      <w:szCs w:val="18"/>
      <w:lang w:eastAsia="pt-B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25190</Words>
  <Characters>136026</Characters>
  <Lines>1133</Lines>
  <Paragraphs>321</Paragraphs>
  <TotalTime>623</TotalTime>
  <ScaleCrop>false</ScaleCrop>
  <LinksUpToDate>false</LinksUpToDate>
  <CharactersWithSpaces>160895</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2024-04-24T17:37:00Z</dcterms:created>
  <dc:creator>USER</dc:creator>
  <cp:lastModifiedBy>darllyson.henrique</cp:lastModifiedBy>
  <cp:lastPrinted>2024-07-22T18:25:00Z</cp:lastPrinted>
  <dcterms:modified xsi:type="dcterms:W3CDTF">2024-08-07T15:08:35Z</dcterms:modified>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1046-12.2.0.17545</vt:lpwstr>
  </property>
  <property fmtid="{D5CDD505-2E9C-101B-9397-08002B2CF9AE}" pid="3" name="ICV">
    <vt:lpwstr>4C44A89C65CB45FE95BF9EDD4CCD9C32_13</vt:lpwstr>
  </property>
</Properties>
</file>