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0A108">
      <w:pPr>
        <w:widowControl w:val="0"/>
        <w:pBdr>
          <w:top w:val="double" w:color="000000" w:sz="2" w:space="1"/>
          <w:bottom w:val="double" w:color="000000" w:sz="2" w:space="1"/>
        </w:pBdr>
        <w:jc w:val="both"/>
        <w:rPr>
          <w:rFonts w:asciiTheme="minorHAnsi" w:hAnsiTheme="minorHAnsi" w:cstheme="minorHAnsi"/>
          <w:b/>
          <w:caps/>
          <w:spacing w:val="8"/>
          <w:szCs w:val="24"/>
        </w:rPr>
      </w:pPr>
    </w:p>
    <w:p w14:paraId="25EE6AE0">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Edital - PREGÃO ELETRÔNICO Nº 22/2024</w:t>
      </w:r>
    </w:p>
    <w:p w14:paraId="4686EB57">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SISTEMA DE REGISTRO DE PREÇOS</w:t>
      </w:r>
    </w:p>
    <w:p w14:paraId="35061813">
      <w:pPr>
        <w:widowControl w:val="0"/>
        <w:pBdr>
          <w:top w:val="double" w:color="000000" w:sz="2" w:space="1"/>
          <w:bottom w:val="double" w:color="000000" w:sz="2" w:space="1"/>
        </w:pBdr>
        <w:jc w:val="center"/>
        <w:rPr>
          <w:rFonts w:asciiTheme="minorHAnsi" w:hAnsiTheme="minorHAnsi" w:cstheme="minorHAnsi"/>
          <w:b/>
          <w:caps/>
          <w:spacing w:val="8"/>
          <w:sz w:val="28"/>
          <w:szCs w:val="28"/>
        </w:rPr>
      </w:pPr>
      <w:r>
        <w:rPr>
          <w:rFonts w:asciiTheme="minorHAnsi" w:hAnsiTheme="minorHAnsi" w:cstheme="minorHAnsi"/>
          <w:b/>
          <w:caps/>
          <w:spacing w:val="8"/>
          <w:sz w:val="28"/>
          <w:szCs w:val="28"/>
        </w:rPr>
        <w:t xml:space="preserve">ampla participação </w:t>
      </w:r>
    </w:p>
    <w:p w14:paraId="40FF4BE3">
      <w:pPr>
        <w:widowControl w:val="0"/>
        <w:pBdr>
          <w:top w:val="double" w:color="000000" w:sz="2" w:space="1"/>
          <w:bottom w:val="double" w:color="000000" w:sz="2" w:space="1"/>
        </w:pBdr>
        <w:jc w:val="both"/>
        <w:rPr>
          <w:rFonts w:asciiTheme="minorHAnsi" w:hAnsiTheme="minorHAnsi" w:cstheme="minorHAnsi"/>
          <w:b/>
          <w:caps/>
          <w:spacing w:val="8"/>
          <w:sz w:val="22"/>
          <w:szCs w:val="22"/>
          <w:shd w:val="clear" w:color="auto" w:fill="FFFF00"/>
        </w:rPr>
      </w:pPr>
    </w:p>
    <w:p w14:paraId="1D0F10CB">
      <w:pPr>
        <w:widowControl w:val="0"/>
        <w:jc w:val="both"/>
        <w:rPr>
          <w:rFonts w:asciiTheme="minorHAnsi" w:hAnsiTheme="minorHAnsi" w:cstheme="minorHAnsi"/>
          <w:caps/>
          <w:sz w:val="22"/>
          <w:szCs w:val="22"/>
        </w:rPr>
      </w:pPr>
    </w:p>
    <w:p w14:paraId="6604009A">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PROCESSO: Nº 3170/2024</w:t>
      </w:r>
    </w:p>
    <w:p w14:paraId="3D37F340">
      <w:pPr>
        <w:widowControl w:val="0"/>
        <w:spacing w:line="360" w:lineRule="auto"/>
        <w:ind w:left="2127" w:hanging="2127"/>
        <w:jc w:val="both"/>
        <w:rPr>
          <w:rFonts w:asciiTheme="minorHAnsi" w:hAnsiTheme="minorHAnsi" w:cstheme="minorHAnsi"/>
          <w:b/>
          <w:caps/>
          <w:sz w:val="21"/>
          <w:szCs w:val="21"/>
        </w:rPr>
      </w:pPr>
      <w:bookmarkStart w:id="6" w:name="_GoBack"/>
      <w:r>
        <w:rPr>
          <w:rFonts w:asciiTheme="minorHAnsi" w:hAnsiTheme="minorHAnsi" w:cstheme="minorHAnsi"/>
          <w:b/>
          <w:sz w:val="21"/>
          <w:szCs w:val="21"/>
        </w:rPr>
        <w:t>CONTRATANTE: PREFEITURA MUNICIPAL DE SANTA BRANCA – CNPJ: 46.694.121/0001-81</w:t>
      </w:r>
    </w:p>
    <w:bookmarkEnd w:id="6"/>
    <w:p w14:paraId="42981160">
      <w:pPr>
        <w:widowControl w:val="0"/>
        <w:spacing w:line="360" w:lineRule="auto"/>
        <w:ind w:left="2127" w:hanging="2127"/>
        <w:jc w:val="both"/>
        <w:rPr>
          <w:rFonts w:asciiTheme="minorHAnsi" w:hAnsiTheme="minorHAnsi" w:cstheme="minorHAnsi"/>
          <w:b/>
          <w:caps/>
          <w:sz w:val="21"/>
          <w:szCs w:val="21"/>
        </w:rPr>
      </w:pPr>
      <w:r>
        <w:rPr>
          <w:rFonts w:asciiTheme="minorHAnsi" w:hAnsiTheme="minorHAnsi" w:cstheme="minorHAnsi"/>
          <w:b/>
          <w:sz w:val="21"/>
          <w:szCs w:val="21"/>
        </w:rPr>
        <w:t xml:space="preserve">INTERESSADO: </w:t>
      </w:r>
      <w:bookmarkStart w:id="0" w:name="_Hlk132643416"/>
      <w:r>
        <w:rPr>
          <w:rFonts w:asciiTheme="minorHAnsi" w:hAnsiTheme="minorHAnsi" w:cstheme="minorHAnsi"/>
          <w:b/>
          <w:sz w:val="21"/>
          <w:szCs w:val="21"/>
        </w:rPr>
        <w:t>SECRETARIA</w:t>
      </w:r>
      <w:bookmarkEnd w:id="0"/>
      <w:r>
        <w:rPr>
          <w:rFonts w:asciiTheme="minorHAnsi" w:hAnsiTheme="minorHAnsi" w:cstheme="minorHAnsi"/>
          <w:b/>
          <w:sz w:val="21"/>
          <w:szCs w:val="21"/>
        </w:rPr>
        <w:t xml:space="preserve"> MUNICIPAL DE SAÚDE.  </w:t>
      </w:r>
    </w:p>
    <w:p w14:paraId="0FC13572">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OBJETO: </w:t>
      </w:r>
      <w:r>
        <w:rPr>
          <w:rFonts w:asciiTheme="minorHAnsi" w:hAnsiTheme="minorHAnsi" w:cstheme="minorHAnsi"/>
          <w:b/>
          <w:bCs/>
          <w:sz w:val="21"/>
          <w:szCs w:val="21"/>
          <w:shd w:val="clear" w:color="auto" w:fill="FFFFFF"/>
        </w:rPr>
        <w:t>REGISTRO DE PREÇOS PARA AQUISIÇÃO DE ITENS DERMOCOSMÉTICOS PARA ATENDIMENTO DE DEMANDA DE PACIENTES ORIUNDOS DE ORDENS JUDICIAIS POR PERÍODO ESTIMADO DE 12 MESES.</w:t>
      </w:r>
    </w:p>
    <w:p w14:paraId="5EC495AE">
      <w:pPr>
        <w:widowControl w:val="0"/>
        <w:tabs>
          <w:tab w:val="left" w:pos="708"/>
          <w:tab w:val="left" w:pos="1416"/>
          <w:tab w:val="left" w:pos="2124"/>
          <w:tab w:val="left" w:pos="2832"/>
          <w:tab w:val="left" w:pos="3540"/>
          <w:tab w:val="left" w:pos="4248"/>
          <w:tab w:val="left" w:pos="9045"/>
        </w:tabs>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VALOR TOTAL ESTIMADO: </w:t>
      </w:r>
      <w:r>
        <w:rPr>
          <w:rFonts w:asciiTheme="minorHAnsi" w:hAnsiTheme="minorHAnsi" w:cstheme="minorHAnsi"/>
          <w:b/>
          <w:bCs/>
          <w:sz w:val="21"/>
          <w:szCs w:val="21"/>
        </w:rPr>
        <w:t xml:space="preserve">R$ 26.576,93 ( vinte e seis mil quinhentos e setenta e seis reais e noventa e três centavos). </w:t>
      </w:r>
    </w:p>
    <w:p w14:paraId="707612F1">
      <w:pPr>
        <w:spacing w:line="360" w:lineRule="auto"/>
        <w:jc w:val="both"/>
        <w:rPr>
          <w:rFonts w:asciiTheme="minorHAnsi" w:hAnsiTheme="minorHAnsi" w:cstheme="minorHAnsi"/>
          <w:b/>
          <w:caps/>
          <w:sz w:val="21"/>
          <w:szCs w:val="21"/>
        </w:rPr>
      </w:pPr>
      <w:r>
        <w:rPr>
          <w:rFonts w:asciiTheme="minorHAnsi" w:hAnsiTheme="minorHAnsi" w:cstheme="minorHAnsi"/>
          <w:b/>
          <w:sz w:val="21"/>
          <w:szCs w:val="21"/>
        </w:rPr>
        <w:t xml:space="preserve">TIPO: MENOR PREÇO POR ITEM. </w:t>
      </w:r>
    </w:p>
    <w:p w14:paraId="33E1963A">
      <w:pPr>
        <w:pStyle w:val="19"/>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MODO DE DISPUTA: ABERTO; </w:t>
      </w:r>
    </w:p>
    <w:p w14:paraId="36909BED">
      <w:pPr>
        <w:pStyle w:val="19"/>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PREFERÊNCIA ME/EPP/EQUIPARADAS: SIM, COTA RESERVADA </w:t>
      </w:r>
    </w:p>
    <w:p w14:paraId="004B1DCA">
      <w:pPr>
        <w:pStyle w:val="19"/>
        <w:spacing w:line="360" w:lineRule="auto"/>
        <w:jc w:val="both"/>
        <w:rPr>
          <w:rFonts w:asciiTheme="minorHAnsi" w:hAnsiTheme="minorHAnsi" w:cstheme="minorHAnsi"/>
          <w:b/>
          <w:color w:val="auto"/>
          <w:sz w:val="21"/>
          <w:szCs w:val="21"/>
        </w:rPr>
      </w:pPr>
      <w:r>
        <w:rPr>
          <w:rFonts w:asciiTheme="minorHAnsi" w:hAnsiTheme="minorHAnsi" w:cstheme="minorHAnsi"/>
          <w:b/>
          <w:color w:val="auto"/>
          <w:sz w:val="21"/>
          <w:szCs w:val="21"/>
        </w:rPr>
        <w:t xml:space="preserve">VALIDADE DA PROPOSTA: 60 DIAS. </w:t>
      </w:r>
    </w:p>
    <w:p w14:paraId="44D855F0">
      <w:pPr>
        <w:jc w:val="center"/>
        <w:rPr>
          <w:rFonts w:asciiTheme="minorHAnsi" w:hAnsiTheme="minorHAnsi" w:eastAsiaTheme="minorEastAsia" w:cstheme="minorHAnsi"/>
          <w:b/>
          <w:bCs/>
          <w:sz w:val="22"/>
          <w:szCs w:val="22"/>
        </w:rPr>
      </w:pPr>
    </w:p>
    <w:p w14:paraId="575D71DE">
      <w:pPr>
        <w:pBdr>
          <w:top w:val="single" w:color="auto" w:sz="4" w:space="1"/>
          <w:left w:val="single" w:color="auto" w:sz="4" w:space="0"/>
          <w:bottom w:val="single" w:color="auto" w:sz="4" w:space="1"/>
          <w:right w:val="single" w:color="auto" w:sz="4" w:space="4"/>
        </w:pBdr>
        <w:autoSpaceDE w:val="0"/>
        <w:autoSpaceDN w:val="0"/>
        <w:adjustRightInd w:val="0"/>
        <w:spacing w:line="360" w:lineRule="auto"/>
        <w:jc w:val="both"/>
        <w:rPr>
          <w:rFonts w:asciiTheme="minorHAnsi" w:hAnsiTheme="minorHAnsi" w:cstheme="minorHAnsi"/>
          <w:b/>
          <w:bCs/>
          <w:sz w:val="21"/>
          <w:szCs w:val="21"/>
        </w:rPr>
      </w:pPr>
      <w:r>
        <w:rPr>
          <w:rFonts w:asciiTheme="minorHAnsi" w:hAnsiTheme="minorHAnsi" w:cstheme="minorHAnsi"/>
          <w:b/>
          <w:bCs/>
          <w:sz w:val="21"/>
          <w:szCs w:val="21"/>
        </w:rPr>
        <w:t>CADASTRAMENTO, ABERTURA E INÍCIO DA SESSÃO DE DISPUTA DE PREÇOS:</w:t>
      </w:r>
    </w:p>
    <w:p w14:paraId="36E633BB">
      <w:pPr>
        <w:pStyle w:val="44"/>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INÍCIO DE RECEBIMENTO DE PROPOSTAS</w:t>
      </w:r>
      <w:r>
        <w:rPr>
          <w:rFonts w:asciiTheme="minorHAnsi" w:hAnsiTheme="minorHAnsi" w:cstheme="minorHAnsi"/>
          <w:b/>
          <w:sz w:val="21"/>
          <w:szCs w:val="21"/>
        </w:rPr>
        <w:t xml:space="preserve">: </w:t>
      </w:r>
      <w:r>
        <w:rPr>
          <w:rFonts w:asciiTheme="minorHAnsi" w:hAnsiTheme="minorHAnsi" w:cstheme="minorHAnsi"/>
          <w:b/>
          <w:color w:val="FF0000"/>
          <w:sz w:val="21"/>
          <w:szCs w:val="21"/>
        </w:rPr>
        <w:t>16/08/2024  – Horas 09:00:00</w:t>
      </w:r>
    </w:p>
    <w:p w14:paraId="385B5DDB">
      <w:pPr>
        <w:pStyle w:val="44"/>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RECEBIMENTO DE PROPOSTAS ATÉ</w:t>
      </w:r>
      <w:r>
        <w:rPr>
          <w:rFonts w:asciiTheme="minorHAnsi" w:hAnsiTheme="minorHAnsi" w:cstheme="minorHAnsi"/>
          <w:b/>
          <w:sz w:val="21"/>
          <w:szCs w:val="21"/>
        </w:rPr>
        <w:t xml:space="preserve">: </w:t>
      </w:r>
      <w:r>
        <w:rPr>
          <w:rFonts w:asciiTheme="minorHAnsi" w:hAnsiTheme="minorHAnsi" w:cstheme="minorHAnsi"/>
          <w:b/>
          <w:color w:val="FF0000"/>
          <w:sz w:val="21"/>
          <w:szCs w:val="21"/>
        </w:rPr>
        <w:t>03/09/2024  – Horas 08:50:00</w:t>
      </w:r>
    </w:p>
    <w:p w14:paraId="242C7AFE">
      <w:pPr>
        <w:pStyle w:val="44"/>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ABERTURA/ANÁLISE DAS PROPOSTAS</w:t>
      </w:r>
      <w:r>
        <w:rPr>
          <w:rFonts w:asciiTheme="minorHAnsi" w:hAnsiTheme="minorHAnsi" w:cstheme="minorHAnsi"/>
          <w:b/>
          <w:sz w:val="21"/>
          <w:szCs w:val="21"/>
        </w:rPr>
        <w:t xml:space="preserve">: </w:t>
      </w:r>
      <w:r>
        <w:rPr>
          <w:rFonts w:asciiTheme="minorHAnsi" w:hAnsiTheme="minorHAnsi" w:cstheme="minorHAnsi"/>
          <w:b/>
          <w:color w:val="FF0000"/>
          <w:sz w:val="21"/>
          <w:szCs w:val="21"/>
        </w:rPr>
        <w:t xml:space="preserve">03/09/2024  – Horas 09:00:00 </w:t>
      </w:r>
    </w:p>
    <w:p w14:paraId="59773358">
      <w:pPr>
        <w:pStyle w:val="44"/>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color w:val="FF0000"/>
          <w:sz w:val="21"/>
          <w:szCs w:val="21"/>
        </w:rPr>
      </w:pPr>
      <w:r>
        <w:rPr>
          <w:rFonts w:asciiTheme="minorHAnsi" w:hAnsiTheme="minorHAnsi" w:cstheme="minorHAnsi"/>
          <w:b/>
          <w:sz w:val="21"/>
          <w:szCs w:val="21"/>
          <w:u w:val="single"/>
        </w:rPr>
        <w:t>INÍCIO DOS LANCES</w:t>
      </w:r>
      <w:r>
        <w:rPr>
          <w:rFonts w:asciiTheme="minorHAnsi" w:hAnsiTheme="minorHAnsi" w:cstheme="minorHAnsi"/>
          <w:b/>
          <w:sz w:val="21"/>
          <w:szCs w:val="21"/>
        </w:rPr>
        <w:t xml:space="preserve">: </w:t>
      </w:r>
      <w:r>
        <w:rPr>
          <w:rFonts w:asciiTheme="minorHAnsi" w:hAnsiTheme="minorHAnsi" w:cstheme="minorHAnsi"/>
          <w:b/>
          <w:color w:val="FF0000"/>
          <w:sz w:val="21"/>
          <w:szCs w:val="21"/>
        </w:rPr>
        <w:t xml:space="preserve">03/09/2024  – Horas 09:02:00 </w:t>
      </w:r>
    </w:p>
    <w:p w14:paraId="4CF9A556">
      <w:pPr>
        <w:pStyle w:val="44"/>
        <w:pBdr>
          <w:top w:val="single" w:color="auto" w:sz="4" w:space="1"/>
          <w:left w:val="single" w:color="auto" w:sz="4" w:space="0"/>
          <w:bottom w:val="single" w:color="auto" w:sz="4" w:space="1"/>
          <w:right w:val="single" w:color="auto" w:sz="4" w:space="4"/>
        </w:pBdr>
        <w:spacing w:before="0" w:after="0" w:line="360" w:lineRule="auto"/>
        <w:jc w:val="both"/>
        <w:rPr>
          <w:rFonts w:asciiTheme="minorHAnsi" w:hAnsiTheme="minorHAnsi" w:cstheme="minorHAnsi"/>
          <w:b/>
          <w:sz w:val="21"/>
          <w:szCs w:val="21"/>
          <w:u w:val="single"/>
        </w:rPr>
      </w:pPr>
      <w:r>
        <w:rPr>
          <w:rFonts w:asciiTheme="minorHAnsi" w:hAnsiTheme="minorHAnsi" w:cstheme="minorHAnsi"/>
          <w:b/>
          <w:sz w:val="21"/>
          <w:szCs w:val="21"/>
          <w:u w:val="single"/>
        </w:rPr>
        <w:t xml:space="preserve">SISTEMA: PLATAFORMA BBMNET – </w:t>
      </w:r>
      <w:r>
        <w:fldChar w:fldCharType="begin"/>
      </w:r>
      <w:r>
        <w:instrText xml:space="preserve"> HYPERLINK "http://www.bbmnetlicitacoes.com.br" </w:instrText>
      </w:r>
      <w:r>
        <w:fldChar w:fldCharType="separate"/>
      </w:r>
      <w:r>
        <w:rPr>
          <w:rStyle w:val="6"/>
          <w:rFonts w:asciiTheme="minorHAnsi" w:hAnsiTheme="minorHAnsi" w:cstheme="minorHAnsi"/>
          <w:b/>
          <w:sz w:val="21"/>
          <w:szCs w:val="21"/>
        </w:rPr>
        <w:t>www.bbmnetlicitacoes.com.br</w:t>
      </w:r>
      <w:r>
        <w:rPr>
          <w:rStyle w:val="6"/>
          <w:rFonts w:asciiTheme="minorHAnsi" w:hAnsiTheme="minorHAnsi" w:cstheme="minorHAnsi"/>
          <w:b/>
          <w:sz w:val="21"/>
          <w:szCs w:val="21"/>
        </w:rPr>
        <w:fldChar w:fldCharType="end"/>
      </w:r>
      <w:r>
        <w:rPr>
          <w:rFonts w:asciiTheme="minorHAnsi" w:hAnsiTheme="minorHAnsi" w:cstheme="minorHAnsi"/>
          <w:b/>
          <w:sz w:val="21"/>
          <w:szCs w:val="21"/>
          <w:u w:val="single"/>
        </w:rPr>
        <w:t xml:space="preserve"> </w:t>
      </w:r>
    </w:p>
    <w:p w14:paraId="2048C370">
      <w:pPr>
        <w:pStyle w:val="44"/>
        <w:pBdr>
          <w:top w:val="single" w:color="auto" w:sz="4" w:space="1"/>
          <w:left w:val="single" w:color="auto" w:sz="4" w:space="0"/>
          <w:bottom w:val="single" w:color="auto" w:sz="4" w:space="1"/>
          <w:right w:val="single" w:color="auto" w:sz="4" w:space="4"/>
        </w:pBdr>
        <w:spacing w:line="360" w:lineRule="auto"/>
        <w:jc w:val="both"/>
        <w:rPr>
          <w:rFonts w:asciiTheme="minorHAnsi" w:hAnsiTheme="minorHAnsi" w:cstheme="minorHAnsi"/>
          <w:sz w:val="21"/>
          <w:szCs w:val="21"/>
          <w:u w:val="single"/>
        </w:rPr>
      </w:pPr>
      <w:r>
        <w:rPr>
          <w:rFonts w:asciiTheme="minorHAnsi" w:hAnsiTheme="minorHAnsi" w:cstheme="minorHAnsi"/>
          <w:b/>
          <w:sz w:val="21"/>
          <w:szCs w:val="21"/>
          <w:u w:val="single"/>
        </w:rPr>
        <w:t xml:space="preserve">REFERÊNCIA DE TEMPO: </w:t>
      </w:r>
      <w:r>
        <w:rPr>
          <w:rFonts w:asciiTheme="minorHAnsi" w:hAnsiTheme="minorHAnsi" w:cstheme="minorHAnsi"/>
          <w:sz w:val="21"/>
          <w:szCs w:val="21"/>
          <w:u w:val="single"/>
        </w:rPr>
        <w:t>Para todas as referências de tempo será observado o horário de Brasília /DF e, dessa forma, serão registradas no sistema eletrônico e na documentação relativa ao certame.</w:t>
      </w:r>
    </w:p>
    <w:p w14:paraId="6A268B51">
      <w:pPr>
        <w:jc w:val="center"/>
        <w:rPr>
          <w:rFonts w:asciiTheme="minorHAnsi" w:hAnsiTheme="minorHAnsi" w:eastAsiaTheme="minorEastAsia" w:cstheme="minorHAnsi"/>
          <w:b/>
          <w:bCs/>
          <w:sz w:val="22"/>
          <w:szCs w:val="22"/>
        </w:rPr>
      </w:pPr>
    </w:p>
    <w:p w14:paraId="2DDCA8DF">
      <w:pPr>
        <w:jc w:val="center"/>
        <w:rPr>
          <w:rFonts w:asciiTheme="minorHAnsi" w:hAnsiTheme="minorHAnsi" w:eastAsiaTheme="minorEastAsia" w:cstheme="minorHAnsi"/>
          <w:b/>
          <w:bCs/>
          <w:sz w:val="22"/>
          <w:szCs w:val="22"/>
        </w:rPr>
      </w:pPr>
    </w:p>
    <w:p w14:paraId="1A6AA3BC">
      <w:pPr>
        <w:jc w:val="center"/>
        <w:rPr>
          <w:rFonts w:asciiTheme="minorHAnsi" w:hAnsiTheme="minorHAnsi" w:eastAsiaTheme="minorEastAsia" w:cstheme="minorHAnsi"/>
          <w:b/>
          <w:bCs/>
          <w:sz w:val="22"/>
          <w:szCs w:val="22"/>
        </w:rPr>
      </w:pPr>
    </w:p>
    <w:p w14:paraId="1F3FBAD4">
      <w:pPr>
        <w:jc w:val="center"/>
        <w:rPr>
          <w:rFonts w:asciiTheme="minorHAnsi" w:hAnsiTheme="minorHAnsi" w:eastAsiaTheme="minorEastAsia" w:cstheme="minorHAnsi"/>
          <w:b/>
          <w:bCs/>
          <w:sz w:val="22"/>
          <w:szCs w:val="22"/>
        </w:rPr>
      </w:pPr>
    </w:p>
    <w:p w14:paraId="716C3EAE">
      <w:pPr>
        <w:jc w:val="center"/>
        <w:rPr>
          <w:rFonts w:asciiTheme="minorHAnsi" w:hAnsiTheme="minorHAnsi" w:eastAsiaTheme="minorEastAsia" w:cstheme="minorHAnsi"/>
          <w:b/>
          <w:bCs/>
          <w:sz w:val="22"/>
          <w:szCs w:val="22"/>
        </w:rPr>
      </w:pPr>
    </w:p>
    <w:p w14:paraId="7F61C390">
      <w:pPr>
        <w:jc w:val="center"/>
        <w:rPr>
          <w:rFonts w:asciiTheme="minorHAnsi" w:hAnsiTheme="minorHAnsi" w:eastAsiaTheme="minorEastAsia" w:cstheme="minorHAnsi"/>
          <w:b/>
          <w:bCs/>
          <w:sz w:val="22"/>
          <w:szCs w:val="22"/>
        </w:rPr>
      </w:pPr>
    </w:p>
    <w:p w14:paraId="432E3DA2">
      <w:pPr>
        <w:jc w:val="center"/>
        <w:rPr>
          <w:rFonts w:asciiTheme="minorHAnsi" w:hAnsiTheme="minorHAnsi" w:eastAsiaTheme="minorEastAsia" w:cstheme="minorHAnsi"/>
          <w:b/>
          <w:bCs/>
          <w:sz w:val="22"/>
          <w:szCs w:val="22"/>
        </w:rPr>
      </w:pPr>
    </w:p>
    <w:p w14:paraId="5F89FF2B">
      <w:pPr>
        <w:jc w:val="center"/>
        <w:rPr>
          <w:rFonts w:asciiTheme="minorHAnsi" w:hAnsiTheme="minorHAnsi" w:eastAsiaTheme="minorEastAsia" w:cstheme="minorHAnsi"/>
          <w:b/>
          <w:bCs/>
          <w:sz w:val="22"/>
          <w:szCs w:val="22"/>
        </w:rPr>
      </w:pPr>
    </w:p>
    <w:p w14:paraId="788DA09B">
      <w:pPr>
        <w:jc w:val="center"/>
        <w:rPr>
          <w:rFonts w:asciiTheme="minorHAnsi" w:hAnsiTheme="minorHAnsi" w:eastAsiaTheme="minorEastAsia" w:cstheme="minorHAnsi"/>
          <w:b/>
          <w:bCs/>
          <w:sz w:val="22"/>
          <w:szCs w:val="22"/>
        </w:rPr>
      </w:pPr>
    </w:p>
    <w:p w14:paraId="6F54B89B">
      <w:pPr>
        <w:jc w:val="center"/>
        <w:rPr>
          <w:rFonts w:asciiTheme="minorHAnsi" w:hAnsiTheme="minorHAnsi" w:eastAsiaTheme="minorEastAsia" w:cstheme="minorHAnsi"/>
          <w:b/>
          <w:bCs/>
          <w:sz w:val="22"/>
          <w:szCs w:val="22"/>
        </w:rPr>
      </w:pPr>
    </w:p>
    <w:p w14:paraId="1EBC16A5">
      <w:pPr>
        <w:jc w:val="center"/>
        <w:rPr>
          <w:rFonts w:asciiTheme="minorHAnsi" w:hAnsiTheme="minorHAnsi" w:eastAsiaTheme="minorEastAsia" w:cstheme="minorHAnsi"/>
          <w:b/>
          <w:bCs/>
          <w:sz w:val="28"/>
          <w:szCs w:val="28"/>
        </w:rPr>
      </w:pPr>
      <w:r>
        <w:rPr>
          <w:rFonts w:asciiTheme="minorHAnsi" w:hAnsiTheme="minorHAnsi" w:eastAsiaTheme="minorEastAsia" w:cstheme="minorHAnsi"/>
          <w:b/>
          <w:bCs/>
          <w:sz w:val="28"/>
          <w:szCs w:val="28"/>
        </w:rPr>
        <w:t>SUMÁRIO</w:t>
      </w:r>
    </w:p>
    <w:p w14:paraId="5296B08E">
      <w:pPr>
        <w:jc w:val="center"/>
        <w:rPr>
          <w:rFonts w:asciiTheme="minorHAnsi" w:hAnsiTheme="minorHAnsi" w:eastAsiaTheme="minorEastAsia" w:cstheme="minorHAnsi"/>
          <w:b/>
          <w:bCs/>
          <w:sz w:val="22"/>
          <w:szCs w:val="22"/>
        </w:rPr>
      </w:pPr>
    </w:p>
    <w:sdt>
      <w:sdtPr>
        <w:rPr>
          <w:rFonts w:ascii="Times New Roman" w:hAnsi="Times New Roman" w:eastAsia="Times New Roman" w:cs="Times New Roman"/>
          <w:color w:val="auto"/>
          <w:sz w:val="24"/>
          <w:szCs w:val="20"/>
        </w:rPr>
        <w:id w:val="-1958400002"/>
        <w:docPartObj>
          <w:docPartGallery w:val="Table of Contents"/>
          <w:docPartUnique/>
        </w:docPartObj>
      </w:sdtPr>
      <w:sdtEndPr>
        <w:rPr>
          <w:rFonts w:eastAsia="Times New Roman" w:asciiTheme="minorHAnsi" w:hAnsiTheme="minorHAnsi" w:cstheme="minorHAnsi"/>
          <w:color w:val="auto"/>
          <w:sz w:val="20"/>
          <w:szCs w:val="20"/>
        </w:rPr>
      </w:sdtEndPr>
      <w:sdtContent>
        <w:p w14:paraId="718F6BD2">
          <w:pPr>
            <w:pStyle w:val="20"/>
            <w:numPr>
              <w:ilvl w:val="0"/>
              <w:numId w:val="3"/>
            </w:numPr>
            <w:spacing w:before="0" w:line="360" w:lineRule="auto"/>
            <w:ind w:left="714" w:hanging="357"/>
            <w:rPr>
              <w:rFonts w:asciiTheme="minorHAnsi" w:hAnsiTheme="minorHAnsi" w:cstheme="minorHAnsi"/>
              <w:color w:val="auto"/>
              <w:sz w:val="20"/>
              <w:szCs w:val="20"/>
            </w:rPr>
          </w:pPr>
          <w:r>
            <w:rPr>
              <w:rFonts w:asciiTheme="minorHAnsi" w:hAnsiTheme="minorHAnsi" w:cstheme="minorHAnsi"/>
              <w:color w:val="auto"/>
              <w:sz w:val="20"/>
              <w:szCs w:val="20"/>
            </w:rPr>
            <w:t>PREÂMBULO</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3</w:t>
          </w:r>
        </w:p>
        <w:p w14:paraId="26284C1B">
          <w:pPr>
            <w:pStyle w:val="7"/>
            <w:numPr>
              <w:ilvl w:val="0"/>
              <w:numId w:val="3"/>
            </w:numPr>
            <w:spacing w:after="0" w:line="360" w:lineRule="auto"/>
            <w:ind w:left="714" w:hanging="357"/>
            <w:rPr>
              <w:rFonts w:cstheme="minorHAnsi"/>
              <w:sz w:val="20"/>
              <w:szCs w:val="20"/>
            </w:rPr>
          </w:pPr>
          <w:r>
            <w:rPr>
              <w:rFonts w:cstheme="minorHAnsi"/>
              <w:sz w:val="20"/>
              <w:szCs w:val="20"/>
            </w:rPr>
            <w:t>DO OBJETO</w:t>
          </w:r>
          <w:r>
            <w:rPr>
              <w:rFonts w:cstheme="minorHAnsi"/>
              <w:sz w:val="20"/>
              <w:szCs w:val="20"/>
            </w:rPr>
            <w:ptab w:relativeTo="margin" w:alignment="right" w:leader="dot"/>
          </w:r>
          <w:r>
            <w:rPr>
              <w:rFonts w:cstheme="minorHAnsi"/>
              <w:sz w:val="20"/>
              <w:szCs w:val="20"/>
            </w:rPr>
            <w:t>3</w:t>
          </w:r>
        </w:p>
        <w:p w14:paraId="72FC622D">
          <w:pPr>
            <w:pStyle w:val="12"/>
            <w:numPr>
              <w:ilvl w:val="0"/>
              <w:numId w:val="3"/>
            </w:numPr>
            <w:spacing w:after="0" w:line="360" w:lineRule="auto"/>
            <w:ind w:left="714" w:hanging="357"/>
            <w:rPr>
              <w:rFonts w:cstheme="minorHAnsi"/>
              <w:sz w:val="20"/>
              <w:szCs w:val="20"/>
            </w:rPr>
          </w:pPr>
          <w:r>
            <w:rPr>
              <w:rFonts w:cstheme="minorHAnsi"/>
              <w:sz w:val="20"/>
              <w:szCs w:val="20"/>
            </w:rPr>
            <w:t>DO REGISTRO DE PREÇOS</w:t>
          </w:r>
          <w:r>
            <w:rPr>
              <w:rFonts w:cstheme="minorHAnsi"/>
              <w:sz w:val="20"/>
              <w:szCs w:val="20"/>
            </w:rPr>
            <w:ptab w:relativeTo="margin" w:alignment="right" w:leader="dot"/>
          </w:r>
          <w:r>
            <w:rPr>
              <w:rFonts w:cstheme="minorHAnsi"/>
              <w:sz w:val="20"/>
              <w:szCs w:val="20"/>
            </w:rPr>
            <w:t>3</w:t>
          </w:r>
        </w:p>
        <w:p w14:paraId="574F454B">
          <w:pPr>
            <w:pStyle w:val="13"/>
            <w:numPr>
              <w:ilvl w:val="0"/>
              <w:numId w:val="3"/>
            </w:numPr>
            <w:spacing w:after="0" w:line="360" w:lineRule="auto"/>
            <w:ind w:left="714" w:hanging="357"/>
            <w:rPr>
              <w:rFonts w:asciiTheme="minorHAnsi" w:hAnsiTheme="minorHAnsi" w:cstheme="minorHAnsi"/>
              <w:szCs w:val="20"/>
            </w:rPr>
          </w:pPr>
          <w:r>
            <w:rPr>
              <w:rFonts w:asciiTheme="minorHAnsi" w:hAnsiTheme="minorHAnsi" w:cstheme="minorHAnsi"/>
              <w:szCs w:val="20"/>
            </w:rPr>
            <w:t>DA PARTICIPAÇÃO NA LICITAÇÃO</w:t>
          </w:r>
          <w:r>
            <w:rPr>
              <w:rFonts w:asciiTheme="minorHAnsi" w:hAnsiTheme="minorHAnsi" w:cstheme="minorHAnsi"/>
              <w:szCs w:val="20"/>
            </w:rPr>
            <w:ptab w:relativeTo="margin" w:alignment="right" w:leader="dot"/>
          </w:r>
          <w:r>
            <w:rPr>
              <w:rFonts w:asciiTheme="minorHAnsi" w:hAnsiTheme="minorHAnsi" w:cstheme="minorHAnsi"/>
              <w:szCs w:val="20"/>
            </w:rPr>
            <w:t>3</w:t>
          </w:r>
        </w:p>
        <w:p w14:paraId="17222C49">
          <w:pPr>
            <w:pStyle w:val="7"/>
            <w:numPr>
              <w:ilvl w:val="0"/>
              <w:numId w:val="3"/>
            </w:numPr>
            <w:spacing w:after="0" w:line="360" w:lineRule="auto"/>
            <w:ind w:left="714" w:hanging="357"/>
            <w:rPr>
              <w:rFonts w:cstheme="minorHAnsi"/>
              <w:sz w:val="20"/>
              <w:szCs w:val="20"/>
            </w:rPr>
          </w:pPr>
          <w:r>
            <w:rPr>
              <w:rFonts w:cstheme="minorHAnsi"/>
              <w:sz w:val="20"/>
              <w:szCs w:val="20"/>
            </w:rPr>
            <w:t xml:space="preserve">DA APRESENTAÇÃO DA PROPOSTA E DOS DOCUMENTOS DE HABILITAÇÃO </w:t>
          </w:r>
          <w:r>
            <w:rPr>
              <w:rFonts w:cstheme="minorHAnsi"/>
              <w:sz w:val="20"/>
              <w:szCs w:val="20"/>
            </w:rPr>
            <w:ptab w:relativeTo="margin" w:alignment="right" w:leader="dot"/>
          </w:r>
          <w:r>
            <w:rPr>
              <w:rFonts w:cstheme="minorHAnsi"/>
              <w:sz w:val="20"/>
              <w:szCs w:val="20"/>
            </w:rPr>
            <w:t>6</w:t>
          </w:r>
        </w:p>
        <w:p w14:paraId="31A11DA2">
          <w:pPr>
            <w:pStyle w:val="12"/>
            <w:numPr>
              <w:ilvl w:val="0"/>
              <w:numId w:val="3"/>
            </w:numPr>
            <w:spacing w:after="0" w:line="360" w:lineRule="auto"/>
            <w:ind w:left="714" w:hanging="357"/>
            <w:rPr>
              <w:rFonts w:cstheme="minorHAnsi"/>
              <w:sz w:val="20"/>
              <w:szCs w:val="20"/>
            </w:rPr>
          </w:pPr>
          <w:r>
            <w:rPr>
              <w:rFonts w:cstheme="minorHAnsi"/>
              <w:sz w:val="20"/>
              <w:szCs w:val="20"/>
            </w:rPr>
            <w:t xml:space="preserve">DO PREENCHIMENTO DA PROPOSTA </w:t>
          </w:r>
          <w:r>
            <w:rPr>
              <w:rFonts w:cstheme="minorHAnsi"/>
              <w:sz w:val="20"/>
              <w:szCs w:val="20"/>
            </w:rPr>
            <w:ptab w:relativeTo="margin" w:alignment="right" w:leader="dot"/>
          </w:r>
          <w:r>
            <w:rPr>
              <w:rFonts w:cstheme="minorHAnsi"/>
              <w:sz w:val="20"/>
              <w:szCs w:val="20"/>
            </w:rPr>
            <w:t>7</w:t>
          </w:r>
        </w:p>
        <w:p w14:paraId="32B8B0BC">
          <w:pPr>
            <w:pStyle w:val="12"/>
            <w:numPr>
              <w:ilvl w:val="0"/>
              <w:numId w:val="3"/>
            </w:numPr>
            <w:spacing w:after="0" w:line="360" w:lineRule="auto"/>
            <w:ind w:left="714" w:hanging="357"/>
            <w:rPr>
              <w:rFonts w:cstheme="minorHAnsi"/>
              <w:sz w:val="20"/>
              <w:szCs w:val="20"/>
            </w:rPr>
          </w:pPr>
          <w:r>
            <w:rPr>
              <w:rFonts w:cstheme="minorHAnsi"/>
              <w:sz w:val="20"/>
              <w:szCs w:val="20"/>
            </w:rPr>
            <w:t xml:space="preserve">DA ABERTURA DA SESSÃO, CLASSIFICAÇÃO DAS PROPOSTAS E FORMULAÇÃO DE LANCES </w:t>
          </w:r>
          <w:r>
            <w:rPr>
              <w:rFonts w:cstheme="minorHAnsi"/>
              <w:sz w:val="20"/>
              <w:szCs w:val="20"/>
            </w:rPr>
            <w:ptab w:relativeTo="margin" w:alignment="right" w:leader="dot"/>
          </w:r>
          <w:r>
            <w:rPr>
              <w:rFonts w:cstheme="minorHAnsi"/>
              <w:sz w:val="20"/>
              <w:szCs w:val="20"/>
            </w:rPr>
            <w:t>9</w:t>
          </w:r>
        </w:p>
        <w:p w14:paraId="1114E210">
          <w:pPr>
            <w:pStyle w:val="19"/>
            <w:numPr>
              <w:ilvl w:val="0"/>
              <w:numId w:val="3"/>
            </w:numPr>
            <w:spacing w:line="360" w:lineRule="auto"/>
            <w:ind w:left="714" w:hanging="357"/>
            <w:jc w:val="both"/>
            <w:rPr>
              <w:rFonts w:asciiTheme="minorHAnsi" w:hAnsiTheme="minorHAnsi" w:cstheme="minorHAnsi"/>
              <w:color w:val="auto"/>
              <w:sz w:val="20"/>
              <w:szCs w:val="20"/>
            </w:rPr>
          </w:pPr>
          <w:r>
            <w:rPr>
              <w:rFonts w:asciiTheme="minorHAnsi" w:hAnsiTheme="minorHAnsi" w:cstheme="minorHAnsi"/>
              <w:color w:val="auto"/>
              <w:sz w:val="20"/>
              <w:szCs w:val="20"/>
            </w:rPr>
            <w:t>DA AMOSTRA</w:t>
          </w:r>
          <w:r>
            <w:rPr>
              <w:rFonts w:asciiTheme="minorHAnsi" w:hAnsiTheme="minorHAnsi" w:cstheme="minorHAnsi"/>
              <w:color w:val="auto"/>
              <w:sz w:val="20"/>
              <w:szCs w:val="20"/>
            </w:rPr>
            <w:ptab w:relativeTo="margin" w:alignment="right" w:leader="dot"/>
          </w:r>
          <w:r>
            <w:rPr>
              <w:rFonts w:asciiTheme="minorHAnsi" w:hAnsiTheme="minorHAnsi" w:cstheme="minorHAnsi"/>
              <w:color w:val="auto"/>
              <w:sz w:val="20"/>
              <w:szCs w:val="20"/>
            </w:rPr>
            <w:t>13</w:t>
          </w:r>
        </w:p>
        <w:p w14:paraId="55CDCB29">
          <w:pPr>
            <w:pStyle w:val="12"/>
            <w:numPr>
              <w:ilvl w:val="0"/>
              <w:numId w:val="3"/>
            </w:numPr>
            <w:spacing w:after="0" w:line="360" w:lineRule="auto"/>
            <w:ind w:left="714" w:hanging="357"/>
            <w:rPr>
              <w:rFonts w:cstheme="minorHAnsi"/>
              <w:sz w:val="20"/>
              <w:szCs w:val="20"/>
            </w:rPr>
          </w:pPr>
          <w:r>
            <w:rPr>
              <w:rFonts w:cstheme="minorHAnsi"/>
              <w:sz w:val="20"/>
              <w:szCs w:val="20"/>
            </w:rPr>
            <w:t xml:space="preserve">DA FASE DE HABILITAÇÃO </w:t>
          </w:r>
          <w:r>
            <w:rPr>
              <w:rFonts w:cstheme="minorHAnsi"/>
              <w:sz w:val="20"/>
              <w:szCs w:val="20"/>
            </w:rPr>
            <w:ptab w:relativeTo="margin" w:alignment="right" w:leader="dot"/>
          </w:r>
          <w:r>
            <w:rPr>
              <w:rFonts w:cstheme="minorHAnsi"/>
              <w:sz w:val="20"/>
              <w:szCs w:val="20"/>
            </w:rPr>
            <w:t>13</w:t>
          </w:r>
        </w:p>
        <w:p w14:paraId="5378D550">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ATA DE REGISTRO DE PREÇOS</w:t>
          </w:r>
          <w:r>
            <w:rPr>
              <w:rFonts w:asciiTheme="minorHAnsi" w:hAnsiTheme="minorHAnsi" w:cstheme="minorHAnsi"/>
              <w:sz w:val="20"/>
            </w:rPr>
            <w:ptab w:relativeTo="margin" w:alignment="right" w:leader="dot"/>
          </w:r>
          <w:r>
            <w:rPr>
              <w:rFonts w:asciiTheme="minorHAnsi" w:hAnsiTheme="minorHAnsi" w:cstheme="minorHAnsi"/>
              <w:sz w:val="20"/>
            </w:rPr>
            <w:t>18</w:t>
          </w:r>
        </w:p>
        <w:p w14:paraId="6988B1CA">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 CADASTRO DE RESERVA</w:t>
          </w:r>
          <w:r>
            <w:rPr>
              <w:rFonts w:asciiTheme="minorHAnsi" w:hAnsiTheme="minorHAnsi" w:cstheme="minorHAnsi"/>
              <w:sz w:val="20"/>
            </w:rPr>
            <w:ptab w:relativeTo="margin" w:alignment="right" w:leader="dot"/>
          </w:r>
          <w:r>
            <w:rPr>
              <w:rFonts w:asciiTheme="minorHAnsi" w:hAnsiTheme="minorHAnsi" w:cstheme="minorHAnsi"/>
              <w:sz w:val="20"/>
            </w:rPr>
            <w:t>18</w:t>
          </w:r>
        </w:p>
        <w:p w14:paraId="509E433F">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DOS RECURSOS</w:t>
          </w:r>
          <w:r>
            <w:rPr>
              <w:rFonts w:asciiTheme="minorHAnsi" w:hAnsiTheme="minorHAnsi" w:cstheme="minorHAnsi"/>
              <w:sz w:val="20"/>
            </w:rPr>
            <w:ptab w:relativeTo="margin" w:alignment="right" w:leader="dot"/>
          </w:r>
          <w:r>
            <w:rPr>
              <w:rFonts w:asciiTheme="minorHAnsi" w:hAnsiTheme="minorHAnsi" w:cstheme="minorHAnsi"/>
              <w:sz w:val="20"/>
            </w:rPr>
            <w:t>19</w:t>
          </w:r>
        </w:p>
        <w:p w14:paraId="484F87FC">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INFRAÇÕES ADMINISTRATIVAS E SANÇÕES</w:t>
          </w:r>
          <w:r>
            <w:rPr>
              <w:rFonts w:asciiTheme="minorHAnsi" w:hAnsiTheme="minorHAnsi" w:cstheme="minorHAnsi"/>
              <w:sz w:val="20"/>
            </w:rPr>
            <w:ptab w:relativeTo="margin" w:alignment="right" w:leader="dot"/>
          </w:r>
          <w:r>
            <w:rPr>
              <w:rFonts w:asciiTheme="minorHAnsi" w:hAnsiTheme="minorHAnsi" w:cstheme="minorHAnsi"/>
              <w:sz w:val="20"/>
            </w:rPr>
            <w:t>20</w:t>
          </w:r>
        </w:p>
        <w:p w14:paraId="66666E35">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 IMPUGNAÇÃO AO EDITAL E DO PEDIDO DE ESCLARECIMENTO</w:t>
          </w:r>
          <w:r>
            <w:rPr>
              <w:rFonts w:asciiTheme="minorHAnsi" w:hAnsiTheme="minorHAnsi" w:cstheme="minorHAnsi"/>
              <w:sz w:val="20"/>
            </w:rPr>
            <w:ptab w:relativeTo="margin" w:alignment="right" w:leader="dot"/>
          </w:r>
          <w:r>
            <w:rPr>
              <w:rFonts w:asciiTheme="minorHAnsi" w:hAnsiTheme="minorHAnsi" w:cstheme="minorHAnsi"/>
              <w:sz w:val="20"/>
            </w:rPr>
            <w:t>22</w:t>
          </w:r>
        </w:p>
        <w:p w14:paraId="65B11F1A">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DAS DISPOSIÇÕES GERAIS</w:t>
          </w:r>
          <w:r>
            <w:rPr>
              <w:rFonts w:asciiTheme="minorHAnsi" w:hAnsiTheme="minorHAnsi" w:cstheme="minorHAnsi"/>
              <w:sz w:val="20"/>
            </w:rPr>
            <w:ptab w:relativeTo="margin" w:alignment="right" w:leader="dot"/>
          </w:r>
          <w:r>
            <w:rPr>
              <w:rFonts w:asciiTheme="minorHAnsi" w:hAnsiTheme="minorHAnsi" w:cstheme="minorHAnsi"/>
              <w:sz w:val="20"/>
            </w:rPr>
            <w:t>23</w:t>
          </w:r>
        </w:p>
        <w:p w14:paraId="18A17AB5">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 – TERMO DE REFERÊNCIA </w:t>
          </w:r>
          <w:r>
            <w:rPr>
              <w:rFonts w:asciiTheme="minorHAnsi" w:hAnsiTheme="minorHAnsi" w:cstheme="minorHAnsi"/>
              <w:sz w:val="20"/>
            </w:rPr>
            <w:ptab w:relativeTo="margin" w:alignment="right" w:leader="dot"/>
          </w:r>
          <w:r>
            <w:rPr>
              <w:rFonts w:asciiTheme="minorHAnsi" w:hAnsiTheme="minorHAnsi" w:cstheme="minorHAnsi"/>
              <w:sz w:val="20"/>
            </w:rPr>
            <w:t>25</w:t>
          </w:r>
        </w:p>
        <w:p w14:paraId="323E92EC">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II – ESTUDO TÉCNICO PRELIMINAR </w:t>
          </w:r>
          <w:r>
            <w:rPr>
              <w:rFonts w:asciiTheme="minorHAnsi" w:hAnsiTheme="minorHAnsi" w:cstheme="minorHAnsi"/>
              <w:sz w:val="20"/>
            </w:rPr>
            <w:ptab w:relativeTo="margin" w:alignment="right" w:leader="dot"/>
          </w:r>
          <w:r>
            <w:rPr>
              <w:rFonts w:asciiTheme="minorHAnsi" w:hAnsiTheme="minorHAnsi" w:cstheme="minorHAnsi"/>
              <w:sz w:val="20"/>
            </w:rPr>
            <w:t>35</w:t>
          </w:r>
        </w:p>
        <w:p w14:paraId="25E9AE3A">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ANEXO III – PLANILHA DE PROPOSTA</w:t>
          </w:r>
          <w:r>
            <w:rPr>
              <w:rFonts w:asciiTheme="minorHAnsi" w:hAnsiTheme="minorHAnsi" w:cstheme="minorHAnsi"/>
              <w:sz w:val="20"/>
            </w:rPr>
            <w:ptab w:relativeTo="margin" w:alignment="right" w:leader="dot"/>
          </w:r>
          <w:r>
            <w:rPr>
              <w:rFonts w:asciiTheme="minorHAnsi" w:hAnsiTheme="minorHAnsi" w:cstheme="minorHAnsi"/>
              <w:sz w:val="20"/>
            </w:rPr>
            <w:t>44</w:t>
          </w:r>
        </w:p>
        <w:p w14:paraId="04917039">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IV – DECLARAÇÃO GERAL </w:t>
          </w:r>
          <w:r>
            <w:rPr>
              <w:rFonts w:asciiTheme="minorHAnsi" w:hAnsiTheme="minorHAnsi" w:cstheme="minorHAnsi"/>
              <w:sz w:val="20"/>
            </w:rPr>
            <w:ptab w:relativeTo="margin" w:alignment="right" w:leader="dot"/>
          </w:r>
          <w:r>
            <w:rPr>
              <w:rFonts w:asciiTheme="minorHAnsi" w:hAnsiTheme="minorHAnsi" w:cstheme="minorHAnsi"/>
              <w:sz w:val="20"/>
            </w:rPr>
            <w:t>45</w:t>
          </w:r>
        </w:p>
        <w:p w14:paraId="31416440">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 -  DECLARAÇÃO DE EMPRESA DE PEQUENO PORTE </w:t>
          </w:r>
          <w:r>
            <w:rPr>
              <w:rFonts w:asciiTheme="minorHAnsi" w:hAnsiTheme="minorHAnsi" w:cstheme="minorHAnsi"/>
              <w:sz w:val="20"/>
            </w:rPr>
            <w:ptab w:relativeTo="margin" w:alignment="right" w:leader="dot"/>
          </w:r>
          <w:r>
            <w:rPr>
              <w:rFonts w:asciiTheme="minorHAnsi" w:hAnsiTheme="minorHAnsi" w:cstheme="minorHAnsi"/>
              <w:sz w:val="20"/>
            </w:rPr>
            <w:t xml:space="preserve">46 </w:t>
          </w:r>
        </w:p>
        <w:p w14:paraId="1C415AA6">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 – MINUTA DA ATA DE REGISTRO DE PREÇO </w:t>
          </w:r>
          <w:r>
            <w:rPr>
              <w:rFonts w:asciiTheme="minorHAnsi" w:hAnsiTheme="minorHAnsi" w:cstheme="minorHAnsi"/>
              <w:sz w:val="20"/>
            </w:rPr>
            <w:ptab w:relativeTo="margin" w:alignment="right" w:leader="dot"/>
          </w:r>
          <w:r>
            <w:rPr>
              <w:rFonts w:asciiTheme="minorHAnsi" w:hAnsiTheme="minorHAnsi" w:cstheme="minorHAnsi"/>
              <w:sz w:val="20"/>
            </w:rPr>
            <w:t>47</w:t>
          </w:r>
        </w:p>
        <w:p w14:paraId="15099E6D">
          <w:pPr>
            <w:pStyle w:val="21"/>
            <w:numPr>
              <w:ilvl w:val="0"/>
              <w:numId w:val="3"/>
            </w:numPr>
            <w:spacing w:line="360" w:lineRule="auto"/>
            <w:ind w:left="714" w:hanging="357"/>
            <w:rPr>
              <w:rFonts w:asciiTheme="minorHAnsi" w:hAnsiTheme="minorHAnsi" w:cstheme="minorHAnsi"/>
              <w:sz w:val="20"/>
            </w:rPr>
          </w:pPr>
          <w:r>
            <w:rPr>
              <w:rFonts w:asciiTheme="minorHAnsi" w:hAnsiTheme="minorHAnsi" w:cstheme="minorHAnsi"/>
              <w:sz w:val="20"/>
            </w:rPr>
            <w:t xml:space="preserve">ANEXO VII – TERMO DE CIÊNCIA E NOTIFICAÇÃO </w:t>
          </w:r>
          <w:r>
            <w:rPr>
              <w:rFonts w:asciiTheme="minorHAnsi" w:hAnsiTheme="minorHAnsi" w:cstheme="minorHAnsi"/>
              <w:sz w:val="20"/>
            </w:rPr>
            <w:ptab w:relativeTo="margin" w:alignment="right" w:leader="dot"/>
          </w:r>
          <w:r>
            <w:rPr>
              <w:rFonts w:asciiTheme="minorHAnsi" w:hAnsiTheme="minorHAnsi" w:cstheme="minorHAnsi"/>
              <w:sz w:val="20"/>
            </w:rPr>
            <w:t>60</w:t>
          </w:r>
        </w:p>
      </w:sdtContent>
    </w:sdt>
    <w:p w14:paraId="731075A6">
      <w:pPr>
        <w:jc w:val="both"/>
        <w:rPr>
          <w:rFonts w:asciiTheme="minorHAnsi" w:hAnsiTheme="minorHAnsi" w:eastAsiaTheme="minorEastAsia" w:cstheme="minorHAnsi"/>
          <w:b/>
          <w:bCs/>
          <w:sz w:val="21"/>
          <w:szCs w:val="21"/>
        </w:rPr>
      </w:pPr>
    </w:p>
    <w:p w14:paraId="4F1B7E0B">
      <w:pPr>
        <w:jc w:val="both"/>
        <w:rPr>
          <w:rFonts w:asciiTheme="minorHAnsi" w:hAnsiTheme="minorHAnsi" w:eastAsiaTheme="minorEastAsia" w:cstheme="minorHAnsi"/>
          <w:b/>
          <w:bCs/>
          <w:sz w:val="21"/>
          <w:szCs w:val="21"/>
        </w:rPr>
      </w:pPr>
    </w:p>
    <w:p w14:paraId="045C4C96">
      <w:pPr>
        <w:jc w:val="both"/>
        <w:rPr>
          <w:rFonts w:asciiTheme="minorHAnsi" w:hAnsiTheme="minorHAnsi" w:eastAsiaTheme="minorEastAsia" w:cstheme="minorHAnsi"/>
          <w:b/>
          <w:bCs/>
          <w:sz w:val="21"/>
          <w:szCs w:val="21"/>
        </w:rPr>
      </w:pPr>
    </w:p>
    <w:p w14:paraId="73B106F8">
      <w:pPr>
        <w:jc w:val="both"/>
        <w:rPr>
          <w:rFonts w:asciiTheme="minorHAnsi" w:hAnsiTheme="minorHAnsi" w:eastAsiaTheme="minorEastAsia" w:cstheme="minorHAnsi"/>
          <w:b/>
          <w:bCs/>
          <w:sz w:val="21"/>
          <w:szCs w:val="21"/>
        </w:rPr>
      </w:pPr>
    </w:p>
    <w:p w14:paraId="70CDE3C9">
      <w:pPr>
        <w:jc w:val="both"/>
        <w:rPr>
          <w:rFonts w:asciiTheme="minorHAnsi" w:hAnsiTheme="minorHAnsi" w:eastAsiaTheme="minorEastAsia" w:cstheme="minorHAnsi"/>
          <w:b/>
          <w:bCs/>
          <w:sz w:val="21"/>
          <w:szCs w:val="21"/>
        </w:rPr>
      </w:pPr>
    </w:p>
    <w:p w14:paraId="4B1CEDFB">
      <w:pPr>
        <w:jc w:val="both"/>
        <w:rPr>
          <w:rFonts w:asciiTheme="minorHAnsi" w:hAnsiTheme="minorHAnsi" w:eastAsiaTheme="minorEastAsia" w:cstheme="minorHAnsi"/>
          <w:b/>
          <w:bCs/>
          <w:sz w:val="21"/>
          <w:szCs w:val="21"/>
        </w:rPr>
      </w:pPr>
    </w:p>
    <w:p w14:paraId="20DEB1D0">
      <w:pPr>
        <w:jc w:val="both"/>
        <w:rPr>
          <w:rFonts w:asciiTheme="minorHAnsi" w:hAnsiTheme="minorHAnsi" w:eastAsiaTheme="minorEastAsia" w:cstheme="minorHAnsi"/>
          <w:b/>
          <w:bCs/>
          <w:sz w:val="21"/>
          <w:szCs w:val="21"/>
        </w:rPr>
      </w:pPr>
    </w:p>
    <w:p w14:paraId="451C9C1B">
      <w:pPr>
        <w:jc w:val="both"/>
        <w:rPr>
          <w:rFonts w:asciiTheme="minorHAnsi" w:hAnsiTheme="minorHAnsi" w:eastAsiaTheme="minorEastAsia" w:cstheme="minorHAnsi"/>
          <w:b/>
          <w:bCs/>
          <w:sz w:val="21"/>
          <w:szCs w:val="21"/>
        </w:rPr>
      </w:pPr>
    </w:p>
    <w:p w14:paraId="373192C4">
      <w:pPr>
        <w:jc w:val="both"/>
        <w:rPr>
          <w:rFonts w:asciiTheme="minorHAnsi" w:hAnsiTheme="minorHAnsi" w:eastAsiaTheme="minorEastAsia" w:cstheme="minorHAnsi"/>
          <w:b/>
          <w:bCs/>
          <w:sz w:val="21"/>
          <w:szCs w:val="21"/>
        </w:rPr>
      </w:pPr>
    </w:p>
    <w:p w14:paraId="1743B4B1">
      <w:pPr>
        <w:jc w:val="both"/>
        <w:rPr>
          <w:rFonts w:asciiTheme="minorHAnsi" w:hAnsiTheme="minorHAnsi" w:eastAsiaTheme="minorEastAsia" w:cstheme="minorHAnsi"/>
          <w:b/>
          <w:bCs/>
          <w:sz w:val="21"/>
          <w:szCs w:val="21"/>
        </w:rPr>
      </w:pPr>
    </w:p>
    <w:p w14:paraId="5A340733">
      <w:pPr>
        <w:jc w:val="both"/>
        <w:rPr>
          <w:rFonts w:asciiTheme="minorHAnsi" w:hAnsiTheme="minorHAnsi" w:eastAsiaTheme="minorEastAsia" w:cstheme="minorHAnsi"/>
          <w:b/>
          <w:bCs/>
          <w:sz w:val="21"/>
          <w:szCs w:val="21"/>
        </w:rPr>
      </w:pPr>
    </w:p>
    <w:p w14:paraId="74D743B1">
      <w:pPr>
        <w:jc w:val="both"/>
        <w:rPr>
          <w:rFonts w:asciiTheme="minorHAnsi" w:hAnsiTheme="minorHAnsi" w:eastAsiaTheme="minorEastAsia" w:cstheme="minorHAnsi"/>
          <w:b/>
          <w:bCs/>
          <w:sz w:val="21"/>
          <w:szCs w:val="21"/>
        </w:rPr>
      </w:pPr>
    </w:p>
    <w:p w14:paraId="7BDD7AFD">
      <w:pPr>
        <w:jc w:val="both"/>
        <w:rPr>
          <w:rFonts w:asciiTheme="minorHAnsi" w:hAnsiTheme="minorHAnsi" w:eastAsiaTheme="minorEastAsia" w:cstheme="minorHAnsi"/>
          <w:b/>
          <w:bCs/>
          <w:sz w:val="21"/>
          <w:szCs w:val="21"/>
        </w:rPr>
      </w:pPr>
    </w:p>
    <w:p w14:paraId="26472B1B">
      <w:pPr>
        <w:jc w:val="both"/>
        <w:rPr>
          <w:rFonts w:asciiTheme="minorHAnsi" w:hAnsiTheme="minorHAnsi" w:eastAsiaTheme="minorEastAsia" w:cstheme="minorHAnsi"/>
          <w:b/>
          <w:bCs/>
          <w:sz w:val="21"/>
          <w:szCs w:val="21"/>
        </w:rPr>
      </w:pPr>
    </w:p>
    <w:p w14:paraId="0080E192">
      <w:pPr>
        <w:jc w:val="both"/>
        <w:rPr>
          <w:rFonts w:asciiTheme="minorHAnsi" w:hAnsiTheme="minorHAnsi" w:eastAsiaTheme="minorEastAsia" w:cstheme="minorHAnsi"/>
          <w:b/>
          <w:bCs/>
          <w:sz w:val="21"/>
          <w:szCs w:val="21"/>
        </w:rPr>
      </w:pPr>
    </w:p>
    <w:p w14:paraId="307A7CC7">
      <w:pPr>
        <w:pStyle w:val="19"/>
        <w:numPr>
          <w:ilvl w:val="0"/>
          <w:numId w:val="4"/>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PREÂMBULO </w:t>
      </w:r>
    </w:p>
    <w:p w14:paraId="3C80824C">
      <w:pPr>
        <w:pStyle w:val="19"/>
        <w:spacing w:line="276" w:lineRule="auto"/>
        <w:ind w:left="720"/>
        <w:jc w:val="both"/>
        <w:rPr>
          <w:rFonts w:asciiTheme="minorHAnsi" w:hAnsiTheme="minorHAnsi" w:cstheme="minorHAnsi"/>
          <w:sz w:val="21"/>
          <w:szCs w:val="21"/>
        </w:rPr>
      </w:pPr>
    </w:p>
    <w:p w14:paraId="6611BBE0">
      <w:pPr>
        <w:pStyle w:val="19"/>
        <w:numPr>
          <w:ilvl w:val="1"/>
          <w:numId w:val="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A PREFEITURA MUNICIPAL DE SANTA BRANCA</w:t>
      </w:r>
      <w:r>
        <w:rPr>
          <w:rFonts w:asciiTheme="minorHAnsi" w:hAnsiTheme="minorHAnsi" w:cstheme="minorHAnsi"/>
          <w:color w:val="FF0000"/>
          <w:sz w:val="21"/>
          <w:szCs w:val="21"/>
        </w:rPr>
        <w:t xml:space="preserve"> </w:t>
      </w:r>
      <w:r>
        <w:rPr>
          <w:rFonts w:asciiTheme="minorHAnsi" w:hAnsiTheme="minorHAnsi" w:cstheme="minorHAnsi"/>
          <w:sz w:val="21"/>
          <w:szCs w:val="21"/>
        </w:rPr>
        <w:t xml:space="preserve">situada na Rua Prudente de Moraes nº 93, Centro, </w:t>
      </w:r>
      <w:r>
        <w:rPr>
          <w:rFonts w:asciiTheme="minorHAnsi" w:hAnsiTheme="minorHAnsi" w:cstheme="minorHAnsi"/>
          <w:b/>
          <w:bCs/>
          <w:sz w:val="21"/>
          <w:szCs w:val="21"/>
        </w:rPr>
        <w:t xml:space="preserve">TORNA PÚBLICA </w:t>
      </w:r>
      <w:r>
        <w:rPr>
          <w:rFonts w:asciiTheme="minorHAnsi" w:hAnsiTheme="minorHAnsi" w:cstheme="minorHAnsi"/>
          <w:sz w:val="21"/>
          <w:szCs w:val="21"/>
        </w:rPr>
        <w:t xml:space="preserve">a quem possa </w:t>
      </w:r>
      <w:r>
        <w:rPr>
          <w:rFonts w:asciiTheme="minorHAnsi" w:hAnsiTheme="minorHAnsi" w:cstheme="minorHAnsi"/>
          <w:color w:val="auto"/>
          <w:sz w:val="21"/>
          <w:szCs w:val="21"/>
        </w:rPr>
        <w:t xml:space="preserve">interessar, a abertura da licitação na modalidade PREGÃO, na forma ELETRÔNICA, cujo critério de julgamento será o </w:t>
      </w:r>
      <w:r>
        <w:rPr>
          <w:rFonts w:asciiTheme="minorHAnsi" w:hAnsiTheme="minorHAnsi" w:cstheme="minorHAnsi"/>
          <w:b/>
          <w:bCs/>
          <w:color w:val="auto"/>
          <w:sz w:val="21"/>
          <w:szCs w:val="21"/>
        </w:rPr>
        <w:t>MENOR PREÇO POR ITEM</w:t>
      </w:r>
      <w:r>
        <w:rPr>
          <w:rFonts w:asciiTheme="minorHAnsi" w:hAnsiTheme="minorHAnsi" w:cstheme="minorHAnsi"/>
          <w:color w:val="auto"/>
          <w:sz w:val="21"/>
          <w:szCs w:val="21"/>
        </w:rPr>
        <w:t xml:space="preserve">, visando a obtenção de propostas para o objeto licitado, consoante especificações constantes dos Anexos, que passam a fazer parte do presente edital, a qual será processada e julgada em conformidade com a </w:t>
      </w:r>
      <w:r>
        <w:rPr>
          <w:rFonts w:asciiTheme="minorHAnsi" w:hAnsiTheme="minorHAnsi" w:cstheme="minorHAnsi"/>
          <w:b/>
          <w:bCs/>
          <w:color w:val="auto"/>
          <w:sz w:val="21"/>
          <w:szCs w:val="21"/>
        </w:rPr>
        <w:t>Lei Federal nº 14.133 de 2021, Decreto Municipal nº 411 de 2023</w:t>
      </w:r>
      <w:r>
        <w:rPr>
          <w:rFonts w:asciiTheme="minorHAnsi" w:hAnsiTheme="minorHAnsi" w:cstheme="minorHAnsi"/>
          <w:color w:val="auto"/>
          <w:sz w:val="21"/>
          <w:szCs w:val="21"/>
        </w:rPr>
        <w:t xml:space="preserve"> e demais </w:t>
      </w:r>
      <w:r>
        <w:rPr>
          <w:rFonts w:asciiTheme="minorHAnsi" w:hAnsiTheme="minorHAnsi" w:cstheme="minorHAnsi"/>
          <w:sz w:val="21"/>
          <w:szCs w:val="21"/>
        </w:rPr>
        <w:t xml:space="preserve">dispositivos legais aplicáveis bem como pelas condições específicas deste edital e dos demais documentos que o integram. </w:t>
      </w:r>
    </w:p>
    <w:p w14:paraId="65332411">
      <w:pPr>
        <w:pStyle w:val="19"/>
        <w:spacing w:line="276" w:lineRule="auto"/>
        <w:jc w:val="both"/>
        <w:rPr>
          <w:rFonts w:asciiTheme="minorHAnsi" w:hAnsiTheme="minorHAnsi" w:cstheme="minorHAnsi"/>
          <w:sz w:val="21"/>
          <w:szCs w:val="21"/>
        </w:rPr>
      </w:pPr>
    </w:p>
    <w:p w14:paraId="63EA9DDD">
      <w:pPr>
        <w:pStyle w:val="19"/>
        <w:numPr>
          <w:ilvl w:val="1"/>
          <w:numId w:val="6"/>
        </w:numPr>
        <w:tabs>
          <w:tab w:val="left" w:pos="284"/>
        </w:tabs>
        <w:spacing w:line="276" w:lineRule="auto"/>
        <w:ind w:firstLine="142"/>
        <w:jc w:val="both"/>
        <w:rPr>
          <w:rFonts w:asciiTheme="minorHAnsi" w:hAnsiTheme="minorHAnsi" w:cstheme="minorHAnsi"/>
          <w:sz w:val="21"/>
          <w:szCs w:val="21"/>
        </w:rPr>
      </w:pPr>
      <w:r>
        <w:rPr>
          <w:rFonts w:asciiTheme="minorHAnsi" w:hAnsiTheme="minorHAnsi" w:cstheme="minorHAnsi"/>
          <w:b/>
          <w:bCs/>
          <w:sz w:val="21"/>
          <w:szCs w:val="21"/>
        </w:rPr>
        <w:t>2.  DO OBJETO</w:t>
      </w:r>
    </w:p>
    <w:p w14:paraId="509802AB">
      <w:pPr>
        <w:pStyle w:val="19"/>
        <w:numPr>
          <w:ilvl w:val="1"/>
          <w:numId w:val="6"/>
        </w:numPr>
        <w:tabs>
          <w:tab w:val="left" w:pos="284"/>
        </w:tabs>
        <w:spacing w:line="276" w:lineRule="auto"/>
        <w:ind w:firstLine="142"/>
        <w:jc w:val="both"/>
        <w:rPr>
          <w:rFonts w:asciiTheme="minorHAnsi" w:hAnsiTheme="minorHAnsi" w:cstheme="minorHAnsi"/>
          <w:sz w:val="21"/>
          <w:szCs w:val="21"/>
        </w:rPr>
      </w:pPr>
    </w:p>
    <w:p w14:paraId="6BE24350">
      <w:pPr>
        <w:pStyle w:val="19"/>
        <w:numPr>
          <w:ilvl w:val="1"/>
          <w:numId w:val="6"/>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2.1. A presente licitação tem por objeto o </w:t>
      </w:r>
      <w:r>
        <w:rPr>
          <w:rFonts w:asciiTheme="minorHAnsi" w:hAnsiTheme="minorHAnsi" w:cstheme="minorHAnsi"/>
          <w:b/>
          <w:bCs/>
          <w:color w:val="auto"/>
          <w:sz w:val="21"/>
          <w:szCs w:val="21"/>
          <w:shd w:val="clear" w:color="auto" w:fill="FFFFFF"/>
        </w:rPr>
        <w:t>REGISTRO DE PREÇOS PARA AQUISIÇÃO DE ITENS DERMOCOSMÉTICOS PARA ATENDIMENTO DE DEMANDA DE PACIENTES ORIUNDOS DE ORDENS JUDICIAIS POR PERÍODO ESTIMADO DE 12 MESES</w:t>
      </w:r>
      <w:r>
        <w:rPr>
          <w:rFonts w:asciiTheme="minorHAnsi" w:hAnsiTheme="minorHAnsi" w:cstheme="minorHAnsi"/>
          <w:color w:val="auto"/>
          <w:sz w:val="21"/>
          <w:szCs w:val="21"/>
        </w:rPr>
        <w:t xml:space="preserve">, conforme condições, quantidades e exigências estabelecidas neste Edital e seus anexos. </w:t>
      </w:r>
    </w:p>
    <w:p w14:paraId="2F791912">
      <w:pPr>
        <w:pStyle w:val="19"/>
        <w:numPr>
          <w:ilvl w:val="1"/>
          <w:numId w:val="6"/>
        </w:numPr>
        <w:spacing w:line="276" w:lineRule="auto"/>
        <w:jc w:val="both"/>
        <w:rPr>
          <w:rFonts w:asciiTheme="minorHAnsi" w:hAnsiTheme="minorHAnsi" w:cstheme="minorHAnsi"/>
          <w:sz w:val="21"/>
          <w:szCs w:val="21"/>
        </w:rPr>
      </w:pPr>
    </w:p>
    <w:p w14:paraId="623D4FEB">
      <w:pPr>
        <w:pStyle w:val="19"/>
        <w:numPr>
          <w:ilvl w:val="1"/>
          <w:numId w:val="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2.2. </w:t>
      </w:r>
      <w:r>
        <w:rPr>
          <w:rFonts w:asciiTheme="minorHAnsi" w:hAnsiTheme="minorHAnsi" w:cstheme="minorHAnsi"/>
          <w:color w:val="auto"/>
          <w:sz w:val="21"/>
          <w:szCs w:val="21"/>
        </w:rPr>
        <w:t>A licitação será dividida em itens</w:t>
      </w:r>
      <w:r>
        <w:rPr>
          <w:rFonts w:asciiTheme="minorHAnsi" w:hAnsiTheme="minorHAnsi" w:cstheme="minorHAnsi"/>
          <w:sz w:val="21"/>
          <w:szCs w:val="21"/>
        </w:rPr>
        <w:t xml:space="preserve">, conforme tabela constante do Termo de Referência, facultando-se ao licitante a participação em quantos itens forem de seu interesse. </w:t>
      </w:r>
    </w:p>
    <w:p w14:paraId="12AB5C92">
      <w:pPr>
        <w:pStyle w:val="19"/>
        <w:spacing w:line="276" w:lineRule="auto"/>
        <w:jc w:val="both"/>
        <w:rPr>
          <w:rFonts w:asciiTheme="minorHAnsi" w:hAnsiTheme="minorHAnsi" w:cstheme="minorHAnsi"/>
          <w:sz w:val="21"/>
          <w:szCs w:val="21"/>
        </w:rPr>
      </w:pPr>
    </w:p>
    <w:p w14:paraId="6561AED8">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2.3. Não serão aceitos preços unitários acima dos valores máximos orçados pela administração para cada item. </w:t>
      </w:r>
    </w:p>
    <w:p w14:paraId="5B9B50C3">
      <w:pPr>
        <w:pStyle w:val="19"/>
        <w:spacing w:line="276" w:lineRule="auto"/>
        <w:jc w:val="both"/>
        <w:rPr>
          <w:rFonts w:asciiTheme="minorHAnsi" w:hAnsiTheme="minorHAnsi" w:cstheme="minorHAnsi"/>
          <w:sz w:val="21"/>
          <w:szCs w:val="21"/>
        </w:rPr>
      </w:pPr>
    </w:p>
    <w:p w14:paraId="01F19E4C">
      <w:pPr>
        <w:pStyle w:val="19"/>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DO REGISTRO DE PREÇOS</w:t>
      </w:r>
    </w:p>
    <w:p w14:paraId="0C5A9362">
      <w:pPr>
        <w:pStyle w:val="19"/>
        <w:spacing w:line="276" w:lineRule="auto"/>
        <w:ind w:left="720"/>
        <w:jc w:val="both"/>
        <w:rPr>
          <w:rFonts w:asciiTheme="minorHAnsi" w:hAnsiTheme="minorHAnsi" w:cstheme="minorHAnsi"/>
          <w:b/>
          <w:bCs/>
          <w:sz w:val="21"/>
          <w:szCs w:val="21"/>
        </w:rPr>
      </w:pPr>
    </w:p>
    <w:p w14:paraId="65BBB0DA">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regras referentes aos órgãos gerenciadores e participantes, bem como a eventuais adesões são as que constam da minuta de Ata de Registro de Preços. </w:t>
      </w:r>
    </w:p>
    <w:p w14:paraId="7098C667">
      <w:pPr>
        <w:pStyle w:val="19"/>
        <w:spacing w:line="276" w:lineRule="auto"/>
        <w:jc w:val="both"/>
        <w:rPr>
          <w:rFonts w:asciiTheme="minorHAnsi" w:hAnsiTheme="minorHAnsi" w:cstheme="minorHAnsi"/>
          <w:sz w:val="21"/>
          <w:szCs w:val="21"/>
        </w:rPr>
      </w:pPr>
    </w:p>
    <w:p w14:paraId="09EDAB4F">
      <w:pPr>
        <w:pStyle w:val="19"/>
        <w:numPr>
          <w:ilvl w:val="0"/>
          <w:numId w:val="7"/>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DA PARTICIPAÇÃO NA LICITAÇÃO</w:t>
      </w:r>
    </w:p>
    <w:p w14:paraId="1F6CE855">
      <w:pPr>
        <w:pStyle w:val="19"/>
        <w:spacing w:line="276" w:lineRule="auto"/>
        <w:ind w:left="360"/>
        <w:jc w:val="both"/>
        <w:rPr>
          <w:rFonts w:asciiTheme="minorHAnsi" w:hAnsiTheme="minorHAnsi" w:cstheme="minorHAnsi"/>
          <w:sz w:val="21"/>
          <w:szCs w:val="21"/>
        </w:rPr>
      </w:pPr>
    </w:p>
    <w:p w14:paraId="19FBA1F0">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Poderão participar deste Pregão os interessados que estiverem previamente credenciados no Plataforma BBMNET Licitações Eletrônicas da Bolsa Brasileira de Mercadorias, no endereço </w:t>
      </w:r>
      <w:r>
        <w:fldChar w:fldCharType="begin"/>
      </w:r>
      <w:r>
        <w:instrText xml:space="preserve"> HYPERLINK "http://www.bbmnetlicitacoes.com.br" </w:instrText>
      </w:r>
      <w:r>
        <w:fldChar w:fldCharType="separate"/>
      </w:r>
      <w:r>
        <w:rPr>
          <w:rStyle w:val="6"/>
          <w:rFonts w:asciiTheme="minorHAnsi" w:hAnsiTheme="minorHAnsi" w:cstheme="minorHAnsi"/>
          <w:b/>
          <w:sz w:val="21"/>
          <w:szCs w:val="21"/>
        </w:rPr>
        <w:t>www.bbmnetlicitacoes.com.br</w:t>
      </w:r>
      <w:r>
        <w:rPr>
          <w:rStyle w:val="6"/>
          <w:rFonts w:asciiTheme="minorHAnsi" w:hAnsiTheme="minorHAnsi" w:cstheme="minorHAnsi"/>
          <w:b/>
          <w:sz w:val="21"/>
          <w:szCs w:val="21"/>
        </w:rPr>
        <w:fldChar w:fldCharType="end"/>
      </w:r>
      <w:r>
        <w:rPr>
          <w:rFonts w:asciiTheme="minorHAnsi" w:hAnsiTheme="minorHAnsi" w:cstheme="minorHAnsi"/>
          <w:color w:val="auto"/>
          <w:sz w:val="21"/>
          <w:szCs w:val="21"/>
        </w:rPr>
        <w:t>.</w:t>
      </w:r>
    </w:p>
    <w:p w14:paraId="7F3B8DAD">
      <w:pPr>
        <w:pStyle w:val="19"/>
        <w:spacing w:line="276" w:lineRule="auto"/>
        <w:jc w:val="both"/>
        <w:rPr>
          <w:rFonts w:asciiTheme="minorHAnsi" w:hAnsiTheme="minorHAnsi" w:cstheme="minorHAnsi"/>
          <w:sz w:val="21"/>
          <w:szCs w:val="21"/>
        </w:rPr>
      </w:pPr>
    </w:p>
    <w:p w14:paraId="23918CFD">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 </w:t>
      </w:r>
    </w:p>
    <w:p w14:paraId="4C72B28B">
      <w:pPr>
        <w:pStyle w:val="19"/>
        <w:spacing w:line="276" w:lineRule="auto"/>
        <w:jc w:val="both"/>
        <w:rPr>
          <w:rFonts w:asciiTheme="minorHAnsi" w:hAnsiTheme="minorHAnsi" w:cstheme="minorHAnsi"/>
          <w:sz w:val="21"/>
          <w:szCs w:val="21"/>
        </w:rPr>
      </w:pPr>
    </w:p>
    <w:p w14:paraId="1587FBB0">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 </w:t>
      </w:r>
    </w:p>
    <w:p w14:paraId="5106507C">
      <w:pPr>
        <w:pStyle w:val="19"/>
        <w:spacing w:line="276" w:lineRule="auto"/>
        <w:jc w:val="both"/>
        <w:rPr>
          <w:rFonts w:asciiTheme="minorHAnsi" w:hAnsiTheme="minorHAnsi" w:cstheme="minorHAnsi"/>
          <w:sz w:val="21"/>
          <w:szCs w:val="21"/>
        </w:rPr>
      </w:pPr>
    </w:p>
    <w:p w14:paraId="70572F79">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não observância do disposto no item anterior poderá ensejar desclassificação no momento da habilitação. </w:t>
      </w:r>
    </w:p>
    <w:p w14:paraId="47C54701">
      <w:pPr>
        <w:pStyle w:val="19"/>
        <w:spacing w:line="276" w:lineRule="auto"/>
        <w:jc w:val="both"/>
        <w:rPr>
          <w:rFonts w:asciiTheme="minorHAnsi" w:hAnsiTheme="minorHAnsi" w:cstheme="minorHAnsi"/>
          <w:sz w:val="21"/>
          <w:szCs w:val="21"/>
        </w:rPr>
      </w:pPr>
    </w:p>
    <w:p w14:paraId="3AA1B17C">
      <w:pPr>
        <w:pStyle w:val="19"/>
        <w:numPr>
          <w:ilvl w:val="1"/>
          <w:numId w:val="7"/>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Estarão definidos no Termo de Referência (ANEXO I), os itens cuja participação seja exclusiva e/ou que tenha cota reservada, para microempresas, empresas de pequeno porte e as equiparadas a estas por lei, nos termos do art. 48 da Lei Complementar nº 123, de 14 de dezembro de 2006. </w:t>
      </w:r>
    </w:p>
    <w:p w14:paraId="53AD6C1E">
      <w:pPr>
        <w:pStyle w:val="19"/>
        <w:spacing w:line="276" w:lineRule="auto"/>
        <w:jc w:val="both"/>
        <w:rPr>
          <w:rFonts w:asciiTheme="minorHAnsi" w:hAnsiTheme="minorHAnsi" w:cstheme="minorHAnsi"/>
          <w:color w:val="auto"/>
          <w:sz w:val="21"/>
          <w:szCs w:val="21"/>
        </w:rPr>
      </w:pPr>
    </w:p>
    <w:p w14:paraId="3A3FC348">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itens poderão ser divididos em cota principal e cota reservada e/ou exclusiva à participação de microempresas, empresas de pequeno porte e equiparadas. </w:t>
      </w:r>
    </w:p>
    <w:p w14:paraId="59B0AF14">
      <w:pPr>
        <w:pStyle w:val="19"/>
        <w:spacing w:line="276" w:lineRule="auto"/>
        <w:jc w:val="both"/>
        <w:rPr>
          <w:rFonts w:asciiTheme="minorHAnsi" w:hAnsiTheme="minorHAnsi" w:cstheme="minorHAnsi"/>
          <w:sz w:val="21"/>
          <w:szCs w:val="21"/>
        </w:rPr>
      </w:pPr>
    </w:p>
    <w:p w14:paraId="6A396FC6">
      <w:pPr>
        <w:pStyle w:val="19"/>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As cotas principal e reservada e/ou exclusiva serão licitadas pela Unidade Compradora de forma simultânea e independente. </w:t>
      </w:r>
    </w:p>
    <w:p w14:paraId="33030CF6">
      <w:pPr>
        <w:pStyle w:val="19"/>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Se a mesma licitante vencer a cota principal e a cota reservada, referente ao mesmo produto/serviço o Agente de Contratação/Pregoeira negociará com a licitante provisoriamente classificada em primeiro lugar, para que a contratação de ambas as cotas ocorra pelo valor menor, sob pena de desclassificação. </w:t>
      </w:r>
    </w:p>
    <w:p w14:paraId="54189BA1">
      <w:pPr>
        <w:pStyle w:val="19"/>
        <w:numPr>
          <w:ilvl w:val="2"/>
          <w:numId w:val="7"/>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obtenção do benefício a que se refere o item 4.5. fica limitada às microempresas e às empresas de pequeno porte ou equiparadas, que, no ano-calendário de realização da licitação, ainda não tenham celebrado contratos com a Administração Pública cujos valores somados extrapolem a receita bruta máxima admitida para fins de enquadramento como empresa de pequeno porte. </w:t>
      </w:r>
    </w:p>
    <w:p w14:paraId="116E44B4">
      <w:pPr>
        <w:pStyle w:val="19"/>
        <w:spacing w:line="276" w:lineRule="auto"/>
        <w:ind w:left="851"/>
        <w:jc w:val="both"/>
        <w:rPr>
          <w:rFonts w:asciiTheme="minorHAnsi" w:hAnsiTheme="minorHAnsi" w:cstheme="minorHAnsi"/>
          <w:sz w:val="21"/>
          <w:szCs w:val="21"/>
        </w:rPr>
      </w:pPr>
    </w:p>
    <w:p w14:paraId="0F1D48F6">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Será concedido </w:t>
      </w:r>
      <w:r>
        <w:rPr>
          <w:rFonts w:asciiTheme="minorHAnsi" w:hAnsiTheme="minorHAnsi" w:cstheme="minorHAnsi"/>
          <w:color w:val="auto"/>
          <w:sz w:val="21"/>
          <w:szCs w:val="21"/>
        </w:rPr>
        <w:t xml:space="preserve">tratamento favorecido para as microempresas e empresas de pequeno porte, para as sociedades cooperativas mencionadas no artigo 16 da Lei Federal nº 14.133, de 2021, para o agricultor familiar, o produtor rural pessoa física e para o microempreendedor individual – MEI, nos limites previstos da Lei Complementar nº 123, de 2006 e do Decreto n.º 8.538, de 2015. </w:t>
      </w:r>
    </w:p>
    <w:p w14:paraId="323FBB4B">
      <w:pPr>
        <w:pStyle w:val="19"/>
        <w:spacing w:line="276" w:lineRule="auto"/>
        <w:jc w:val="both"/>
        <w:rPr>
          <w:rFonts w:asciiTheme="minorHAnsi" w:hAnsiTheme="minorHAnsi" w:cstheme="minorHAnsi"/>
          <w:sz w:val="21"/>
          <w:szCs w:val="21"/>
        </w:rPr>
      </w:pPr>
    </w:p>
    <w:p w14:paraId="0F018748">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b/>
          <w:bCs/>
          <w:color w:val="auto"/>
          <w:sz w:val="21"/>
          <w:szCs w:val="21"/>
          <w:highlight w:val="yellow"/>
        </w:rPr>
        <w:t>Para os itens 5 e 8</w:t>
      </w:r>
      <w:r>
        <w:rPr>
          <w:rFonts w:asciiTheme="minorHAnsi" w:hAnsiTheme="minorHAnsi" w:cstheme="minorHAnsi"/>
          <w:color w:val="auto"/>
          <w:sz w:val="21"/>
          <w:szCs w:val="21"/>
        </w:rPr>
        <w:t xml:space="preserve"> </w:t>
      </w:r>
      <w:r>
        <w:rPr>
          <w:rFonts w:asciiTheme="minorHAnsi" w:hAnsiTheme="minorHAnsi" w:cstheme="minorHAnsi"/>
          <w:color w:val="000000" w:themeColor="text1"/>
          <w:sz w:val="21"/>
          <w:szCs w:val="21"/>
          <w14:textFill>
            <w14:solidFill>
              <w14:schemeClr w14:val="tx1"/>
            </w14:solidFill>
          </w14:textFill>
        </w:rPr>
        <w:t xml:space="preserve">a participação é exclusiva a microempresas e empresas de pequeno porte, nos termos do </w:t>
      </w:r>
      <w:r>
        <w:rPr>
          <w:rFonts w:asciiTheme="minorHAnsi" w:hAnsiTheme="minorHAnsi" w:cstheme="minorHAnsi"/>
          <w:sz w:val="21"/>
          <w:szCs w:val="21"/>
        </w:rPr>
        <w:t xml:space="preserve">art. 48 da Lei Complementar nº 123, de 14 de dezembro de 2006. </w:t>
      </w:r>
    </w:p>
    <w:p w14:paraId="6F96C028">
      <w:pPr>
        <w:pStyle w:val="19"/>
        <w:numPr>
          <w:ilvl w:val="2"/>
          <w:numId w:val="7"/>
        </w:numPr>
        <w:spacing w:line="276" w:lineRule="auto"/>
        <w:ind w:left="709" w:firstLine="0"/>
        <w:jc w:val="both"/>
        <w:rPr>
          <w:rFonts w:asciiTheme="minorHAnsi" w:hAnsiTheme="minorHAnsi" w:cstheme="minorHAnsi"/>
          <w:sz w:val="21"/>
          <w:szCs w:val="21"/>
        </w:rPr>
      </w:pPr>
      <w:bookmarkStart w:id="1" w:name="_Ref117015508"/>
      <w:r>
        <w:rPr>
          <w:rFonts w:asciiTheme="minorHAnsi" w:hAnsiTheme="minorHAnsi" w:cstheme="minorHAnsi"/>
          <w:color w:val="000000" w:themeColor="text1"/>
          <w:sz w:val="21"/>
          <w:szCs w:val="21"/>
          <w14:textFill>
            <w14:solidFill>
              <w14:schemeClr w14:val="tx1"/>
            </w14:solidFill>
          </w14:textFill>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(R$ 4.800.000,00).</w:t>
      </w:r>
      <w:bookmarkEnd w:id="1"/>
    </w:p>
    <w:p w14:paraId="07FDC3D5">
      <w:pPr>
        <w:pStyle w:val="19"/>
        <w:spacing w:line="276" w:lineRule="auto"/>
        <w:jc w:val="both"/>
        <w:rPr>
          <w:rFonts w:asciiTheme="minorHAnsi" w:hAnsiTheme="minorHAnsi" w:cstheme="minorHAnsi"/>
          <w:sz w:val="21"/>
          <w:szCs w:val="21"/>
        </w:rPr>
      </w:pPr>
    </w:p>
    <w:p w14:paraId="1661AD96">
      <w:pPr>
        <w:pStyle w:val="19"/>
        <w:numPr>
          <w:ilvl w:val="1"/>
          <w:numId w:val="7"/>
        </w:numPr>
        <w:spacing w:line="276" w:lineRule="auto"/>
        <w:ind w:left="709" w:hanging="709"/>
        <w:jc w:val="both"/>
        <w:rPr>
          <w:rFonts w:asciiTheme="minorHAnsi" w:hAnsiTheme="minorHAnsi" w:cstheme="minorHAnsi"/>
          <w:sz w:val="21"/>
          <w:szCs w:val="21"/>
        </w:rPr>
      </w:pPr>
      <w:r>
        <w:rPr>
          <w:rFonts w:asciiTheme="minorHAnsi" w:hAnsiTheme="minorHAnsi" w:cstheme="minorHAnsi"/>
          <w:b/>
          <w:bCs/>
          <w:sz w:val="21"/>
          <w:szCs w:val="21"/>
        </w:rPr>
        <w:t xml:space="preserve">Não poderão </w:t>
      </w:r>
      <w:r>
        <w:rPr>
          <w:rFonts w:asciiTheme="minorHAnsi" w:hAnsiTheme="minorHAnsi" w:cstheme="minorHAnsi"/>
          <w:sz w:val="21"/>
          <w:szCs w:val="21"/>
        </w:rPr>
        <w:t xml:space="preserve">disputar esta licitação: </w:t>
      </w:r>
    </w:p>
    <w:p w14:paraId="1B5D7760">
      <w:pPr>
        <w:pStyle w:val="21"/>
        <w:spacing w:line="276" w:lineRule="auto"/>
        <w:jc w:val="both"/>
        <w:rPr>
          <w:rFonts w:asciiTheme="minorHAnsi" w:hAnsiTheme="minorHAnsi" w:cstheme="minorHAnsi"/>
          <w:sz w:val="21"/>
          <w:szCs w:val="21"/>
        </w:rPr>
      </w:pPr>
    </w:p>
    <w:p w14:paraId="65BF83F3">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4.9.1.   Aquele que não atenda às condições deste Edital e seu(s) anexo(s); </w:t>
      </w:r>
    </w:p>
    <w:p w14:paraId="7F35F710">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4.9.2. Autor do anteprojeto, do projeto básico ou do projeto executivo, pessoa física ou jurídica, quando a licitação versar sobre serviços ou fornecimento de bens a ele relacionados; </w:t>
      </w:r>
    </w:p>
    <w:p w14:paraId="54540F55">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7DD06B9">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4.9.4. Pessoa física ou jurídica que se encontre, ao tempo da licitação, impossibilitada de participar da licitação em decorrência de sanção que lhe foi imposta; </w:t>
      </w:r>
    </w:p>
    <w:p w14:paraId="3557AEB1">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7FD57AB6">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4.9.6. empresas controladoras, controladas ou coligadas, nos termos da Lei nº 6.404, de 15 de dezembro de 1976, concorrendo entre si; </w:t>
      </w:r>
    </w:p>
    <w:p w14:paraId="3BD1A415">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7EA9D6E2">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4.9.8. agente público do órgão ou entidade licitante; </w:t>
      </w:r>
    </w:p>
    <w:p w14:paraId="431EDE82">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4.9.9. Organizações da Sociedade Civil de Interesse Público – OSCIP, atuando nessa condição; </w:t>
      </w:r>
    </w:p>
    <w:p w14:paraId="7F3AF669">
      <w:pPr>
        <w:pStyle w:val="19"/>
        <w:spacing w:line="276" w:lineRule="auto"/>
        <w:ind w:left="851"/>
        <w:jc w:val="both"/>
        <w:rPr>
          <w:rFonts w:asciiTheme="minorHAnsi" w:hAnsiTheme="minorHAnsi" w:cstheme="minorHAnsi"/>
          <w:color w:val="auto"/>
          <w:sz w:val="21"/>
          <w:szCs w:val="21"/>
        </w:rPr>
      </w:pPr>
      <w:r>
        <w:rPr>
          <w:rFonts w:asciiTheme="minorHAnsi" w:hAnsiTheme="minorHAnsi" w:cstheme="minorHAnsi"/>
          <w:sz w:val="21"/>
          <w:szCs w:val="21"/>
        </w:rPr>
        <w:t xml:space="preserve">4.9.10. Não poderá participar, direta ou indiretamente, da licitação ou da execução do contrato agente público do órgão ou entidade contratante, devendo ser observadas as situações que possam configurar </w:t>
      </w:r>
      <w:r>
        <w:rPr>
          <w:rFonts w:asciiTheme="minorHAnsi" w:hAnsiTheme="minorHAnsi" w:cstheme="minorHAnsi"/>
          <w:color w:val="auto"/>
          <w:sz w:val="21"/>
          <w:szCs w:val="21"/>
        </w:rPr>
        <w:t xml:space="preserve">conflito de interesses no exercício ou após o exercício do cargo ou emprego, nos termos da legislação que disciplina a matéria, conforme § 1º do art. 9º da Lei Federal nº 14.133, de 2021. </w:t>
      </w:r>
    </w:p>
    <w:p w14:paraId="32E70FF6">
      <w:pPr>
        <w:pStyle w:val="19"/>
        <w:spacing w:line="276" w:lineRule="auto"/>
        <w:ind w:left="709"/>
        <w:jc w:val="both"/>
        <w:rPr>
          <w:rFonts w:asciiTheme="minorHAnsi" w:hAnsiTheme="minorHAnsi" w:cstheme="minorHAnsi"/>
          <w:sz w:val="21"/>
          <w:szCs w:val="21"/>
        </w:rPr>
      </w:pPr>
    </w:p>
    <w:p w14:paraId="4FADDF1A">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impedimento de que trata o item 4.9.4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09AA0A51">
      <w:pPr>
        <w:pStyle w:val="19"/>
        <w:spacing w:line="276" w:lineRule="auto"/>
        <w:jc w:val="both"/>
        <w:rPr>
          <w:rFonts w:asciiTheme="minorHAnsi" w:hAnsiTheme="minorHAnsi" w:cstheme="minorHAnsi"/>
          <w:sz w:val="21"/>
          <w:szCs w:val="21"/>
        </w:rPr>
      </w:pPr>
    </w:p>
    <w:p w14:paraId="2CE96EB7">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A critério da Administração e exclusivamente a seu serviço, o autor dos projetos e a empresa a que se referem os itens 4.9.2 e 4.9.3 poderão participar no apoio das atividades de planejamento da contratação, de execução da licitação ou de gestão do contrato, desde que sob supervisão exclusiva de agentes públicos do órgão ou entidade.</w:t>
      </w:r>
    </w:p>
    <w:p w14:paraId="3775BE35">
      <w:pPr>
        <w:pStyle w:val="19"/>
        <w:spacing w:line="276" w:lineRule="auto"/>
        <w:jc w:val="both"/>
        <w:rPr>
          <w:rFonts w:asciiTheme="minorHAnsi" w:hAnsiTheme="minorHAnsi" w:cstheme="minorHAnsi"/>
          <w:sz w:val="21"/>
          <w:szCs w:val="21"/>
        </w:rPr>
      </w:pPr>
    </w:p>
    <w:p w14:paraId="7863606F">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Equiparam-se aos autores do projeto as empresas integrantes do mesmo grupo econômico. </w:t>
      </w:r>
    </w:p>
    <w:p w14:paraId="5D19F92D">
      <w:pPr>
        <w:pStyle w:val="19"/>
        <w:spacing w:line="276" w:lineRule="auto"/>
        <w:jc w:val="both"/>
        <w:rPr>
          <w:rFonts w:asciiTheme="minorHAnsi" w:hAnsiTheme="minorHAnsi" w:cstheme="minorHAnsi"/>
          <w:sz w:val="21"/>
          <w:szCs w:val="21"/>
        </w:rPr>
      </w:pPr>
    </w:p>
    <w:p w14:paraId="425726DF">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disposto nos itens 4.9.2 e 4.9.3 não impede a licitação ou a contratação de serviço que inclua como encargo do contratado a elaboração do projeto básico e do projeto executivo, nas contratações integradas, e do projeto executivo, nos demais regimes de execução. </w:t>
      </w:r>
    </w:p>
    <w:p w14:paraId="04620526">
      <w:pPr>
        <w:pStyle w:val="19"/>
        <w:spacing w:line="276" w:lineRule="auto"/>
        <w:jc w:val="both"/>
        <w:rPr>
          <w:rFonts w:asciiTheme="minorHAnsi" w:hAnsiTheme="minorHAnsi" w:cstheme="minorHAnsi"/>
          <w:sz w:val="21"/>
          <w:szCs w:val="21"/>
        </w:rPr>
      </w:pPr>
    </w:p>
    <w:p w14:paraId="0EE703D8">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w:t>
      </w:r>
      <w:r>
        <w:rPr>
          <w:rFonts w:asciiTheme="minorHAnsi" w:hAnsiTheme="minorHAnsi" w:cstheme="minorHAnsi"/>
          <w:color w:val="auto"/>
          <w:sz w:val="21"/>
          <w:szCs w:val="21"/>
        </w:rPr>
        <w:t xml:space="preserve">integre o rol de pessoas sancionadas por essas entidades ou que seja declarada inidônea nos termos da Lei Federal nº 14.133/2021. </w:t>
      </w:r>
    </w:p>
    <w:p w14:paraId="7D0BAE20">
      <w:pPr>
        <w:pStyle w:val="19"/>
        <w:spacing w:line="276" w:lineRule="auto"/>
        <w:jc w:val="both"/>
        <w:rPr>
          <w:rFonts w:asciiTheme="minorHAnsi" w:hAnsiTheme="minorHAnsi" w:cstheme="minorHAnsi"/>
          <w:sz w:val="21"/>
          <w:szCs w:val="21"/>
        </w:rPr>
      </w:pPr>
    </w:p>
    <w:p w14:paraId="2E7F4174">
      <w:pPr>
        <w:pStyle w:val="19"/>
        <w:numPr>
          <w:ilvl w:val="1"/>
          <w:numId w:val="7"/>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vedação de que trata o item 4.9.8 estende-se a terceiro que auxilie a condução da contratação na qualidade de integrante de equipe de apoio, profissional especializado ou funcionário ou representante de empresa que preste assessoria técnica. </w:t>
      </w:r>
    </w:p>
    <w:p w14:paraId="62FECCB1">
      <w:pPr>
        <w:pStyle w:val="19"/>
        <w:spacing w:line="276" w:lineRule="auto"/>
        <w:jc w:val="both"/>
        <w:rPr>
          <w:rFonts w:asciiTheme="minorHAnsi" w:hAnsiTheme="minorHAnsi" w:cstheme="minorHAnsi"/>
          <w:sz w:val="21"/>
          <w:szCs w:val="21"/>
        </w:rPr>
      </w:pPr>
    </w:p>
    <w:p w14:paraId="1249258B">
      <w:pPr>
        <w:pStyle w:val="19"/>
        <w:spacing w:line="276" w:lineRule="auto"/>
        <w:jc w:val="both"/>
        <w:rPr>
          <w:rFonts w:asciiTheme="minorHAnsi" w:hAnsiTheme="minorHAnsi" w:cstheme="minorHAnsi"/>
          <w:sz w:val="21"/>
          <w:szCs w:val="21"/>
        </w:rPr>
      </w:pPr>
      <w:r>
        <w:rPr>
          <w:rFonts w:asciiTheme="minorHAnsi" w:hAnsiTheme="minorHAnsi" w:cstheme="minorHAnsi"/>
          <w:b/>
          <w:bCs/>
          <w:sz w:val="21"/>
          <w:szCs w:val="21"/>
        </w:rPr>
        <w:t>5. DA APRESENTAÇÃO DA PROPOSTA E DOS DOCUMENTOS DE HABILITAÇÃO</w:t>
      </w:r>
    </w:p>
    <w:p w14:paraId="29A87530">
      <w:pPr>
        <w:pStyle w:val="19"/>
        <w:spacing w:line="276" w:lineRule="auto"/>
        <w:jc w:val="both"/>
        <w:rPr>
          <w:rFonts w:asciiTheme="minorHAnsi" w:hAnsiTheme="minorHAnsi" w:cstheme="minorHAnsi"/>
          <w:sz w:val="21"/>
          <w:szCs w:val="21"/>
        </w:rPr>
      </w:pPr>
    </w:p>
    <w:p w14:paraId="0074F26B">
      <w:pPr>
        <w:pStyle w:val="19"/>
        <w:numPr>
          <w:ilvl w:val="1"/>
          <w:numId w:val="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Na presente licitação, a fase de habilitação sucederá as fases de apresentação de propostas e lances e de </w:t>
      </w:r>
      <w:r>
        <w:rPr>
          <w:rFonts w:asciiTheme="minorHAnsi" w:hAnsiTheme="minorHAnsi" w:cstheme="minorHAnsi"/>
          <w:color w:val="auto"/>
          <w:sz w:val="21"/>
          <w:szCs w:val="21"/>
        </w:rPr>
        <w:t xml:space="preserve">julgamento. </w:t>
      </w:r>
    </w:p>
    <w:p w14:paraId="70E09508">
      <w:pPr>
        <w:pStyle w:val="19"/>
        <w:spacing w:line="276" w:lineRule="auto"/>
        <w:ind w:left="360"/>
        <w:jc w:val="both"/>
        <w:rPr>
          <w:rFonts w:asciiTheme="minorHAnsi" w:hAnsiTheme="minorHAnsi" w:cstheme="minorHAnsi"/>
          <w:sz w:val="21"/>
          <w:szCs w:val="21"/>
        </w:rPr>
      </w:pPr>
    </w:p>
    <w:p w14:paraId="218499E9">
      <w:pPr>
        <w:pStyle w:val="19"/>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 Os licitantes encaminharão, exclusivamente por meio do sistema eletrônico, a proposta </w:t>
      </w:r>
      <w:r>
        <w:rPr>
          <w:rFonts w:asciiTheme="minorHAnsi" w:hAnsiTheme="minorHAnsi" w:cstheme="minorHAnsi"/>
          <w:color w:val="auto"/>
          <w:sz w:val="21"/>
          <w:szCs w:val="21"/>
        </w:rPr>
        <w:t xml:space="preserve">com o preço ou o percentual de desconto, conforme o critério de julgamento adotado neste Edital, até a data e o horário estabelecidos para abertura da sessão pública. </w:t>
      </w:r>
    </w:p>
    <w:p w14:paraId="217286C1">
      <w:pPr>
        <w:pStyle w:val="19"/>
        <w:spacing w:line="276" w:lineRule="auto"/>
        <w:jc w:val="both"/>
        <w:rPr>
          <w:rFonts w:asciiTheme="minorHAnsi" w:hAnsiTheme="minorHAnsi" w:cstheme="minorHAnsi"/>
          <w:color w:val="auto"/>
          <w:sz w:val="21"/>
          <w:szCs w:val="21"/>
        </w:rPr>
      </w:pPr>
    </w:p>
    <w:p w14:paraId="1F43FEC9">
      <w:pPr>
        <w:pStyle w:val="19"/>
        <w:numPr>
          <w:ilvl w:val="1"/>
          <w:numId w:val="8"/>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No cadastramento da proposta inicial, o licitante declarará, em campo próprio do sistema, que:</w:t>
      </w:r>
    </w:p>
    <w:p w14:paraId="77114B78">
      <w:pPr>
        <w:pStyle w:val="19"/>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 </w:t>
      </w:r>
    </w:p>
    <w:p w14:paraId="6D893F67">
      <w:pPr>
        <w:pStyle w:val="19"/>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emprega menor de 18 anos em trabalho noturno, perigoso ou insalubre e não emprega menor de 16 anos, salvo menor, a partir de 14 anos, na condição de aprendiz, nos termos do artigo 7°, XXXIII, da Constituição; </w:t>
      </w:r>
    </w:p>
    <w:p w14:paraId="663084C2">
      <w:pPr>
        <w:pStyle w:val="19"/>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Não possui empregados executando trabalho degradante ou forçado, observando o disposto nos incisos III e IV do art. 1º e no inciso III do art. 5º da Constituição Federal; </w:t>
      </w:r>
    </w:p>
    <w:p w14:paraId="651A688A">
      <w:pPr>
        <w:pStyle w:val="19"/>
        <w:numPr>
          <w:ilvl w:val="2"/>
          <w:numId w:val="8"/>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Cumpre as exigências de reserva de cargos para pessoa com deficiência e para reabilitado da Previdência Social, previstas em lei e em outras normas especificas. </w:t>
      </w:r>
    </w:p>
    <w:p w14:paraId="706F9641">
      <w:pPr>
        <w:pStyle w:val="19"/>
        <w:spacing w:line="276" w:lineRule="auto"/>
        <w:ind w:left="851"/>
        <w:jc w:val="both"/>
        <w:rPr>
          <w:rFonts w:asciiTheme="minorHAnsi" w:hAnsiTheme="minorHAnsi" w:cstheme="minorHAnsi"/>
          <w:color w:val="auto"/>
          <w:sz w:val="21"/>
          <w:szCs w:val="21"/>
        </w:rPr>
      </w:pPr>
    </w:p>
    <w:p w14:paraId="41297583">
      <w:pPr>
        <w:pStyle w:val="19"/>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5.4. O licitante organizado em cooperativa deverá declarar, ainda, em campo próprio do sistema eletrônico, que cumpre os requisitos estabelecidos no artigo 16 da Lei Federal  nº 14.133, de 2021. </w:t>
      </w:r>
    </w:p>
    <w:p w14:paraId="65F45161">
      <w:pPr>
        <w:pStyle w:val="19"/>
        <w:spacing w:line="276" w:lineRule="auto"/>
        <w:jc w:val="both"/>
        <w:rPr>
          <w:rFonts w:asciiTheme="minorHAnsi" w:hAnsiTheme="minorHAnsi" w:cstheme="minorHAnsi"/>
          <w:color w:val="auto"/>
          <w:sz w:val="21"/>
          <w:szCs w:val="21"/>
        </w:rPr>
      </w:pPr>
    </w:p>
    <w:p w14:paraId="26E67B05">
      <w:pPr>
        <w:pStyle w:val="19"/>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5.5.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Federal n.º 14.133, de 2021. </w:t>
      </w:r>
    </w:p>
    <w:p w14:paraId="4BB051CE">
      <w:pPr>
        <w:pStyle w:val="19"/>
        <w:spacing w:line="276" w:lineRule="auto"/>
        <w:jc w:val="both"/>
        <w:rPr>
          <w:rFonts w:asciiTheme="minorHAnsi" w:hAnsiTheme="minorHAnsi" w:cstheme="minorHAnsi"/>
          <w:color w:val="auto"/>
          <w:sz w:val="21"/>
          <w:szCs w:val="21"/>
        </w:rPr>
      </w:pPr>
    </w:p>
    <w:p w14:paraId="085B6B59">
      <w:pPr>
        <w:pStyle w:val="19"/>
        <w:numPr>
          <w:ilvl w:val="2"/>
          <w:numId w:val="9"/>
        </w:numPr>
        <w:spacing w:line="276" w:lineRule="auto"/>
        <w:ind w:hanging="11"/>
        <w:jc w:val="both"/>
        <w:rPr>
          <w:rFonts w:asciiTheme="minorHAnsi" w:hAnsiTheme="minorHAnsi" w:cstheme="minorHAnsi"/>
          <w:sz w:val="21"/>
          <w:szCs w:val="21"/>
        </w:rPr>
      </w:pPr>
      <w:r>
        <w:rPr>
          <w:rFonts w:asciiTheme="minorHAnsi" w:hAnsiTheme="minorHAnsi" w:cstheme="minorHAnsi"/>
          <w:sz w:val="21"/>
          <w:szCs w:val="21"/>
        </w:rPr>
        <w:t xml:space="preserve">No item exclusivo para participação de microempresas e empresas de pequeno porte, a assinalação do campo “não” impedirá o prosseguimento no certame, para aquele item; </w:t>
      </w:r>
    </w:p>
    <w:p w14:paraId="3631F971">
      <w:pPr>
        <w:pStyle w:val="19"/>
        <w:numPr>
          <w:ilvl w:val="2"/>
          <w:numId w:val="9"/>
        </w:numPr>
        <w:spacing w:line="276" w:lineRule="auto"/>
        <w:ind w:hanging="11"/>
        <w:jc w:val="both"/>
        <w:rPr>
          <w:rFonts w:asciiTheme="minorHAnsi" w:hAnsiTheme="minorHAnsi" w:cstheme="minorHAnsi"/>
          <w:color w:val="auto"/>
          <w:sz w:val="21"/>
          <w:szCs w:val="21"/>
        </w:rPr>
      </w:pPr>
      <w:r>
        <w:rPr>
          <w:rFonts w:asciiTheme="minorHAnsi" w:hAnsiTheme="minorHAnsi" w:cstheme="minorHAnsi"/>
          <w:sz w:val="21"/>
          <w:szCs w:val="21"/>
        </w:rPr>
        <w:t xml:space="preserve">Nos itens em </w:t>
      </w:r>
      <w:r>
        <w:rPr>
          <w:rFonts w:asciiTheme="minorHAnsi" w:hAnsiTheme="minorHAnsi" w:cstheme="minorHAnsi"/>
          <w:color w:val="auto"/>
          <w:sz w:val="21"/>
          <w:szCs w:val="21"/>
        </w:rPr>
        <w:t xml:space="preserve">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 </w:t>
      </w:r>
    </w:p>
    <w:p w14:paraId="3D03F2CA">
      <w:pPr>
        <w:pStyle w:val="19"/>
        <w:spacing w:line="276" w:lineRule="auto"/>
        <w:ind w:left="720"/>
        <w:jc w:val="both"/>
        <w:rPr>
          <w:rFonts w:asciiTheme="minorHAnsi" w:hAnsiTheme="minorHAnsi" w:cstheme="minorHAnsi"/>
          <w:color w:val="auto"/>
          <w:sz w:val="21"/>
          <w:szCs w:val="21"/>
        </w:rPr>
      </w:pPr>
    </w:p>
    <w:p w14:paraId="3DBE1CAB">
      <w:pPr>
        <w:pStyle w:val="19"/>
        <w:numPr>
          <w:ilvl w:val="1"/>
          <w:numId w:val="9"/>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falsidade da declaração de que trata os itens 5.3 ou 5.5 sujeitará o licitante às sanções previstas na Lei Federal nº 14.133, de 2021, e neste Edital. </w:t>
      </w:r>
    </w:p>
    <w:p w14:paraId="1184A94B">
      <w:pPr>
        <w:pStyle w:val="19"/>
        <w:spacing w:line="276" w:lineRule="auto"/>
        <w:jc w:val="both"/>
        <w:rPr>
          <w:rFonts w:asciiTheme="minorHAnsi" w:hAnsiTheme="minorHAnsi" w:cstheme="minorHAnsi"/>
          <w:color w:val="auto"/>
          <w:sz w:val="21"/>
          <w:szCs w:val="21"/>
        </w:rPr>
      </w:pPr>
    </w:p>
    <w:p w14:paraId="3E0A8D39">
      <w:pPr>
        <w:pStyle w:val="19"/>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 xml:space="preserve">Os licitantes poderão retirar ou substituir a proposta ou, na hipótese de a fase de habilitação anteceder as fases de apresentação de propostas e lances e de julgamento, os documentos de habilitação anteriormente </w:t>
      </w:r>
      <w:r>
        <w:rPr>
          <w:rFonts w:asciiTheme="minorHAnsi" w:hAnsiTheme="minorHAnsi" w:cstheme="minorHAnsi"/>
          <w:sz w:val="21"/>
          <w:szCs w:val="21"/>
        </w:rPr>
        <w:t xml:space="preserve">inseridos no sistema, até a abertura da sessão pública. </w:t>
      </w:r>
    </w:p>
    <w:p w14:paraId="48A214CD">
      <w:pPr>
        <w:pStyle w:val="19"/>
        <w:spacing w:line="276" w:lineRule="auto"/>
        <w:jc w:val="both"/>
        <w:rPr>
          <w:rFonts w:asciiTheme="minorHAnsi" w:hAnsiTheme="minorHAnsi" w:cstheme="minorHAnsi"/>
          <w:sz w:val="21"/>
          <w:szCs w:val="21"/>
        </w:rPr>
      </w:pPr>
    </w:p>
    <w:p w14:paraId="6B4E02E6">
      <w:pPr>
        <w:pStyle w:val="19"/>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Não haverá ordem de classificação na etapa de apresentação da proposta e dos documentos de habilitação pelo licitante, o que ocorrerá somente após os procedimentos de abertura da sessão pública e da fase de envio de lances. </w:t>
      </w:r>
    </w:p>
    <w:p w14:paraId="64ECAD45">
      <w:pPr>
        <w:pStyle w:val="19"/>
        <w:spacing w:line="276" w:lineRule="auto"/>
        <w:jc w:val="both"/>
        <w:rPr>
          <w:rFonts w:asciiTheme="minorHAnsi" w:hAnsiTheme="minorHAnsi" w:cstheme="minorHAnsi"/>
          <w:sz w:val="21"/>
          <w:szCs w:val="21"/>
        </w:rPr>
      </w:pPr>
    </w:p>
    <w:p w14:paraId="7D46EE54">
      <w:pPr>
        <w:pStyle w:val="19"/>
        <w:numPr>
          <w:ilvl w:val="1"/>
          <w:numId w:val="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Serão disponibilizados para acesso público os documentos que compõem a proposta dos licitantes convocados para apresentação de propostas, a partir da fase de julgamento e aceitação das propostas</w:t>
      </w:r>
      <w:r>
        <w:rPr>
          <w:rFonts w:asciiTheme="minorHAnsi" w:hAnsiTheme="minorHAnsi" w:cstheme="minorHAnsi"/>
          <w:sz w:val="21"/>
          <w:szCs w:val="21"/>
        </w:rPr>
        <w:t xml:space="preserve">. </w:t>
      </w:r>
    </w:p>
    <w:p w14:paraId="6C7CB0E3">
      <w:pPr>
        <w:pStyle w:val="19"/>
        <w:spacing w:line="276" w:lineRule="auto"/>
        <w:jc w:val="both"/>
        <w:rPr>
          <w:rFonts w:asciiTheme="minorHAnsi" w:hAnsiTheme="minorHAnsi" w:cstheme="minorHAnsi"/>
          <w:sz w:val="21"/>
          <w:szCs w:val="21"/>
        </w:rPr>
      </w:pPr>
    </w:p>
    <w:p w14:paraId="7ABEF73A">
      <w:pPr>
        <w:pStyle w:val="25"/>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Caberá ao licitante interessado em participar da licitação </w:t>
      </w:r>
      <w:r>
        <w:rPr>
          <w:rFonts w:asciiTheme="minorHAnsi" w:hAnsiTheme="minorHAnsi" w:cstheme="minorHAnsi"/>
          <w:color w:val="auto"/>
          <w:sz w:val="21"/>
          <w:szCs w:val="21"/>
        </w:rPr>
        <w:t>acompanhar as operações no sistema eletrônico durante o processo licitatório e se responsabilizar pelo ônus decorrente da perda de negócios diante da inobservância de mensagens emitidas pela Administração ou de sua desconexão.</w:t>
      </w:r>
    </w:p>
    <w:p w14:paraId="55665B0D">
      <w:pPr>
        <w:pStyle w:val="25"/>
        <w:numPr>
          <w:ilvl w:val="0"/>
          <w:numId w:val="0"/>
        </w:numPr>
        <w:spacing w:before="0" w:after="0"/>
        <w:rPr>
          <w:rFonts w:eastAsia="Times New Roman" w:asciiTheme="minorHAnsi" w:hAnsiTheme="minorHAnsi" w:cstheme="minorHAnsi"/>
          <w:color w:val="auto"/>
          <w:sz w:val="21"/>
          <w:szCs w:val="21"/>
        </w:rPr>
      </w:pPr>
    </w:p>
    <w:p w14:paraId="34C44D1E">
      <w:pPr>
        <w:pStyle w:val="25"/>
        <w:numPr>
          <w:ilvl w:val="1"/>
          <w:numId w:val="9"/>
        </w:numPr>
        <w:spacing w:before="0" w:after="0"/>
        <w:ind w:left="0" w:firstLine="0"/>
        <w:rPr>
          <w:rFonts w:eastAsia="Times New Roman" w:asciiTheme="minorHAnsi" w:hAnsiTheme="minorHAnsi" w:cstheme="minorHAnsi"/>
          <w:color w:val="auto"/>
          <w:sz w:val="21"/>
          <w:szCs w:val="21"/>
        </w:rPr>
      </w:pPr>
      <w:r>
        <w:rPr>
          <w:rFonts w:eastAsia="Times New Roman" w:asciiTheme="minorHAnsi" w:hAnsiTheme="minorHAnsi" w:cstheme="minorHAnsi"/>
          <w:color w:val="auto"/>
          <w:sz w:val="21"/>
          <w:szCs w:val="21"/>
        </w:rPr>
        <w:t xml:space="preserve">O licitante deverá </w:t>
      </w:r>
      <w:r>
        <w:rPr>
          <w:rFonts w:asciiTheme="minorHAnsi" w:hAnsiTheme="minorHAnsi" w:cstheme="minorHAnsi"/>
          <w:color w:val="auto"/>
          <w:sz w:val="21"/>
          <w:szCs w:val="21"/>
        </w:rPr>
        <w:t>comunicar imediatamente ao provedor do sistema qualquer acontecimento que possa comprometer o sigilo ou a segurança, para providências</w:t>
      </w:r>
    </w:p>
    <w:p w14:paraId="27BCFA96">
      <w:pPr>
        <w:pStyle w:val="19"/>
        <w:spacing w:line="276" w:lineRule="auto"/>
        <w:jc w:val="both"/>
        <w:rPr>
          <w:rFonts w:asciiTheme="minorHAnsi" w:hAnsiTheme="minorHAnsi" w:cstheme="minorHAnsi"/>
          <w:sz w:val="21"/>
          <w:szCs w:val="21"/>
        </w:rPr>
      </w:pPr>
    </w:p>
    <w:p w14:paraId="1A65FE22">
      <w:pPr>
        <w:pStyle w:val="19"/>
        <w:spacing w:line="276" w:lineRule="auto"/>
        <w:ind w:left="360"/>
        <w:jc w:val="both"/>
        <w:rPr>
          <w:rFonts w:asciiTheme="minorHAnsi" w:hAnsiTheme="minorHAnsi" w:cstheme="minorHAnsi"/>
          <w:sz w:val="21"/>
          <w:szCs w:val="21"/>
        </w:rPr>
      </w:pPr>
      <w:r>
        <w:rPr>
          <w:rFonts w:asciiTheme="minorHAnsi" w:hAnsiTheme="minorHAnsi" w:cstheme="minorHAnsi"/>
          <w:b/>
          <w:bCs/>
          <w:sz w:val="21"/>
          <w:szCs w:val="21"/>
        </w:rPr>
        <w:t>6. DO PREENCHIMENTO DA PROPOSTA</w:t>
      </w:r>
    </w:p>
    <w:p w14:paraId="79B66205">
      <w:pPr>
        <w:pStyle w:val="19"/>
        <w:spacing w:line="276" w:lineRule="auto"/>
        <w:jc w:val="both"/>
        <w:rPr>
          <w:rFonts w:asciiTheme="minorHAnsi" w:hAnsiTheme="minorHAnsi" w:cstheme="minorHAnsi"/>
          <w:color w:val="auto"/>
          <w:sz w:val="21"/>
          <w:szCs w:val="21"/>
        </w:rPr>
      </w:pPr>
    </w:p>
    <w:p w14:paraId="3EB8E674">
      <w:pPr>
        <w:pStyle w:val="27"/>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6.1. As licitações aptas para o recebimento de propostas estão disponíveis na Plataforma BBMNET no menu </w:t>
      </w:r>
      <w:r>
        <w:rPr>
          <w:rFonts w:asciiTheme="minorHAnsi" w:hAnsiTheme="minorHAnsi" w:cstheme="minorHAnsi"/>
          <w:b/>
          <w:bCs/>
          <w:color w:val="auto"/>
          <w:sz w:val="21"/>
          <w:szCs w:val="21"/>
        </w:rPr>
        <w:t>“Sala de Disputa”,</w:t>
      </w:r>
      <w:r>
        <w:rPr>
          <w:rFonts w:asciiTheme="minorHAnsi" w:hAnsiTheme="minorHAnsi" w:cstheme="minorHAnsi"/>
          <w:color w:val="auto"/>
          <w:sz w:val="21"/>
          <w:szCs w:val="21"/>
        </w:rPr>
        <w:t xml:space="preserve"> no campo das licitações na coluna (menu) da etapa </w:t>
      </w:r>
      <w:r>
        <w:rPr>
          <w:rFonts w:asciiTheme="minorHAnsi" w:hAnsiTheme="minorHAnsi" w:cstheme="minorHAnsi"/>
          <w:b/>
          <w:bCs/>
          <w:color w:val="auto"/>
          <w:sz w:val="21"/>
          <w:szCs w:val="21"/>
        </w:rPr>
        <w:t>“Aberto para receber propostas”</w:t>
      </w:r>
      <w:r>
        <w:rPr>
          <w:rFonts w:asciiTheme="minorHAnsi" w:hAnsiTheme="minorHAnsi" w:cstheme="minorHAnsi"/>
          <w:color w:val="auto"/>
          <w:sz w:val="21"/>
          <w:szCs w:val="21"/>
        </w:rPr>
        <w:t xml:space="preserve">. </w:t>
      </w:r>
    </w:p>
    <w:p w14:paraId="295A370C">
      <w:pPr>
        <w:pStyle w:val="27"/>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6.1.1. licitante interessado poderá utilizar filtros de buscas e selecionar o lote/item de interesse e, posteriormente preencher os campos exigidos no sistema e finalizar no comando “enviar proposta”.</w:t>
      </w:r>
    </w:p>
    <w:p w14:paraId="730189CA">
      <w:pPr>
        <w:pStyle w:val="27"/>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6.1.2. O licitante deverá enviar a sua proposta mediante o preenchimento prévio das informações exigidas no Sistema.  </w:t>
      </w:r>
    </w:p>
    <w:p w14:paraId="44B07907">
      <w:pPr>
        <w:pStyle w:val="27"/>
        <w:numPr>
          <w:ilvl w:val="0"/>
          <w:numId w:val="0"/>
        </w:numPr>
        <w:tabs>
          <w:tab w:val="left" w:pos="567"/>
        </w:tabs>
        <w:spacing w:before="0" w:after="0"/>
        <w:ind w:left="851"/>
        <w:rPr>
          <w:rFonts w:asciiTheme="minorHAnsi" w:hAnsiTheme="minorHAnsi" w:cstheme="minorHAnsi"/>
          <w:color w:val="auto"/>
          <w:sz w:val="21"/>
          <w:szCs w:val="21"/>
        </w:rPr>
      </w:pPr>
      <w:r>
        <w:rPr>
          <w:rFonts w:asciiTheme="minorHAnsi" w:hAnsiTheme="minorHAnsi" w:cstheme="minorHAnsi"/>
          <w:color w:val="auto"/>
          <w:sz w:val="21"/>
          <w:szCs w:val="21"/>
        </w:rPr>
        <w:t xml:space="preserve">6.1.3. O Acesso para participar das licitações está condicionado ao cadastro prévio do interessado na Plataforma BBMNET Licitações.      </w:t>
      </w:r>
    </w:p>
    <w:p w14:paraId="5C520902">
      <w:pPr>
        <w:pStyle w:val="27"/>
        <w:numPr>
          <w:ilvl w:val="0"/>
          <w:numId w:val="0"/>
        </w:numPr>
        <w:tabs>
          <w:tab w:val="left" w:pos="567"/>
        </w:tabs>
        <w:spacing w:before="0" w:after="0"/>
        <w:ind w:left="851"/>
        <w:rPr>
          <w:rFonts w:asciiTheme="minorHAnsi" w:hAnsiTheme="minorHAnsi" w:cstheme="minorHAnsi"/>
          <w:color w:val="auto"/>
          <w:sz w:val="21"/>
          <w:szCs w:val="21"/>
        </w:rPr>
      </w:pPr>
    </w:p>
    <w:p w14:paraId="29C32702">
      <w:pPr>
        <w:pStyle w:val="2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6.2. Todas as especificações do objeto contidas na proposta vinculam o licitante.</w:t>
      </w:r>
    </w:p>
    <w:p w14:paraId="4E4FDDC4">
      <w:pPr>
        <w:pStyle w:val="25"/>
        <w:numPr>
          <w:ilvl w:val="0"/>
          <w:numId w:val="0"/>
        </w:numPr>
        <w:spacing w:before="0" w:after="0"/>
        <w:rPr>
          <w:rFonts w:asciiTheme="minorHAnsi" w:hAnsiTheme="minorHAnsi" w:cstheme="minorHAnsi"/>
          <w:color w:val="auto"/>
          <w:sz w:val="21"/>
          <w:szCs w:val="21"/>
        </w:rPr>
      </w:pPr>
    </w:p>
    <w:p w14:paraId="120F44D0">
      <w:pPr>
        <w:pStyle w:val="2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6.3. Nos valores propostos estarão inclusos todos os custos operacionais, encargos previdenciários, trabalhistas, tributários, comerciais e quaisquer outros que incidam direta ou indiretamente na execução do objeto.</w:t>
      </w:r>
    </w:p>
    <w:p w14:paraId="00DF6412">
      <w:pPr>
        <w:pStyle w:val="25"/>
        <w:numPr>
          <w:ilvl w:val="0"/>
          <w:numId w:val="0"/>
        </w:numPr>
        <w:spacing w:before="0" w:after="0"/>
        <w:rPr>
          <w:rFonts w:asciiTheme="minorHAnsi" w:hAnsiTheme="minorHAnsi" w:cstheme="minorHAnsi"/>
          <w:color w:val="auto"/>
          <w:sz w:val="21"/>
          <w:szCs w:val="21"/>
        </w:rPr>
      </w:pPr>
    </w:p>
    <w:p w14:paraId="2667CFB8">
      <w:pPr>
        <w:pStyle w:val="2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6.4. Os preços ofertados, tanto na proposta inicial, quanto na etapa de lances, serão de exclusiva responsabilidade do licitante. </w:t>
      </w:r>
    </w:p>
    <w:p w14:paraId="71C39475">
      <w:pPr>
        <w:pStyle w:val="25"/>
        <w:numPr>
          <w:ilvl w:val="0"/>
          <w:numId w:val="0"/>
        </w:numPr>
        <w:spacing w:before="0" w:after="0"/>
        <w:rPr>
          <w:rFonts w:asciiTheme="minorHAnsi" w:hAnsiTheme="minorHAnsi" w:cstheme="minorHAnsi"/>
          <w:color w:val="auto"/>
          <w:sz w:val="21"/>
          <w:szCs w:val="21"/>
        </w:rPr>
      </w:pPr>
    </w:p>
    <w:p w14:paraId="77988947">
      <w:pPr>
        <w:pStyle w:val="25"/>
        <w:numPr>
          <w:ilvl w:val="0"/>
          <w:numId w:val="0"/>
        </w:numPr>
        <w:spacing w:before="0" w:after="0"/>
        <w:rPr>
          <w:rFonts w:asciiTheme="minorHAnsi" w:hAnsiTheme="minorHAnsi" w:cstheme="minorHAnsi"/>
          <w:color w:val="auto"/>
          <w:sz w:val="21"/>
          <w:szCs w:val="21"/>
        </w:rPr>
      </w:pPr>
      <w:r>
        <w:rPr>
          <w:rFonts w:asciiTheme="minorHAnsi" w:hAnsiTheme="minorHAnsi" w:cstheme="minorHAnsi"/>
          <w:color w:val="auto"/>
          <w:sz w:val="21"/>
          <w:szCs w:val="21"/>
        </w:rPr>
        <w:t xml:space="preserve">6.5. Se o regime tributário da empresa implicar o recolhimento de tributos em percentuais variáveis, a cotação adequada será a que corresponde à média dos efetivos recolhimentos da empresa nos últimos doze meses. </w:t>
      </w:r>
    </w:p>
    <w:p w14:paraId="20C83774">
      <w:pPr>
        <w:pStyle w:val="25"/>
        <w:numPr>
          <w:ilvl w:val="0"/>
          <w:numId w:val="0"/>
        </w:numPr>
        <w:spacing w:before="0" w:after="0"/>
        <w:rPr>
          <w:rFonts w:asciiTheme="minorHAnsi" w:hAnsiTheme="minorHAnsi" w:cstheme="minorHAnsi"/>
          <w:color w:val="auto"/>
          <w:sz w:val="21"/>
          <w:szCs w:val="21"/>
        </w:rPr>
      </w:pPr>
    </w:p>
    <w:p w14:paraId="31D754EA">
      <w:pPr>
        <w:pStyle w:val="25"/>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Independentemente do percentual de tributo inserido na planilha, no pagamento serão retidos na fonte os percentuais estabelecidos na legislação vigente, conforme Decreto Municipal nº 322/2023. </w:t>
      </w:r>
    </w:p>
    <w:p w14:paraId="037CC962">
      <w:pPr>
        <w:pStyle w:val="25"/>
        <w:numPr>
          <w:ilvl w:val="0"/>
          <w:numId w:val="0"/>
        </w:numPr>
        <w:spacing w:before="0" w:after="0"/>
        <w:rPr>
          <w:rFonts w:asciiTheme="minorHAnsi" w:hAnsiTheme="minorHAnsi" w:cstheme="minorHAnsi"/>
          <w:color w:val="auto"/>
          <w:sz w:val="21"/>
          <w:szCs w:val="21"/>
        </w:rPr>
      </w:pPr>
    </w:p>
    <w:p w14:paraId="2CE1730B">
      <w:pPr>
        <w:pStyle w:val="25"/>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Os licitantes poderão retirar ou substituir a proposta ou os documentos de habilitação anteriormente inseridos no sistema, dentro do período em que o sistema esteja aberto para o recebimento de proposta. Os documentos de habilitação não poderão ser excluídos ou alterados a partir do prazo em que recebimentos das propostas estiver encerrado. </w:t>
      </w:r>
    </w:p>
    <w:p w14:paraId="37B5A21B">
      <w:pPr>
        <w:pStyle w:val="25"/>
        <w:numPr>
          <w:ilvl w:val="0"/>
          <w:numId w:val="0"/>
        </w:numPr>
        <w:tabs>
          <w:tab w:val="left" w:pos="426"/>
        </w:tabs>
        <w:spacing w:before="0" w:after="0" w:line="240" w:lineRule="auto"/>
        <w:rPr>
          <w:rFonts w:asciiTheme="minorHAnsi" w:hAnsiTheme="minorHAnsi" w:cstheme="minorHAnsi"/>
          <w:color w:val="auto"/>
          <w:sz w:val="21"/>
          <w:szCs w:val="21"/>
        </w:rPr>
      </w:pPr>
    </w:p>
    <w:p w14:paraId="60074543">
      <w:pPr>
        <w:pStyle w:val="25"/>
        <w:numPr>
          <w:ilvl w:val="1"/>
          <w:numId w:val="10"/>
        </w:numPr>
        <w:tabs>
          <w:tab w:val="left" w:pos="426"/>
        </w:tabs>
        <w:spacing w:before="0" w:after="0"/>
        <w:ind w:left="0" w:firstLine="0"/>
        <w:rPr>
          <w:rFonts w:asciiTheme="minorHAnsi" w:hAnsiTheme="minorHAnsi" w:cstheme="minorHAnsi"/>
          <w:color w:val="auto"/>
          <w:sz w:val="21"/>
          <w:szCs w:val="21"/>
        </w:rPr>
      </w:pPr>
      <w:r>
        <w:rPr>
          <w:rFonts w:asciiTheme="minorHAnsi" w:hAnsiTheme="minorHAnsi" w:cstheme="minorHAnsi"/>
          <w:color w:val="auto"/>
          <w:sz w:val="21"/>
          <w:szCs w:val="21"/>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28FAA67">
      <w:pPr>
        <w:pStyle w:val="25"/>
        <w:numPr>
          <w:ilvl w:val="0"/>
          <w:numId w:val="0"/>
        </w:numPr>
        <w:tabs>
          <w:tab w:val="left" w:pos="426"/>
        </w:tabs>
        <w:spacing w:before="0" w:after="0" w:line="240" w:lineRule="auto"/>
        <w:rPr>
          <w:rFonts w:asciiTheme="minorHAnsi" w:hAnsiTheme="minorHAnsi" w:cstheme="minorHAnsi"/>
          <w:color w:val="auto"/>
          <w:sz w:val="21"/>
          <w:szCs w:val="21"/>
        </w:rPr>
      </w:pPr>
    </w:p>
    <w:p w14:paraId="11F8F422">
      <w:pPr>
        <w:pStyle w:val="25"/>
        <w:numPr>
          <w:ilvl w:val="1"/>
          <w:numId w:val="10"/>
        </w:numPr>
        <w:spacing w:before="0" w:after="0"/>
        <w:ind w:left="0" w:firstLine="0"/>
        <w:rPr>
          <w:rFonts w:eastAsia="Calibri" w:asciiTheme="minorHAnsi" w:hAnsiTheme="minorHAnsi" w:cstheme="minorHAnsi"/>
          <w:color w:val="auto"/>
          <w:sz w:val="21"/>
          <w:szCs w:val="21"/>
        </w:rPr>
      </w:pPr>
      <w:r>
        <w:rPr>
          <w:rFonts w:asciiTheme="minorHAnsi" w:hAnsiTheme="minorHAnsi" w:eastAsiaTheme="majorEastAsia" w:cstheme="minorHAnsi"/>
          <w:color w:val="auto"/>
          <w:sz w:val="21"/>
          <w:szCs w:val="21"/>
        </w:rPr>
        <w:t>A</w:t>
      </w:r>
      <w:r>
        <w:rPr>
          <w:rFonts w:eastAsia="Calibri" w:asciiTheme="minorHAnsi" w:hAnsiTheme="minorHAnsi" w:cstheme="minorHAnsi"/>
          <w:color w:val="auto"/>
          <w:sz w:val="21"/>
          <w:szCs w:val="21"/>
        </w:rPr>
        <w:t xml:space="preserve">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65C241B9">
      <w:pPr>
        <w:pStyle w:val="25"/>
        <w:numPr>
          <w:ilvl w:val="0"/>
          <w:numId w:val="0"/>
        </w:numPr>
        <w:spacing w:before="0" w:after="0"/>
        <w:rPr>
          <w:rFonts w:eastAsia="Calibri" w:asciiTheme="minorHAnsi" w:hAnsiTheme="minorHAnsi" w:cstheme="minorHAnsi"/>
          <w:color w:val="auto"/>
          <w:sz w:val="21"/>
          <w:szCs w:val="21"/>
        </w:rPr>
      </w:pPr>
    </w:p>
    <w:p w14:paraId="16BA7932">
      <w:pPr>
        <w:pStyle w:val="25"/>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 xml:space="preserve">O prazo de validade da proposta não será inferior a </w:t>
      </w:r>
      <w:r>
        <w:rPr>
          <w:rFonts w:eastAsia="Calibri" w:asciiTheme="minorHAnsi" w:hAnsiTheme="minorHAnsi" w:cstheme="minorHAnsi"/>
          <w:b/>
          <w:bCs/>
          <w:color w:val="auto"/>
          <w:sz w:val="21"/>
          <w:szCs w:val="21"/>
        </w:rPr>
        <w:t>60 (sessenta) dias</w:t>
      </w:r>
      <w:r>
        <w:rPr>
          <w:rFonts w:eastAsia="Calibri" w:asciiTheme="minorHAnsi" w:hAnsiTheme="minorHAnsi" w:cstheme="minorHAnsi"/>
          <w:color w:val="auto"/>
          <w:sz w:val="21"/>
          <w:szCs w:val="21"/>
        </w:rPr>
        <w:t>, a contar da data de sua apresentação.</w:t>
      </w:r>
    </w:p>
    <w:p w14:paraId="2BFECE6F">
      <w:pPr>
        <w:pStyle w:val="25"/>
        <w:numPr>
          <w:ilvl w:val="0"/>
          <w:numId w:val="0"/>
        </w:numPr>
        <w:spacing w:before="0" w:after="0"/>
        <w:rPr>
          <w:rFonts w:eastAsia="Calibri" w:asciiTheme="minorHAnsi" w:hAnsiTheme="minorHAnsi" w:cstheme="minorHAnsi"/>
          <w:color w:val="auto"/>
          <w:sz w:val="21"/>
          <w:szCs w:val="21"/>
        </w:rPr>
      </w:pPr>
    </w:p>
    <w:p w14:paraId="0AC83986">
      <w:pPr>
        <w:pStyle w:val="25"/>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Eventual sobrepreço ou superfaturamento da proposta ou lance poderá ser objeto de apuração de responsabilidade.</w:t>
      </w:r>
    </w:p>
    <w:p w14:paraId="18DEF96E">
      <w:pPr>
        <w:pStyle w:val="25"/>
        <w:numPr>
          <w:ilvl w:val="0"/>
          <w:numId w:val="0"/>
        </w:numPr>
        <w:spacing w:before="0" w:after="0"/>
        <w:rPr>
          <w:rFonts w:eastAsia="Calibri" w:asciiTheme="minorHAnsi" w:hAnsiTheme="minorHAnsi" w:cstheme="minorHAnsi"/>
          <w:color w:val="auto"/>
          <w:sz w:val="21"/>
          <w:szCs w:val="21"/>
        </w:rPr>
      </w:pPr>
    </w:p>
    <w:p w14:paraId="3E5392A9">
      <w:pPr>
        <w:pStyle w:val="25"/>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Independente do percentual de tributo inserido na planilha, no pagamento serão retidos na fonte os percentuais estabelecidos na legislação vigente.</w:t>
      </w:r>
    </w:p>
    <w:p w14:paraId="1A4589A9">
      <w:pPr>
        <w:pStyle w:val="25"/>
        <w:numPr>
          <w:ilvl w:val="0"/>
          <w:numId w:val="0"/>
        </w:numPr>
        <w:spacing w:before="0" w:after="0"/>
        <w:rPr>
          <w:rFonts w:eastAsia="Calibri" w:asciiTheme="minorHAnsi" w:hAnsiTheme="minorHAnsi" w:cstheme="minorHAnsi"/>
          <w:color w:val="auto"/>
          <w:sz w:val="21"/>
          <w:szCs w:val="21"/>
        </w:rPr>
      </w:pPr>
    </w:p>
    <w:p w14:paraId="272E3417">
      <w:pPr>
        <w:pStyle w:val="25"/>
        <w:numPr>
          <w:ilvl w:val="1"/>
          <w:numId w:val="10"/>
        </w:numPr>
        <w:spacing w:before="0" w:after="0"/>
        <w:ind w:left="0" w:firstLine="0"/>
        <w:rPr>
          <w:rFonts w:eastAsia="Calibri" w:asciiTheme="minorHAnsi" w:hAnsiTheme="minorHAnsi" w:cstheme="minorHAnsi"/>
          <w:color w:val="auto"/>
          <w:sz w:val="21"/>
          <w:szCs w:val="21"/>
        </w:rPr>
      </w:pPr>
      <w:r>
        <w:rPr>
          <w:rFonts w:eastAsia="Calibri" w:asciiTheme="minorHAnsi" w:hAnsiTheme="minorHAnsi" w:cstheme="minorHAnsi"/>
          <w:color w:val="auto"/>
          <w:sz w:val="21"/>
          <w:szCs w:val="21"/>
        </w:rPr>
        <w:t>Quando for exigido pela Pregoeira, o licitante deverá preencher a ficha técnica do produto ou serviços, juntamente com as informações adicionais. A ficha técnica, quando obrigatória, será enviada através de comando próprio disponível no Sistema ao licitante.</w:t>
      </w:r>
    </w:p>
    <w:p w14:paraId="5BCA4F54">
      <w:pPr>
        <w:pStyle w:val="27"/>
        <w:numPr>
          <w:ilvl w:val="2"/>
          <w:numId w:val="10"/>
        </w:numPr>
        <w:tabs>
          <w:tab w:val="left" w:pos="1701"/>
        </w:tabs>
        <w:spacing w:before="0" w:after="0"/>
        <w:ind w:left="851" w:firstLine="0"/>
        <w:rPr>
          <w:rFonts w:asciiTheme="minorHAnsi" w:hAnsiTheme="minorHAnsi" w:cstheme="minorHAnsi"/>
          <w:color w:val="auto"/>
          <w:sz w:val="21"/>
          <w:szCs w:val="21"/>
        </w:rPr>
      </w:pPr>
      <w:r>
        <w:rPr>
          <w:rFonts w:asciiTheme="minorHAnsi" w:hAnsiTheme="minorHAnsi" w:cstheme="minorHAnsi"/>
          <w:color w:val="auto"/>
          <w:sz w:val="21"/>
          <w:szCs w:val="21"/>
        </w:rPr>
        <w:t xml:space="preserve">O licitante não poderá em hipótese nenhuma se identificar na ficha técnica, sob pena de desclassificação.   </w:t>
      </w:r>
    </w:p>
    <w:p w14:paraId="647A2253">
      <w:pPr>
        <w:pStyle w:val="27"/>
        <w:numPr>
          <w:ilvl w:val="0"/>
          <w:numId w:val="0"/>
        </w:numPr>
        <w:tabs>
          <w:tab w:val="left" w:pos="1701"/>
        </w:tabs>
        <w:spacing w:before="0" w:after="0"/>
        <w:ind w:left="851"/>
        <w:rPr>
          <w:rFonts w:asciiTheme="minorHAnsi" w:hAnsiTheme="minorHAnsi" w:cstheme="minorHAnsi"/>
          <w:color w:val="auto"/>
          <w:sz w:val="21"/>
          <w:szCs w:val="21"/>
        </w:rPr>
      </w:pPr>
    </w:p>
    <w:p w14:paraId="3B7EE8FD">
      <w:pPr>
        <w:pStyle w:val="19"/>
        <w:numPr>
          <w:ilvl w:val="0"/>
          <w:numId w:val="10"/>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ABERTURA DA SESSÃO, CLASSIFICAÇÃO DAS PROPOSTAS E FORMULAÇÃO DE LANCES.</w:t>
      </w:r>
    </w:p>
    <w:p w14:paraId="622C1939">
      <w:pPr>
        <w:pStyle w:val="19"/>
        <w:spacing w:line="276" w:lineRule="auto"/>
        <w:ind w:left="360"/>
        <w:jc w:val="both"/>
        <w:rPr>
          <w:rFonts w:asciiTheme="minorHAnsi" w:hAnsiTheme="minorHAnsi" w:cstheme="minorHAnsi"/>
          <w:b/>
          <w:bCs/>
          <w:color w:val="auto"/>
          <w:sz w:val="21"/>
          <w:szCs w:val="21"/>
        </w:rPr>
      </w:pPr>
    </w:p>
    <w:p w14:paraId="680BC08A">
      <w:pPr>
        <w:tabs>
          <w:tab w:val="left" w:pos="142"/>
        </w:tabs>
        <w:spacing w:line="276" w:lineRule="auto"/>
        <w:jc w:val="both"/>
        <w:rPr>
          <w:rFonts w:asciiTheme="minorHAnsi" w:hAnsiTheme="minorHAnsi" w:cstheme="minorHAnsi"/>
          <w:sz w:val="21"/>
          <w:szCs w:val="21"/>
        </w:rPr>
      </w:pPr>
      <w:r>
        <w:rPr>
          <w:rFonts w:asciiTheme="minorHAnsi" w:hAnsiTheme="minorHAnsi" w:cstheme="minorHAnsi"/>
          <w:sz w:val="21"/>
          <w:szCs w:val="21"/>
          <w:lang w:eastAsia="en-US"/>
        </w:rPr>
        <w:t xml:space="preserve">7.1. </w:t>
      </w:r>
      <w:r>
        <w:rPr>
          <w:rFonts w:asciiTheme="minorHAnsi" w:hAnsiTheme="minorHAnsi" w:cstheme="minorHAnsi"/>
          <w:sz w:val="21"/>
          <w:szCs w:val="21"/>
        </w:rPr>
        <w:t xml:space="preserve">A abertura da presente licitação dar-se-á automaticamente em sessão pública, por meio de sistema eletrônico, na data, horário e local indicados neste Edital. </w:t>
      </w:r>
    </w:p>
    <w:p w14:paraId="399D3D1B">
      <w:pPr>
        <w:tabs>
          <w:tab w:val="left" w:pos="142"/>
        </w:tabs>
        <w:spacing w:line="276" w:lineRule="auto"/>
        <w:jc w:val="both"/>
        <w:rPr>
          <w:rFonts w:asciiTheme="minorHAnsi" w:hAnsiTheme="minorHAnsi" w:cstheme="minorHAnsi"/>
          <w:sz w:val="21"/>
          <w:szCs w:val="21"/>
        </w:rPr>
      </w:pPr>
    </w:p>
    <w:p w14:paraId="760CB9DF">
      <w:pPr>
        <w:tabs>
          <w:tab w:val="left" w:pos="428"/>
        </w:tabs>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7.2. Os licitantes poderão retirar ou substituir a proposta ou os documentos de habilitação, quando for o caso, anteriormente inseridos no sistema, até a abertura da sessão pública. </w:t>
      </w:r>
    </w:p>
    <w:p w14:paraId="478B4A90">
      <w:pPr>
        <w:tabs>
          <w:tab w:val="left" w:pos="428"/>
        </w:tabs>
        <w:spacing w:line="276" w:lineRule="auto"/>
        <w:jc w:val="both"/>
        <w:rPr>
          <w:rFonts w:asciiTheme="minorHAnsi" w:hAnsiTheme="minorHAnsi" w:cstheme="minorHAnsi"/>
          <w:sz w:val="21"/>
          <w:szCs w:val="21"/>
        </w:rPr>
      </w:pPr>
    </w:p>
    <w:p w14:paraId="330B08AB">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7.3. </w:t>
      </w:r>
      <w:r>
        <w:rPr>
          <w:rFonts w:asciiTheme="minorHAnsi" w:hAnsiTheme="minorHAnsi" w:cstheme="minorHAnsi"/>
          <w:color w:val="auto"/>
          <w:sz w:val="21"/>
          <w:szCs w:val="21"/>
        </w:rPr>
        <w:t>Quando autorizado e devidamente justificado pela pregoeira, o</w:t>
      </w:r>
      <w:r>
        <w:rPr>
          <w:rFonts w:asciiTheme="minorHAnsi" w:hAnsiTheme="minorHAnsi" w:cstheme="minorHAnsi"/>
          <w:sz w:val="21"/>
          <w:szCs w:val="21"/>
        </w:rPr>
        <w:t>s licitantes poderã</w:t>
      </w:r>
      <w:r>
        <w:rPr>
          <w:rFonts w:asciiTheme="minorHAnsi" w:hAnsiTheme="minorHAnsi" w:cstheme="minorHAnsi"/>
          <w:color w:val="auto"/>
          <w:sz w:val="21"/>
          <w:szCs w:val="21"/>
        </w:rPr>
        <w:t>o alterar a proposta anteriormente inserida no sistema durante a fase de análise de propostas.</w:t>
      </w:r>
    </w:p>
    <w:p w14:paraId="0229C63F">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 7.3.1. Será desclassificada a proposta que identifique o licitante.</w:t>
      </w:r>
    </w:p>
    <w:p w14:paraId="34A5D24D">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7.3.2. A desclassificação será sempre fundamentada e registrada no sistema, com acompanhamento em tempo real por todos os participantes.</w:t>
      </w:r>
    </w:p>
    <w:p w14:paraId="6156566A">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7.3.3. A não desclassificação da proposta não impede o seu julgamento definitivo em sentido contrário, levado a efeito na fase de aceitação.</w:t>
      </w:r>
    </w:p>
    <w:p w14:paraId="2A3205E5">
      <w:pPr>
        <w:pStyle w:val="27"/>
        <w:numPr>
          <w:ilvl w:val="0"/>
          <w:numId w:val="0"/>
        </w:numPr>
        <w:spacing w:before="0" w:after="0"/>
        <w:ind w:left="851"/>
        <w:rPr>
          <w:rFonts w:asciiTheme="minorHAnsi" w:hAnsiTheme="minorHAnsi" w:cstheme="minorHAnsi"/>
          <w:sz w:val="21"/>
          <w:szCs w:val="21"/>
        </w:rPr>
      </w:pPr>
    </w:p>
    <w:p w14:paraId="339409FA">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7.4. O sistema ordenará automaticamente as propostas classificadas, sendo que somente estas participarão da fase de lances.</w:t>
      </w:r>
    </w:p>
    <w:p w14:paraId="42E60EF8">
      <w:pPr>
        <w:pStyle w:val="25"/>
        <w:numPr>
          <w:ilvl w:val="0"/>
          <w:numId w:val="0"/>
        </w:numPr>
        <w:spacing w:before="0" w:after="0"/>
        <w:rPr>
          <w:rFonts w:asciiTheme="minorHAnsi" w:hAnsiTheme="minorHAnsi" w:cstheme="minorHAnsi"/>
          <w:sz w:val="21"/>
          <w:szCs w:val="21"/>
        </w:rPr>
      </w:pPr>
    </w:p>
    <w:p w14:paraId="1329035E">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7.5. O sistema disponibilizará campo próprio para troca de mensagens entre a Pregoeira e os licitantes. </w:t>
      </w:r>
    </w:p>
    <w:p w14:paraId="11384C8B">
      <w:pPr>
        <w:pStyle w:val="19"/>
        <w:spacing w:line="276" w:lineRule="auto"/>
        <w:jc w:val="both"/>
        <w:rPr>
          <w:rFonts w:asciiTheme="minorHAnsi" w:hAnsiTheme="minorHAnsi" w:cstheme="minorHAnsi"/>
          <w:sz w:val="21"/>
          <w:szCs w:val="21"/>
        </w:rPr>
      </w:pPr>
    </w:p>
    <w:p w14:paraId="0E99D76A">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7.6. Iniciada a etapa competitiva, os licitantes deverão encaminhar lances exclusivamente por meio de sistema eletrônico, sendo imediatamente informados do seu recebimento e do valor consignado no registro. </w:t>
      </w:r>
    </w:p>
    <w:p w14:paraId="7294867B">
      <w:pPr>
        <w:pStyle w:val="19"/>
        <w:spacing w:line="276" w:lineRule="auto"/>
        <w:jc w:val="both"/>
        <w:rPr>
          <w:rFonts w:asciiTheme="minorHAnsi" w:hAnsiTheme="minorHAnsi" w:cstheme="minorHAnsi"/>
          <w:sz w:val="21"/>
          <w:szCs w:val="21"/>
        </w:rPr>
      </w:pPr>
    </w:p>
    <w:p w14:paraId="277A02BC">
      <w:pPr>
        <w:pStyle w:val="19"/>
        <w:spacing w:line="276" w:lineRule="auto"/>
        <w:jc w:val="both"/>
        <w:rPr>
          <w:rFonts w:asciiTheme="minorHAnsi" w:hAnsiTheme="minorHAnsi" w:cstheme="minorHAnsi"/>
          <w:color w:val="auto"/>
          <w:sz w:val="21"/>
          <w:szCs w:val="21"/>
        </w:rPr>
      </w:pPr>
      <w:r>
        <w:rPr>
          <w:rFonts w:asciiTheme="minorHAnsi" w:hAnsiTheme="minorHAnsi" w:cstheme="minorHAnsi"/>
          <w:sz w:val="21"/>
          <w:szCs w:val="21"/>
        </w:rPr>
        <w:t xml:space="preserve">7.7. O lance deverá ser ofertado pelo valor </w:t>
      </w:r>
      <w:r>
        <w:rPr>
          <w:rFonts w:asciiTheme="minorHAnsi" w:hAnsiTheme="minorHAnsi" w:cstheme="minorHAnsi"/>
          <w:b/>
          <w:bCs/>
          <w:color w:val="auto"/>
          <w:sz w:val="21"/>
          <w:szCs w:val="21"/>
        </w:rPr>
        <w:t>unitário do item.</w:t>
      </w:r>
    </w:p>
    <w:p w14:paraId="389E3505">
      <w:pPr>
        <w:pStyle w:val="19"/>
        <w:spacing w:line="276" w:lineRule="auto"/>
        <w:jc w:val="both"/>
        <w:rPr>
          <w:rFonts w:asciiTheme="minorHAnsi" w:hAnsiTheme="minorHAnsi" w:cstheme="minorHAnsi"/>
          <w:sz w:val="21"/>
          <w:szCs w:val="21"/>
        </w:rPr>
      </w:pPr>
    </w:p>
    <w:p w14:paraId="2529DE79">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7.8. Os licitantes poderão oferecer lances sucessivos, observando o horário fixado para abertura da sessão e as regras estabelecidas no Edital. </w:t>
      </w:r>
    </w:p>
    <w:p w14:paraId="415E829B">
      <w:pPr>
        <w:pStyle w:val="19"/>
        <w:spacing w:line="276" w:lineRule="auto"/>
        <w:jc w:val="both"/>
        <w:rPr>
          <w:rFonts w:asciiTheme="minorHAnsi" w:hAnsiTheme="minorHAnsi" w:cstheme="minorHAnsi"/>
          <w:sz w:val="21"/>
          <w:szCs w:val="21"/>
        </w:rPr>
      </w:pPr>
    </w:p>
    <w:p w14:paraId="00E2574C">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7.9. O licitante somente poderá oferecer lance de valor inferior ou percentual de desconto superior ao último por ele ofertado e registrado pelo sistema. </w:t>
      </w:r>
    </w:p>
    <w:p w14:paraId="6AEEE6FB">
      <w:pPr>
        <w:pStyle w:val="19"/>
        <w:spacing w:line="276" w:lineRule="auto"/>
        <w:jc w:val="both"/>
        <w:rPr>
          <w:rFonts w:asciiTheme="minorHAnsi" w:hAnsiTheme="minorHAnsi" w:cstheme="minorHAnsi"/>
          <w:sz w:val="21"/>
          <w:szCs w:val="21"/>
        </w:rPr>
      </w:pPr>
    </w:p>
    <w:p w14:paraId="4D725F84">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7.10. O intervalo mínimo de diferença de valores ou percentuais entre os lances, que incidirá tanto em relação aos lances intermediários quanto em relação à proposta que cobrir a melhor oferta deverá ser de</w:t>
      </w:r>
      <w:r>
        <w:rPr>
          <w:rFonts w:asciiTheme="minorHAnsi" w:hAnsiTheme="minorHAnsi" w:cstheme="minorHAnsi"/>
          <w:b/>
          <w:bCs/>
          <w:sz w:val="21"/>
          <w:szCs w:val="21"/>
        </w:rPr>
        <w:t xml:space="preserve"> </w:t>
      </w:r>
      <w:r>
        <w:rPr>
          <w:rFonts w:asciiTheme="minorHAnsi" w:hAnsiTheme="minorHAnsi" w:cstheme="minorHAnsi"/>
          <w:b/>
          <w:bCs/>
          <w:color w:val="auto"/>
          <w:sz w:val="21"/>
          <w:szCs w:val="21"/>
        </w:rPr>
        <w:t xml:space="preserve">R$ 0,01 ( um centavo). </w:t>
      </w:r>
      <w:r>
        <w:rPr>
          <w:rFonts w:asciiTheme="minorHAnsi" w:hAnsiTheme="minorHAnsi" w:cstheme="minorHAnsi"/>
          <w:color w:val="auto"/>
          <w:sz w:val="21"/>
          <w:szCs w:val="21"/>
        </w:rPr>
        <w:t xml:space="preserve"> </w:t>
      </w:r>
    </w:p>
    <w:p w14:paraId="3B13AA30">
      <w:pPr>
        <w:pStyle w:val="19"/>
        <w:spacing w:line="276" w:lineRule="auto"/>
        <w:jc w:val="both"/>
        <w:rPr>
          <w:rFonts w:asciiTheme="minorHAnsi" w:hAnsiTheme="minorHAnsi" w:cstheme="minorHAnsi"/>
          <w:sz w:val="21"/>
          <w:szCs w:val="21"/>
        </w:rPr>
      </w:pPr>
    </w:p>
    <w:p w14:paraId="63698E06">
      <w:pPr>
        <w:pStyle w:val="19"/>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7.11. O procedimento seguirá de acordo com o modo de disputa </w:t>
      </w:r>
      <w:r>
        <w:rPr>
          <w:rFonts w:asciiTheme="minorHAnsi" w:hAnsiTheme="minorHAnsi" w:cstheme="minorHAnsi"/>
          <w:b/>
          <w:bCs/>
          <w:color w:val="auto"/>
          <w:sz w:val="21"/>
          <w:szCs w:val="21"/>
        </w:rPr>
        <w:t xml:space="preserve">ABERTO. </w:t>
      </w:r>
    </w:p>
    <w:p w14:paraId="637A6022">
      <w:pPr>
        <w:pStyle w:val="19"/>
        <w:numPr>
          <w:ilvl w:val="0"/>
          <w:numId w:val="11"/>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 Caso seja adotado para o envio de lances no pregão eletrônico o modo de disputa “aberto”, os licitantes apresentarão lances públicos e sucessivos, com prorrogações. </w:t>
      </w:r>
    </w:p>
    <w:p w14:paraId="3887D7F0">
      <w:pPr>
        <w:pStyle w:val="19"/>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7.12.1. A etapa de lances da sessão pública terá duração de dez minutos e, após isso, será prorrogada automaticamente pelo sistema quando houver lance ofertado nos últimos dois minutos do período de duração da sessão pública. </w:t>
      </w:r>
    </w:p>
    <w:p w14:paraId="5734210F">
      <w:pPr>
        <w:pStyle w:val="19"/>
        <w:numPr>
          <w:ilvl w:val="0"/>
          <w:numId w:val="11"/>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7.12.2.A prorrogação automática da etapa de lances, de que trata o subitem anterior, será de dois minutos e ocorrerá sucessivamente sempre que houver lances enviados nesse período de prorrogação, inclusive no caso de lances intermediários. </w:t>
      </w:r>
    </w:p>
    <w:p w14:paraId="74806F5A">
      <w:pPr>
        <w:pStyle w:val="19"/>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7.12.3.Não havendo novos lances na forma estabelecida nos itens anteriores, a sessão pública encerrar-se-á automaticamente, e o sistema ordenará e divulgará os lances conforme a ordem final de classificação. </w:t>
      </w:r>
    </w:p>
    <w:p w14:paraId="71B8A543">
      <w:pPr>
        <w:pStyle w:val="19"/>
        <w:spacing w:line="276" w:lineRule="auto"/>
        <w:ind w:left="720" w:hanging="11"/>
        <w:jc w:val="both"/>
        <w:rPr>
          <w:rFonts w:asciiTheme="minorHAnsi" w:hAnsiTheme="minorHAnsi" w:cstheme="minorHAnsi"/>
          <w:sz w:val="21"/>
          <w:szCs w:val="21"/>
        </w:rPr>
      </w:pPr>
    </w:p>
    <w:p w14:paraId="2907E20D">
      <w:pPr>
        <w:pStyle w:val="25"/>
        <w:numPr>
          <w:ilvl w:val="0"/>
          <w:numId w:val="0"/>
        </w:numPr>
        <w:spacing w:before="0" w:after="0"/>
        <w:rPr>
          <w:rFonts w:asciiTheme="minorHAnsi" w:hAnsiTheme="minorHAnsi" w:cstheme="minorHAnsi"/>
          <w:color w:val="auto"/>
          <w:sz w:val="21"/>
          <w:szCs w:val="21"/>
        </w:rPr>
      </w:pPr>
      <w:r>
        <w:rPr>
          <w:rFonts w:asciiTheme="minorHAnsi" w:hAnsiTheme="minorHAnsi" w:cstheme="minorHAnsi"/>
          <w:sz w:val="21"/>
          <w:szCs w:val="21"/>
        </w:rPr>
        <w:t xml:space="preserve">7.13. </w:t>
      </w:r>
      <w:r>
        <w:rPr>
          <w:rFonts w:asciiTheme="minorHAnsi" w:hAnsiTheme="minorHAnsi" w:cstheme="minorHAnsi"/>
          <w:color w:val="auto"/>
          <w:sz w:val="21"/>
          <w:szCs w:val="21"/>
        </w:rPr>
        <w:t>Serão aceitos lances inferiores, iguais ou superiores ao lance de menor valor já ofertado.</w:t>
      </w:r>
    </w:p>
    <w:p w14:paraId="2536C4B8">
      <w:pPr>
        <w:pStyle w:val="25"/>
        <w:numPr>
          <w:ilvl w:val="0"/>
          <w:numId w:val="0"/>
        </w:numPr>
        <w:spacing w:before="0" w:after="0"/>
        <w:rPr>
          <w:rFonts w:asciiTheme="minorHAnsi" w:hAnsiTheme="minorHAnsi" w:cstheme="minorHAnsi"/>
          <w:color w:val="auto"/>
          <w:sz w:val="21"/>
          <w:szCs w:val="21"/>
        </w:rPr>
      </w:pPr>
    </w:p>
    <w:p w14:paraId="4976DF97">
      <w:pPr>
        <w:pStyle w:val="25"/>
        <w:numPr>
          <w:ilvl w:val="0"/>
          <w:numId w:val="0"/>
        </w:numPr>
        <w:spacing w:before="0" w:after="0"/>
        <w:rPr>
          <w:rFonts w:asciiTheme="minorHAnsi" w:hAnsiTheme="minorHAnsi" w:cstheme="minorHAnsi"/>
          <w:sz w:val="21"/>
          <w:szCs w:val="21"/>
        </w:rPr>
      </w:pPr>
      <w:r>
        <w:rPr>
          <w:rFonts w:asciiTheme="minorHAnsi" w:hAnsiTheme="minorHAnsi" w:cstheme="minorHAnsi"/>
          <w:color w:val="auto"/>
          <w:sz w:val="21"/>
          <w:szCs w:val="21"/>
        </w:rPr>
        <w:t xml:space="preserve">7.14. </w:t>
      </w:r>
      <w:r>
        <w:rPr>
          <w:rFonts w:asciiTheme="minorHAnsi" w:hAnsiTheme="minorHAnsi" w:cstheme="minorHAnsi"/>
          <w:sz w:val="21"/>
          <w:szCs w:val="21"/>
        </w:rPr>
        <w:t xml:space="preserve">Durante o transcurso da sessão pública, os licitantes serão informados, em tempo real, do valor do menor lance registrado, vedada a identificação do licitante. </w:t>
      </w:r>
    </w:p>
    <w:p w14:paraId="046A2E6A">
      <w:pPr>
        <w:pStyle w:val="25"/>
        <w:numPr>
          <w:ilvl w:val="0"/>
          <w:numId w:val="0"/>
        </w:numPr>
        <w:spacing w:before="0" w:after="0"/>
        <w:rPr>
          <w:rFonts w:asciiTheme="minorHAnsi" w:hAnsiTheme="minorHAnsi" w:cstheme="minorHAnsi"/>
          <w:sz w:val="21"/>
          <w:szCs w:val="21"/>
        </w:rPr>
      </w:pPr>
    </w:p>
    <w:p w14:paraId="582FD5DD">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7.15. No caso de desconexão com a Pregoeira, no decorrer da etapa competitiva do Pregão, o sistema eletrônico poderá permanecer acessível aos licitantes para a recepção dos lances. </w:t>
      </w:r>
    </w:p>
    <w:p w14:paraId="0B5D0D3D">
      <w:pPr>
        <w:pStyle w:val="25"/>
        <w:numPr>
          <w:ilvl w:val="0"/>
          <w:numId w:val="0"/>
        </w:numPr>
        <w:spacing w:before="0" w:after="0" w:line="240" w:lineRule="auto"/>
        <w:rPr>
          <w:rFonts w:asciiTheme="minorHAnsi" w:hAnsiTheme="minorHAnsi" w:cstheme="minorHAnsi"/>
          <w:sz w:val="21"/>
          <w:szCs w:val="21"/>
        </w:rPr>
      </w:pPr>
    </w:p>
    <w:p w14:paraId="6E0D257D">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7.16. Quando a desconexão do sistema eletrônico para a pregoeira persistir por tempo super</w:t>
      </w:r>
      <w:r>
        <w:rPr>
          <w:rFonts w:asciiTheme="minorHAnsi" w:hAnsiTheme="minorHAnsi" w:cstheme="minorHAnsi"/>
          <w:color w:val="auto"/>
          <w:sz w:val="21"/>
          <w:szCs w:val="21"/>
        </w:rPr>
        <w:t>ior a 3 (três) horas a sessão p</w:t>
      </w:r>
      <w:r>
        <w:rPr>
          <w:rFonts w:asciiTheme="minorHAnsi" w:hAnsiTheme="minorHAnsi" w:cstheme="minorHAnsi"/>
          <w:sz w:val="21"/>
          <w:szCs w:val="21"/>
        </w:rPr>
        <w:t xml:space="preserve">ública será suspensa e reiniciada somente após decorridas vinte e quatro horas da comunicação do fato pela Pregoeira aos participantes, no sítio eletrônico utilizado para divulgação. </w:t>
      </w:r>
    </w:p>
    <w:p w14:paraId="10A84CE8">
      <w:pPr>
        <w:pStyle w:val="25"/>
        <w:numPr>
          <w:ilvl w:val="0"/>
          <w:numId w:val="0"/>
        </w:numPr>
        <w:spacing w:before="0" w:after="0" w:line="240" w:lineRule="auto"/>
        <w:rPr>
          <w:rFonts w:asciiTheme="minorHAnsi" w:hAnsiTheme="minorHAnsi" w:cstheme="minorHAnsi"/>
          <w:sz w:val="21"/>
          <w:szCs w:val="21"/>
        </w:rPr>
      </w:pPr>
    </w:p>
    <w:p w14:paraId="3BBBC922">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7.17. Caso o licitante não apresente lances, concorrerá com o valor de sua proposta.</w:t>
      </w:r>
    </w:p>
    <w:p w14:paraId="09C65553">
      <w:pPr>
        <w:pStyle w:val="25"/>
        <w:numPr>
          <w:ilvl w:val="0"/>
          <w:numId w:val="0"/>
        </w:numPr>
        <w:spacing w:before="0" w:after="0"/>
        <w:rPr>
          <w:rFonts w:asciiTheme="minorHAnsi" w:hAnsiTheme="minorHAnsi" w:cstheme="minorHAnsi"/>
          <w:sz w:val="21"/>
          <w:szCs w:val="21"/>
        </w:rPr>
      </w:pPr>
    </w:p>
    <w:p w14:paraId="250622FA">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7.18. Encerrada a etapa de lances</w:t>
      </w:r>
      <w:r>
        <w:rPr>
          <w:rFonts w:eastAsia="Zurich BT" w:asciiTheme="minorHAnsi" w:hAnsiTheme="minorHAnsi" w:cstheme="minorHAnsi"/>
          <w:sz w:val="21"/>
          <w:szCs w:val="21"/>
        </w:rPr>
        <w:t xml:space="preserve">, o sistema identificará as microempresas e empresas de pequeno porte participantes, procedendo à comparação com os valores da primeira colocada para o fim de aplicar-se o disposto nos arts. 44 e 45 da Lei Complementar nº 123, de 2006. </w:t>
      </w:r>
    </w:p>
    <w:p w14:paraId="6167DB45">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7.18.1. Nessas condições, as propostas de </w:t>
      </w:r>
      <w:r>
        <w:rPr>
          <w:rFonts w:eastAsia="Zurich BT" w:asciiTheme="minorHAnsi" w:hAnsiTheme="minorHAnsi" w:cstheme="minorHAnsi"/>
          <w:sz w:val="21"/>
          <w:szCs w:val="21"/>
        </w:rPr>
        <w:t xml:space="preserve">microempresas e empresas de pequeno porte </w:t>
      </w:r>
      <w:r>
        <w:rPr>
          <w:rFonts w:asciiTheme="minorHAnsi" w:hAnsiTheme="minorHAnsi" w:cstheme="minorHAnsi"/>
          <w:sz w:val="21"/>
          <w:szCs w:val="21"/>
        </w:rPr>
        <w:t>que se encontrarem na faixa de até 5% (cinco por cento) acima da melhor proposta ou melhor lance serão consideradas empatadas com a primeira colocada.</w:t>
      </w:r>
    </w:p>
    <w:p w14:paraId="14DE6E02">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46C09264">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7.18.3. Caso a </w:t>
      </w:r>
      <w:r>
        <w:rPr>
          <w:rFonts w:eastAsia="Zurich BT" w:asciiTheme="minorHAnsi" w:hAnsiTheme="minorHAnsi" w:cstheme="minorHAnsi"/>
          <w:sz w:val="21"/>
          <w:szCs w:val="21"/>
        </w:rPr>
        <w:t>microempresa ou a empresa de pequeno porte</w:t>
      </w:r>
      <w:r>
        <w:rPr>
          <w:rFonts w:asciiTheme="minorHAnsi" w:hAnsiTheme="minorHAnsi" w:cstheme="minorHAnsi"/>
          <w:sz w:val="21"/>
          <w:szCs w:val="21"/>
        </w:rPr>
        <w:t xml:space="preserve"> melhor classificada desista ou não se manifeste no prazo estabelecido, serão convocadas as demais licitantes </w:t>
      </w:r>
      <w:r>
        <w:rPr>
          <w:rFonts w:eastAsia="Zurich BT" w:asciiTheme="minorHAnsi" w:hAnsiTheme="minorHAnsi" w:cstheme="minorHAnsi"/>
          <w:sz w:val="21"/>
          <w:szCs w:val="21"/>
        </w:rPr>
        <w:t>microempresa e empresa de pequeno porte</w:t>
      </w:r>
      <w:r>
        <w:rPr>
          <w:rFonts w:asciiTheme="minorHAnsi" w:hAnsiTheme="minorHAnsi" w:cstheme="minorHAnsi"/>
          <w:sz w:val="21"/>
          <w:szCs w:val="21"/>
        </w:rPr>
        <w:t xml:space="preserve"> que se encontrem naquele intervalo de 5% (cinco por cento), na ordem de classificação, para o exercício do mesmo direito, no prazo estabelecido no subitem anterior. </w:t>
      </w:r>
    </w:p>
    <w:p w14:paraId="0C5675AB">
      <w:pPr>
        <w:pStyle w:val="27"/>
        <w:numPr>
          <w:ilvl w:val="0"/>
          <w:numId w:val="0"/>
        </w:numPr>
        <w:spacing w:before="0" w:after="0"/>
        <w:ind w:left="851"/>
        <w:rPr>
          <w:rFonts w:eastAsia="Zurich BT" w:asciiTheme="minorHAnsi" w:hAnsiTheme="minorHAnsi" w:cstheme="minorHAnsi"/>
          <w:sz w:val="21"/>
          <w:szCs w:val="21"/>
        </w:rPr>
      </w:pPr>
      <w:r>
        <w:rPr>
          <w:rFonts w:asciiTheme="minorHAnsi" w:hAnsiTheme="minorHAnsi" w:cstheme="minorHAnsi"/>
          <w:sz w:val="21"/>
          <w:szCs w:val="21"/>
        </w:rPr>
        <w:t xml:space="preserve">7.18.4. </w:t>
      </w:r>
      <w:r>
        <w:rPr>
          <w:rFonts w:eastAsia="Zurich BT" w:asciiTheme="minorHAnsi" w:hAnsiTheme="minorHAnsi" w:cstheme="minorHAnsi"/>
          <w:sz w:val="21"/>
          <w:szCs w:val="21"/>
        </w:rPr>
        <w:t>Não se aplicará o desempate de que tratam os arts. 44 e 45 da Lei Complementar nº 123/2006, quando a primeira colocada também tiver se declarado microempresa ou empresa de pequeno porte.</w:t>
      </w:r>
    </w:p>
    <w:p w14:paraId="6BECCDA0">
      <w:pPr>
        <w:pStyle w:val="27"/>
        <w:numPr>
          <w:ilvl w:val="0"/>
          <w:numId w:val="0"/>
        </w:numPr>
        <w:spacing w:before="0" w:after="0"/>
        <w:ind w:left="851"/>
        <w:rPr>
          <w:rFonts w:asciiTheme="minorHAnsi" w:hAnsiTheme="minorHAnsi" w:cstheme="minorHAnsi"/>
          <w:sz w:val="21"/>
          <w:szCs w:val="21"/>
        </w:rPr>
      </w:pPr>
      <w:r>
        <w:rPr>
          <w:rFonts w:eastAsia="Zurich BT" w:asciiTheme="minorHAnsi" w:hAnsiTheme="minorHAnsi" w:cstheme="minorHAnsi"/>
          <w:sz w:val="21"/>
          <w:szCs w:val="21"/>
        </w:rPr>
        <w:t xml:space="preserve">7.18.5. </w:t>
      </w:r>
      <w:r>
        <w:rPr>
          <w:rFonts w:asciiTheme="minorHAnsi" w:hAnsiTheme="minorHAnsi" w:cstheme="minorHAnsi"/>
          <w:sz w:val="21"/>
          <w:szCs w:val="21"/>
        </w:rPr>
        <w:t xml:space="preserve">Havendo empate entre propostas ou lances, o critério de desempate será aquele previsto no </w:t>
      </w:r>
      <w:r>
        <w:rPr>
          <w:rFonts w:eastAsia="Arial" w:asciiTheme="minorHAnsi" w:hAnsiTheme="minorHAnsi" w:cstheme="minorHAnsi"/>
          <w:sz w:val="21"/>
          <w:szCs w:val="21"/>
        </w:rPr>
        <w:t>art</w:t>
      </w:r>
      <w:r>
        <w:rPr>
          <w:rFonts w:asciiTheme="minorHAnsi" w:hAnsiTheme="minorHAnsi" w:cstheme="minorHAnsi"/>
          <w:sz w:val="21"/>
          <w:szCs w:val="21"/>
        </w:rPr>
        <w:t>. 60 da Lei Federal nº 14.133, de 2021, nesta ordem:</w:t>
      </w:r>
    </w:p>
    <w:p w14:paraId="53493912">
      <w:pPr>
        <w:pStyle w:val="27"/>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7.18.5.1. Disputa final, hipótese em que os licitantes empatados poderão apresentar nova proposta em ato contínuo à classificação;</w:t>
      </w:r>
    </w:p>
    <w:p w14:paraId="3B1F46C6">
      <w:pPr>
        <w:pStyle w:val="27"/>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7.18.5.2. Avaliação do desempenho contratual prévio dos licitantes, para a qual deverão preferencialmente ser utilizados registros cadastrais para efeito de atesto de cumprimento de obrigações previstos nesta Lei;</w:t>
      </w:r>
    </w:p>
    <w:p w14:paraId="6D86276D">
      <w:pPr>
        <w:pStyle w:val="27"/>
        <w:numPr>
          <w:ilvl w:val="0"/>
          <w:numId w:val="0"/>
        </w:numPr>
        <w:spacing w:before="0" w:after="0"/>
        <w:ind w:left="1418" w:hanging="142"/>
        <w:rPr>
          <w:rFonts w:asciiTheme="minorHAnsi" w:hAnsiTheme="minorHAnsi" w:cstheme="minorHAnsi"/>
          <w:sz w:val="21"/>
          <w:szCs w:val="21"/>
        </w:rPr>
      </w:pPr>
      <w:r>
        <w:rPr>
          <w:rFonts w:asciiTheme="minorHAnsi" w:hAnsiTheme="minorHAnsi" w:cstheme="minorHAnsi"/>
          <w:sz w:val="21"/>
          <w:szCs w:val="21"/>
        </w:rPr>
        <w:t>7.18.5.3. Desenvolvimento pelo licitante de ações de equidade entre homens e mulheres no ambiente de trabalho, conforme regulamento;</w:t>
      </w:r>
    </w:p>
    <w:p w14:paraId="04D0472A">
      <w:pPr>
        <w:pStyle w:val="27"/>
        <w:numPr>
          <w:ilvl w:val="3"/>
          <w:numId w:val="12"/>
        </w:numPr>
        <w:tabs>
          <w:tab w:val="left" w:pos="1560"/>
        </w:tabs>
        <w:spacing w:before="0" w:after="0"/>
        <w:ind w:hanging="257"/>
        <w:rPr>
          <w:rFonts w:asciiTheme="minorHAnsi" w:hAnsiTheme="minorHAnsi" w:cstheme="minorHAnsi"/>
          <w:sz w:val="21"/>
          <w:szCs w:val="21"/>
        </w:rPr>
      </w:pPr>
      <w:r>
        <w:rPr>
          <w:rFonts w:asciiTheme="minorHAnsi" w:hAnsiTheme="minorHAnsi" w:cstheme="minorHAnsi"/>
          <w:sz w:val="21"/>
          <w:szCs w:val="21"/>
        </w:rPr>
        <w:t>Desenvolvimento pelo licitante de programa de integridade (compliance), conforme orientações dos órgãos de controle.</w:t>
      </w:r>
    </w:p>
    <w:p w14:paraId="593E77AF">
      <w:pPr>
        <w:pStyle w:val="27"/>
        <w:numPr>
          <w:ilvl w:val="2"/>
          <w:numId w:val="12"/>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Persistindo o empate, será assegurada preferência, sucessivamente, aos bens e serviços produzidos ou prestados por:</w:t>
      </w:r>
    </w:p>
    <w:p w14:paraId="73E813D9">
      <w:pPr>
        <w:pStyle w:val="25"/>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0E21439">
      <w:pPr>
        <w:pStyle w:val="25"/>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7.18.6.2. Empresas brasileiras;</w:t>
      </w:r>
    </w:p>
    <w:p w14:paraId="5A9A5481">
      <w:pPr>
        <w:pStyle w:val="25"/>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7.18.6.3. Empresas que invistam em pesquisa e no desenvolvimento de tecnologia no País;</w:t>
      </w:r>
    </w:p>
    <w:p w14:paraId="48AB83B2">
      <w:pPr>
        <w:pStyle w:val="25"/>
        <w:numPr>
          <w:ilvl w:val="0"/>
          <w:numId w:val="0"/>
        </w:numPr>
        <w:spacing w:before="0" w:after="0"/>
        <w:ind w:left="1297"/>
        <w:rPr>
          <w:rFonts w:asciiTheme="minorHAnsi" w:hAnsiTheme="minorHAnsi" w:cstheme="minorHAnsi"/>
          <w:sz w:val="21"/>
          <w:szCs w:val="21"/>
        </w:rPr>
      </w:pPr>
      <w:r>
        <w:rPr>
          <w:rFonts w:asciiTheme="minorHAnsi" w:hAnsiTheme="minorHAnsi" w:cstheme="minorHAnsi"/>
          <w:sz w:val="21"/>
          <w:szCs w:val="21"/>
        </w:rPr>
        <w:t>7.18.6.4. Empresas que comprovem a prática de mitigação, nos termos da Lei nº 12.187, de 29 de dezembro de 2009.</w:t>
      </w:r>
    </w:p>
    <w:p w14:paraId="15A74BF4">
      <w:pPr>
        <w:pStyle w:val="25"/>
        <w:numPr>
          <w:ilvl w:val="0"/>
          <w:numId w:val="0"/>
        </w:numPr>
        <w:spacing w:before="0" w:after="0"/>
        <w:ind w:left="1297"/>
        <w:rPr>
          <w:rFonts w:asciiTheme="minorHAnsi" w:hAnsiTheme="minorHAnsi" w:cstheme="minorHAnsi"/>
          <w:sz w:val="21"/>
          <w:szCs w:val="21"/>
        </w:rPr>
      </w:pPr>
    </w:p>
    <w:p w14:paraId="3F4627C5">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7.19. Encerrada a etapa de envio de lances da sessão pública, na hipótese da proposta do primeiro colocado permanecer acima do preço máximo ou inferior ao desconto definido para a contratação, a pregoeira poderá negociar condições mais vantajosas, após definido o resultado do julgamento.</w:t>
      </w:r>
    </w:p>
    <w:p w14:paraId="3EEF9C7D">
      <w:pPr>
        <w:pStyle w:val="2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7.19.1.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0DE7FB4F">
      <w:pPr>
        <w:pStyle w:val="25"/>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 xml:space="preserve">7.19.2. </w:t>
      </w:r>
      <w:r>
        <w:rPr>
          <w:rFonts w:eastAsia="Times New Roman" w:asciiTheme="minorHAnsi" w:hAnsiTheme="minorHAnsi" w:cstheme="minorHAnsi"/>
          <w:sz w:val="21"/>
          <w:szCs w:val="21"/>
        </w:rPr>
        <w:t xml:space="preserve">A </w:t>
      </w:r>
      <w:r>
        <w:rPr>
          <w:rFonts w:asciiTheme="minorHAnsi" w:hAnsiTheme="minorHAnsi" w:cstheme="minorHAnsi"/>
          <w:sz w:val="21"/>
          <w:szCs w:val="21"/>
        </w:rPr>
        <w:t>negociação será realizada por meio do sistema, podendo ser acompanhada pelos demais licitantes.</w:t>
      </w:r>
    </w:p>
    <w:p w14:paraId="78CAF5B3">
      <w:pPr>
        <w:pStyle w:val="27"/>
        <w:numPr>
          <w:ilvl w:val="0"/>
          <w:numId w:val="0"/>
        </w:numPr>
        <w:spacing w:before="0" w:after="0"/>
        <w:ind w:left="851"/>
        <w:rPr>
          <w:rFonts w:eastAsia="Times New Roman" w:asciiTheme="minorHAnsi" w:hAnsiTheme="minorHAnsi" w:cstheme="minorHAnsi"/>
          <w:sz w:val="21"/>
          <w:szCs w:val="21"/>
        </w:rPr>
      </w:pPr>
      <w:r>
        <w:rPr>
          <w:rFonts w:asciiTheme="minorHAnsi" w:hAnsiTheme="minorHAnsi" w:cstheme="minorHAnsi"/>
          <w:sz w:val="21"/>
          <w:szCs w:val="21"/>
        </w:rPr>
        <w:t xml:space="preserve">7.19.3. </w:t>
      </w:r>
      <w:r>
        <w:rPr>
          <w:rFonts w:eastAsia="Times New Roman" w:asciiTheme="minorHAnsi" w:hAnsiTheme="minorHAnsi" w:cstheme="minorHAnsi"/>
          <w:sz w:val="21"/>
          <w:szCs w:val="21"/>
        </w:rPr>
        <w:t>O resultado da negociação será divulgado a todos os licitantes e anexado aos autos do processo licitatório.</w:t>
      </w:r>
    </w:p>
    <w:p w14:paraId="4DBCC832">
      <w:pPr>
        <w:pStyle w:val="27"/>
        <w:numPr>
          <w:ilvl w:val="0"/>
          <w:numId w:val="0"/>
        </w:numPr>
        <w:spacing w:before="0" w:after="0" w:line="240" w:lineRule="auto"/>
        <w:ind w:left="851"/>
        <w:rPr>
          <w:rFonts w:eastAsia="Times New Roman" w:asciiTheme="minorHAnsi" w:hAnsiTheme="minorHAnsi" w:cstheme="minorHAnsi"/>
          <w:sz w:val="21"/>
          <w:szCs w:val="21"/>
        </w:rPr>
      </w:pPr>
    </w:p>
    <w:p w14:paraId="7E23B550">
      <w:pPr>
        <w:pStyle w:val="27"/>
        <w:numPr>
          <w:ilvl w:val="0"/>
          <w:numId w:val="0"/>
        </w:numPr>
        <w:spacing w:before="0" w:after="0"/>
        <w:rPr>
          <w:rFonts w:eastAsia="Times New Roman" w:asciiTheme="minorHAnsi" w:hAnsiTheme="minorHAnsi" w:cstheme="minorHAnsi"/>
          <w:sz w:val="21"/>
          <w:szCs w:val="21"/>
        </w:rPr>
      </w:pPr>
      <w:r>
        <w:rPr>
          <w:rFonts w:asciiTheme="minorHAnsi" w:hAnsiTheme="minorHAnsi" w:cstheme="minorHAnsi"/>
          <w:sz w:val="21"/>
          <w:szCs w:val="21"/>
        </w:rPr>
        <w:t>7.</w:t>
      </w:r>
      <w:r>
        <w:rPr>
          <w:rFonts w:eastAsia="Times New Roman" w:asciiTheme="minorHAnsi" w:hAnsiTheme="minorHAnsi" w:cstheme="minorHAnsi"/>
          <w:sz w:val="21"/>
          <w:szCs w:val="21"/>
        </w:rPr>
        <w:t xml:space="preserve">20. </w:t>
      </w:r>
      <w:r>
        <w:rPr>
          <w:rFonts w:asciiTheme="minorHAnsi" w:hAnsiTheme="minorHAnsi" w:cstheme="minorHAnsi"/>
          <w:sz w:val="21"/>
          <w:szCs w:val="21"/>
        </w:rPr>
        <w:t xml:space="preserve">Será desclassificada a proposta que: </w:t>
      </w:r>
    </w:p>
    <w:p w14:paraId="3AEFB08E">
      <w:pPr>
        <w:pStyle w:val="27"/>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Contiver vícios insanáveis;</w:t>
      </w:r>
    </w:p>
    <w:p w14:paraId="1855000B">
      <w:pPr>
        <w:pStyle w:val="27"/>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obedecer às especificações técnicas contidas no Termo de Referência;</w:t>
      </w:r>
    </w:p>
    <w:p w14:paraId="0FEF7247">
      <w:pPr>
        <w:pStyle w:val="27"/>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preços inexequíveis ou permanecerem acima do preço máximo definido para a contratação;</w:t>
      </w:r>
    </w:p>
    <w:p w14:paraId="6FFFBDD2">
      <w:pPr>
        <w:pStyle w:val="27"/>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Não tiverem sua exequibilidade demonstrada, quando exigido pela Administração;</w:t>
      </w:r>
    </w:p>
    <w:p w14:paraId="41220BB0">
      <w:pPr>
        <w:pStyle w:val="27"/>
        <w:numPr>
          <w:ilvl w:val="2"/>
          <w:numId w:val="13"/>
        </w:numPr>
        <w:tabs>
          <w:tab w:val="left" w:pos="1701"/>
        </w:tabs>
        <w:spacing w:before="0" w:after="0"/>
        <w:rPr>
          <w:rFonts w:asciiTheme="minorHAnsi" w:hAnsiTheme="minorHAnsi" w:cstheme="minorHAnsi"/>
          <w:sz w:val="21"/>
          <w:szCs w:val="21"/>
        </w:rPr>
      </w:pPr>
      <w:r>
        <w:rPr>
          <w:rFonts w:asciiTheme="minorHAnsi" w:hAnsiTheme="minorHAnsi" w:cstheme="minorHAnsi"/>
          <w:sz w:val="21"/>
          <w:szCs w:val="21"/>
        </w:rPr>
        <w:t>Apresentar desconformidade com quaisquer outras exigências deste Edital ou seus anexos, desde que insanável.</w:t>
      </w:r>
    </w:p>
    <w:p w14:paraId="027AF5EF">
      <w:pPr>
        <w:pStyle w:val="27"/>
        <w:numPr>
          <w:ilvl w:val="0"/>
          <w:numId w:val="0"/>
        </w:numPr>
        <w:tabs>
          <w:tab w:val="left" w:pos="1701"/>
        </w:tabs>
        <w:spacing w:before="0" w:after="0"/>
        <w:ind w:left="1570"/>
        <w:rPr>
          <w:rFonts w:asciiTheme="minorHAnsi" w:hAnsiTheme="minorHAnsi" w:cstheme="minorHAnsi"/>
          <w:sz w:val="21"/>
          <w:szCs w:val="21"/>
        </w:rPr>
      </w:pPr>
    </w:p>
    <w:p w14:paraId="3B67F216">
      <w:pPr>
        <w:pStyle w:val="25"/>
        <w:numPr>
          <w:ilvl w:val="1"/>
          <w:numId w:val="13"/>
        </w:numPr>
        <w:spacing w:before="0" w:after="0"/>
        <w:rPr>
          <w:rFonts w:asciiTheme="minorHAnsi" w:hAnsiTheme="minorHAnsi" w:cstheme="minorHAnsi"/>
          <w:b/>
          <w:bCs/>
          <w:sz w:val="21"/>
          <w:szCs w:val="21"/>
        </w:rPr>
      </w:pPr>
      <w:r>
        <w:rPr>
          <w:rFonts w:asciiTheme="minorHAnsi" w:hAnsiTheme="minorHAnsi" w:cstheme="minorHAnsi"/>
          <w:sz w:val="21"/>
          <w:szCs w:val="21"/>
        </w:rPr>
        <w:t>No caso de bens e serviços em geral, é indício de inexequibilidade das propostas valores inferiores a 50% (cinquenta por cento) do valor orçado pela Administração.</w:t>
      </w:r>
    </w:p>
    <w:p w14:paraId="0C31EE8A">
      <w:pPr>
        <w:pStyle w:val="27"/>
        <w:numPr>
          <w:ilvl w:val="2"/>
          <w:numId w:val="13"/>
        </w:numPr>
        <w:tabs>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A inexequibilidade, na hipótese de que trata o </w:t>
      </w:r>
      <w:r>
        <w:rPr>
          <w:rFonts w:asciiTheme="minorHAnsi" w:hAnsiTheme="minorHAnsi" w:cstheme="minorHAnsi"/>
          <w:b/>
          <w:bCs/>
          <w:sz w:val="21"/>
          <w:szCs w:val="21"/>
        </w:rPr>
        <w:t>caput</w:t>
      </w:r>
      <w:r>
        <w:rPr>
          <w:rFonts w:asciiTheme="minorHAnsi" w:hAnsiTheme="minorHAnsi" w:cstheme="minorHAnsi"/>
          <w:sz w:val="21"/>
          <w:szCs w:val="21"/>
        </w:rPr>
        <w:t>, só será considerada após diligência do pregoeiro, que comprove:</w:t>
      </w:r>
    </w:p>
    <w:p w14:paraId="7298D56F">
      <w:pPr>
        <w:pStyle w:val="27"/>
        <w:numPr>
          <w:ilvl w:val="3"/>
          <w:numId w:val="13"/>
        </w:numPr>
        <w:tabs>
          <w:tab w:val="left" w:pos="1701"/>
        </w:tabs>
        <w:spacing w:before="0" w:after="0"/>
        <w:ind w:left="1560" w:hanging="284"/>
        <w:rPr>
          <w:rFonts w:asciiTheme="minorHAnsi" w:hAnsiTheme="minorHAnsi" w:cstheme="minorHAnsi"/>
          <w:sz w:val="21"/>
          <w:szCs w:val="21"/>
        </w:rPr>
      </w:pPr>
      <w:r>
        <w:rPr>
          <w:rFonts w:asciiTheme="minorHAnsi" w:hAnsiTheme="minorHAnsi" w:cstheme="minorHAnsi"/>
          <w:sz w:val="21"/>
          <w:szCs w:val="21"/>
        </w:rPr>
        <w:t>Que o custo do licitante ultrapassa o valor da proposta; e</w:t>
      </w:r>
    </w:p>
    <w:p w14:paraId="6C40F117">
      <w:pPr>
        <w:pStyle w:val="27"/>
        <w:numPr>
          <w:ilvl w:val="3"/>
          <w:numId w:val="13"/>
        </w:numPr>
        <w:tabs>
          <w:tab w:val="left" w:pos="1701"/>
        </w:tabs>
        <w:spacing w:before="0" w:after="0"/>
        <w:ind w:hanging="719"/>
        <w:rPr>
          <w:rFonts w:asciiTheme="minorHAnsi" w:hAnsiTheme="minorHAnsi" w:cstheme="minorHAnsi"/>
          <w:sz w:val="21"/>
          <w:szCs w:val="21"/>
        </w:rPr>
      </w:pPr>
      <w:r>
        <w:rPr>
          <w:rFonts w:asciiTheme="minorHAnsi" w:hAnsiTheme="minorHAnsi" w:cstheme="minorHAnsi"/>
          <w:sz w:val="21"/>
          <w:szCs w:val="21"/>
        </w:rPr>
        <w:t>Inexistirem custos de oportunidade capazes de justificar o vulto da oferta.</w:t>
      </w:r>
    </w:p>
    <w:p w14:paraId="31268A65">
      <w:pPr>
        <w:pStyle w:val="27"/>
        <w:numPr>
          <w:ilvl w:val="0"/>
          <w:numId w:val="0"/>
        </w:numPr>
        <w:tabs>
          <w:tab w:val="left" w:pos="1701"/>
        </w:tabs>
        <w:spacing w:before="0" w:after="0"/>
        <w:ind w:left="1995"/>
        <w:rPr>
          <w:rFonts w:asciiTheme="minorHAnsi" w:hAnsiTheme="minorHAnsi" w:cstheme="minorHAnsi"/>
          <w:sz w:val="21"/>
          <w:szCs w:val="21"/>
        </w:rPr>
      </w:pPr>
    </w:p>
    <w:p w14:paraId="428AA65F">
      <w:pPr>
        <w:pStyle w:val="25"/>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 xml:space="preserve">Em contratação de </w:t>
      </w:r>
      <w:r>
        <w:rPr>
          <w:rFonts w:asciiTheme="minorHAnsi" w:hAnsiTheme="minorHAnsi" w:cstheme="minorHAnsi"/>
          <w:b/>
          <w:bCs/>
          <w:sz w:val="21"/>
          <w:szCs w:val="21"/>
        </w:rPr>
        <w:t>SERVIÇOS DE ENGENHARIA</w:t>
      </w:r>
      <w:r>
        <w:rPr>
          <w:rFonts w:asciiTheme="minorHAnsi" w:hAnsiTheme="minorHAnsi" w:cstheme="minorHAnsi"/>
          <w:sz w:val="21"/>
          <w:szCs w:val="21"/>
        </w:rPr>
        <w:t>, além das disposições acima, a análise de exequibilidade e sobrepreço considerará o seguinte:</w:t>
      </w:r>
    </w:p>
    <w:p w14:paraId="22386F04">
      <w:pPr>
        <w:pStyle w:val="27"/>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Nos regimes de execução por tarefa, empreitada por preço global ou empreitada integral, semi-integrada ou integrada, a caracterização do sobrepreço se dará pela superação do valor global estimado;</w:t>
      </w:r>
    </w:p>
    <w:p w14:paraId="4A0108AD">
      <w:pPr>
        <w:pStyle w:val="27"/>
        <w:numPr>
          <w:ilvl w:val="2"/>
          <w:numId w:val="13"/>
        </w:numPr>
        <w:tabs>
          <w:tab w:val="left" w:pos="851"/>
          <w:tab w:val="left" w:pos="1560"/>
        </w:tabs>
        <w:spacing w:before="0" w:after="0"/>
        <w:ind w:left="851" w:firstLine="0"/>
        <w:rPr>
          <w:rFonts w:asciiTheme="minorHAnsi" w:hAnsiTheme="minorHAnsi" w:cstheme="minorHAnsi"/>
          <w:color w:val="auto"/>
          <w:sz w:val="21"/>
          <w:szCs w:val="21"/>
        </w:rPr>
      </w:pPr>
      <w:r>
        <w:rPr>
          <w:rFonts w:asciiTheme="minorHAnsi" w:hAnsiTheme="minorHAnsi" w:cstheme="minorHAnsi"/>
          <w:sz w:val="21"/>
          <w:szCs w:val="21"/>
        </w:rPr>
        <w:t xml:space="preserve">No regime de empreitada por preço unitário, a caracterização do sobrepreço se dará pela superação do valor global estimado e </w:t>
      </w:r>
      <w:r>
        <w:rPr>
          <w:rFonts w:asciiTheme="minorHAnsi" w:hAnsiTheme="minorHAnsi" w:cstheme="minorHAnsi"/>
          <w:color w:val="auto"/>
          <w:sz w:val="21"/>
          <w:szCs w:val="21"/>
        </w:rPr>
        <w:t>pela superação de custo unitário tido como relevante, conforme planilha anexa ao edital;</w:t>
      </w:r>
    </w:p>
    <w:p w14:paraId="148043D5">
      <w:pPr>
        <w:pStyle w:val="27"/>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No caso de serviços de engenharia, serão consideradas inexequíveis as propostas cujos valores forem inferiores a 75% (setenta e cinco por cento) do valor orçado pela Administração, independentemente do regime de execução.</w:t>
      </w:r>
    </w:p>
    <w:p w14:paraId="51B1BEF0">
      <w:pPr>
        <w:pStyle w:val="27"/>
        <w:numPr>
          <w:ilvl w:val="2"/>
          <w:numId w:val="13"/>
        </w:numPr>
        <w:tabs>
          <w:tab w:val="left" w:pos="851"/>
          <w:tab w:val="left" w:pos="1701"/>
        </w:tabs>
        <w:spacing w:before="0" w:after="0"/>
        <w:ind w:left="851" w:firstLine="0"/>
        <w:rPr>
          <w:rFonts w:asciiTheme="minorHAnsi" w:hAnsiTheme="minorHAnsi" w:cstheme="minorHAnsi"/>
          <w:sz w:val="21"/>
          <w:szCs w:val="21"/>
        </w:rPr>
      </w:pPr>
      <w:r>
        <w:rPr>
          <w:rFonts w:asciiTheme="minorHAnsi" w:hAnsiTheme="minorHAnsi" w:cstheme="minorHAnsi"/>
          <w:sz w:val="21"/>
          <w:szCs w:val="21"/>
        </w:rPr>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8BDCFCE">
      <w:pPr>
        <w:pStyle w:val="27"/>
        <w:numPr>
          <w:ilvl w:val="0"/>
          <w:numId w:val="0"/>
        </w:numPr>
        <w:tabs>
          <w:tab w:val="left" w:pos="851"/>
          <w:tab w:val="left" w:pos="1701"/>
        </w:tabs>
        <w:spacing w:before="0" w:after="0"/>
        <w:ind w:left="851"/>
        <w:rPr>
          <w:rFonts w:asciiTheme="minorHAnsi" w:hAnsiTheme="minorHAnsi" w:cstheme="minorHAnsi"/>
          <w:sz w:val="21"/>
          <w:szCs w:val="21"/>
        </w:rPr>
      </w:pPr>
    </w:p>
    <w:p w14:paraId="385AB0E3">
      <w:pPr>
        <w:pStyle w:val="25"/>
        <w:numPr>
          <w:ilvl w:val="1"/>
          <w:numId w:val="13"/>
        </w:numPr>
        <w:tabs>
          <w:tab w:val="left" w:pos="1276"/>
        </w:tabs>
        <w:spacing w:before="0" w:after="0"/>
        <w:rPr>
          <w:rFonts w:asciiTheme="minorHAnsi" w:hAnsiTheme="minorHAnsi" w:cstheme="minorHAnsi"/>
          <w:sz w:val="21"/>
          <w:szCs w:val="21"/>
        </w:rPr>
      </w:pPr>
      <w:r>
        <w:rPr>
          <w:rFonts w:asciiTheme="minorHAnsi" w:hAnsiTheme="minorHAnsi" w:cstheme="minorHAnsi"/>
          <w:sz w:val="21"/>
          <w:szCs w:val="21"/>
        </w:rPr>
        <w:t>Se houver indícios de inexequibilidade da proposta de preço, ou em caso da necessidade de esclarecimentos complementares, poderão ser efetuadas diligências, para que a empresa comprove a exequibilidade da proposta.</w:t>
      </w:r>
    </w:p>
    <w:p w14:paraId="5B3C762F">
      <w:pPr>
        <w:pStyle w:val="25"/>
        <w:numPr>
          <w:ilvl w:val="0"/>
          <w:numId w:val="0"/>
        </w:numPr>
        <w:tabs>
          <w:tab w:val="left" w:pos="1276"/>
        </w:tabs>
        <w:spacing w:before="0" w:after="0"/>
        <w:ind w:left="1085"/>
        <w:rPr>
          <w:rFonts w:asciiTheme="minorHAnsi" w:hAnsiTheme="minorHAnsi" w:cstheme="minorHAnsi"/>
          <w:sz w:val="21"/>
          <w:szCs w:val="21"/>
        </w:rPr>
      </w:pPr>
    </w:p>
    <w:p w14:paraId="12CAFE25">
      <w:pPr>
        <w:pStyle w:val="27"/>
        <w:numPr>
          <w:ilvl w:val="1"/>
          <w:numId w:val="13"/>
        </w:numPr>
        <w:spacing w:before="0" w:after="0"/>
        <w:rPr>
          <w:rFonts w:asciiTheme="minorHAnsi" w:hAnsiTheme="minorHAnsi" w:cstheme="minorHAnsi"/>
          <w:sz w:val="21"/>
          <w:szCs w:val="21"/>
        </w:rPr>
      </w:pPr>
      <w:r>
        <w:rPr>
          <w:rFonts w:asciiTheme="minorHAnsi" w:hAnsiTheme="minorHAnsi" w:cstheme="minorHAnsi"/>
          <w:sz w:val="21"/>
          <w:szCs w:val="21"/>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58C9089">
      <w:pPr>
        <w:pStyle w:val="27"/>
        <w:numPr>
          <w:ilvl w:val="0"/>
          <w:numId w:val="0"/>
        </w:numPr>
        <w:spacing w:before="0" w:after="0"/>
        <w:rPr>
          <w:rFonts w:asciiTheme="minorHAnsi" w:hAnsiTheme="minorHAnsi" w:cstheme="minorHAnsi"/>
          <w:sz w:val="21"/>
          <w:szCs w:val="21"/>
        </w:rPr>
      </w:pPr>
    </w:p>
    <w:p w14:paraId="2E6DED9F">
      <w:pPr>
        <w:pStyle w:val="27"/>
        <w:numPr>
          <w:ilvl w:val="2"/>
          <w:numId w:val="13"/>
        </w:numPr>
        <w:tabs>
          <w:tab w:val="left" w:pos="851"/>
          <w:tab w:val="left" w:pos="1560"/>
        </w:tabs>
        <w:spacing w:before="0" w:after="0"/>
        <w:ind w:left="851" w:firstLine="0"/>
        <w:rPr>
          <w:rFonts w:asciiTheme="minorHAnsi" w:hAnsiTheme="minorHAnsi" w:cstheme="minorHAnsi"/>
          <w:sz w:val="21"/>
          <w:szCs w:val="21"/>
        </w:rPr>
      </w:pPr>
      <w:r>
        <w:rPr>
          <w:rFonts w:asciiTheme="minorHAnsi" w:hAnsiTheme="minorHAnsi" w:cstheme="minorHAnsi"/>
          <w:sz w:val="21"/>
          <w:szCs w:val="21"/>
        </w:rPr>
        <w:t xml:space="preserve">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  </w:t>
      </w:r>
    </w:p>
    <w:p w14:paraId="1A22B842">
      <w:pPr>
        <w:pStyle w:val="27"/>
        <w:numPr>
          <w:ilvl w:val="0"/>
          <w:numId w:val="0"/>
        </w:numPr>
        <w:tabs>
          <w:tab w:val="left" w:pos="851"/>
          <w:tab w:val="left" w:pos="1560"/>
        </w:tabs>
        <w:spacing w:before="0" w:after="0"/>
        <w:ind w:left="851"/>
        <w:rPr>
          <w:rFonts w:asciiTheme="minorHAnsi" w:hAnsiTheme="minorHAnsi" w:cstheme="minorHAnsi"/>
          <w:sz w:val="21"/>
          <w:szCs w:val="21"/>
        </w:rPr>
      </w:pPr>
    </w:p>
    <w:p w14:paraId="13B88E1B">
      <w:pPr>
        <w:pStyle w:val="19"/>
        <w:spacing w:line="276" w:lineRule="auto"/>
        <w:ind w:left="851" w:hanging="567"/>
        <w:jc w:val="both"/>
        <w:rPr>
          <w:rFonts w:asciiTheme="minorHAnsi" w:hAnsiTheme="minorHAnsi" w:cstheme="minorHAnsi"/>
          <w:sz w:val="21"/>
          <w:szCs w:val="21"/>
        </w:rPr>
      </w:pPr>
      <w:r>
        <w:rPr>
          <w:rFonts w:asciiTheme="minorHAnsi" w:hAnsiTheme="minorHAnsi" w:cstheme="minorHAnsi"/>
          <w:sz w:val="21"/>
          <w:szCs w:val="21"/>
        </w:rPr>
        <w:t>7.25. Erros no preenchimento da planilha não constituem motivo para a desclassificação da proposta. A planilha poderá́ ser ajustada pelo fornecedor, no prazo indicado pelo sistema, desde que não haja majoração do preço.</w:t>
      </w:r>
    </w:p>
    <w:p w14:paraId="48E5547E">
      <w:pPr>
        <w:pStyle w:val="27"/>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7.25.1. O ajuste de que trata este dispositivo se limita a sanar erros ou falhas que não alterem a substância das propostas;</w:t>
      </w:r>
    </w:p>
    <w:p w14:paraId="2463FC13">
      <w:pPr>
        <w:pStyle w:val="27"/>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7.25.2. Considera-se erro no preenchimento da planilha passível de correção a indicação de recolhimento de impostos e contribuições na forma do Simples Nacional, quando não cabível esse regime.</w:t>
      </w:r>
    </w:p>
    <w:p w14:paraId="76330571">
      <w:pPr>
        <w:pStyle w:val="27"/>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7.25.3. A pregoeira solicitará ao licitante mais bem classificado que, no prazo de 02 (duas) horas, envie a proposta adequada ao último lance ofertado após a negociação realizada, em campo próprio do Sistema, acompanhada, se for o caso, dos documentos complementares, quando necessários à confirmação daqueles exigidos neste Edital e já apresentados.</w:t>
      </w:r>
    </w:p>
    <w:p w14:paraId="669749C2">
      <w:pPr>
        <w:pStyle w:val="27"/>
        <w:numPr>
          <w:ilvl w:val="0"/>
          <w:numId w:val="0"/>
        </w:numPr>
        <w:tabs>
          <w:tab w:val="left" w:pos="851"/>
        </w:tabs>
        <w:spacing w:before="0" w:after="0"/>
        <w:ind w:left="851"/>
        <w:rPr>
          <w:rFonts w:asciiTheme="minorHAnsi" w:hAnsiTheme="minorHAnsi" w:cstheme="minorHAnsi"/>
          <w:sz w:val="21"/>
          <w:szCs w:val="21"/>
        </w:rPr>
      </w:pPr>
      <w:r>
        <w:rPr>
          <w:rFonts w:asciiTheme="minorHAnsi" w:hAnsiTheme="minorHAnsi" w:cstheme="minorHAnsi"/>
          <w:sz w:val="21"/>
          <w:szCs w:val="21"/>
        </w:rPr>
        <w:t xml:space="preserve">7.25.4. </w:t>
      </w:r>
      <w:r>
        <w:rPr>
          <w:rFonts w:eastAsia="Times New Roman" w:asciiTheme="minorHAnsi" w:hAnsiTheme="minorHAnsi" w:cstheme="minorHAnsi"/>
          <w:sz w:val="21"/>
          <w:szCs w:val="21"/>
        </w:rPr>
        <w:t>É facultado ao pregoeiro prorrogar o prazo estabelecido, a partir de solicitação fundamentada feita no chat pelo licitante, antes de findo o prazo.</w:t>
      </w:r>
    </w:p>
    <w:p w14:paraId="7F268FDA">
      <w:pPr>
        <w:pStyle w:val="19"/>
        <w:spacing w:line="276" w:lineRule="auto"/>
        <w:jc w:val="both"/>
        <w:rPr>
          <w:rFonts w:asciiTheme="minorHAnsi" w:hAnsiTheme="minorHAnsi" w:cstheme="minorHAnsi"/>
          <w:color w:val="C55A11" w:themeColor="accent2" w:themeShade="BF"/>
          <w:sz w:val="21"/>
          <w:szCs w:val="21"/>
        </w:rPr>
      </w:pPr>
    </w:p>
    <w:p w14:paraId="0F84BAC5">
      <w:pPr>
        <w:pStyle w:val="19"/>
        <w:numPr>
          <w:ilvl w:val="0"/>
          <w:numId w:val="13"/>
        </w:numPr>
        <w:spacing w:line="276" w:lineRule="auto"/>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DA AMOSTRA</w:t>
      </w:r>
    </w:p>
    <w:p w14:paraId="48B20550">
      <w:pPr>
        <w:pStyle w:val="19"/>
        <w:spacing w:line="276" w:lineRule="auto"/>
        <w:ind w:left="660"/>
        <w:jc w:val="both"/>
        <w:rPr>
          <w:rFonts w:asciiTheme="minorHAnsi" w:hAnsiTheme="minorHAnsi" w:cstheme="minorHAnsi"/>
          <w:b/>
          <w:bCs/>
          <w:color w:val="C55A11" w:themeColor="accent2" w:themeShade="BF"/>
          <w:sz w:val="21"/>
          <w:szCs w:val="21"/>
        </w:rPr>
      </w:pPr>
      <w:r>
        <w:rPr>
          <w:rFonts w:asciiTheme="minorHAnsi" w:hAnsiTheme="minorHAnsi" w:cstheme="minorHAnsi"/>
          <w:b/>
          <w:bCs/>
          <w:color w:val="C55A11" w:themeColor="accent2" w:themeShade="BF"/>
          <w:sz w:val="21"/>
          <w:szCs w:val="21"/>
        </w:rPr>
        <w:t xml:space="preserve"> </w:t>
      </w:r>
    </w:p>
    <w:p w14:paraId="623FBB19">
      <w:pPr>
        <w:pStyle w:val="19"/>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8.1.  Não será exigida a apresentação de amostra para celebrar a contratação decorrente deste certame licitatório.</w:t>
      </w:r>
    </w:p>
    <w:p w14:paraId="31ABF1D2">
      <w:pPr>
        <w:pStyle w:val="19"/>
        <w:spacing w:line="276" w:lineRule="auto"/>
        <w:jc w:val="both"/>
        <w:rPr>
          <w:rFonts w:asciiTheme="minorHAnsi" w:hAnsiTheme="minorHAnsi" w:cstheme="minorHAnsi"/>
          <w:sz w:val="21"/>
          <w:szCs w:val="21"/>
        </w:rPr>
      </w:pPr>
    </w:p>
    <w:p w14:paraId="1FFFAB81">
      <w:pPr>
        <w:pStyle w:val="19"/>
        <w:spacing w:line="276" w:lineRule="auto"/>
        <w:jc w:val="both"/>
        <w:rPr>
          <w:rFonts w:asciiTheme="minorHAnsi" w:hAnsiTheme="minorHAnsi" w:cstheme="minorHAnsi"/>
          <w:sz w:val="21"/>
          <w:szCs w:val="21"/>
        </w:rPr>
      </w:pPr>
      <w:r>
        <w:rPr>
          <w:rFonts w:asciiTheme="minorHAnsi" w:hAnsiTheme="minorHAnsi" w:cstheme="minorHAnsi"/>
          <w:b/>
          <w:bCs/>
          <w:sz w:val="21"/>
          <w:szCs w:val="21"/>
        </w:rPr>
        <w:t>9. DA FASE DE HABILITAÇÃO</w:t>
      </w:r>
    </w:p>
    <w:p w14:paraId="325E71B2">
      <w:pPr>
        <w:pStyle w:val="19"/>
        <w:spacing w:line="276" w:lineRule="auto"/>
        <w:jc w:val="both"/>
        <w:rPr>
          <w:rFonts w:asciiTheme="minorHAnsi" w:hAnsiTheme="minorHAnsi" w:cstheme="minorHAnsi"/>
          <w:sz w:val="21"/>
          <w:szCs w:val="21"/>
        </w:rPr>
      </w:pPr>
    </w:p>
    <w:p w14:paraId="066D19C4">
      <w:pPr>
        <w:pStyle w:val="19"/>
        <w:numPr>
          <w:ilvl w:val="1"/>
          <w:numId w:val="14"/>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9.1. </w:t>
      </w:r>
      <w:bookmarkStart w:id="2" w:name="_Ref117019424"/>
      <w:r>
        <w:rPr>
          <w:rFonts w:asciiTheme="minorHAnsi" w:hAnsiTheme="minorHAnsi" w:cstheme="minorHAnsi"/>
          <w:sz w:val="21"/>
          <w:szCs w:val="21"/>
        </w:rPr>
        <w:t xml:space="preserve">Encerrada a etapa de negociação e aceitação, a pregoeira verificará se o licitante provisoriamente </w:t>
      </w:r>
      <w:r>
        <w:rPr>
          <w:rFonts w:asciiTheme="minorHAnsi" w:hAnsiTheme="minorHAnsi" w:cstheme="minorHAnsi"/>
          <w:color w:val="auto"/>
          <w:sz w:val="21"/>
          <w:szCs w:val="21"/>
        </w:rPr>
        <w:t xml:space="preserve">classificado em primeiro lugar atende às condições de participação no certame, conforme previsto no art. 14 da Lei Federal  nº 14.133/2021, legislação correlata e no item 4.9 do edital, </w:t>
      </w:r>
      <w:bookmarkEnd w:id="2"/>
      <w:r>
        <w:rPr>
          <w:rFonts w:asciiTheme="minorHAnsi" w:hAnsiTheme="minorHAnsi" w:cstheme="minorHAnsi"/>
          <w:color w:val="auto"/>
          <w:sz w:val="21"/>
          <w:szCs w:val="21"/>
          <w:lang w:eastAsia="ar-SA"/>
        </w:rPr>
        <w:t>especialmente quanto à existência de sanção que impeça a participação no certame ou a futura contratação,</w:t>
      </w:r>
      <w:r>
        <w:rPr>
          <w:rFonts w:asciiTheme="minorHAnsi" w:hAnsiTheme="minorHAnsi" w:cstheme="minorHAnsi"/>
          <w:sz w:val="21"/>
          <w:szCs w:val="21"/>
          <w:lang w:eastAsia="ar-SA"/>
        </w:rPr>
        <w:t xml:space="preserve"> mediante a consulta aos seguintes cadastros:</w:t>
      </w:r>
    </w:p>
    <w:p w14:paraId="2DF47B79">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a) Registro Cadastral ou Registro de Sanções Administrativas do órgão licitante, se houver; e</w:t>
      </w:r>
    </w:p>
    <w:p w14:paraId="1731A135">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b) Consulta Consolidada de Pessoa Jurídica (TCU) (</w:t>
      </w:r>
      <w:r>
        <w:fldChar w:fldCharType="begin"/>
      </w:r>
      <w:r>
        <w:instrText xml:space="preserve"> HYPERLINK "https://certidoes-apf.apps.tcu.gov.br/" </w:instrText>
      </w:r>
      <w:r>
        <w:fldChar w:fldCharType="separate"/>
      </w:r>
      <w:r>
        <w:rPr>
          <w:rStyle w:val="6"/>
          <w:rFonts w:asciiTheme="minorHAnsi" w:hAnsiTheme="minorHAnsi" w:cstheme="minorHAnsi"/>
          <w:sz w:val="21"/>
          <w:szCs w:val="21"/>
        </w:rPr>
        <w:t>https://certidoes-apf.apps.tcu.gov.br/</w:t>
      </w:r>
      <w:r>
        <w:rPr>
          <w:rStyle w:val="6"/>
          <w:rFonts w:asciiTheme="minorHAnsi" w:hAnsiTheme="minorHAnsi" w:cstheme="minorHAnsi"/>
          <w:sz w:val="21"/>
          <w:szCs w:val="21"/>
        </w:rPr>
        <w:fldChar w:fldCharType="end"/>
      </w:r>
      <w:r>
        <w:rPr>
          <w:rFonts w:asciiTheme="minorHAnsi" w:hAnsiTheme="minorHAnsi" w:cstheme="minorHAnsi"/>
          <w:sz w:val="21"/>
          <w:szCs w:val="21"/>
          <w:lang w:eastAsia="ar-SA"/>
        </w:rPr>
        <w:t>).</w:t>
      </w:r>
    </w:p>
    <w:p w14:paraId="454CF567">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lang w:eastAsia="ar-SA"/>
        </w:rPr>
        <w:t xml:space="preserve">c) </w:t>
      </w:r>
      <w:r>
        <w:rPr>
          <w:rFonts w:asciiTheme="minorHAnsi" w:hAnsiTheme="minorHAnsi" w:cstheme="minorHAnsi"/>
          <w:sz w:val="21"/>
          <w:szCs w:val="21"/>
        </w:rPr>
        <w:t xml:space="preserve">Sistema Eletrônico de Aplicação e Registro de Sanções Administrativas – e-Sanções, no endereço( </w:t>
      </w:r>
      <w:r>
        <w:fldChar w:fldCharType="begin"/>
      </w:r>
      <w:r>
        <w:instrText xml:space="preserve"> HYPERLINK "http://www.esancoes.sp.gov.br" </w:instrText>
      </w:r>
      <w:r>
        <w:fldChar w:fldCharType="separate"/>
      </w:r>
      <w:r>
        <w:rPr>
          <w:rStyle w:val="6"/>
          <w:rFonts w:asciiTheme="minorHAnsi" w:hAnsiTheme="minorHAnsi" w:cstheme="minorHAnsi"/>
          <w:sz w:val="21"/>
          <w:szCs w:val="21"/>
        </w:rPr>
        <w:t>http://www.esancoes.sp.gov.br</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 </w:t>
      </w:r>
    </w:p>
    <w:p w14:paraId="63AA91C7">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Empresas Inidôneas e Suspensas – CEIS, no endereço ( </w:t>
      </w:r>
      <w:r>
        <w:fldChar w:fldCharType="begin"/>
      </w:r>
      <w:r>
        <w:instrText xml:space="preserve"> HYPERLINK "http://www.portaltransparencia.gov.br/sancoes" </w:instrText>
      </w:r>
      <w:r>
        <w:fldChar w:fldCharType="separate"/>
      </w:r>
      <w:r>
        <w:rPr>
          <w:rStyle w:val="6"/>
          <w:rFonts w:asciiTheme="minorHAnsi" w:hAnsiTheme="minorHAnsi" w:cstheme="minorHAnsi"/>
          <w:sz w:val="21"/>
          <w:szCs w:val="21"/>
        </w:rPr>
        <w:t>http://www.portaltransparencia.gov.br/sancoes</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 </w:t>
      </w:r>
    </w:p>
    <w:p w14:paraId="5FD72CA0">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d) Cadastro Nacional de Condenações Cíveis por Atos de Improbidade Administrativa e Inelegibilidade – CNIA, do Conselho Nacional de Justiça, no endereço </w:t>
      </w:r>
      <w:r>
        <w:fldChar w:fldCharType="begin"/>
      </w:r>
      <w:r>
        <w:instrText xml:space="preserve"> HYPERLINK "http://www.cnj.jus.br/improbidade_adm/consultar_requerido.php" </w:instrText>
      </w:r>
      <w:r>
        <w:fldChar w:fldCharType="separate"/>
      </w:r>
      <w:r>
        <w:rPr>
          <w:rStyle w:val="6"/>
          <w:rFonts w:asciiTheme="minorHAnsi" w:hAnsiTheme="minorHAnsi" w:cstheme="minorHAnsi"/>
          <w:sz w:val="21"/>
          <w:szCs w:val="21"/>
        </w:rPr>
        <w:t>http://www.cnj.jus.br/improbidade_adm/consultar_requerido.php</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(quanto ao nome da pessoa jurídica licitante e também de seu sócio majoritário - artigo 12 da Lei Federal n° 8.429/1992);</w:t>
      </w:r>
    </w:p>
    <w:p w14:paraId="75BF1206">
      <w:pPr>
        <w:pStyle w:val="21"/>
        <w:numPr>
          <w:ilvl w:val="0"/>
          <w:numId w:val="14"/>
        </w:numPr>
        <w:spacing w:line="276" w:lineRule="auto"/>
        <w:ind w:left="1276"/>
        <w:jc w:val="both"/>
        <w:rPr>
          <w:rFonts w:asciiTheme="minorHAnsi" w:hAnsiTheme="minorHAnsi" w:cstheme="minorHAnsi"/>
          <w:sz w:val="21"/>
          <w:szCs w:val="21"/>
          <w:lang w:eastAsia="ar-SA"/>
        </w:rPr>
      </w:pPr>
      <w:r>
        <w:rPr>
          <w:rFonts w:asciiTheme="minorHAnsi" w:hAnsiTheme="minorHAnsi" w:cstheme="minorHAnsi"/>
          <w:sz w:val="21"/>
          <w:szCs w:val="21"/>
        </w:rPr>
        <w:t xml:space="preserve">e) Relação de apenados publicada pelo Tribunal de Contas do Estado de São Paulo, no endereço ( </w:t>
      </w:r>
      <w:r>
        <w:fldChar w:fldCharType="begin"/>
      </w:r>
      <w:r>
        <w:instrText xml:space="preserve"> HYPERLINK "https://www.tce.sp.gov.br/pesquisa-relacao-apenados" </w:instrText>
      </w:r>
      <w:r>
        <w:fldChar w:fldCharType="separate"/>
      </w:r>
      <w:r>
        <w:rPr>
          <w:rStyle w:val="6"/>
          <w:rFonts w:asciiTheme="minorHAnsi" w:hAnsiTheme="minorHAnsi" w:cstheme="minorHAnsi"/>
          <w:sz w:val="21"/>
          <w:szCs w:val="21"/>
        </w:rPr>
        <w:t>https://www.tce.sp.gov.br/pesquisa-relacao-apenados</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w:t>
      </w:r>
    </w:p>
    <w:p w14:paraId="106EEDF9">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9.2.  Caso atendidas as condições de participação, será iniciado o procedimento de habilitação.</w:t>
      </w:r>
    </w:p>
    <w:p w14:paraId="16C1F9A4">
      <w:pPr>
        <w:pStyle w:val="25"/>
        <w:numPr>
          <w:ilvl w:val="0"/>
          <w:numId w:val="0"/>
        </w:numPr>
        <w:spacing w:before="0" w:after="0"/>
        <w:rPr>
          <w:rFonts w:asciiTheme="minorHAnsi" w:hAnsiTheme="minorHAnsi" w:cstheme="minorHAnsi"/>
          <w:sz w:val="21"/>
          <w:szCs w:val="21"/>
        </w:rPr>
      </w:pPr>
    </w:p>
    <w:p w14:paraId="36B490E0">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9.3. Caso o licitante provisoriamente classificado em primeiro lugar enquadre-se no tratamento favorecido às ME/EPPs, o pregoeiro obedecerá ao disposto nos arts. 42 e 43 da Lei Complementar nº 23/2006.</w:t>
      </w:r>
    </w:p>
    <w:p w14:paraId="65D0A4A1">
      <w:pPr>
        <w:pStyle w:val="25"/>
        <w:numPr>
          <w:ilvl w:val="0"/>
          <w:numId w:val="0"/>
        </w:numPr>
        <w:spacing w:before="0" w:after="0"/>
        <w:rPr>
          <w:rFonts w:asciiTheme="minorHAnsi" w:hAnsiTheme="minorHAnsi" w:cstheme="minorHAnsi"/>
          <w:sz w:val="21"/>
          <w:szCs w:val="21"/>
        </w:rPr>
      </w:pPr>
    </w:p>
    <w:p w14:paraId="6C3C760E">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9.4. Serão exigidos para fins de habilitação, nos termos dos arts. 62 a 70 da Lei Federal nº 14.133, de 2021, os seguintes documentos: </w:t>
      </w:r>
    </w:p>
    <w:p w14:paraId="34FFC6D6">
      <w:pPr>
        <w:pStyle w:val="19"/>
        <w:numPr>
          <w:ilvl w:val="0"/>
          <w:numId w:val="14"/>
        </w:numPr>
        <w:spacing w:line="276" w:lineRule="auto"/>
        <w:jc w:val="both"/>
        <w:rPr>
          <w:rFonts w:asciiTheme="minorHAnsi" w:hAnsiTheme="minorHAnsi" w:cstheme="minorHAnsi"/>
          <w:sz w:val="21"/>
          <w:szCs w:val="21"/>
        </w:rPr>
      </w:pPr>
    </w:p>
    <w:p w14:paraId="578552DA">
      <w:pPr>
        <w:pStyle w:val="19"/>
        <w:spacing w:line="276" w:lineRule="auto"/>
        <w:jc w:val="both"/>
        <w:rPr>
          <w:rFonts w:asciiTheme="minorHAnsi" w:hAnsiTheme="minorHAnsi" w:cstheme="minorHAnsi"/>
          <w:sz w:val="21"/>
          <w:szCs w:val="21"/>
        </w:rPr>
      </w:pPr>
      <w:r>
        <w:rPr>
          <w:rFonts w:asciiTheme="minorHAnsi" w:hAnsiTheme="minorHAnsi" w:cstheme="minorHAnsi"/>
          <w:b/>
          <w:bCs/>
          <w:sz w:val="21"/>
          <w:szCs w:val="21"/>
        </w:rPr>
        <w:t>9.5. DA HABILITAÇÃO JURÍDICA</w:t>
      </w:r>
      <w:r>
        <w:rPr>
          <w:rFonts w:asciiTheme="minorHAnsi" w:hAnsiTheme="minorHAnsi" w:cstheme="minorHAnsi"/>
          <w:sz w:val="21"/>
          <w:szCs w:val="21"/>
        </w:rPr>
        <w:t xml:space="preserve"> </w:t>
      </w:r>
    </w:p>
    <w:p w14:paraId="6EF6A88D">
      <w:pPr>
        <w:pStyle w:val="19"/>
        <w:spacing w:line="276" w:lineRule="auto"/>
        <w:jc w:val="both"/>
        <w:rPr>
          <w:rFonts w:asciiTheme="minorHAnsi" w:hAnsiTheme="minorHAnsi" w:cstheme="minorHAnsi"/>
          <w:sz w:val="21"/>
          <w:szCs w:val="21"/>
        </w:rPr>
      </w:pPr>
    </w:p>
    <w:p w14:paraId="07AD0DDB">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Empresário individual: </w:t>
      </w:r>
      <w:r>
        <w:rPr>
          <w:rFonts w:asciiTheme="minorHAnsi" w:hAnsiTheme="minorHAnsi" w:cstheme="minorHAnsi"/>
          <w:sz w:val="21"/>
          <w:szCs w:val="21"/>
        </w:rPr>
        <w:t xml:space="preserve">inscrição no Registro Público de Empresas Mercantis, a cargo da Junta Comercial da respectiva sede; </w:t>
      </w:r>
    </w:p>
    <w:p w14:paraId="14F93BF0">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Microempreendedor Individual – MEI: </w:t>
      </w:r>
      <w:r>
        <w:rPr>
          <w:rFonts w:asciiTheme="minorHAnsi" w:hAnsiTheme="minorHAnsi" w:cstheme="minorHAnsi"/>
          <w:sz w:val="21"/>
          <w:szCs w:val="21"/>
        </w:rPr>
        <w:t xml:space="preserve">Certificado da Condição de Microempreendedor Individual – CCMEI, cuja aceitação ficará condicionada à verificação da autenticidade no sítio https://www.gov.br/empresas-e-negocios/pt-br/empreendedor; </w:t>
      </w:r>
    </w:p>
    <w:p w14:paraId="387D3490">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Sociedade empresária, sociedade limitada unipessoal – SLU ou sociedade identificada como empresa individual de responsabilidade limitada – EIRELI</w:t>
      </w:r>
      <w:r>
        <w:rPr>
          <w:rFonts w:asciiTheme="minorHAnsi" w:hAnsiTheme="minorHAnsi" w:cstheme="minorHAnsi"/>
          <w:sz w:val="21"/>
          <w:szCs w:val="21"/>
        </w:rPr>
        <w:t xml:space="preserve">: inscrição do ato constitutivo, estatuto ou contrato social no Registro Público de Empresas Mercantis, a cargo da Junta Comercial da respectiva sede, acompanhada de documento comprobatório de seus administradores; </w:t>
      </w:r>
    </w:p>
    <w:p w14:paraId="38C150ED">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empresária estrangeira: </w:t>
      </w:r>
      <w:r>
        <w:rPr>
          <w:rFonts w:asciiTheme="minorHAnsi" w:hAnsiTheme="minorHAnsi" w:cstheme="minorHAnsi"/>
          <w:sz w:val="21"/>
          <w:szCs w:val="21"/>
        </w:rPr>
        <w:t xml:space="preserve">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w:t>
      </w:r>
    </w:p>
    <w:p w14:paraId="4D0C5970">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simples: </w:t>
      </w:r>
      <w:r>
        <w:rPr>
          <w:rFonts w:asciiTheme="minorHAnsi" w:hAnsiTheme="minorHAnsi" w:cstheme="minorHAnsi"/>
          <w:sz w:val="21"/>
          <w:szCs w:val="21"/>
        </w:rPr>
        <w:t xml:space="preserve">inscrição do ato constitutivo no Registro Civil de Pessoas Jurídicas do local de sua sede, acompanhada de documento comprobatório de seus administradores; </w:t>
      </w:r>
    </w:p>
    <w:p w14:paraId="6DCFFF9E">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Filial, sucursal ou agência de sociedade simples ou empresária: </w:t>
      </w:r>
      <w:r>
        <w:rPr>
          <w:rFonts w:asciiTheme="minorHAnsi" w:hAnsiTheme="minorHAnsi" w:cstheme="minorHAnsi"/>
          <w:sz w:val="21"/>
          <w:szCs w:val="21"/>
        </w:rPr>
        <w:t xml:space="preserve">inscrição do ato constitutivo da filial, sucursal ou agência da sociedade simples ou empresária, respectivamente, no Registro Civil das Pessoas Jurídicas ou no Registro Público de Empresas Mercantis onde opera, com averbação no Registro onde tem sede a matriz </w:t>
      </w:r>
    </w:p>
    <w:p w14:paraId="5F8E39BF">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Sociedade cooperativa: </w:t>
      </w:r>
      <w:r>
        <w:rPr>
          <w:rFonts w:asciiTheme="minorHAnsi" w:hAnsiTheme="minorHAnsi" w:cstheme="minorHAnsi"/>
          <w:sz w:val="21"/>
          <w:szCs w:val="21"/>
        </w:rPr>
        <w:t xml:space="preserve">ata de fundação e estatuto social, com a ata da assembleia que o aprovou, devidamente arquivado na Junta Comercial ou inscrito no Registro Civil das Pessoas Jurídicas da respectiva sede, além do registro de que trata o art. 107 da Lei nº 5.764, de 16 de dezembro 1971; </w:t>
      </w:r>
    </w:p>
    <w:p w14:paraId="6E4A3D35">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Agricultor familiar: </w:t>
      </w:r>
      <w:r>
        <w:rPr>
          <w:rFonts w:asciiTheme="minorHAnsi" w:hAnsiTheme="minorHAnsi" w:cstheme="minorHAnsi"/>
          <w:sz w:val="21"/>
          <w:szCs w:val="21"/>
        </w:rPr>
        <w:t xml:space="preserve">Declaração de Aptidão ao Pronaf – DAP ou DAP-P válida, ou, ainda, outros documentos definidos pela Secretaria Especial de Agricultura Familiar e do Desenvolvimento Agrário, nos termos do art. 4º, §2º do Decreto nº 10.880, de 2 de dezembro de 2021. </w:t>
      </w:r>
    </w:p>
    <w:p w14:paraId="311B1EE1">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b/>
          <w:bCs/>
          <w:sz w:val="21"/>
          <w:szCs w:val="21"/>
        </w:rPr>
        <w:t xml:space="preserve">Produtor Rural: </w:t>
      </w:r>
      <w:r>
        <w:rPr>
          <w:rFonts w:asciiTheme="minorHAnsi" w:hAnsiTheme="minorHAnsi" w:cstheme="minorHAnsi"/>
          <w:sz w:val="21"/>
          <w:szCs w:val="21"/>
        </w:rPr>
        <w:t xml:space="preserve">matrícula no Cadastro Específico do INSS – CEI, que comprove a qualificação como produtor rural pessoa física, nos termos da Instrução Normativa RFB n. 971, de 13 de novembro de 2009 (arts. 17 a 19 e 165). </w:t>
      </w:r>
    </w:p>
    <w:p w14:paraId="787C64B1">
      <w:pPr>
        <w:pStyle w:val="19"/>
        <w:numPr>
          <w:ilvl w:val="2"/>
          <w:numId w:val="15"/>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apresentados deverão estar acompanhados de todas as alterações ou da consolidação respectiva. </w:t>
      </w:r>
    </w:p>
    <w:p w14:paraId="7EC49514">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6981650">
      <w:pPr>
        <w:numPr>
          <w:ilvl w:val="1"/>
          <w:numId w:val="14"/>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9.6. DA REGULARIDADE FISCAL, SOCIAL E TRABALHISTA </w:t>
      </w:r>
    </w:p>
    <w:p w14:paraId="239CEED4">
      <w:pPr>
        <w:numPr>
          <w:ilvl w:val="1"/>
          <w:numId w:val="14"/>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6161BF64">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Inscrição no cadastro nacional da pessoa jurídica (CNPJ); </w:t>
      </w:r>
    </w:p>
    <w:p w14:paraId="7DF83977">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 </w:t>
      </w:r>
    </w:p>
    <w:p w14:paraId="36C177C7">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o Fundo de Garantia do Tempo de Serviço (FGTS); </w:t>
      </w:r>
    </w:p>
    <w:p w14:paraId="371CD659">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 </w:t>
      </w:r>
    </w:p>
    <w:p w14:paraId="6857F1FE">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inscrição no cadastro de contribuintes Estadual e/ou Distrital e/ou Municipal relativo ao domicílio ou sede do fornecedor, pertinente ao seu ramo de atividade e compatível com o objeto contratual; </w:t>
      </w:r>
    </w:p>
    <w:p w14:paraId="10EB7910">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Prova de regularidade com a Fazenda Estadual e/ou Distrital e/ou Municipal do domicílio ou sede do fornecedor, relativa à atividade em cujo exercício contrata ou concorre; </w:t>
      </w:r>
    </w:p>
    <w:p w14:paraId="349021D8">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 </w:t>
      </w:r>
    </w:p>
    <w:p w14:paraId="186F3CCE">
      <w:pPr>
        <w:pStyle w:val="19"/>
        <w:numPr>
          <w:ilvl w:val="2"/>
          <w:numId w:val="16"/>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536ABEAB">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412175D8">
      <w:pPr>
        <w:numPr>
          <w:ilvl w:val="1"/>
          <w:numId w:val="17"/>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9.7. DA QUALIFICAÇÃO ECONÔMICO FINANCEIRA: </w:t>
      </w:r>
    </w:p>
    <w:p w14:paraId="3BB2C380">
      <w:pPr>
        <w:numPr>
          <w:ilvl w:val="1"/>
          <w:numId w:val="17"/>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A084DEA">
      <w:pPr>
        <w:pStyle w:val="19"/>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9.7.1. A licitante deverá apresentar Certidão negativa de Falência expedida pelo distribuidor da sede da pessoa jurídica, com data de emissão de no máximo 90 (noventa) dias anteriores à data da abertura da sessão, ou que esteja dentro do prazo de validade expresso na própria certidão; </w:t>
      </w:r>
    </w:p>
    <w:p w14:paraId="23D89C24">
      <w:pPr>
        <w:pStyle w:val="19"/>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9.7.2. As empresas que estiverem em processo de recuperação judicial deverão apresentar na fase de habilitação o Plano de Recuperação já homologado pelo juízo competente e em pleno vigor, nos termos da Súmula 50 do TCE/SP; </w:t>
      </w:r>
    </w:p>
    <w:p w14:paraId="758C2C53">
      <w:p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1D8D5761">
      <w:pPr>
        <w:numPr>
          <w:ilvl w:val="1"/>
          <w:numId w:val="18"/>
        </w:numPr>
        <w:autoSpaceDE w:val="0"/>
        <w:autoSpaceDN w:val="0"/>
        <w:adjustRightInd w:val="0"/>
        <w:spacing w:line="276" w:lineRule="auto"/>
        <w:jc w:val="both"/>
        <w:rPr>
          <w:rFonts w:asciiTheme="minorHAnsi" w:hAnsiTheme="minorHAnsi" w:eastAsiaTheme="minorHAnsi" w:cstheme="minorHAnsi"/>
          <w:b/>
          <w:bCs/>
          <w:sz w:val="21"/>
          <w:szCs w:val="21"/>
          <w:lang w:eastAsia="en-US"/>
          <w14:ligatures w14:val="standardContextual"/>
        </w:rPr>
      </w:pPr>
      <w:r>
        <w:rPr>
          <w:rFonts w:asciiTheme="minorHAnsi" w:hAnsiTheme="minorHAnsi" w:eastAsiaTheme="minorHAnsi" w:cstheme="minorHAnsi"/>
          <w:b/>
          <w:bCs/>
          <w:sz w:val="21"/>
          <w:szCs w:val="21"/>
          <w:lang w:eastAsia="en-US"/>
          <w14:ligatures w14:val="standardContextual"/>
        </w:rPr>
        <w:t xml:space="preserve">9.8. DA QUALIFICAÇÃO TÉCNICA: </w:t>
      </w:r>
    </w:p>
    <w:p w14:paraId="525DD504">
      <w:pPr>
        <w:numPr>
          <w:ilvl w:val="1"/>
          <w:numId w:val="18"/>
        </w:numPr>
        <w:autoSpaceDE w:val="0"/>
        <w:autoSpaceDN w:val="0"/>
        <w:adjustRightInd w:val="0"/>
        <w:spacing w:line="276" w:lineRule="auto"/>
        <w:jc w:val="both"/>
        <w:rPr>
          <w:rFonts w:asciiTheme="minorHAnsi" w:hAnsiTheme="minorHAnsi" w:eastAsiaTheme="minorHAnsi" w:cstheme="minorHAnsi"/>
          <w:sz w:val="21"/>
          <w:szCs w:val="21"/>
          <w:lang w:eastAsia="en-US"/>
          <w14:ligatures w14:val="standardContextual"/>
        </w:rPr>
      </w:pPr>
    </w:p>
    <w:p w14:paraId="79B42F50">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Comprovação de aptidão para o fornecimento de bens similares de complexidade tecnológica e da apresentação de certidões ou atestados, por pessoas jurídicas de direito público ou privado, ou regularmente emitido(s) pelo conselho profissional competente, quando for o caso. </w:t>
      </w:r>
    </w:p>
    <w:p w14:paraId="05955449">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4345ABDA">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 Para comprovação da Qualificação Técnica, não haverá imposição de quantitativos mínimos. </w:t>
      </w:r>
    </w:p>
    <w:p w14:paraId="52410B38">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Os atestados deverão referir-se a serviços prestados no âmbito de sua atividade econômica principal ou secundária especificadas no contrato social vigente; </w:t>
      </w:r>
    </w:p>
    <w:p w14:paraId="0D1E57E0">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Serão aceitos atestados ou outros documentos hábeis emitidos por entidades estrangeiras quando acompanhados de tradução para o português, salvo se comprovada a inidoneidade da entidade emissora. </w:t>
      </w:r>
    </w:p>
    <w:p w14:paraId="4D8A2419">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 apresentação de certidões ou atestados de desempenho anterior emitido em favor de consórcio do qual tenha feito parte será admitido, desde que atendidos os requisitos do art. 67, §§ 10 e 11, da Lei nº 14.133/2021 e regulamentos sobre o tema. </w:t>
      </w:r>
    </w:p>
    <w:p w14:paraId="364ABE84">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sz w:val="21"/>
          <w:szCs w:val="21"/>
        </w:rPr>
        <w:t xml:space="preserve"> Deverão apresentar a cópia do Registro ou Cópia da Consulta do Registro no site da ANVISA, ou ainda da publicação no Diário Oficial da União, documentos estes que comprovam que o número do registro indicado na proposta comercial permanece válido. </w:t>
      </w:r>
    </w:p>
    <w:p w14:paraId="6C7BA757">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sz w:val="21"/>
          <w:szCs w:val="21"/>
        </w:rPr>
        <w:t xml:space="preserve"> Alvará de Funcionamento ou Licença de Funcionamento, com validade em vigor, expedido por órgão competente da Vigilância Sanitária;</w:t>
      </w:r>
    </w:p>
    <w:p w14:paraId="5ECFA931">
      <w:pPr>
        <w:pStyle w:val="19"/>
        <w:numPr>
          <w:ilvl w:val="2"/>
          <w:numId w:val="19"/>
        </w:numPr>
        <w:spacing w:line="276" w:lineRule="auto"/>
        <w:ind w:left="851" w:firstLine="0"/>
        <w:jc w:val="both"/>
        <w:rPr>
          <w:rFonts w:asciiTheme="minorHAnsi" w:hAnsiTheme="minorHAnsi" w:cstheme="minorHAnsi"/>
          <w:color w:val="auto"/>
          <w:sz w:val="21"/>
          <w:szCs w:val="21"/>
        </w:rPr>
      </w:pPr>
      <w:r>
        <w:rPr>
          <w:rFonts w:asciiTheme="minorHAnsi" w:hAnsiTheme="minorHAnsi" w:cstheme="minorHAnsi"/>
          <w:b/>
          <w:sz w:val="21"/>
          <w:szCs w:val="21"/>
        </w:rPr>
        <w:t>Apresentar Autorização de Funcionamento, expedida pela Secretaria de Vigilância Sanitária do Ministério da Saúde;</w:t>
      </w:r>
    </w:p>
    <w:p w14:paraId="23432A27">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546FF56E">
      <w:pPr>
        <w:numPr>
          <w:ilvl w:val="1"/>
          <w:numId w:val="20"/>
        </w:numPr>
        <w:autoSpaceDE w:val="0"/>
        <w:autoSpaceDN w:val="0"/>
        <w:adjustRightInd w:val="0"/>
        <w:spacing w:line="276" w:lineRule="auto"/>
        <w:jc w:val="both"/>
        <w:rPr>
          <w:rFonts w:asciiTheme="minorHAnsi" w:hAnsiTheme="minorHAnsi" w:eastAsiaTheme="minorHAnsi" w:cstheme="minorHAnsi"/>
          <w:b/>
          <w:bCs/>
          <w:color w:val="000000"/>
          <w:sz w:val="21"/>
          <w:szCs w:val="21"/>
          <w:lang w:eastAsia="en-US"/>
          <w14:ligatures w14:val="standardContextual"/>
        </w:rPr>
      </w:pPr>
      <w:r>
        <w:rPr>
          <w:rFonts w:asciiTheme="minorHAnsi" w:hAnsiTheme="minorHAnsi" w:eastAsiaTheme="minorHAnsi" w:cstheme="minorHAnsi"/>
          <w:b/>
          <w:bCs/>
          <w:color w:val="000000"/>
          <w:sz w:val="21"/>
          <w:szCs w:val="21"/>
          <w:lang w:eastAsia="en-US"/>
          <w14:ligatures w14:val="standardContextual"/>
        </w:rPr>
        <w:t xml:space="preserve">9.9. DAS DECLARAÇÕES DIVERSAS: </w:t>
      </w:r>
    </w:p>
    <w:p w14:paraId="5FE8F056">
      <w:pPr>
        <w:numPr>
          <w:ilvl w:val="1"/>
          <w:numId w:val="20"/>
        </w:num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p>
    <w:p w14:paraId="06590CA1">
      <w:pPr>
        <w:pStyle w:val="19"/>
        <w:numPr>
          <w:ilvl w:val="2"/>
          <w:numId w:val="21"/>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Juntamente aos demais documentos de habilitação a licitante deverá apresentar as seguintes declarações: </w:t>
      </w:r>
    </w:p>
    <w:p w14:paraId="00FF841B">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tomou conhecimento de todas as informações e condições locais para o cumprimento das obrigações do objeto da licitação; </w:t>
      </w:r>
    </w:p>
    <w:p w14:paraId="657BAD23">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4AE13CC">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353A569F">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se encontra declarada inidônea, nem suspensa ou impedida de licitar e contratar com a Administração Pública; </w:t>
      </w:r>
    </w:p>
    <w:p w14:paraId="1A19DF9D">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6DA4594F">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cumpre as exigências de reserva de cargos para pessoa com deficiência e para reabilitado da Previdência Social; </w:t>
      </w:r>
    </w:p>
    <w:p w14:paraId="55030C48">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não possui, em sua cadeia produtiva, empregados executando trabalho degradante ou forçado, observando o disposto nos incisos II e IV do art. 1º e no inciso III do art. 5º da Constituição Federal de 1988; </w:t>
      </w:r>
    </w:p>
    <w:p w14:paraId="70FB053D">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6904E241">
      <w:pPr>
        <w:pStyle w:val="19"/>
        <w:numPr>
          <w:ilvl w:val="0"/>
          <w:numId w:val="22"/>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Que na composição societária não existe participação de dirigente e/ou empregados da entidade promotora da licitação; </w:t>
      </w:r>
    </w:p>
    <w:p w14:paraId="7946FA2D">
      <w:pPr>
        <w:pStyle w:val="25"/>
        <w:numPr>
          <w:ilvl w:val="1"/>
          <w:numId w:val="21"/>
        </w:numPr>
        <w:spacing w:before="0" w:after="0"/>
        <w:rPr>
          <w:rFonts w:asciiTheme="minorHAnsi" w:hAnsiTheme="minorHAnsi" w:cstheme="minorHAnsi"/>
          <w:sz w:val="21"/>
          <w:szCs w:val="21"/>
        </w:rPr>
      </w:pPr>
      <w:r>
        <w:rPr>
          <w:rFonts w:asciiTheme="minorHAnsi" w:hAnsiTheme="minorHAnsi" w:cstheme="minorHAnsi"/>
          <w:sz w:val="21"/>
          <w:szCs w:val="21"/>
        </w:rPr>
        <w:t xml:space="preserve">Declaração do Anexo V – Declaração de empresa de Pequeno Porte. </w:t>
      </w:r>
    </w:p>
    <w:p w14:paraId="5E33497E">
      <w:pPr>
        <w:pStyle w:val="25"/>
        <w:numPr>
          <w:ilvl w:val="0"/>
          <w:numId w:val="0"/>
        </w:numPr>
        <w:spacing w:before="0" w:after="0"/>
        <w:ind w:left="540"/>
        <w:rPr>
          <w:rFonts w:asciiTheme="minorHAnsi" w:hAnsiTheme="minorHAnsi" w:cstheme="minorHAnsi"/>
          <w:sz w:val="21"/>
          <w:szCs w:val="21"/>
        </w:rPr>
      </w:pPr>
    </w:p>
    <w:p w14:paraId="30465F04">
      <w:pPr>
        <w:pStyle w:val="25"/>
        <w:numPr>
          <w:ilvl w:val="1"/>
          <w:numId w:val="21"/>
        </w:numPr>
        <w:spacing w:before="0" w:after="0"/>
        <w:rPr>
          <w:rFonts w:asciiTheme="minorHAnsi" w:hAnsiTheme="minorHAnsi" w:cstheme="minorHAnsi"/>
          <w:sz w:val="21"/>
          <w:szCs w:val="21"/>
        </w:rPr>
      </w:pPr>
      <w:r>
        <w:rPr>
          <w:rFonts w:asciiTheme="minorHAnsi" w:hAnsiTheme="minorHAnsi" w:cstheme="minorHAnsi"/>
          <w:bCs/>
          <w:sz w:val="21"/>
          <w:szCs w:val="21"/>
        </w:rPr>
        <w:t>Os documentos exigidos para fins</w:t>
      </w:r>
      <w:r>
        <w:rPr>
          <w:rFonts w:asciiTheme="minorHAnsi" w:hAnsiTheme="minorHAnsi" w:cstheme="minorHAnsi"/>
          <w:sz w:val="21"/>
          <w:szCs w:val="21"/>
        </w:rPr>
        <w:t xml:space="preserve"> de habilitação serão apresentados por meio eletrônico, via Sistema BBMNET.</w:t>
      </w:r>
    </w:p>
    <w:p w14:paraId="01034FB4">
      <w:pPr>
        <w:pStyle w:val="25"/>
        <w:numPr>
          <w:ilvl w:val="0"/>
          <w:numId w:val="0"/>
        </w:numPr>
        <w:spacing w:before="0" w:after="0"/>
        <w:ind w:left="539"/>
        <w:rPr>
          <w:rFonts w:asciiTheme="minorHAnsi" w:hAnsiTheme="minorHAnsi" w:cstheme="minorHAnsi"/>
          <w:sz w:val="21"/>
          <w:szCs w:val="21"/>
        </w:rPr>
      </w:pPr>
    </w:p>
    <w:p w14:paraId="4315C272">
      <w:pPr>
        <w:pStyle w:val="27"/>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Havendo dúvida sobre a veracidade do documento, será exigida a apresentação dos originais não-digitais.</w:t>
      </w:r>
    </w:p>
    <w:p w14:paraId="19A9B7C8">
      <w:pPr>
        <w:pStyle w:val="27"/>
        <w:numPr>
          <w:ilvl w:val="0"/>
          <w:numId w:val="0"/>
        </w:numPr>
        <w:spacing w:before="0" w:after="0"/>
        <w:rPr>
          <w:rFonts w:asciiTheme="minorHAnsi" w:hAnsiTheme="minorHAnsi" w:cstheme="minorHAnsi"/>
          <w:sz w:val="21"/>
          <w:szCs w:val="21"/>
        </w:rPr>
      </w:pPr>
    </w:p>
    <w:p w14:paraId="3C301CB6">
      <w:pPr>
        <w:pStyle w:val="25"/>
        <w:numPr>
          <w:ilvl w:val="1"/>
          <w:numId w:val="21"/>
        </w:numPr>
        <w:spacing w:before="0" w:after="0"/>
        <w:ind w:left="0" w:firstLine="0"/>
        <w:rPr>
          <w:rFonts w:asciiTheme="minorHAnsi" w:hAnsiTheme="minorHAnsi" w:cstheme="minorHAnsi"/>
          <w:sz w:val="21"/>
          <w:szCs w:val="21"/>
        </w:rPr>
      </w:pPr>
      <w:r>
        <w:rPr>
          <w:rFonts w:asciiTheme="minorHAnsi" w:hAnsiTheme="minorHAnsi" w:cstheme="minorHAnsi"/>
          <w:sz w:val="21"/>
          <w:szCs w:val="21"/>
        </w:rPr>
        <w:t xml:space="preserve">A verificação pelo Agente de Contratação/Comissão, em sítios eletrônicos oficiais de órgãos e entidades emissores de certidões constitui meio legal de prova, para fins de habilitação. Os documentos exigidos para habilitação serão enviados por meio do sistema, em formato digital, no prazo </w:t>
      </w:r>
      <w:r>
        <w:rPr>
          <w:rFonts w:asciiTheme="minorHAnsi" w:hAnsiTheme="minorHAnsi" w:cstheme="minorHAnsi"/>
          <w:color w:val="auto"/>
          <w:sz w:val="21"/>
          <w:szCs w:val="21"/>
        </w:rPr>
        <w:t xml:space="preserve">de </w:t>
      </w:r>
      <w:r>
        <w:rPr>
          <w:rFonts w:asciiTheme="minorHAnsi" w:hAnsiTheme="minorHAnsi" w:cstheme="minorHAnsi"/>
          <w:b/>
          <w:bCs/>
          <w:color w:val="auto"/>
          <w:sz w:val="21"/>
          <w:szCs w:val="21"/>
        </w:rPr>
        <w:t>UMA HORA</w:t>
      </w:r>
      <w:r>
        <w:rPr>
          <w:rFonts w:asciiTheme="minorHAnsi" w:hAnsiTheme="minorHAnsi" w:cstheme="minorHAnsi"/>
          <w:sz w:val="21"/>
          <w:szCs w:val="21"/>
        </w:rPr>
        <w:t xml:space="preserve">, prorrogável por igual período, contado da solicitação do Agente de Contratação/ Comissão; </w:t>
      </w:r>
    </w:p>
    <w:p w14:paraId="3DA70CDA">
      <w:pPr>
        <w:pStyle w:val="25"/>
        <w:numPr>
          <w:ilvl w:val="0"/>
          <w:numId w:val="0"/>
        </w:numPr>
        <w:spacing w:before="0" w:after="0"/>
        <w:rPr>
          <w:rFonts w:asciiTheme="minorHAnsi" w:hAnsiTheme="minorHAnsi" w:cstheme="minorHAnsi"/>
          <w:sz w:val="21"/>
          <w:szCs w:val="21"/>
        </w:rPr>
      </w:pPr>
    </w:p>
    <w:p w14:paraId="37C907C2">
      <w:pPr>
        <w:pStyle w:val="19"/>
        <w:numPr>
          <w:ilvl w:val="1"/>
          <w:numId w:val="21"/>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documentos relativos à regularidade fiscal somente serão exigidos, em qualquer caso, em momento posterior ao julgamento das propostas, e apenas do licitante mais bem classificado. </w:t>
      </w:r>
    </w:p>
    <w:p w14:paraId="6DEC55D5">
      <w:pPr>
        <w:pStyle w:val="19"/>
        <w:spacing w:line="276" w:lineRule="auto"/>
        <w:jc w:val="both"/>
        <w:rPr>
          <w:rFonts w:asciiTheme="minorHAnsi" w:hAnsiTheme="minorHAnsi" w:cstheme="minorHAnsi"/>
          <w:sz w:val="21"/>
          <w:szCs w:val="21"/>
        </w:rPr>
      </w:pPr>
    </w:p>
    <w:p w14:paraId="74150255">
      <w:pPr>
        <w:pStyle w:val="19"/>
        <w:numPr>
          <w:ilvl w:val="1"/>
          <w:numId w:val="21"/>
        </w:numPr>
        <w:spacing w:line="276" w:lineRule="auto"/>
        <w:ind w:left="0"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Após a entrega dos documentos para habilitação, não será permitida a substituição ou a apresentação de novos documentos, salvo em sede de diligência, para (Lei Federal nº 14.133/21, art. 64, e IN 73/2022, art. 39, §4º): </w:t>
      </w:r>
    </w:p>
    <w:p w14:paraId="3F5B7E6B">
      <w:pPr>
        <w:pStyle w:val="19"/>
        <w:spacing w:line="276" w:lineRule="auto"/>
        <w:ind w:left="540"/>
        <w:jc w:val="both"/>
        <w:rPr>
          <w:rFonts w:asciiTheme="minorHAnsi" w:hAnsiTheme="minorHAnsi" w:cstheme="minorHAnsi"/>
          <w:sz w:val="21"/>
          <w:szCs w:val="21"/>
        </w:rPr>
      </w:pPr>
    </w:p>
    <w:p w14:paraId="65075D14">
      <w:pPr>
        <w:pStyle w:val="19"/>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complementação de informações acerca dos documentos já apresentados pelos licitantes e desde que necessária para apurar fatos existentes à época da abertura do certame; e </w:t>
      </w:r>
    </w:p>
    <w:p w14:paraId="668ABF2D">
      <w:pPr>
        <w:pStyle w:val="19"/>
        <w:numPr>
          <w:ilvl w:val="2"/>
          <w:numId w:val="21"/>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atualização de documentos cuja validade tenha expirado após a data de recebimento das propostas; </w:t>
      </w:r>
    </w:p>
    <w:p w14:paraId="43327CDE">
      <w:pPr>
        <w:pStyle w:val="19"/>
        <w:tabs>
          <w:tab w:val="left" w:pos="1560"/>
        </w:tabs>
        <w:spacing w:line="276" w:lineRule="auto"/>
        <w:ind w:left="851"/>
        <w:jc w:val="both"/>
        <w:rPr>
          <w:rFonts w:asciiTheme="minorHAnsi" w:hAnsiTheme="minorHAnsi" w:cstheme="minorHAnsi"/>
          <w:sz w:val="21"/>
          <w:szCs w:val="21"/>
        </w:rPr>
      </w:pPr>
    </w:p>
    <w:p w14:paraId="4E3940A6">
      <w:pPr>
        <w:pStyle w:val="19"/>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análise dos documentos de habilitação, Agente de Contratação/Comissão poderá sanar erros ou falhas, que não alterem a substância dos documentos e sua validade jurídica, mediante decisão fundamentada, registrada em ata e acessível a todos, atribuindo-lhes eficácia para fins de habilitação e classificação. </w:t>
      </w:r>
    </w:p>
    <w:p w14:paraId="49A46846">
      <w:pPr>
        <w:pStyle w:val="19"/>
        <w:spacing w:line="276" w:lineRule="auto"/>
        <w:jc w:val="both"/>
        <w:rPr>
          <w:rFonts w:asciiTheme="minorHAnsi" w:hAnsiTheme="minorHAnsi" w:cstheme="minorHAnsi"/>
          <w:sz w:val="21"/>
          <w:szCs w:val="21"/>
        </w:rPr>
      </w:pPr>
    </w:p>
    <w:p w14:paraId="2947E2F3">
      <w:pPr>
        <w:pStyle w:val="19"/>
        <w:numPr>
          <w:ilvl w:val="1"/>
          <w:numId w:val="21"/>
        </w:numPr>
        <w:tabs>
          <w:tab w:val="left" w:pos="567"/>
        </w:tabs>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hipótese de o licitante não atender às exigências para habilitação, a pregoeira examinará a proposta subsequente e assim sucessivamente, na ordem de classificação, até a apuração de uma proposta que atenda ao presente edital. </w:t>
      </w:r>
    </w:p>
    <w:p w14:paraId="63682CF1">
      <w:pPr>
        <w:autoSpaceDE w:val="0"/>
        <w:autoSpaceDN w:val="0"/>
        <w:adjustRightInd w:val="0"/>
        <w:spacing w:line="276" w:lineRule="auto"/>
        <w:jc w:val="both"/>
        <w:rPr>
          <w:rFonts w:asciiTheme="minorHAnsi" w:hAnsiTheme="minorHAnsi" w:cstheme="minorHAnsi"/>
          <w:b/>
          <w:bCs/>
          <w:sz w:val="21"/>
          <w:szCs w:val="21"/>
        </w:rPr>
      </w:pPr>
    </w:p>
    <w:p w14:paraId="6C2A9160">
      <w:pPr>
        <w:autoSpaceDE w:val="0"/>
        <w:autoSpaceDN w:val="0"/>
        <w:adjustRightInd w:val="0"/>
        <w:spacing w:line="276" w:lineRule="auto"/>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b/>
          <w:bCs/>
          <w:sz w:val="21"/>
          <w:szCs w:val="21"/>
        </w:rPr>
        <w:t>10. DA ATA DE REGISTRO DE PREÇOS</w:t>
      </w:r>
    </w:p>
    <w:p w14:paraId="374C39E2">
      <w:pPr>
        <w:pStyle w:val="19"/>
        <w:spacing w:line="276" w:lineRule="auto"/>
        <w:jc w:val="both"/>
        <w:rPr>
          <w:rFonts w:asciiTheme="minorHAnsi" w:hAnsiTheme="minorHAnsi" w:cstheme="minorHAnsi"/>
          <w:sz w:val="21"/>
          <w:szCs w:val="21"/>
        </w:rPr>
      </w:pPr>
    </w:p>
    <w:p w14:paraId="0255586A">
      <w:pPr>
        <w:pStyle w:val="19"/>
        <w:numPr>
          <w:ilvl w:val="1"/>
          <w:numId w:val="23"/>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10.1. Homologado o resultado da licitação, o licitante mais bem classificado terá o prazo de </w:t>
      </w:r>
      <w:r>
        <w:rPr>
          <w:rFonts w:asciiTheme="minorHAnsi" w:hAnsiTheme="minorHAnsi" w:cstheme="minorHAnsi"/>
          <w:b/>
          <w:bCs/>
          <w:color w:val="auto"/>
          <w:sz w:val="21"/>
          <w:szCs w:val="21"/>
        </w:rPr>
        <w:t>5 (cinco) dias úteis</w:t>
      </w:r>
      <w:r>
        <w:rPr>
          <w:rFonts w:asciiTheme="minorHAnsi" w:hAnsiTheme="minorHAnsi" w:cstheme="minorHAnsi"/>
          <w:color w:val="auto"/>
          <w:sz w:val="21"/>
          <w:szCs w:val="21"/>
        </w:rPr>
        <w:t xml:space="preserve">, contados a partir da data de sua convocação, para assinar a Ata de Registro de Preços, cujo prazo de validade encontra-se nela fixado, sob pena de decadência do direito à contratação, sem prejuízo das sanções previstas na Lei Federal nº 14.133, de 2021 e no Decreto Municipal nº 411/2023.  </w:t>
      </w:r>
    </w:p>
    <w:p w14:paraId="77D57ED7">
      <w:pPr>
        <w:pStyle w:val="19"/>
        <w:numPr>
          <w:ilvl w:val="1"/>
          <w:numId w:val="23"/>
        </w:numPr>
        <w:spacing w:line="276" w:lineRule="auto"/>
        <w:jc w:val="both"/>
        <w:rPr>
          <w:rFonts w:asciiTheme="minorHAnsi" w:hAnsiTheme="minorHAnsi" w:cstheme="minorHAnsi"/>
          <w:sz w:val="21"/>
          <w:szCs w:val="21"/>
        </w:rPr>
      </w:pPr>
    </w:p>
    <w:p w14:paraId="1F2D8EA9">
      <w:pPr>
        <w:pStyle w:val="19"/>
        <w:numPr>
          <w:ilvl w:val="1"/>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10.2. O prazo de convocação poderá ser prorrogado uma vez, por igual período, mediante solicitação do licitante mais bem classificado ou do fornecedor convocado, desde que: </w:t>
      </w:r>
    </w:p>
    <w:p w14:paraId="31C6AD0F">
      <w:pPr>
        <w:pStyle w:val="19"/>
        <w:spacing w:line="276" w:lineRule="auto"/>
        <w:jc w:val="both"/>
        <w:rPr>
          <w:rFonts w:asciiTheme="minorHAnsi" w:hAnsiTheme="minorHAnsi" w:cstheme="minorHAnsi"/>
          <w:sz w:val="21"/>
          <w:szCs w:val="21"/>
        </w:rPr>
      </w:pPr>
    </w:p>
    <w:p w14:paraId="4E7468E5">
      <w:pPr>
        <w:pStyle w:val="19"/>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 a solicitação seja devidamente justificada e apresentada dentro do prazo; e </w:t>
      </w:r>
    </w:p>
    <w:p w14:paraId="1513673C">
      <w:pPr>
        <w:pStyle w:val="19"/>
        <w:numPr>
          <w:ilvl w:val="0"/>
          <w:numId w:val="23"/>
        </w:numPr>
        <w:spacing w:line="276" w:lineRule="auto"/>
        <w:jc w:val="both"/>
        <w:rPr>
          <w:rFonts w:asciiTheme="minorHAnsi" w:hAnsiTheme="minorHAnsi" w:cstheme="minorHAnsi"/>
          <w:sz w:val="21"/>
          <w:szCs w:val="21"/>
        </w:rPr>
      </w:pPr>
      <w:r>
        <w:rPr>
          <w:rFonts w:asciiTheme="minorHAnsi" w:hAnsiTheme="minorHAnsi" w:cstheme="minorHAnsi"/>
          <w:sz w:val="21"/>
          <w:szCs w:val="21"/>
        </w:rPr>
        <w:t>(b) a justificativa apresentada seja aceita pela Administração.</w:t>
      </w:r>
    </w:p>
    <w:p w14:paraId="19665566">
      <w:pPr>
        <w:pStyle w:val="19"/>
        <w:spacing w:line="276" w:lineRule="auto"/>
        <w:ind w:left="360"/>
        <w:jc w:val="both"/>
        <w:rPr>
          <w:rFonts w:asciiTheme="minorHAnsi" w:hAnsiTheme="minorHAnsi" w:cstheme="minorHAnsi"/>
          <w:sz w:val="21"/>
          <w:szCs w:val="21"/>
        </w:rPr>
      </w:pPr>
    </w:p>
    <w:p w14:paraId="72C1DB83">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10.3. A ata de registro de preços poderá ser assinada por meio de assinatura digital.</w:t>
      </w:r>
    </w:p>
    <w:p w14:paraId="6FC64CCD">
      <w:pPr>
        <w:pStyle w:val="19"/>
        <w:spacing w:line="276" w:lineRule="auto"/>
        <w:jc w:val="both"/>
        <w:rPr>
          <w:rFonts w:asciiTheme="minorHAnsi" w:hAnsiTheme="minorHAnsi" w:cstheme="minorHAnsi"/>
          <w:sz w:val="21"/>
          <w:szCs w:val="21"/>
        </w:rPr>
      </w:pPr>
    </w:p>
    <w:p w14:paraId="6453626E">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 </w:t>
      </w:r>
    </w:p>
    <w:p w14:paraId="63A625E2">
      <w:pPr>
        <w:pStyle w:val="19"/>
        <w:spacing w:line="276" w:lineRule="auto"/>
        <w:jc w:val="both"/>
        <w:rPr>
          <w:rFonts w:asciiTheme="minorHAnsi" w:hAnsiTheme="minorHAnsi" w:cstheme="minorHAnsi"/>
          <w:sz w:val="21"/>
          <w:szCs w:val="21"/>
        </w:rPr>
      </w:pPr>
    </w:p>
    <w:p w14:paraId="6DF3F8DD">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10.5. Serão registrados na ata os preços e os quantitativos do adjudicatário, não sendo aceita eventuais propostas em quantitativo inferior ao máximo previsto no edital. </w:t>
      </w:r>
    </w:p>
    <w:p w14:paraId="5D271006">
      <w:pPr>
        <w:pStyle w:val="19"/>
        <w:spacing w:line="276" w:lineRule="auto"/>
        <w:jc w:val="both"/>
        <w:rPr>
          <w:rFonts w:asciiTheme="minorHAnsi" w:hAnsiTheme="minorHAnsi" w:cstheme="minorHAnsi"/>
          <w:sz w:val="21"/>
          <w:szCs w:val="21"/>
        </w:rPr>
      </w:pPr>
    </w:p>
    <w:p w14:paraId="439F2D7F">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10.6. O preço registrado, com a indicação dos fornecedores, será divulgado no PNCP e disponibilizado durante a vigência da ata de registro de preços. </w:t>
      </w:r>
    </w:p>
    <w:p w14:paraId="69D0E1D8">
      <w:pPr>
        <w:pStyle w:val="19"/>
        <w:spacing w:line="276" w:lineRule="auto"/>
        <w:jc w:val="both"/>
        <w:rPr>
          <w:rFonts w:asciiTheme="minorHAnsi" w:hAnsiTheme="minorHAnsi" w:cstheme="minorHAnsi"/>
          <w:sz w:val="21"/>
          <w:szCs w:val="21"/>
        </w:rPr>
      </w:pPr>
    </w:p>
    <w:p w14:paraId="4CA13AAD">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10.7. A existência de preços registrados implicará compromisso de fornecimento nas condições estabelecidas, mas não obrigará a Administração a contratar, facultada a realização de licitação específica para a aquisição pretendida, desde que devidamente justificada. </w:t>
      </w:r>
    </w:p>
    <w:p w14:paraId="0D7A37A2">
      <w:pPr>
        <w:pStyle w:val="19"/>
        <w:numPr>
          <w:ilvl w:val="1"/>
          <w:numId w:val="24"/>
        </w:numPr>
        <w:spacing w:line="276" w:lineRule="auto"/>
        <w:jc w:val="both"/>
        <w:rPr>
          <w:rFonts w:asciiTheme="minorHAnsi" w:hAnsiTheme="minorHAnsi" w:cstheme="minorHAnsi"/>
          <w:sz w:val="21"/>
          <w:szCs w:val="21"/>
        </w:rPr>
      </w:pPr>
    </w:p>
    <w:p w14:paraId="24B4F69A">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10.8.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 </w:t>
      </w:r>
    </w:p>
    <w:p w14:paraId="02C7284A">
      <w:pPr>
        <w:pStyle w:val="19"/>
        <w:spacing w:line="276" w:lineRule="auto"/>
        <w:jc w:val="both"/>
        <w:rPr>
          <w:rFonts w:asciiTheme="minorHAnsi" w:hAnsiTheme="minorHAnsi" w:cstheme="minorHAnsi"/>
          <w:sz w:val="21"/>
          <w:szCs w:val="21"/>
        </w:rPr>
      </w:pPr>
    </w:p>
    <w:p w14:paraId="1ABB501B">
      <w:pPr>
        <w:pStyle w:val="19"/>
        <w:numPr>
          <w:ilvl w:val="1"/>
          <w:numId w:val="25"/>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11. DO CADASTRO DE RESERVA</w:t>
      </w:r>
    </w:p>
    <w:p w14:paraId="7EE3A87D">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11.1. Será considerado cadastro reserva, registrados na ata de julgamento da licitação, os fornecedores que:</w:t>
      </w:r>
    </w:p>
    <w:p w14:paraId="2D613E0E">
      <w:pPr>
        <w:pStyle w:val="19"/>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11.1.1.  aceitarem cotar o objeto com preço igual ao do adjudicatário, observada a classificação na licitação; e </w:t>
      </w:r>
    </w:p>
    <w:p w14:paraId="06966826">
      <w:pPr>
        <w:pStyle w:val="19"/>
        <w:numPr>
          <w:ilvl w:val="1"/>
          <w:numId w:val="25"/>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11.1.2. que mantiverem sua proposta original. </w:t>
      </w:r>
    </w:p>
    <w:p w14:paraId="532621BE">
      <w:pPr>
        <w:pStyle w:val="19"/>
        <w:numPr>
          <w:ilvl w:val="1"/>
          <w:numId w:val="25"/>
        </w:numPr>
        <w:spacing w:line="276" w:lineRule="auto"/>
        <w:ind w:left="851"/>
        <w:jc w:val="both"/>
        <w:rPr>
          <w:rFonts w:asciiTheme="minorHAnsi" w:hAnsiTheme="minorHAnsi" w:cstheme="minorHAnsi"/>
          <w:sz w:val="21"/>
          <w:szCs w:val="21"/>
        </w:rPr>
      </w:pPr>
    </w:p>
    <w:p w14:paraId="12CFA823">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11.2. Será respeitada, nas contratações, a ordem de classificação dos licitantes ou fornecedores registrados na ata. </w:t>
      </w:r>
    </w:p>
    <w:p w14:paraId="736DD448">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11.2.1. A apresentação de novas propostas na forma deste item não prejudicará o resultado do certame em relação ao licitante mais bem classificado.</w:t>
      </w:r>
    </w:p>
    <w:p w14:paraId="07E980FE">
      <w:pPr>
        <w:pStyle w:val="27"/>
        <w:numPr>
          <w:ilvl w:val="0"/>
          <w:numId w:val="0"/>
        </w:numPr>
        <w:spacing w:before="0" w:after="0"/>
        <w:ind w:left="851"/>
        <w:rPr>
          <w:rFonts w:asciiTheme="minorHAnsi" w:hAnsiTheme="minorHAnsi" w:cstheme="minorHAnsi"/>
          <w:sz w:val="21"/>
          <w:szCs w:val="21"/>
        </w:rPr>
      </w:pPr>
      <w:r>
        <w:rPr>
          <w:rFonts w:asciiTheme="minorHAnsi" w:hAnsiTheme="minorHAnsi" w:cstheme="minorHAnsi"/>
          <w:sz w:val="21"/>
          <w:szCs w:val="21"/>
        </w:rPr>
        <w:t>11.2.2. Para fins da ordem de classificação, os licitantes ou fornecedores que aceitarem cotar o objeto com preço igual ao do adjudicatário antecederão aqueles que mantiverem sua proposta original.</w:t>
      </w:r>
    </w:p>
    <w:p w14:paraId="16755907">
      <w:pPr>
        <w:pStyle w:val="27"/>
        <w:numPr>
          <w:ilvl w:val="0"/>
          <w:numId w:val="0"/>
        </w:numPr>
        <w:spacing w:before="0" w:after="0"/>
        <w:ind w:left="851"/>
        <w:rPr>
          <w:rFonts w:asciiTheme="minorHAnsi" w:hAnsiTheme="minorHAnsi" w:cstheme="minorHAnsi"/>
          <w:sz w:val="21"/>
          <w:szCs w:val="21"/>
        </w:rPr>
      </w:pPr>
    </w:p>
    <w:p w14:paraId="6AAEAC2F">
      <w:pPr>
        <w:pStyle w:val="19"/>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11.3. A habilitação dos licitantes que comporão o cadastro de reserva será efetuada quando houver necessidade de contratação dos licitantes remanescentes, nas seguintes hipóteses: </w:t>
      </w:r>
    </w:p>
    <w:p w14:paraId="608AEA9A">
      <w:pPr>
        <w:pStyle w:val="19"/>
        <w:spacing w:line="276" w:lineRule="auto"/>
        <w:jc w:val="both"/>
        <w:rPr>
          <w:rFonts w:asciiTheme="minorHAnsi" w:hAnsiTheme="minorHAnsi" w:cstheme="minorHAnsi"/>
          <w:sz w:val="21"/>
          <w:szCs w:val="21"/>
        </w:rPr>
      </w:pPr>
    </w:p>
    <w:p w14:paraId="4C570FB4">
      <w:pPr>
        <w:pStyle w:val="19"/>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11.3.1. Quando o licitante vencedor não assinar a ata de registro de preços no prazo e nas condições estabelecidos no edital; ou </w:t>
      </w:r>
    </w:p>
    <w:p w14:paraId="43024C99">
      <w:pPr>
        <w:pStyle w:val="19"/>
        <w:numPr>
          <w:ilvl w:val="2"/>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11.3.2. Quando houver o cancelamento do registro do fornecedor ou do registro de preços, nas hipóteses previstas nos art. 28 e art. 29 do Decreto nº 11.462/23. </w:t>
      </w:r>
    </w:p>
    <w:p w14:paraId="4A416C1D">
      <w:pPr>
        <w:pStyle w:val="19"/>
        <w:numPr>
          <w:ilvl w:val="2"/>
          <w:numId w:val="26"/>
        </w:numPr>
        <w:spacing w:line="276" w:lineRule="auto"/>
        <w:ind w:left="360"/>
        <w:jc w:val="both"/>
        <w:rPr>
          <w:rFonts w:asciiTheme="minorHAnsi" w:hAnsiTheme="minorHAnsi" w:cstheme="minorHAnsi"/>
          <w:sz w:val="21"/>
          <w:szCs w:val="21"/>
        </w:rPr>
      </w:pPr>
    </w:p>
    <w:p w14:paraId="6876FDBD">
      <w:pPr>
        <w:pStyle w:val="19"/>
        <w:numPr>
          <w:ilvl w:val="1"/>
          <w:numId w:val="26"/>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11.4.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 </w:t>
      </w:r>
    </w:p>
    <w:p w14:paraId="37F13BCA">
      <w:pPr>
        <w:pStyle w:val="19"/>
        <w:numPr>
          <w:ilvl w:val="1"/>
          <w:numId w:val="26"/>
        </w:numPr>
        <w:spacing w:line="276" w:lineRule="auto"/>
        <w:jc w:val="both"/>
        <w:rPr>
          <w:rFonts w:asciiTheme="minorHAnsi" w:hAnsiTheme="minorHAnsi" w:cstheme="minorHAnsi"/>
          <w:sz w:val="21"/>
          <w:szCs w:val="21"/>
        </w:rPr>
      </w:pPr>
    </w:p>
    <w:p w14:paraId="5C835495">
      <w:pPr>
        <w:pStyle w:val="19"/>
        <w:numPr>
          <w:ilvl w:val="0"/>
          <w:numId w:val="26"/>
        </w:numPr>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11.4.1. Convocar os licitantes que mantiveram sua proposta original para negociação, na ordem de classificação, com vistas à obtenção de preço melhor, mesmo que acima do preço do adjudicatário; ou </w:t>
      </w:r>
    </w:p>
    <w:p w14:paraId="3550CC7E">
      <w:pPr>
        <w:pStyle w:val="19"/>
        <w:numPr>
          <w:ilvl w:val="2"/>
          <w:numId w:val="27"/>
        </w:numPr>
        <w:tabs>
          <w:tab w:val="left" w:pos="1560"/>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Adjudicar e firmar o contrato nas condições ofertadas pelos licitantes remanescentes, observada a ordem de classificação, quando frustrada a negociação de melhor condição. </w:t>
      </w:r>
    </w:p>
    <w:p w14:paraId="77C1DAFB">
      <w:pPr>
        <w:pStyle w:val="19"/>
        <w:spacing w:line="276" w:lineRule="auto"/>
        <w:jc w:val="both"/>
        <w:rPr>
          <w:rFonts w:asciiTheme="minorHAnsi" w:hAnsiTheme="minorHAnsi" w:cstheme="minorHAnsi"/>
          <w:sz w:val="21"/>
          <w:szCs w:val="21"/>
        </w:rPr>
      </w:pPr>
    </w:p>
    <w:p w14:paraId="4EBDD49D">
      <w:pPr>
        <w:pStyle w:val="19"/>
        <w:spacing w:line="276" w:lineRule="auto"/>
        <w:jc w:val="both"/>
        <w:rPr>
          <w:rFonts w:asciiTheme="minorHAnsi" w:hAnsiTheme="minorHAnsi" w:cstheme="minorHAnsi"/>
          <w:sz w:val="21"/>
          <w:szCs w:val="21"/>
        </w:rPr>
      </w:pPr>
      <w:r>
        <w:rPr>
          <w:rFonts w:asciiTheme="minorHAnsi" w:hAnsiTheme="minorHAnsi" w:cstheme="minorHAnsi"/>
          <w:b/>
          <w:bCs/>
          <w:sz w:val="21"/>
          <w:szCs w:val="21"/>
        </w:rPr>
        <w:t>12. DOS RECURSOS</w:t>
      </w:r>
    </w:p>
    <w:p w14:paraId="62FACDE3">
      <w:pPr>
        <w:pStyle w:val="19"/>
        <w:spacing w:line="276" w:lineRule="auto"/>
        <w:ind w:left="360"/>
        <w:jc w:val="both"/>
        <w:rPr>
          <w:rFonts w:asciiTheme="minorHAnsi" w:hAnsiTheme="minorHAnsi" w:cstheme="minorHAnsi"/>
          <w:sz w:val="21"/>
          <w:szCs w:val="21"/>
        </w:rPr>
      </w:pPr>
    </w:p>
    <w:p w14:paraId="17946787">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interposição de recurso referente ao julgamento das propostas, à habilitação ou inabilitação de licitantes, à anulação ou revogação da licitação, observará o disposto no art. 165 da Lei Federal nº 14.133, de 2021. </w:t>
      </w:r>
    </w:p>
    <w:p w14:paraId="28B9EC15">
      <w:pPr>
        <w:pStyle w:val="19"/>
        <w:spacing w:line="276" w:lineRule="auto"/>
        <w:jc w:val="both"/>
        <w:rPr>
          <w:rFonts w:asciiTheme="minorHAnsi" w:hAnsiTheme="minorHAnsi" w:cstheme="minorHAnsi"/>
          <w:sz w:val="21"/>
          <w:szCs w:val="21"/>
        </w:rPr>
      </w:pPr>
    </w:p>
    <w:p w14:paraId="33546D4D">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recursal é de 3 (três) dias úteis, contados da data de intimação ou de lavratura da ata. </w:t>
      </w:r>
    </w:p>
    <w:p w14:paraId="1BBA98EC">
      <w:pPr>
        <w:pStyle w:val="19"/>
        <w:spacing w:line="276" w:lineRule="auto"/>
        <w:jc w:val="both"/>
        <w:rPr>
          <w:rFonts w:asciiTheme="minorHAnsi" w:hAnsiTheme="minorHAnsi" w:cstheme="minorHAnsi"/>
          <w:sz w:val="21"/>
          <w:szCs w:val="21"/>
        </w:rPr>
      </w:pPr>
    </w:p>
    <w:p w14:paraId="7AAEAA22">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Quando o recurso apresentado impugnar o julgamento das propostas ou o ato de habilitação ou inabilitação do licitante: </w:t>
      </w:r>
    </w:p>
    <w:p w14:paraId="48F1F2D9">
      <w:pPr>
        <w:pStyle w:val="19"/>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 intenção de recorrer deverá ser manifestada imediatamente, sob pena de preclusão; </w:t>
      </w:r>
    </w:p>
    <w:p w14:paraId="04FE3A70">
      <w:pPr>
        <w:pStyle w:val="19"/>
        <w:numPr>
          <w:ilvl w:val="2"/>
          <w:numId w:val="28"/>
        </w:numPr>
        <w:tabs>
          <w:tab w:val="left" w:pos="1701"/>
        </w:tabs>
        <w:spacing w:line="276" w:lineRule="auto"/>
        <w:ind w:left="851" w:firstLine="0"/>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O tempo mínimo para manifestação da intenção de recurso será de 30 minutos, podendo a pregoeira dar provimento ou negar o mesmo. </w:t>
      </w:r>
    </w:p>
    <w:p w14:paraId="281498BB">
      <w:pPr>
        <w:pStyle w:val="19"/>
        <w:numPr>
          <w:ilvl w:val="2"/>
          <w:numId w:val="28"/>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das razões recursais será iniciado na data de intimação ou de lavratura da ata de habilitação ou inabilitação; </w:t>
      </w:r>
    </w:p>
    <w:p w14:paraId="6AC322AF">
      <w:pPr>
        <w:pStyle w:val="19"/>
        <w:tabs>
          <w:tab w:val="left" w:pos="1701"/>
        </w:tabs>
        <w:spacing w:line="276" w:lineRule="auto"/>
        <w:ind w:left="851"/>
        <w:jc w:val="both"/>
        <w:rPr>
          <w:rFonts w:asciiTheme="minorHAnsi" w:hAnsiTheme="minorHAnsi" w:cstheme="minorHAnsi"/>
          <w:sz w:val="21"/>
          <w:szCs w:val="21"/>
        </w:rPr>
      </w:pPr>
    </w:p>
    <w:p w14:paraId="25FD3E53">
      <w:pPr>
        <w:pStyle w:val="19"/>
        <w:numPr>
          <w:ilvl w:val="1"/>
          <w:numId w:val="28"/>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Os recursos deverão ser encaminhados em campo próprio do sistema BBMNET. </w:t>
      </w:r>
    </w:p>
    <w:p w14:paraId="617FD5C2">
      <w:pPr>
        <w:pStyle w:val="19"/>
        <w:spacing w:line="276" w:lineRule="auto"/>
        <w:ind w:left="525"/>
        <w:jc w:val="both"/>
        <w:rPr>
          <w:rFonts w:asciiTheme="minorHAnsi" w:hAnsiTheme="minorHAnsi" w:cstheme="minorHAnsi"/>
          <w:sz w:val="21"/>
          <w:szCs w:val="21"/>
        </w:rPr>
      </w:pPr>
    </w:p>
    <w:p w14:paraId="7F4CB96F">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 </w:t>
      </w:r>
    </w:p>
    <w:p w14:paraId="0E144A68">
      <w:pPr>
        <w:pStyle w:val="19"/>
        <w:spacing w:line="276" w:lineRule="auto"/>
        <w:jc w:val="both"/>
        <w:rPr>
          <w:rFonts w:asciiTheme="minorHAnsi" w:hAnsiTheme="minorHAnsi" w:cstheme="minorHAnsi"/>
          <w:sz w:val="21"/>
          <w:szCs w:val="21"/>
        </w:rPr>
      </w:pPr>
    </w:p>
    <w:p w14:paraId="3D72DBDF">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Os recursos interpostos fora do prazo não serão conhecidos. </w:t>
      </w:r>
    </w:p>
    <w:p w14:paraId="079665E5">
      <w:pPr>
        <w:pStyle w:val="19"/>
        <w:spacing w:line="276" w:lineRule="auto"/>
        <w:jc w:val="both"/>
        <w:rPr>
          <w:rFonts w:asciiTheme="minorHAnsi" w:hAnsiTheme="minorHAnsi" w:cstheme="minorHAnsi"/>
          <w:sz w:val="21"/>
          <w:szCs w:val="21"/>
        </w:rPr>
      </w:pPr>
    </w:p>
    <w:p w14:paraId="7A69E049">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 </w:t>
      </w:r>
    </w:p>
    <w:p w14:paraId="43414FB8">
      <w:pPr>
        <w:pStyle w:val="19"/>
        <w:spacing w:line="276" w:lineRule="auto"/>
        <w:jc w:val="both"/>
        <w:rPr>
          <w:rFonts w:asciiTheme="minorHAnsi" w:hAnsiTheme="minorHAnsi" w:cstheme="minorHAnsi"/>
          <w:sz w:val="21"/>
          <w:szCs w:val="21"/>
        </w:rPr>
      </w:pPr>
    </w:p>
    <w:p w14:paraId="4ACE4E66">
      <w:pPr>
        <w:pStyle w:val="19"/>
        <w:numPr>
          <w:ilvl w:val="1"/>
          <w:numId w:val="28"/>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FEAB084">
      <w:pPr>
        <w:pStyle w:val="19"/>
        <w:spacing w:line="276" w:lineRule="auto"/>
        <w:jc w:val="both"/>
        <w:rPr>
          <w:rFonts w:asciiTheme="minorHAnsi" w:hAnsiTheme="minorHAnsi" w:cstheme="minorHAnsi"/>
          <w:sz w:val="21"/>
          <w:szCs w:val="21"/>
        </w:rPr>
      </w:pPr>
    </w:p>
    <w:p w14:paraId="359971F5">
      <w:pPr>
        <w:pStyle w:val="27"/>
        <w:numPr>
          <w:ilvl w:val="0"/>
          <w:numId w:val="0"/>
        </w:numPr>
        <w:spacing w:before="0" w:after="0"/>
        <w:rPr>
          <w:rFonts w:eastAsia="Times New Roman" w:asciiTheme="minorHAnsi" w:hAnsiTheme="minorHAnsi" w:cstheme="minorHAnsi"/>
          <w:sz w:val="21"/>
          <w:szCs w:val="21"/>
          <w:highlight w:val="cyan"/>
        </w:rPr>
      </w:pPr>
      <w:r>
        <w:rPr>
          <w:rFonts w:asciiTheme="minorHAnsi" w:hAnsiTheme="minorHAnsi" w:cstheme="minorHAnsi"/>
          <w:b/>
          <w:bCs/>
          <w:sz w:val="21"/>
          <w:szCs w:val="21"/>
        </w:rPr>
        <w:t>13. DAS INFRAÇÕES ADMINISTRATIVAS E SANÇÕES</w:t>
      </w:r>
    </w:p>
    <w:p w14:paraId="30EA47A1">
      <w:pPr>
        <w:pStyle w:val="19"/>
        <w:spacing w:line="276" w:lineRule="auto"/>
        <w:jc w:val="both"/>
        <w:rPr>
          <w:rFonts w:asciiTheme="minorHAnsi" w:hAnsiTheme="minorHAnsi" w:cstheme="minorHAnsi"/>
          <w:color w:val="auto"/>
          <w:sz w:val="21"/>
          <w:szCs w:val="21"/>
        </w:rPr>
      </w:pPr>
    </w:p>
    <w:p w14:paraId="2849D882">
      <w:pPr>
        <w:pStyle w:val="19"/>
        <w:numPr>
          <w:ilvl w:val="1"/>
          <w:numId w:val="29"/>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Comete infração administrativa, nos termos da lei Federal nº 14.133/2021 e do Decreto Municipal nº 438/2024, o licitante que, com dolo ou culpa: </w:t>
      </w:r>
    </w:p>
    <w:p w14:paraId="26CABAB0">
      <w:pPr>
        <w:pStyle w:val="19"/>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color w:val="auto"/>
          <w:sz w:val="21"/>
          <w:szCs w:val="21"/>
        </w:rPr>
        <w:t xml:space="preserve">Deixar </w:t>
      </w:r>
      <w:r>
        <w:rPr>
          <w:rFonts w:asciiTheme="minorHAnsi" w:hAnsiTheme="minorHAnsi" w:cstheme="minorHAnsi"/>
          <w:sz w:val="21"/>
          <w:szCs w:val="21"/>
        </w:rPr>
        <w:t xml:space="preserve">de entregar a documentação exigida para o certame ou não entregar qualquer documento que tenha sido solicitado pela pregoeira durante o certame; </w:t>
      </w:r>
    </w:p>
    <w:p w14:paraId="78840236">
      <w:pPr>
        <w:pStyle w:val="19"/>
        <w:numPr>
          <w:ilvl w:val="2"/>
          <w:numId w:val="29"/>
        </w:numPr>
        <w:tabs>
          <w:tab w:val="left" w:pos="2127"/>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Salvo em decorrência de fato superveniente devidamente justificado, não mantiver a proposta em especial quando: </w:t>
      </w:r>
    </w:p>
    <w:p w14:paraId="4A68CB8D">
      <w:pPr>
        <w:pStyle w:val="19"/>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Não enviar a proposta adequada ao último lance ofertado ou após a negociação; </w:t>
      </w:r>
    </w:p>
    <w:p w14:paraId="3155C35B">
      <w:pPr>
        <w:pStyle w:val="19"/>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Recusar-se a enviar o detalhamento da proposta quando exigível; </w:t>
      </w:r>
    </w:p>
    <w:p w14:paraId="42343973">
      <w:pPr>
        <w:pStyle w:val="19"/>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Injustificadamente, pedir para ser desclassificado quando encerrada a etapa competitiva; ou </w:t>
      </w:r>
    </w:p>
    <w:p w14:paraId="688CBDE0">
      <w:pPr>
        <w:pStyle w:val="19"/>
        <w:numPr>
          <w:ilvl w:val="3"/>
          <w:numId w:val="29"/>
        </w:numPr>
        <w:tabs>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Deixar de apresentar amostra quando solicitada; </w:t>
      </w:r>
    </w:p>
    <w:p w14:paraId="6515F784">
      <w:pPr>
        <w:pStyle w:val="19"/>
        <w:numPr>
          <w:ilvl w:val="3"/>
          <w:numId w:val="29"/>
        </w:numPr>
        <w:tabs>
          <w:tab w:val="left" w:pos="993"/>
          <w:tab w:val="left" w:pos="2268"/>
        </w:tabs>
        <w:spacing w:line="276" w:lineRule="auto"/>
        <w:ind w:left="1276" w:firstLine="0"/>
        <w:jc w:val="both"/>
        <w:rPr>
          <w:rFonts w:asciiTheme="minorHAnsi" w:hAnsiTheme="minorHAnsi" w:cstheme="minorHAnsi"/>
          <w:sz w:val="21"/>
          <w:szCs w:val="21"/>
        </w:rPr>
      </w:pPr>
      <w:r>
        <w:rPr>
          <w:rFonts w:asciiTheme="minorHAnsi" w:hAnsiTheme="minorHAnsi" w:cstheme="minorHAnsi"/>
          <w:sz w:val="21"/>
          <w:szCs w:val="21"/>
        </w:rPr>
        <w:t xml:space="preserve">Apresentar proposta ou amostra em desacordo com as especificações do edital; </w:t>
      </w:r>
    </w:p>
    <w:p w14:paraId="63F12113">
      <w:pPr>
        <w:pStyle w:val="19"/>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Não celebrar o contrato ou não entregar a documentação exigida para a contratação, quando convocado dentro do prazo de validade de sua proposta; </w:t>
      </w:r>
    </w:p>
    <w:p w14:paraId="16C55E4B">
      <w:pPr>
        <w:pStyle w:val="19"/>
        <w:numPr>
          <w:ilvl w:val="3"/>
          <w:numId w:val="29"/>
        </w:numPr>
        <w:tabs>
          <w:tab w:val="left" w:pos="1134"/>
          <w:tab w:val="left" w:pos="1701"/>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Recusar-se, sem justificativa, a assinar o contrato ou a ata de registro de preço, ou a aceitar ou retirar o instrumento equivalente no prazo estabelecido pela Administração; </w:t>
      </w:r>
    </w:p>
    <w:p w14:paraId="3C418D13">
      <w:pPr>
        <w:pStyle w:val="19"/>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Apresentar declaração ou documentação falsa exigida para o certame ou prestar declaração falsa durante a licitação. </w:t>
      </w:r>
    </w:p>
    <w:p w14:paraId="000E9EB1">
      <w:pPr>
        <w:pStyle w:val="19"/>
        <w:numPr>
          <w:ilvl w:val="2"/>
          <w:numId w:val="29"/>
        </w:numPr>
        <w:tabs>
          <w:tab w:val="left" w:pos="1843"/>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Fraudar a licitação. </w:t>
      </w:r>
    </w:p>
    <w:p w14:paraId="7EC4766A">
      <w:pPr>
        <w:pStyle w:val="19"/>
        <w:numPr>
          <w:ilvl w:val="2"/>
          <w:numId w:val="29"/>
        </w:numPr>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comportar-se de modo inidôneo ou cometer fraude de qualquer natureza, em especial quando: </w:t>
      </w:r>
    </w:p>
    <w:p w14:paraId="2B3B90CF">
      <w:pPr>
        <w:pStyle w:val="19"/>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agir em conluio ou em desconformidade com a lei; </w:t>
      </w:r>
    </w:p>
    <w:p w14:paraId="272F2B12">
      <w:pPr>
        <w:pStyle w:val="19"/>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induzir deliberadamente a erro no julgamento; </w:t>
      </w:r>
    </w:p>
    <w:p w14:paraId="18C10AA8">
      <w:pPr>
        <w:pStyle w:val="19"/>
        <w:numPr>
          <w:ilvl w:val="3"/>
          <w:numId w:val="29"/>
        </w:numPr>
        <w:spacing w:line="276" w:lineRule="auto"/>
        <w:ind w:left="1134" w:firstLine="0"/>
        <w:jc w:val="both"/>
        <w:rPr>
          <w:rFonts w:asciiTheme="minorHAnsi" w:hAnsiTheme="minorHAnsi" w:cstheme="minorHAnsi"/>
          <w:sz w:val="21"/>
          <w:szCs w:val="21"/>
        </w:rPr>
      </w:pPr>
      <w:r>
        <w:rPr>
          <w:rFonts w:asciiTheme="minorHAnsi" w:hAnsiTheme="minorHAnsi" w:cstheme="minorHAnsi"/>
          <w:sz w:val="21"/>
          <w:szCs w:val="21"/>
        </w:rPr>
        <w:t xml:space="preserve">apresentar amostra falsificada ou deteriorada; </w:t>
      </w:r>
    </w:p>
    <w:p w14:paraId="1F5DDCA8">
      <w:pPr>
        <w:pStyle w:val="21"/>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eastAsiaTheme="minorHAnsi" w:cstheme="minorHAnsi"/>
          <w:color w:val="000000"/>
          <w:sz w:val="21"/>
          <w:szCs w:val="21"/>
          <w:lang w:eastAsia="en-US"/>
          <w14:ligatures w14:val="standardContextual"/>
        </w:rPr>
        <w:t>Praticar atos ilícitos com vistas a frustrar os objetivos da licitação.</w:t>
      </w:r>
    </w:p>
    <w:p w14:paraId="0F0BA841">
      <w:pPr>
        <w:pStyle w:val="21"/>
        <w:numPr>
          <w:ilvl w:val="2"/>
          <w:numId w:val="29"/>
        </w:numPr>
        <w:tabs>
          <w:tab w:val="left" w:pos="1701"/>
        </w:tabs>
        <w:autoSpaceDE w:val="0"/>
        <w:autoSpaceDN w:val="0"/>
        <w:adjustRightInd w:val="0"/>
        <w:spacing w:line="276" w:lineRule="auto"/>
        <w:ind w:left="851" w:firstLine="0"/>
        <w:jc w:val="both"/>
        <w:rPr>
          <w:rFonts w:asciiTheme="minorHAnsi" w:hAnsiTheme="minorHAnsi" w:eastAsiaTheme="minorHAnsi" w:cstheme="minorHAnsi"/>
          <w:color w:val="000000"/>
          <w:sz w:val="21"/>
          <w:szCs w:val="21"/>
          <w:lang w:eastAsia="en-US"/>
          <w14:ligatures w14:val="standardContextual"/>
        </w:rPr>
      </w:pPr>
      <w:r>
        <w:rPr>
          <w:rFonts w:asciiTheme="minorHAnsi" w:hAnsiTheme="minorHAnsi" w:cstheme="minorHAnsi"/>
          <w:sz w:val="21"/>
          <w:szCs w:val="21"/>
        </w:rPr>
        <w:t xml:space="preserve">Praticar ato lesivo previsto no art. 5º da Lei n.º 12.846, de 2013. </w:t>
      </w:r>
    </w:p>
    <w:p w14:paraId="4D426CF3">
      <w:pPr>
        <w:pStyle w:val="19"/>
        <w:spacing w:line="276" w:lineRule="auto"/>
        <w:ind w:left="851"/>
        <w:jc w:val="both"/>
        <w:rPr>
          <w:rFonts w:asciiTheme="minorHAnsi" w:hAnsiTheme="minorHAnsi" w:cstheme="minorHAnsi"/>
          <w:sz w:val="21"/>
          <w:szCs w:val="21"/>
        </w:rPr>
      </w:pPr>
    </w:p>
    <w:p w14:paraId="0CE2BEC4">
      <w:pPr>
        <w:pStyle w:val="19"/>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color w:val="auto"/>
          <w:sz w:val="21"/>
          <w:szCs w:val="21"/>
        </w:rPr>
        <w:t>Com fulcro na Lei Federal nº 14.133, de 2021, a Administração poderá, garantida a prévia defesa, aplicar aos licitantes e/ou adjudicatários as seguintes sanções, sem prejuízo das responsabilidades civil e criminal</w:t>
      </w:r>
      <w:r>
        <w:rPr>
          <w:rFonts w:asciiTheme="minorHAnsi" w:hAnsiTheme="minorHAnsi" w:cstheme="minorHAnsi"/>
          <w:sz w:val="21"/>
          <w:szCs w:val="21"/>
        </w:rPr>
        <w:t xml:space="preserve">: </w:t>
      </w:r>
    </w:p>
    <w:p w14:paraId="292DFFA7">
      <w:pPr>
        <w:pStyle w:val="19"/>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Advertência; </w:t>
      </w:r>
    </w:p>
    <w:p w14:paraId="64B58228">
      <w:pPr>
        <w:pStyle w:val="19"/>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Multa; </w:t>
      </w:r>
    </w:p>
    <w:p w14:paraId="224F263A">
      <w:pPr>
        <w:pStyle w:val="19"/>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 xml:space="preserve">Impedimento de licitar e contratar e </w:t>
      </w:r>
    </w:p>
    <w:p w14:paraId="517A55E9">
      <w:pPr>
        <w:pStyle w:val="19"/>
        <w:numPr>
          <w:ilvl w:val="2"/>
          <w:numId w:val="29"/>
        </w:numPr>
        <w:tabs>
          <w:tab w:val="left" w:pos="1701"/>
        </w:tabs>
        <w:spacing w:line="276" w:lineRule="auto"/>
        <w:ind w:left="851" w:firstLine="0"/>
        <w:jc w:val="both"/>
        <w:rPr>
          <w:rFonts w:asciiTheme="minorHAnsi" w:hAnsiTheme="minorHAnsi" w:cstheme="minorHAnsi"/>
          <w:sz w:val="21"/>
          <w:szCs w:val="21"/>
        </w:rPr>
      </w:pPr>
      <w:r>
        <w:rPr>
          <w:rFonts w:asciiTheme="minorHAnsi" w:hAnsiTheme="minorHAnsi" w:cstheme="minorHAnsi"/>
          <w:sz w:val="21"/>
          <w:szCs w:val="21"/>
        </w:rPr>
        <w:t>Declaração de inidoneidade para licitar ou contratar, enquanto perdurarem os motivos determinantes da punição ou até que seja promovida sua reabilitação perante a própria autoridade que aplicou a penalidade.</w:t>
      </w:r>
    </w:p>
    <w:p w14:paraId="64851C15">
      <w:pPr>
        <w:pStyle w:val="19"/>
        <w:tabs>
          <w:tab w:val="left" w:pos="1701"/>
        </w:tabs>
        <w:spacing w:line="276" w:lineRule="auto"/>
        <w:ind w:left="851"/>
        <w:jc w:val="both"/>
        <w:rPr>
          <w:rFonts w:asciiTheme="minorHAnsi" w:hAnsiTheme="minorHAnsi" w:cstheme="minorHAnsi"/>
          <w:sz w:val="21"/>
          <w:szCs w:val="21"/>
        </w:rPr>
      </w:pPr>
    </w:p>
    <w:p w14:paraId="458DC3AF">
      <w:pPr>
        <w:pStyle w:val="19"/>
        <w:numPr>
          <w:ilvl w:val="1"/>
          <w:numId w:val="29"/>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Na aplicação das sanções serão considerados os elementos previstos no art. 156, § 1º, da Lei Federal nº 14.133/2021.</w:t>
      </w:r>
    </w:p>
    <w:p w14:paraId="5F320AA4">
      <w:pPr>
        <w:pStyle w:val="19"/>
        <w:numPr>
          <w:ilvl w:val="1"/>
          <w:numId w:val="25"/>
        </w:numPr>
        <w:spacing w:line="276" w:lineRule="auto"/>
        <w:jc w:val="both"/>
        <w:rPr>
          <w:rFonts w:asciiTheme="minorHAnsi" w:hAnsiTheme="minorHAnsi" w:cstheme="minorHAnsi"/>
          <w:sz w:val="21"/>
          <w:szCs w:val="21"/>
        </w:rPr>
      </w:pPr>
    </w:p>
    <w:p w14:paraId="4AD26320">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13.4. A multa será recolhida em percentual incidente sobre o valor do contrato licitado, recolhida no prazo </w:t>
      </w:r>
      <w:r>
        <w:rPr>
          <w:rFonts w:asciiTheme="minorHAnsi" w:hAnsiTheme="minorHAnsi" w:cstheme="minorHAnsi"/>
          <w:color w:val="auto"/>
          <w:sz w:val="21"/>
          <w:szCs w:val="21"/>
        </w:rPr>
        <w:t xml:space="preserve">máximo de </w:t>
      </w:r>
      <w:r>
        <w:rPr>
          <w:rFonts w:asciiTheme="minorHAnsi" w:hAnsiTheme="minorHAnsi" w:cstheme="minorHAnsi"/>
          <w:b/>
          <w:bCs/>
          <w:color w:val="auto"/>
          <w:sz w:val="21"/>
          <w:szCs w:val="21"/>
        </w:rPr>
        <w:t xml:space="preserve">30 (trinta) dias </w:t>
      </w:r>
      <w:r>
        <w:rPr>
          <w:rFonts w:asciiTheme="minorHAnsi" w:hAnsiTheme="minorHAnsi" w:cstheme="minorHAnsi"/>
          <w:sz w:val="21"/>
          <w:szCs w:val="21"/>
        </w:rPr>
        <w:t xml:space="preserve">úteis, a contar da comunicação oficial. </w:t>
      </w:r>
    </w:p>
    <w:p w14:paraId="7FD745B2">
      <w:pPr>
        <w:pStyle w:val="19"/>
        <w:spacing w:line="276" w:lineRule="auto"/>
        <w:jc w:val="both"/>
        <w:rPr>
          <w:rFonts w:asciiTheme="minorHAnsi" w:hAnsiTheme="minorHAnsi" w:cstheme="minorHAnsi"/>
          <w:color w:val="auto"/>
          <w:sz w:val="21"/>
          <w:szCs w:val="21"/>
        </w:rPr>
      </w:pPr>
    </w:p>
    <w:p w14:paraId="52F4E272">
      <w:pPr>
        <w:pStyle w:val="19"/>
        <w:numPr>
          <w:ilvl w:val="2"/>
          <w:numId w:val="25"/>
        </w:numPr>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13.4.1. Para as infrações previstas nos itens 13.1.1, 13.1.2 e 13.1.3, a multa será de 10 % ( dez por cento) do valor do contrato licitado. </w:t>
      </w:r>
    </w:p>
    <w:p w14:paraId="59DEA1BD">
      <w:pPr>
        <w:pStyle w:val="19"/>
        <w:spacing w:line="276" w:lineRule="auto"/>
        <w:ind w:left="851"/>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13.4.2. Para as infrações previstas nos itens 13.1.4, 13.1.5, 13.1.6, 13.1.7 e 13.1.8, a multa será de 30 % ( trinta por cento) do valor do contrato licitado. </w:t>
      </w:r>
    </w:p>
    <w:p w14:paraId="0184EB17">
      <w:pPr>
        <w:pStyle w:val="19"/>
        <w:spacing w:line="276" w:lineRule="auto"/>
        <w:jc w:val="both"/>
        <w:rPr>
          <w:rFonts w:asciiTheme="minorHAnsi" w:hAnsiTheme="minorHAnsi" w:cstheme="minorHAnsi"/>
          <w:sz w:val="21"/>
          <w:szCs w:val="21"/>
        </w:rPr>
      </w:pPr>
    </w:p>
    <w:p w14:paraId="2108929F">
      <w:pPr>
        <w:pStyle w:val="19"/>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As sanções de advertência, impedimento de licitar e contratar e declaração de inidoneidade para licitar ou contratar poderão ser aplicadas, cumulativamente ou não, à penalidade de multa. </w:t>
      </w:r>
    </w:p>
    <w:p w14:paraId="05D8294B">
      <w:pPr>
        <w:pStyle w:val="19"/>
        <w:spacing w:line="276" w:lineRule="auto"/>
        <w:jc w:val="both"/>
        <w:rPr>
          <w:rFonts w:asciiTheme="minorHAnsi" w:hAnsiTheme="minorHAnsi" w:cstheme="minorHAnsi"/>
          <w:sz w:val="21"/>
          <w:szCs w:val="21"/>
        </w:rPr>
      </w:pPr>
    </w:p>
    <w:p w14:paraId="549B5814">
      <w:pPr>
        <w:pStyle w:val="19"/>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Na aplicação da sanção de multa será facultada a defesa do interessado no prazo de 15 (quinze) dias úteis, contado da data de sua intimação. </w:t>
      </w:r>
    </w:p>
    <w:p w14:paraId="7C513E06">
      <w:pPr>
        <w:pStyle w:val="21"/>
        <w:spacing w:line="276" w:lineRule="auto"/>
        <w:rPr>
          <w:rFonts w:asciiTheme="minorHAnsi" w:hAnsiTheme="minorHAnsi" w:cstheme="minorHAnsi"/>
          <w:sz w:val="21"/>
          <w:szCs w:val="21"/>
        </w:rPr>
      </w:pPr>
    </w:p>
    <w:p w14:paraId="305E6B15">
      <w:pPr>
        <w:pStyle w:val="19"/>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 xml:space="preserve">A sanção de impedimento de licitar e contratar será aplicada ao responsável em decorrência das infrações administrativas relacionadas nos itens 13.1.1, 13.1.2 e 13.1.3, quando não se justificar a imposição de penalidade mais grave, e impedirá o responsável de licitar e contratar no âmbito da Administração Pública direta e indireta do ente federativo a qual pertencer o órgão ou entidade, pelo prazo máximo de 3 (três) anos. </w:t>
      </w:r>
    </w:p>
    <w:p w14:paraId="590C6FA3">
      <w:pPr>
        <w:pStyle w:val="19"/>
        <w:spacing w:line="276" w:lineRule="auto"/>
        <w:jc w:val="both"/>
        <w:rPr>
          <w:rFonts w:asciiTheme="minorHAnsi" w:hAnsiTheme="minorHAnsi" w:cstheme="minorHAnsi"/>
          <w:sz w:val="21"/>
          <w:szCs w:val="21"/>
        </w:rPr>
      </w:pPr>
    </w:p>
    <w:p w14:paraId="6E5A88E5">
      <w:pPr>
        <w:pStyle w:val="19"/>
        <w:numPr>
          <w:ilvl w:val="1"/>
          <w:numId w:val="30"/>
        </w:numPr>
        <w:spacing w:line="276" w:lineRule="auto"/>
        <w:ind w:left="0" w:firstLine="0"/>
        <w:jc w:val="both"/>
        <w:rPr>
          <w:rFonts w:asciiTheme="minorHAnsi" w:hAnsiTheme="minorHAnsi" w:cstheme="minorHAnsi"/>
          <w:sz w:val="21"/>
          <w:szCs w:val="21"/>
        </w:rPr>
      </w:pPr>
      <w:r>
        <w:rPr>
          <w:rFonts w:asciiTheme="minorHAnsi" w:hAnsiTheme="minorHAnsi" w:cstheme="minorHAnsi"/>
          <w:sz w:val="21"/>
          <w:szCs w:val="21"/>
        </w:rPr>
        <w:t>Poderá ser aplicada ao responsável a sanção de declaração de inidoneidade para licitar ou contratar, em decorrência da prática das infrações dispostas nos itens 13.1.4, 13.1.5, 13.1.6, 13.1.7 e 13.1.8, bem como pelas infrações administrativas previstas nos itens 13.1.1, 13.1.2 e 13.1.3 que justifiquem a imposição de penalidade mais grave que a sanção de impedimento de licitar e contratar, cuja duração observará o prazo previsto no art. 156, §5º, da Lei Federal n.º 14.133/2021.</w:t>
      </w:r>
    </w:p>
    <w:p w14:paraId="09ED52B0">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 </w:t>
      </w:r>
    </w:p>
    <w:p w14:paraId="222A6FDD">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A recusa injustificada do adjudicatário em assinar o contrato ou a ata de registro de preço, ou em aceitar ou retirar o instrumento equivalente no prazo estabelecido pela Administração, descrita no item 13.1.3, caracterizará o descumprimento total da obrigação assumida e o sujeitará às penalidades e à imediata perda da garantia de proposta em favor do órgão ou entidade promotora da licitação</w:t>
      </w:r>
      <w:r>
        <w:rPr>
          <w:rFonts w:asciiTheme="minorHAnsi" w:hAnsiTheme="minorHAnsi" w:cstheme="minorHAnsi"/>
          <w:color w:val="auto"/>
          <w:sz w:val="21"/>
          <w:szCs w:val="21"/>
        </w:rPr>
        <w:t xml:space="preserve">, nos termos do artigo 90, § 5º da Lei Federal nº 14.133/2021. </w:t>
      </w:r>
    </w:p>
    <w:p w14:paraId="6817D0D6">
      <w:pPr>
        <w:pStyle w:val="19"/>
        <w:spacing w:line="276" w:lineRule="auto"/>
        <w:jc w:val="both"/>
        <w:rPr>
          <w:rFonts w:asciiTheme="minorHAnsi" w:hAnsiTheme="minorHAnsi" w:cstheme="minorHAnsi"/>
          <w:color w:val="FF0000"/>
          <w:sz w:val="21"/>
          <w:szCs w:val="21"/>
        </w:rPr>
      </w:pPr>
    </w:p>
    <w:p w14:paraId="4589AFF6">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apuração de responsabilidades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CC28363">
      <w:pPr>
        <w:pStyle w:val="19"/>
        <w:spacing w:line="276" w:lineRule="auto"/>
        <w:jc w:val="both"/>
        <w:rPr>
          <w:rFonts w:asciiTheme="minorHAnsi" w:hAnsiTheme="minorHAnsi" w:cstheme="minorHAnsi"/>
          <w:color w:val="FF0000"/>
          <w:sz w:val="21"/>
          <w:szCs w:val="21"/>
        </w:rPr>
      </w:pPr>
    </w:p>
    <w:p w14:paraId="38FBDA8C">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 </w:t>
      </w:r>
    </w:p>
    <w:p w14:paraId="5AC16FEC">
      <w:pPr>
        <w:pStyle w:val="19"/>
        <w:spacing w:line="276" w:lineRule="auto"/>
        <w:jc w:val="both"/>
        <w:rPr>
          <w:rFonts w:asciiTheme="minorHAnsi" w:hAnsiTheme="minorHAnsi" w:cstheme="minorHAnsi"/>
          <w:color w:val="FF0000"/>
          <w:sz w:val="21"/>
          <w:szCs w:val="21"/>
        </w:rPr>
      </w:pPr>
    </w:p>
    <w:p w14:paraId="70336402">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 </w:t>
      </w:r>
    </w:p>
    <w:p w14:paraId="146B3F88">
      <w:pPr>
        <w:pStyle w:val="19"/>
        <w:spacing w:line="276" w:lineRule="auto"/>
        <w:jc w:val="both"/>
        <w:rPr>
          <w:rFonts w:asciiTheme="minorHAnsi" w:hAnsiTheme="minorHAnsi" w:cstheme="minorHAnsi"/>
          <w:color w:val="FF0000"/>
          <w:sz w:val="21"/>
          <w:szCs w:val="21"/>
        </w:rPr>
      </w:pPr>
    </w:p>
    <w:p w14:paraId="7D2B904D">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O recurso e o pedido de reconsideração terão efeito suspensivo do ato ou da decisão recorrida até que sobrevenha decisão final da autoridade competente. </w:t>
      </w:r>
    </w:p>
    <w:p w14:paraId="5129C19A">
      <w:pPr>
        <w:pStyle w:val="19"/>
        <w:spacing w:line="276" w:lineRule="auto"/>
        <w:jc w:val="both"/>
        <w:rPr>
          <w:rFonts w:asciiTheme="minorHAnsi" w:hAnsiTheme="minorHAnsi" w:cstheme="minorHAnsi"/>
          <w:color w:val="FF0000"/>
          <w:sz w:val="21"/>
          <w:szCs w:val="21"/>
        </w:rPr>
      </w:pPr>
    </w:p>
    <w:p w14:paraId="232636FF">
      <w:pPr>
        <w:pStyle w:val="19"/>
        <w:numPr>
          <w:ilvl w:val="1"/>
          <w:numId w:val="30"/>
        </w:numPr>
        <w:spacing w:line="276" w:lineRule="auto"/>
        <w:ind w:left="0" w:firstLine="0"/>
        <w:jc w:val="both"/>
        <w:rPr>
          <w:rFonts w:asciiTheme="minorHAnsi" w:hAnsiTheme="minorHAnsi" w:cstheme="minorHAnsi"/>
          <w:color w:val="FF0000"/>
          <w:sz w:val="21"/>
          <w:szCs w:val="21"/>
        </w:rPr>
      </w:pPr>
      <w:r>
        <w:rPr>
          <w:rFonts w:asciiTheme="minorHAnsi" w:hAnsiTheme="minorHAnsi" w:cstheme="minorHAnsi"/>
          <w:sz w:val="21"/>
          <w:szCs w:val="21"/>
        </w:rPr>
        <w:t xml:space="preserve">A aplicação das sanções previstas neste edital não exclui, em hipótese alguma, a obrigação de reparação integral dos danos causados. </w:t>
      </w:r>
    </w:p>
    <w:p w14:paraId="0C188AD0">
      <w:pPr>
        <w:pStyle w:val="19"/>
        <w:numPr>
          <w:ilvl w:val="0"/>
          <w:numId w:val="31"/>
        </w:numPr>
        <w:spacing w:line="276" w:lineRule="auto"/>
        <w:jc w:val="both"/>
        <w:rPr>
          <w:rFonts w:asciiTheme="minorHAnsi" w:hAnsiTheme="minorHAnsi" w:cstheme="minorHAnsi"/>
          <w:sz w:val="21"/>
          <w:szCs w:val="21"/>
        </w:rPr>
      </w:pPr>
    </w:p>
    <w:p w14:paraId="68070C3D">
      <w:pPr>
        <w:pStyle w:val="19"/>
        <w:numPr>
          <w:ilvl w:val="1"/>
          <w:numId w:val="31"/>
        </w:numPr>
        <w:spacing w:line="276" w:lineRule="auto"/>
        <w:jc w:val="both"/>
        <w:rPr>
          <w:rFonts w:asciiTheme="minorHAnsi" w:hAnsiTheme="minorHAnsi" w:cstheme="minorHAnsi"/>
          <w:sz w:val="21"/>
          <w:szCs w:val="21"/>
        </w:rPr>
      </w:pPr>
      <w:r>
        <w:rPr>
          <w:rFonts w:asciiTheme="minorHAnsi" w:hAnsiTheme="minorHAnsi" w:cstheme="minorHAnsi"/>
          <w:b/>
          <w:bCs/>
          <w:sz w:val="21"/>
          <w:szCs w:val="21"/>
        </w:rPr>
        <w:t>14. DA IMPUGNAÇÃO AO EDITAL E DO PEDIDO DE ESCLARECIMENTO</w:t>
      </w:r>
    </w:p>
    <w:p w14:paraId="27CB89E7">
      <w:pPr>
        <w:pStyle w:val="19"/>
        <w:spacing w:line="276" w:lineRule="auto"/>
        <w:jc w:val="both"/>
        <w:rPr>
          <w:rFonts w:asciiTheme="minorHAnsi" w:hAnsiTheme="minorHAnsi" w:cstheme="minorHAnsi"/>
          <w:sz w:val="21"/>
          <w:szCs w:val="21"/>
        </w:rPr>
      </w:pPr>
    </w:p>
    <w:p w14:paraId="46762980">
      <w:pPr>
        <w:pStyle w:val="19"/>
        <w:numPr>
          <w:ilvl w:val="1"/>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14.1. Qualquer pessoa é parte legítima para impugnar este Edital por irregularidade na aplicação da Lei Federal nº 14.133, de 2021, devendo ser formuladas por meio eletrônico, em campo próprio do sistema, encontrado no site </w:t>
      </w:r>
      <w:r>
        <w:fldChar w:fldCharType="begin"/>
      </w:r>
      <w:r>
        <w:instrText xml:space="preserve"> HYPERLINK "https://www.bbmnetlicitacoes.com.br" </w:instrText>
      </w:r>
      <w:r>
        <w:fldChar w:fldCharType="separate"/>
      </w:r>
      <w:r>
        <w:rPr>
          <w:rStyle w:val="6"/>
          <w:rFonts w:asciiTheme="minorHAnsi" w:hAnsiTheme="minorHAnsi" w:cstheme="minorHAnsi"/>
          <w:color w:val="auto"/>
          <w:sz w:val="21"/>
          <w:szCs w:val="21"/>
          <w:u w:val="none"/>
        </w:rPr>
        <w:t>https://www.bbmnetlicitacoes.com.br</w:t>
      </w:r>
      <w:r>
        <w:rPr>
          <w:rStyle w:val="6"/>
          <w:rFonts w:asciiTheme="minorHAnsi" w:hAnsiTheme="minorHAnsi" w:cstheme="minorHAnsi"/>
          <w:color w:val="auto"/>
          <w:sz w:val="21"/>
          <w:szCs w:val="21"/>
          <w:u w:val="none"/>
        </w:rPr>
        <w:fldChar w:fldCharType="end"/>
      </w:r>
      <w:r>
        <w:rPr>
          <w:rStyle w:val="6"/>
          <w:rFonts w:asciiTheme="minorHAnsi" w:hAnsiTheme="minorHAnsi" w:cstheme="minorHAnsi"/>
          <w:color w:val="auto"/>
          <w:sz w:val="21"/>
          <w:szCs w:val="21"/>
          <w:u w:val="none"/>
        </w:rPr>
        <w:t xml:space="preserve"> e/ou através do e-mail </w:t>
      </w:r>
      <w:r>
        <w:fldChar w:fldCharType="begin"/>
      </w:r>
      <w:r>
        <w:instrText xml:space="preserve"> HYPERLINK "mailto:pregaoeletronico@santabranca.sp.gov.br" </w:instrText>
      </w:r>
      <w:r>
        <w:fldChar w:fldCharType="separate"/>
      </w:r>
      <w:r>
        <w:rPr>
          <w:rStyle w:val="6"/>
          <w:rFonts w:asciiTheme="minorHAnsi" w:hAnsiTheme="minorHAnsi" w:cstheme="minorHAnsi"/>
          <w:color w:val="auto"/>
          <w:sz w:val="21"/>
          <w:szCs w:val="21"/>
          <w:u w:val="none"/>
        </w:rPr>
        <w:t>pregaoeletronico@santabranca.sp.gov.br</w:t>
      </w:r>
      <w:r>
        <w:rPr>
          <w:rStyle w:val="6"/>
          <w:rFonts w:asciiTheme="minorHAnsi" w:hAnsiTheme="minorHAnsi" w:cstheme="minorHAnsi"/>
          <w:color w:val="auto"/>
          <w:sz w:val="21"/>
          <w:szCs w:val="21"/>
          <w:u w:val="none"/>
        </w:rPr>
        <w:fldChar w:fldCharType="end"/>
      </w:r>
      <w:r>
        <w:rPr>
          <w:rStyle w:val="6"/>
          <w:rFonts w:asciiTheme="minorHAnsi" w:hAnsiTheme="minorHAnsi" w:cstheme="minorHAnsi"/>
          <w:color w:val="auto"/>
          <w:sz w:val="21"/>
          <w:szCs w:val="21"/>
          <w:u w:val="none"/>
        </w:rPr>
        <w:t xml:space="preserve">, </w:t>
      </w:r>
      <w:r>
        <w:rPr>
          <w:rFonts w:asciiTheme="minorHAnsi" w:hAnsiTheme="minorHAnsi" w:cstheme="minorHAnsi"/>
          <w:color w:val="auto"/>
          <w:sz w:val="21"/>
          <w:szCs w:val="21"/>
        </w:rPr>
        <w:t xml:space="preserve">o pedido deverá ser em até 3 (três) dias úteis antes da data da abertura do certame. </w:t>
      </w:r>
    </w:p>
    <w:p w14:paraId="5804904F">
      <w:pPr>
        <w:pStyle w:val="19"/>
        <w:spacing w:line="276" w:lineRule="auto"/>
        <w:jc w:val="both"/>
        <w:rPr>
          <w:rFonts w:asciiTheme="minorHAnsi" w:hAnsiTheme="minorHAnsi" w:cstheme="minorHAnsi"/>
          <w:color w:val="auto"/>
          <w:sz w:val="21"/>
          <w:szCs w:val="21"/>
        </w:rPr>
      </w:pPr>
    </w:p>
    <w:p w14:paraId="1224C7A5">
      <w:pPr>
        <w:pStyle w:val="19"/>
        <w:numPr>
          <w:ilvl w:val="0"/>
          <w:numId w:val="25"/>
        </w:numPr>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14.2. A resposta à impugnação ou ao pedido de esclarecimento será divulgado em sítio eletrônico oficial no prazo de até 3 (três) dias úteis, limitado ao último dia útil anterior à data da abertura do certame.</w:t>
      </w:r>
    </w:p>
    <w:p w14:paraId="33982CE7">
      <w:pPr>
        <w:pStyle w:val="19"/>
        <w:numPr>
          <w:ilvl w:val="0"/>
          <w:numId w:val="25"/>
        </w:numPr>
        <w:spacing w:line="276" w:lineRule="auto"/>
        <w:jc w:val="both"/>
        <w:rPr>
          <w:rFonts w:asciiTheme="minorHAnsi" w:hAnsiTheme="minorHAnsi" w:cstheme="minorHAnsi"/>
          <w:color w:val="auto"/>
          <w:sz w:val="21"/>
          <w:szCs w:val="21"/>
        </w:rPr>
      </w:pPr>
    </w:p>
    <w:p w14:paraId="4DD75C4F">
      <w:pPr>
        <w:pStyle w:val="19"/>
        <w:spacing w:line="276" w:lineRule="auto"/>
        <w:jc w:val="both"/>
        <w:rPr>
          <w:rFonts w:asciiTheme="minorHAnsi" w:hAnsiTheme="minorHAnsi" w:cstheme="minorHAnsi"/>
          <w:color w:val="auto"/>
          <w:sz w:val="21"/>
          <w:szCs w:val="21"/>
        </w:rPr>
      </w:pPr>
      <w:r>
        <w:rPr>
          <w:rFonts w:asciiTheme="minorHAnsi" w:hAnsiTheme="minorHAnsi" w:cstheme="minorHAnsi"/>
          <w:color w:val="auto"/>
          <w:sz w:val="21"/>
          <w:szCs w:val="21"/>
        </w:rPr>
        <w:t xml:space="preserve">14.3. As impugnações e pedidos de esclarecimentos não suspendem os prazos previstos no certame. </w:t>
      </w:r>
    </w:p>
    <w:p w14:paraId="40A98EA9">
      <w:pPr>
        <w:pStyle w:val="19"/>
        <w:spacing w:line="276" w:lineRule="auto"/>
        <w:ind w:left="851"/>
        <w:jc w:val="both"/>
        <w:rPr>
          <w:rFonts w:asciiTheme="minorHAnsi" w:hAnsiTheme="minorHAnsi" w:cstheme="minorHAnsi"/>
          <w:sz w:val="21"/>
          <w:szCs w:val="21"/>
        </w:rPr>
      </w:pPr>
      <w:r>
        <w:rPr>
          <w:rFonts w:asciiTheme="minorHAnsi" w:hAnsiTheme="minorHAnsi" w:cstheme="minorHAnsi"/>
          <w:sz w:val="21"/>
          <w:szCs w:val="21"/>
        </w:rPr>
        <w:t xml:space="preserve">14.3.1. concessão de efeito suspensivo à impugnação é medida excepcional e deverá ser motivada pelo agente de contratação, nos autos do processo de licitação. </w:t>
      </w:r>
    </w:p>
    <w:p w14:paraId="43D2BCDD">
      <w:pPr>
        <w:pStyle w:val="19"/>
        <w:spacing w:line="276" w:lineRule="auto"/>
        <w:jc w:val="both"/>
        <w:rPr>
          <w:rFonts w:asciiTheme="minorHAnsi" w:hAnsiTheme="minorHAnsi" w:cstheme="minorHAnsi"/>
          <w:sz w:val="21"/>
          <w:szCs w:val="21"/>
        </w:rPr>
      </w:pPr>
    </w:p>
    <w:p w14:paraId="2EBFA764">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14.4. Acolhida a impugnação, será definida e publicada nova data para a realização do certame </w:t>
      </w:r>
    </w:p>
    <w:p w14:paraId="0E613C84">
      <w:pPr>
        <w:pStyle w:val="19"/>
        <w:spacing w:line="276" w:lineRule="auto"/>
        <w:jc w:val="both"/>
        <w:rPr>
          <w:rFonts w:asciiTheme="minorHAnsi" w:hAnsiTheme="minorHAnsi" w:cstheme="minorHAnsi"/>
          <w:b/>
          <w:bCs/>
          <w:sz w:val="21"/>
          <w:szCs w:val="21"/>
        </w:rPr>
      </w:pPr>
    </w:p>
    <w:p w14:paraId="06A45177">
      <w:pPr>
        <w:pStyle w:val="19"/>
        <w:spacing w:line="276" w:lineRule="auto"/>
        <w:jc w:val="both"/>
        <w:rPr>
          <w:rFonts w:asciiTheme="minorHAnsi" w:hAnsiTheme="minorHAnsi" w:cstheme="minorHAnsi"/>
          <w:sz w:val="21"/>
          <w:szCs w:val="21"/>
        </w:rPr>
      </w:pPr>
      <w:r>
        <w:rPr>
          <w:rFonts w:asciiTheme="minorHAnsi" w:hAnsiTheme="minorHAnsi" w:cstheme="minorHAnsi"/>
          <w:b/>
          <w:bCs/>
          <w:sz w:val="21"/>
          <w:szCs w:val="21"/>
        </w:rPr>
        <w:t>15. DAS DISPOSIÇÕES GERAIS</w:t>
      </w:r>
    </w:p>
    <w:p w14:paraId="2F8D56C5">
      <w:pPr>
        <w:pStyle w:val="19"/>
        <w:spacing w:line="276" w:lineRule="auto"/>
        <w:jc w:val="both"/>
        <w:rPr>
          <w:rFonts w:asciiTheme="minorHAnsi" w:hAnsiTheme="minorHAnsi" w:cstheme="minorHAnsi"/>
          <w:sz w:val="21"/>
          <w:szCs w:val="21"/>
        </w:rPr>
      </w:pPr>
    </w:p>
    <w:p w14:paraId="5C469D2E">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 Será divulgada ata da sessão pública no sistema eletrônico. </w:t>
      </w:r>
    </w:p>
    <w:p w14:paraId="00C79142">
      <w:pPr>
        <w:pStyle w:val="19"/>
        <w:numPr>
          <w:ilvl w:val="1"/>
          <w:numId w:val="25"/>
        </w:numPr>
        <w:spacing w:line="276" w:lineRule="auto"/>
        <w:jc w:val="both"/>
        <w:rPr>
          <w:rFonts w:asciiTheme="minorHAnsi" w:hAnsiTheme="minorHAnsi" w:cstheme="minorHAnsi"/>
          <w:sz w:val="21"/>
          <w:szCs w:val="21"/>
        </w:rPr>
      </w:pPr>
    </w:p>
    <w:p w14:paraId="1C08D0D8">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pela Pregoeira. </w:t>
      </w:r>
    </w:p>
    <w:p w14:paraId="6C308232">
      <w:pPr>
        <w:pStyle w:val="19"/>
        <w:spacing w:line="276" w:lineRule="auto"/>
        <w:jc w:val="both"/>
        <w:rPr>
          <w:rFonts w:asciiTheme="minorHAnsi" w:hAnsiTheme="minorHAnsi" w:cstheme="minorHAnsi"/>
          <w:sz w:val="21"/>
          <w:szCs w:val="21"/>
        </w:rPr>
      </w:pPr>
    </w:p>
    <w:p w14:paraId="1940ADDC">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15.3. Todas as referências de tempo no Edital, no aviso e durante a sessão pública observarão o horário de Brasília – DF. </w:t>
      </w:r>
    </w:p>
    <w:p w14:paraId="060EB3FC">
      <w:pPr>
        <w:pStyle w:val="19"/>
        <w:numPr>
          <w:ilvl w:val="1"/>
          <w:numId w:val="25"/>
        </w:numPr>
        <w:spacing w:line="276" w:lineRule="auto"/>
        <w:jc w:val="both"/>
        <w:rPr>
          <w:rFonts w:asciiTheme="minorHAnsi" w:hAnsiTheme="minorHAnsi" w:cstheme="minorHAnsi"/>
          <w:sz w:val="21"/>
          <w:szCs w:val="21"/>
        </w:rPr>
      </w:pPr>
    </w:p>
    <w:p w14:paraId="615A9E05">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15.4. A homologação do resultado desta licitação não implicará direito à contratação. </w:t>
      </w:r>
    </w:p>
    <w:p w14:paraId="2381F50F">
      <w:pPr>
        <w:pStyle w:val="19"/>
        <w:spacing w:line="276" w:lineRule="auto"/>
        <w:jc w:val="both"/>
        <w:rPr>
          <w:rFonts w:asciiTheme="minorHAnsi" w:hAnsiTheme="minorHAnsi" w:cstheme="minorHAnsi"/>
          <w:sz w:val="21"/>
          <w:szCs w:val="21"/>
        </w:rPr>
      </w:pPr>
    </w:p>
    <w:p w14:paraId="6C6D227F">
      <w:pPr>
        <w:pStyle w:val="19"/>
        <w:numPr>
          <w:ilvl w:val="1"/>
          <w:numId w:val="25"/>
        </w:numPr>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15.5. As normas disciplinadoras da licitação serão sempre interpretadas em favor da ampliação da disputa entre os interessados, desde que não comprometam o interesse da Administração, o princípio da isonomia, a finalidade e a segurança da contratação. </w:t>
      </w:r>
    </w:p>
    <w:p w14:paraId="4680A478">
      <w:pPr>
        <w:pStyle w:val="19"/>
        <w:spacing w:line="276" w:lineRule="auto"/>
        <w:jc w:val="both"/>
        <w:rPr>
          <w:rFonts w:asciiTheme="minorHAnsi" w:hAnsiTheme="minorHAnsi" w:cstheme="minorHAnsi"/>
          <w:sz w:val="21"/>
          <w:szCs w:val="21"/>
        </w:rPr>
      </w:pPr>
    </w:p>
    <w:p w14:paraId="130BD27C">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15.6. Os licitantes assumem todos os custos de preparação e apresentação de suas propostas e a Administração não será, em nenhum caso, responsável por esses custos, independentemente da condução ou do resultado do processo licitatório.</w:t>
      </w:r>
    </w:p>
    <w:p w14:paraId="7D771D4F">
      <w:pPr>
        <w:pStyle w:val="25"/>
        <w:numPr>
          <w:ilvl w:val="0"/>
          <w:numId w:val="0"/>
        </w:numPr>
        <w:spacing w:before="0" w:after="0"/>
        <w:rPr>
          <w:rFonts w:asciiTheme="minorHAnsi" w:hAnsiTheme="minorHAnsi" w:cstheme="minorHAnsi"/>
          <w:sz w:val="21"/>
          <w:szCs w:val="21"/>
        </w:rPr>
      </w:pPr>
    </w:p>
    <w:p w14:paraId="0499E3B7">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15.7. Na contagem dos prazos estabelecidos neste Edital e seus Anexos, excluir-se-á o dia do início e incluir-se-á o do vencimento. Só se iniciam e vencem os prazos em dias de expediente na Administração.</w:t>
      </w:r>
    </w:p>
    <w:p w14:paraId="36589027">
      <w:pPr>
        <w:pStyle w:val="25"/>
        <w:numPr>
          <w:ilvl w:val="0"/>
          <w:numId w:val="0"/>
        </w:numPr>
        <w:spacing w:before="0" w:after="0"/>
        <w:rPr>
          <w:rFonts w:asciiTheme="minorHAnsi" w:hAnsiTheme="minorHAnsi" w:cstheme="minorHAnsi"/>
          <w:sz w:val="21"/>
          <w:szCs w:val="21"/>
        </w:rPr>
      </w:pPr>
    </w:p>
    <w:p w14:paraId="057349C7">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15.8. O desatendimento de exigências formais não essenciais não importará o afastamento do licitante, desde que seja possível o aproveitamento do ato, observados os princípios da isonomia e do interesse público. </w:t>
      </w:r>
    </w:p>
    <w:p w14:paraId="332B8EC6">
      <w:pPr>
        <w:pStyle w:val="25"/>
        <w:numPr>
          <w:ilvl w:val="0"/>
          <w:numId w:val="0"/>
        </w:numPr>
        <w:spacing w:before="0" w:after="0"/>
        <w:rPr>
          <w:rFonts w:asciiTheme="minorHAnsi" w:hAnsiTheme="minorHAnsi" w:cstheme="minorHAnsi"/>
          <w:sz w:val="21"/>
          <w:szCs w:val="21"/>
        </w:rPr>
      </w:pPr>
    </w:p>
    <w:p w14:paraId="63ADB5D0">
      <w:pPr>
        <w:pStyle w:val="25"/>
        <w:numPr>
          <w:ilvl w:val="0"/>
          <w:numId w:val="0"/>
        </w:numPr>
        <w:spacing w:before="0" w:after="0"/>
        <w:rPr>
          <w:rFonts w:asciiTheme="minorHAnsi" w:hAnsiTheme="minorHAnsi" w:cstheme="minorHAnsi"/>
          <w:sz w:val="21"/>
          <w:szCs w:val="21"/>
        </w:rPr>
      </w:pPr>
      <w:r>
        <w:rPr>
          <w:rFonts w:asciiTheme="minorHAnsi" w:hAnsiTheme="minorHAnsi" w:cstheme="minorHAnsi"/>
          <w:sz w:val="21"/>
          <w:szCs w:val="21"/>
        </w:rPr>
        <w:t xml:space="preserve">15.9. Em caso de divergência entre disposições deste Edital e de seus anexos ou demais peças que compõem o processo, prevalecerá as deste Edital. </w:t>
      </w:r>
    </w:p>
    <w:p w14:paraId="235EBAA4">
      <w:pPr>
        <w:pStyle w:val="25"/>
        <w:numPr>
          <w:ilvl w:val="0"/>
          <w:numId w:val="0"/>
        </w:numPr>
        <w:spacing w:before="0" w:after="0"/>
        <w:rPr>
          <w:rStyle w:val="6"/>
          <w:rFonts w:asciiTheme="minorHAnsi" w:hAnsiTheme="minorHAnsi" w:cstheme="minorHAnsi"/>
          <w:b/>
          <w:sz w:val="21"/>
          <w:szCs w:val="21"/>
        </w:rPr>
      </w:pPr>
      <w:r>
        <w:rPr>
          <w:rFonts w:asciiTheme="minorHAnsi" w:hAnsiTheme="minorHAnsi" w:cstheme="minorHAnsi"/>
          <w:sz w:val="21"/>
          <w:szCs w:val="21"/>
        </w:rPr>
        <w:t xml:space="preserve">15.10. O Manual de operações da Plataforma BBMNET Licitações encontra-se disponível aos interessados no Portal </w:t>
      </w:r>
      <w:r>
        <w:fldChar w:fldCharType="begin"/>
      </w:r>
      <w:r>
        <w:instrText xml:space="preserve"> HYPERLINK "http://www.bbmnetlicitacoes.com.br" </w:instrText>
      </w:r>
      <w:r>
        <w:fldChar w:fldCharType="separate"/>
      </w:r>
      <w:r>
        <w:rPr>
          <w:rStyle w:val="6"/>
          <w:rFonts w:asciiTheme="minorHAnsi" w:hAnsiTheme="minorHAnsi" w:cstheme="minorHAnsi"/>
          <w:b/>
          <w:sz w:val="21"/>
          <w:szCs w:val="21"/>
        </w:rPr>
        <w:t>www.bbmnetlicitacoes.com.br</w:t>
      </w:r>
      <w:r>
        <w:rPr>
          <w:rStyle w:val="6"/>
          <w:rFonts w:asciiTheme="minorHAnsi" w:hAnsiTheme="minorHAnsi" w:cstheme="minorHAnsi"/>
          <w:b/>
          <w:sz w:val="21"/>
          <w:szCs w:val="21"/>
        </w:rPr>
        <w:fldChar w:fldCharType="end"/>
      </w:r>
    </w:p>
    <w:p w14:paraId="0DF0826F">
      <w:pPr>
        <w:pStyle w:val="25"/>
        <w:numPr>
          <w:ilvl w:val="0"/>
          <w:numId w:val="0"/>
        </w:numPr>
        <w:spacing w:before="0" w:after="0"/>
        <w:rPr>
          <w:rStyle w:val="6"/>
          <w:rFonts w:asciiTheme="minorHAnsi" w:hAnsiTheme="minorHAnsi" w:cstheme="minorHAnsi"/>
          <w:sz w:val="21"/>
          <w:szCs w:val="21"/>
        </w:rPr>
      </w:pPr>
    </w:p>
    <w:p w14:paraId="54A658DD">
      <w:pPr>
        <w:pStyle w:val="25"/>
        <w:numPr>
          <w:ilvl w:val="0"/>
          <w:numId w:val="0"/>
        </w:numPr>
        <w:spacing w:before="0" w:after="0"/>
        <w:rPr>
          <w:rStyle w:val="6"/>
          <w:rFonts w:asciiTheme="minorHAnsi" w:hAnsiTheme="minorHAnsi" w:cstheme="minorHAnsi"/>
          <w:b/>
          <w:sz w:val="21"/>
          <w:szCs w:val="21"/>
        </w:rPr>
      </w:pPr>
      <w:r>
        <w:rPr>
          <w:rStyle w:val="6"/>
          <w:rFonts w:asciiTheme="minorHAnsi" w:hAnsiTheme="minorHAnsi" w:cstheme="minorHAnsi"/>
          <w:color w:val="auto"/>
          <w:sz w:val="21"/>
          <w:szCs w:val="21"/>
          <w:u w:val="none"/>
        </w:rPr>
        <w:t xml:space="preserve">15.11. </w:t>
      </w:r>
      <w:r>
        <w:rPr>
          <w:rFonts w:asciiTheme="minorHAnsi" w:hAnsiTheme="minorHAnsi" w:cstheme="minorHAnsi"/>
          <w:color w:val="auto"/>
          <w:sz w:val="21"/>
          <w:szCs w:val="21"/>
        </w:rPr>
        <w:t xml:space="preserve">Dúvidas ou esclarecimentos adicionais sobre o uso da Plataforma BBMNET Licitações podem ser </w:t>
      </w:r>
      <w:r>
        <w:rPr>
          <w:rFonts w:asciiTheme="minorHAnsi" w:hAnsiTheme="minorHAnsi" w:cstheme="minorHAnsi"/>
          <w:sz w:val="21"/>
          <w:szCs w:val="21"/>
        </w:rPr>
        <w:t xml:space="preserve">obtidas nos canais de atendimento da Plataforma BBMNET Licitações, por e-mail, whatsapp, telefone e chat disponíveis no Portal </w:t>
      </w:r>
      <w:r>
        <w:fldChar w:fldCharType="begin"/>
      </w:r>
      <w:r>
        <w:instrText xml:space="preserve"> HYPERLINK "http://www.bbmnetlicitacoes.com.br" </w:instrText>
      </w:r>
      <w:r>
        <w:fldChar w:fldCharType="separate"/>
      </w:r>
      <w:r>
        <w:rPr>
          <w:rStyle w:val="6"/>
          <w:rFonts w:asciiTheme="minorHAnsi" w:hAnsiTheme="minorHAnsi" w:cstheme="minorHAnsi"/>
          <w:b/>
          <w:sz w:val="21"/>
          <w:szCs w:val="21"/>
        </w:rPr>
        <w:t>www.bbmnetlicitacoes.com.br</w:t>
      </w:r>
      <w:r>
        <w:rPr>
          <w:rStyle w:val="6"/>
          <w:rFonts w:asciiTheme="minorHAnsi" w:hAnsiTheme="minorHAnsi" w:cstheme="minorHAnsi"/>
          <w:b/>
          <w:sz w:val="21"/>
          <w:szCs w:val="21"/>
        </w:rPr>
        <w:fldChar w:fldCharType="end"/>
      </w:r>
    </w:p>
    <w:p w14:paraId="5197623E">
      <w:pPr>
        <w:pStyle w:val="25"/>
        <w:numPr>
          <w:ilvl w:val="0"/>
          <w:numId w:val="0"/>
        </w:numPr>
        <w:spacing w:before="0" w:after="0"/>
        <w:rPr>
          <w:rFonts w:asciiTheme="minorHAnsi" w:hAnsiTheme="minorHAnsi" w:cstheme="minorHAnsi"/>
          <w:color w:val="000080"/>
          <w:sz w:val="21"/>
          <w:szCs w:val="21"/>
          <w:u w:val="single"/>
        </w:rPr>
      </w:pPr>
    </w:p>
    <w:p w14:paraId="588A8327">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15.12. O Edital e seus anexos estão disponíveis, na íntegra, no Portal Nacional de Contratações Públicas (PNCP),  endereço </w:t>
      </w:r>
      <w:r>
        <w:rPr>
          <w:rFonts w:asciiTheme="minorHAnsi" w:hAnsiTheme="minorHAnsi" w:cstheme="minorHAnsi"/>
          <w:color w:val="auto"/>
          <w:sz w:val="21"/>
          <w:szCs w:val="21"/>
        </w:rPr>
        <w:t xml:space="preserve">eletrônico </w:t>
      </w:r>
      <w:r>
        <w:fldChar w:fldCharType="begin"/>
      </w:r>
      <w:r>
        <w:instrText xml:space="preserve"> HYPERLINK "https://www.santabranca.sp.gov.br" </w:instrText>
      </w:r>
      <w:r>
        <w:fldChar w:fldCharType="separate"/>
      </w:r>
      <w:r>
        <w:rPr>
          <w:rStyle w:val="6"/>
          <w:rFonts w:asciiTheme="minorHAnsi" w:hAnsiTheme="minorHAnsi" w:cstheme="minorHAnsi"/>
          <w:color w:val="auto"/>
          <w:sz w:val="21"/>
          <w:szCs w:val="21"/>
          <w:u w:val="none"/>
        </w:rPr>
        <w:t>https://www.santabranca.sp.gov.br</w:t>
      </w:r>
      <w:r>
        <w:rPr>
          <w:rStyle w:val="6"/>
          <w:rFonts w:asciiTheme="minorHAnsi" w:hAnsiTheme="minorHAnsi" w:cstheme="minorHAnsi"/>
          <w:color w:val="auto"/>
          <w:sz w:val="21"/>
          <w:szCs w:val="21"/>
          <w:u w:val="none"/>
        </w:rPr>
        <w:fldChar w:fldCharType="end"/>
      </w:r>
      <w:r>
        <w:rPr>
          <w:rFonts w:asciiTheme="minorHAnsi" w:hAnsiTheme="minorHAnsi" w:cstheme="minorHAnsi"/>
          <w:sz w:val="21"/>
          <w:szCs w:val="21"/>
        </w:rPr>
        <w:t xml:space="preserve"> e na Plataforma de Pregão Eletrônico BBMNET.  </w:t>
      </w:r>
    </w:p>
    <w:p w14:paraId="54D6670D">
      <w:pPr>
        <w:autoSpaceDE w:val="0"/>
        <w:autoSpaceDN w:val="0"/>
        <w:adjustRightInd w:val="0"/>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Links: </w:t>
      </w:r>
      <w:r>
        <w:fldChar w:fldCharType="begin"/>
      </w:r>
      <w:r>
        <w:instrText xml:space="preserve"> HYPERLINK "http://santabranca.sp.gov.br/licitacoes/" </w:instrText>
      </w:r>
      <w:r>
        <w:fldChar w:fldCharType="separate"/>
      </w:r>
      <w:r>
        <w:rPr>
          <w:rStyle w:val="6"/>
          <w:rFonts w:asciiTheme="minorHAnsi" w:hAnsiTheme="minorHAnsi" w:cstheme="minorHAnsi"/>
          <w:sz w:val="21"/>
          <w:szCs w:val="21"/>
        </w:rPr>
        <w:t>http://santabranca.sp.gov.br/licitacoes/</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"http://santabranca.sp.gov.br/diario-oficial/" </w:instrText>
      </w:r>
      <w:r>
        <w:fldChar w:fldCharType="separate"/>
      </w:r>
      <w:r>
        <w:rPr>
          <w:rStyle w:val="6"/>
          <w:rFonts w:asciiTheme="minorHAnsi" w:hAnsiTheme="minorHAnsi" w:cstheme="minorHAnsi"/>
          <w:sz w:val="21"/>
          <w:szCs w:val="21"/>
        </w:rPr>
        <w:t>http://santabranca.sp.gov.br/diario-oficial/</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 </w:t>
      </w:r>
      <w:r>
        <w:fldChar w:fldCharType="begin"/>
      </w:r>
      <w:r>
        <w:instrText xml:space="preserve"> HYPERLINK "https://pncp.gov.br/app/editais?q=&amp;status=recebendo_proposta&amp;pagina=1" </w:instrText>
      </w:r>
      <w:r>
        <w:fldChar w:fldCharType="separate"/>
      </w:r>
      <w:r>
        <w:rPr>
          <w:rStyle w:val="6"/>
          <w:rFonts w:asciiTheme="minorHAnsi" w:hAnsiTheme="minorHAnsi" w:cstheme="minorHAnsi"/>
          <w:sz w:val="21"/>
          <w:szCs w:val="21"/>
        </w:rPr>
        <w:t>https://pncp.gov.br/app/editais?q=&amp;status=recebendo_proposta&amp;pagina=1</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w:t>
      </w:r>
    </w:p>
    <w:p w14:paraId="403C4F8A">
      <w:pPr>
        <w:pStyle w:val="19"/>
        <w:spacing w:line="276" w:lineRule="auto"/>
        <w:jc w:val="both"/>
        <w:rPr>
          <w:rFonts w:asciiTheme="minorHAnsi" w:hAnsiTheme="minorHAnsi" w:cstheme="minorHAnsi"/>
          <w:sz w:val="21"/>
          <w:szCs w:val="21"/>
        </w:rPr>
      </w:pPr>
      <w:r>
        <w:fldChar w:fldCharType="begin"/>
      </w:r>
      <w:r>
        <w:instrText xml:space="preserve"> HYPERLINK "https://novobbmnet.com.br/?gclid=EAIaIQobChMI1seoiLXA6gIVUYCRCh2jMQkvEAAYASAAEgKS7fD_BwE" </w:instrText>
      </w:r>
      <w:r>
        <w:fldChar w:fldCharType="separate"/>
      </w:r>
      <w:r>
        <w:rPr>
          <w:rStyle w:val="6"/>
          <w:rFonts w:asciiTheme="minorHAnsi" w:hAnsiTheme="minorHAnsi" w:cstheme="minorHAnsi"/>
          <w:sz w:val="21"/>
          <w:szCs w:val="21"/>
        </w:rPr>
        <w:t>https://novobbmnet.com.br/?gclid=EAIaIQobChMI1seoiLXA6gIVUYCRCh2jMQkvEAAYASAAEgKS7fD_BwE</w:t>
      </w:r>
      <w:r>
        <w:rPr>
          <w:rStyle w:val="6"/>
          <w:rFonts w:asciiTheme="minorHAnsi" w:hAnsiTheme="minorHAnsi" w:cstheme="minorHAnsi"/>
          <w:sz w:val="21"/>
          <w:szCs w:val="21"/>
        </w:rPr>
        <w:fldChar w:fldCharType="end"/>
      </w:r>
      <w:r>
        <w:rPr>
          <w:rFonts w:asciiTheme="minorHAnsi" w:hAnsiTheme="minorHAnsi" w:cstheme="minorHAnsi"/>
          <w:sz w:val="21"/>
          <w:szCs w:val="21"/>
        </w:rPr>
        <w:t xml:space="preserve"> </w:t>
      </w:r>
    </w:p>
    <w:p w14:paraId="0E0435D9">
      <w:pPr>
        <w:pStyle w:val="19"/>
        <w:spacing w:line="276" w:lineRule="auto"/>
        <w:jc w:val="both"/>
        <w:rPr>
          <w:rFonts w:asciiTheme="minorHAnsi" w:hAnsiTheme="minorHAnsi" w:cstheme="minorHAnsi"/>
          <w:sz w:val="21"/>
          <w:szCs w:val="21"/>
        </w:rPr>
      </w:pPr>
    </w:p>
    <w:p w14:paraId="6456B424">
      <w:pPr>
        <w:pStyle w:val="19"/>
        <w:numPr>
          <w:ilvl w:val="1"/>
          <w:numId w:val="32"/>
        </w:numPr>
        <w:spacing w:line="276" w:lineRule="auto"/>
        <w:jc w:val="both"/>
        <w:rPr>
          <w:rFonts w:asciiTheme="minorHAnsi" w:hAnsiTheme="minorHAnsi" w:cstheme="minorHAnsi"/>
          <w:b/>
          <w:bCs/>
          <w:sz w:val="21"/>
          <w:szCs w:val="21"/>
        </w:rPr>
      </w:pPr>
      <w:r>
        <w:rPr>
          <w:rFonts w:asciiTheme="minorHAnsi" w:hAnsiTheme="minorHAnsi" w:cstheme="minorHAnsi"/>
          <w:b/>
          <w:bCs/>
          <w:sz w:val="21"/>
          <w:szCs w:val="21"/>
        </w:rPr>
        <w:t xml:space="preserve">Integram este Edital, para todos os fins e efeitos, os seguintes anexos: </w:t>
      </w:r>
    </w:p>
    <w:p w14:paraId="343E7FE4">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 – Termo de Referência </w:t>
      </w:r>
    </w:p>
    <w:p w14:paraId="5CBD135C">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 – Estudo Técnico Preliminar e análise de riscos. </w:t>
      </w:r>
    </w:p>
    <w:p w14:paraId="5C9C9FD7">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III – Modelo de Proposta Comercial </w:t>
      </w:r>
    </w:p>
    <w:p w14:paraId="7FACD8C3">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IV – Declaração Geral </w:t>
      </w:r>
    </w:p>
    <w:p w14:paraId="4F64F441">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ANEXO V – Declaração de empresa de Pequeno Porte.</w:t>
      </w:r>
    </w:p>
    <w:p w14:paraId="1A0CB475">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 – Minuta de Ata de Registro de Preços </w:t>
      </w:r>
    </w:p>
    <w:p w14:paraId="5E974E89">
      <w:pPr>
        <w:pStyle w:val="19"/>
        <w:spacing w:line="276" w:lineRule="auto"/>
        <w:jc w:val="both"/>
        <w:rPr>
          <w:rFonts w:asciiTheme="minorHAnsi" w:hAnsiTheme="minorHAnsi" w:cstheme="minorHAnsi"/>
          <w:sz w:val="21"/>
          <w:szCs w:val="21"/>
        </w:rPr>
      </w:pPr>
      <w:r>
        <w:rPr>
          <w:rFonts w:asciiTheme="minorHAnsi" w:hAnsiTheme="minorHAnsi" w:cstheme="minorHAnsi"/>
          <w:sz w:val="21"/>
          <w:szCs w:val="21"/>
        </w:rPr>
        <w:t xml:space="preserve">ANEXO VII – Termo de Ciência e Notificação </w:t>
      </w:r>
    </w:p>
    <w:p w14:paraId="6ECDC68A">
      <w:pPr>
        <w:pStyle w:val="19"/>
        <w:spacing w:line="276" w:lineRule="auto"/>
        <w:jc w:val="both"/>
        <w:rPr>
          <w:rFonts w:asciiTheme="minorHAnsi" w:hAnsiTheme="minorHAnsi" w:cstheme="minorHAnsi"/>
          <w:sz w:val="22"/>
          <w:szCs w:val="22"/>
        </w:rPr>
      </w:pPr>
    </w:p>
    <w:p w14:paraId="716556FF">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Santa Branca, 15 de agosto de 2024.</w:t>
      </w:r>
    </w:p>
    <w:p w14:paraId="18BD9A95">
      <w:pPr>
        <w:autoSpaceDE w:val="0"/>
        <w:autoSpaceDN w:val="0"/>
        <w:adjustRightInd w:val="0"/>
        <w:spacing w:line="276" w:lineRule="auto"/>
        <w:jc w:val="both"/>
        <w:rPr>
          <w:rFonts w:asciiTheme="minorHAnsi" w:hAnsiTheme="minorHAnsi" w:cstheme="minorHAnsi"/>
          <w:sz w:val="22"/>
          <w:szCs w:val="22"/>
        </w:rPr>
      </w:pPr>
    </w:p>
    <w:p w14:paraId="6C8D05EA">
      <w:pPr>
        <w:autoSpaceDE w:val="0"/>
        <w:autoSpaceDN w:val="0"/>
        <w:adjustRightInd w:val="0"/>
        <w:spacing w:line="276" w:lineRule="auto"/>
        <w:jc w:val="both"/>
        <w:rPr>
          <w:rFonts w:asciiTheme="minorHAnsi" w:hAnsiTheme="minorHAnsi" w:cstheme="minorHAnsi"/>
          <w:sz w:val="22"/>
          <w:szCs w:val="22"/>
        </w:rPr>
      </w:pPr>
    </w:p>
    <w:p w14:paraId="2F27D2A0">
      <w:pPr>
        <w:autoSpaceDE w:val="0"/>
        <w:autoSpaceDN w:val="0"/>
        <w:adjustRightInd w:val="0"/>
        <w:spacing w:line="276" w:lineRule="auto"/>
        <w:jc w:val="both"/>
        <w:rPr>
          <w:rFonts w:asciiTheme="minorHAnsi" w:hAnsiTheme="minorHAnsi" w:cstheme="minorHAnsi"/>
          <w:sz w:val="22"/>
          <w:szCs w:val="22"/>
        </w:rPr>
      </w:pPr>
    </w:p>
    <w:p w14:paraId="0852287E">
      <w:pPr>
        <w:autoSpaceDE w:val="0"/>
        <w:autoSpaceDN w:val="0"/>
        <w:adjustRightInd w:val="0"/>
        <w:spacing w:line="276" w:lineRule="auto"/>
        <w:jc w:val="both"/>
        <w:rPr>
          <w:rFonts w:asciiTheme="minorHAnsi" w:hAnsiTheme="minorHAnsi" w:cstheme="minorHAnsi"/>
          <w:sz w:val="22"/>
          <w:szCs w:val="22"/>
        </w:rPr>
      </w:pPr>
    </w:p>
    <w:p w14:paraId="12055528">
      <w:pPr>
        <w:autoSpaceDE w:val="0"/>
        <w:autoSpaceDN w:val="0"/>
        <w:adjustRightInd w:val="0"/>
        <w:spacing w:line="276" w:lineRule="auto"/>
        <w:jc w:val="both"/>
        <w:rPr>
          <w:rFonts w:asciiTheme="minorHAnsi" w:hAnsiTheme="minorHAnsi" w:cstheme="minorHAnsi"/>
          <w:sz w:val="22"/>
          <w:szCs w:val="22"/>
        </w:rPr>
      </w:pPr>
    </w:p>
    <w:p w14:paraId="361DC9D6">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FD4D934">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Adriano Marchesani Levorin</w:t>
      </w:r>
    </w:p>
    <w:p w14:paraId="139D7E2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Prefeito Municipal</w:t>
      </w:r>
    </w:p>
    <w:p w14:paraId="5A15B701">
      <w:pPr>
        <w:autoSpaceDE w:val="0"/>
        <w:autoSpaceDN w:val="0"/>
        <w:adjustRightInd w:val="0"/>
        <w:spacing w:line="276" w:lineRule="auto"/>
        <w:rPr>
          <w:rFonts w:asciiTheme="minorHAnsi" w:hAnsiTheme="minorHAnsi" w:cstheme="minorHAnsi"/>
          <w:sz w:val="22"/>
          <w:szCs w:val="22"/>
        </w:rPr>
      </w:pPr>
    </w:p>
    <w:p w14:paraId="296286A6">
      <w:pPr>
        <w:autoSpaceDE w:val="0"/>
        <w:autoSpaceDN w:val="0"/>
        <w:adjustRightInd w:val="0"/>
        <w:spacing w:line="276" w:lineRule="auto"/>
        <w:jc w:val="center"/>
        <w:rPr>
          <w:rFonts w:asciiTheme="minorHAnsi" w:hAnsiTheme="minorHAnsi" w:cstheme="minorHAnsi"/>
          <w:sz w:val="22"/>
          <w:szCs w:val="22"/>
        </w:rPr>
      </w:pPr>
    </w:p>
    <w:p w14:paraId="79F60D01">
      <w:pPr>
        <w:autoSpaceDE w:val="0"/>
        <w:autoSpaceDN w:val="0"/>
        <w:adjustRightInd w:val="0"/>
        <w:spacing w:line="276" w:lineRule="auto"/>
        <w:jc w:val="center"/>
        <w:rPr>
          <w:rFonts w:asciiTheme="minorHAnsi" w:hAnsiTheme="minorHAnsi" w:cstheme="minorHAnsi"/>
          <w:sz w:val="22"/>
          <w:szCs w:val="22"/>
        </w:rPr>
      </w:pPr>
    </w:p>
    <w:p w14:paraId="0039A549">
      <w:pPr>
        <w:autoSpaceDE w:val="0"/>
        <w:autoSpaceDN w:val="0"/>
        <w:adjustRightInd w:val="0"/>
        <w:spacing w:line="276" w:lineRule="auto"/>
        <w:jc w:val="center"/>
        <w:rPr>
          <w:rFonts w:asciiTheme="minorHAnsi" w:hAnsiTheme="minorHAnsi" w:cstheme="minorHAnsi"/>
          <w:sz w:val="22"/>
          <w:szCs w:val="22"/>
        </w:rPr>
      </w:pPr>
    </w:p>
    <w:p w14:paraId="4B4B551B">
      <w:pPr>
        <w:autoSpaceDE w:val="0"/>
        <w:autoSpaceDN w:val="0"/>
        <w:adjustRightInd w:val="0"/>
        <w:spacing w:line="276" w:lineRule="auto"/>
        <w:jc w:val="center"/>
        <w:rPr>
          <w:rFonts w:asciiTheme="minorHAnsi" w:hAnsiTheme="minorHAnsi" w:cstheme="minorHAnsi"/>
          <w:sz w:val="22"/>
          <w:szCs w:val="22"/>
        </w:rPr>
      </w:pPr>
    </w:p>
    <w:p w14:paraId="6DCB3CA7">
      <w:pPr>
        <w:autoSpaceDE w:val="0"/>
        <w:autoSpaceDN w:val="0"/>
        <w:adjustRightInd w:val="0"/>
        <w:spacing w:line="276" w:lineRule="auto"/>
        <w:jc w:val="center"/>
        <w:rPr>
          <w:rFonts w:asciiTheme="minorHAnsi" w:hAnsiTheme="minorHAnsi" w:cstheme="minorHAnsi"/>
          <w:sz w:val="22"/>
          <w:szCs w:val="22"/>
        </w:rPr>
      </w:pPr>
      <w:r>
        <w:rPr>
          <w:rFonts w:asciiTheme="minorHAnsi" w:hAnsiTheme="minorHAnsi" w:cstheme="minorHAnsi"/>
          <w:sz w:val="22"/>
          <w:szCs w:val="22"/>
        </w:rPr>
        <w:t>__________________________________</w:t>
      </w:r>
    </w:p>
    <w:p w14:paraId="20840D71">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Rodrigo Eduardo de Souza</w:t>
      </w:r>
    </w:p>
    <w:p w14:paraId="0504735C">
      <w:pPr>
        <w:autoSpaceDE w:val="0"/>
        <w:autoSpaceDN w:val="0"/>
        <w:adjustRightInd w:val="0"/>
        <w:spacing w:line="276" w:lineRule="auto"/>
        <w:jc w:val="center"/>
        <w:rPr>
          <w:rFonts w:asciiTheme="minorHAnsi" w:hAnsiTheme="minorHAnsi" w:cstheme="minorHAnsi"/>
          <w:sz w:val="21"/>
          <w:szCs w:val="21"/>
        </w:rPr>
      </w:pPr>
      <w:r>
        <w:rPr>
          <w:rFonts w:asciiTheme="minorHAnsi" w:hAnsiTheme="minorHAnsi" w:cstheme="minorHAnsi"/>
          <w:sz w:val="21"/>
          <w:szCs w:val="21"/>
        </w:rPr>
        <w:t xml:space="preserve">Secretário Adjunto da Saúde </w:t>
      </w:r>
    </w:p>
    <w:p w14:paraId="369F8D0A">
      <w:pPr>
        <w:autoSpaceDE w:val="0"/>
        <w:autoSpaceDN w:val="0"/>
        <w:adjustRightInd w:val="0"/>
        <w:spacing w:line="276" w:lineRule="auto"/>
        <w:rPr>
          <w:rFonts w:asciiTheme="minorHAnsi" w:hAnsiTheme="minorHAnsi" w:cstheme="minorHAnsi"/>
          <w:sz w:val="21"/>
          <w:szCs w:val="21"/>
        </w:rPr>
      </w:pPr>
    </w:p>
    <w:p w14:paraId="478E9EA5">
      <w:pPr>
        <w:autoSpaceDE w:val="0"/>
        <w:autoSpaceDN w:val="0"/>
        <w:adjustRightInd w:val="0"/>
        <w:spacing w:line="276" w:lineRule="auto"/>
        <w:rPr>
          <w:rFonts w:asciiTheme="minorHAnsi" w:hAnsiTheme="minorHAnsi" w:cstheme="minorHAnsi"/>
          <w:sz w:val="21"/>
          <w:szCs w:val="21"/>
        </w:rPr>
      </w:pPr>
    </w:p>
    <w:tbl>
      <w:tblPr>
        <w:tblStyle w:val="35"/>
        <w:tblW w:w="9493"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493"/>
      </w:tblGrid>
      <w:tr w14:paraId="6E0E5D87">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9493"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1A10A3B">
            <w:pPr>
              <w:pStyle w:val="19"/>
              <w:numPr>
                <w:ilvl w:val="0"/>
                <w:numId w:val="25"/>
              </w:numPr>
              <w:jc w:val="center"/>
              <w:rPr>
                <w:rFonts w:asciiTheme="minorHAnsi" w:hAnsiTheme="minorHAnsi" w:cstheme="minorHAnsi"/>
                <w:b/>
                <w:bCs/>
                <w:sz w:val="22"/>
                <w:szCs w:val="22"/>
              </w:rPr>
            </w:pPr>
            <w:r>
              <w:rPr>
                <w:rFonts w:asciiTheme="minorHAnsi" w:hAnsiTheme="minorHAnsi" w:cstheme="minorHAnsi"/>
                <w:b/>
                <w:bCs/>
                <w:sz w:val="22"/>
                <w:szCs w:val="22"/>
              </w:rPr>
              <w:t>ANEXO I</w:t>
            </w:r>
          </w:p>
          <w:p w14:paraId="1933AA06">
            <w:pPr>
              <w:pStyle w:val="19"/>
              <w:numPr>
                <w:ilvl w:val="0"/>
                <w:numId w:val="25"/>
              </w:numPr>
              <w:jc w:val="center"/>
              <w:rPr>
                <w:b/>
                <w:bCs/>
                <w:sz w:val="23"/>
                <w:szCs w:val="23"/>
              </w:rPr>
            </w:pPr>
            <w:r>
              <w:rPr>
                <w:rFonts w:asciiTheme="minorHAnsi" w:hAnsiTheme="minorHAnsi" w:cstheme="minorHAnsi"/>
                <w:b/>
                <w:bCs/>
                <w:sz w:val="22"/>
                <w:szCs w:val="22"/>
              </w:rPr>
              <w:t>TERMO DE REFERÊNCIA</w:t>
            </w:r>
          </w:p>
        </w:tc>
      </w:tr>
    </w:tbl>
    <w:p w14:paraId="2E966C83">
      <w:pPr>
        <w:pStyle w:val="19"/>
        <w:jc w:val="both"/>
        <w:rPr>
          <w:rFonts w:asciiTheme="minorHAnsi" w:hAnsiTheme="minorHAnsi" w:cstheme="minorHAnsi"/>
          <w:sz w:val="21"/>
          <w:szCs w:val="21"/>
        </w:rPr>
      </w:pPr>
      <w:r>
        <w:rPr>
          <w:rFonts w:asciiTheme="minorHAnsi" w:hAnsiTheme="minorHAnsi" w:cstheme="minorHAnsi"/>
          <w:b/>
          <w:bCs/>
          <w:color w:val="C8201E"/>
          <w:sz w:val="21"/>
          <w:szCs w:val="21"/>
        </w:rPr>
        <w:t>HAVENDO DIVERGÊNCIA ENTRE A ESPECIFICAÇÃO DO SISTEMA E A DO EDITAL,</w:t>
      </w:r>
      <w:r>
        <w:rPr>
          <w:rFonts w:asciiTheme="minorHAnsi" w:hAnsiTheme="minorHAnsi" w:cstheme="minorHAnsi"/>
          <w:sz w:val="21"/>
          <w:szCs w:val="21"/>
        </w:rPr>
        <w:t xml:space="preserve"> </w:t>
      </w:r>
      <w:r>
        <w:rPr>
          <w:rFonts w:asciiTheme="minorHAnsi" w:hAnsiTheme="minorHAnsi" w:cstheme="minorHAnsi"/>
          <w:b/>
          <w:bCs/>
          <w:color w:val="C8201E"/>
          <w:sz w:val="21"/>
          <w:szCs w:val="21"/>
        </w:rPr>
        <w:t>PREVALECERÁ A DO EDITAL</w:t>
      </w:r>
    </w:p>
    <w:p w14:paraId="15ECF6EB">
      <w:pPr>
        <w:pStyle w:val="19"/>
        <w:rPr>
          <w:rFonts w:asciiTheme="minorHAnsi" w:hAnsiTheme="minorHAnsi" w:cstheme="minorHAnsi"/>
          <w:sz w:val="21"/>
          <w:szCs w:val="21"/>
        </w:rPr>
      </w:pPr>
    </w:p>
    <w:p w14:paraId="591B5634">
      <w:pPr>
        <w:pStyle w:val="19"/>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22/2024 - PROCESSO Nº 3170/2024</w:t>
      </w:r>
    </w:p>
    <w:p w14:paraId="4F474D2F">
      <w:pPr>
        <w:pStyle w:val="19"/>
        <w:jc w:val="both"/>
        <w:rPr>
          <w:rFonts w:asciiTheme="minorHAnsi" w:hAnsiTheme="minorHAnsi" w:cstheme="minorHAnsi"/>
          <w:b/>
          <w:bCs/>
          <w:color w:val="auto"/>
          <w:sz w:val="21"/>
          <w:szCs w:val="21"/>
          <w:shd w:val="clear" w:color="auto" w:fill="FFFFFF"/>
        </w:rPr>
      </w:pPr>
      <w:r>
        <w:rPr>
          <w:rFonts w:asciiTheme="minorHAnsi" w:hAnsiTheme="minorHAnsi" w:cstheme="minorHAnsi"/>
          <w:b/>
          <w:bCs/>
          <w:color w:val="auto"/>
          <w:sz w:val="21"/>
          <w:szCs w:val="21"/>
        </w:rPr>
        <w:t xml:space="preserve">OBJETO: </w:t>
      </w:r>
      <w:r>
        <w:rPr>
          <w:rFonts w:asciiTheme="minorHAnsi" w:hAnsiTheme="minorHAnsi" w:cstheme="minorHAnsi"/>
          <w:b/>
          <w:bCs/>
          <w:color w:val="auto"/>
          <w:sz w:val="21"/>
          <w:szCs w:val="21"/>
          <w:shd w:val="clear" w:color="auto" w:fill="FFFFFF"/>
        </w:rPr>
        <w:t xml:space="preserve">REGISTRO DE PREÇO PARA AQUISIÇÃO DE MATERIAIS MÉDICO HOSPITALARES VISANDO ATENDER AO SETOR DE SAÚDE DURANTE UM PERÍODO ESTIMADO DE 12 (DOZE) MESES. </w:t>
      </w:r>
    </w:p>
    <w:p w14:paraId="0BB0A338">
      <w:pPr>
        <w:pStyle w:val="19"/>
        <w:jc w:val="both"/>
        <w:rPr>
          <w:rFonts w:asciiTheme="minorHAnsi" w:hAnsiTheme="minorHAnsi" w:cstheme="minorHAnsi"/>
          <w:b/>
          <w:bCs/>
          <w:color w:val="auto"/>
          <w:sz w:val="21"/>
          <w:szCs w:val="21"/>
          <w:shd w:val="clear" w:color="auto" w:fill="FFFFFF"/>
        </w:rPr>
      </w:pPr>
    </w:p>
    <w:p w14:paraId="65980C68">
      <w:pPr>
        <w:spacing w:after="120"/>
        <w:ind w:right="282"/>
        <w:jc w:val="center"/>
        <w:rPr>
          <w:rFonts w:asciiTheme="minorHAnsi" w:hAnsiTheme="minorHAnsi" w:cstheme="minorHAnsi"/>
          <w:b/>
          <w:sz w:val="21"/>
          <w:szCs w:val="21"/>
        </w:rPr>
      </w:pPr>
      <w:r>
        <w:rPr>
          <w:rFonts w:asciiTheme="minorHAnsi" w:hAnsiTheme="minorHAnsi" w:cstheme="minorHAnsi"/>
          <w:b/>
          <w:sz w:val="21"/>
          <w:szCs w:val="21"/>
        </w:rPr>
        <w:t>TERMO DE REFERÊNCIA</w:t>
      </w:r>
    </w:p>
    <w:p w14:paraId="1520DA89">
      <w:pPr>
        <w:spacing w:after="120"/>
        <w:ind w:right="282"/>
        <w:jc w:val="center"/>
        <w:rPr>
          <w:rFonts w:asciiTheme="minorHAnsi" w:hAnsiTheme="minorHAnsi" w:cstheme="minorHAnsi"/>
          <w:b/>
          <w:sz w:val="21"/>
          <w:szCs w:val="21"/>
        </w:rPr>
      </w:pPr>
      <w:r>
        <w:rPr>
          <w:rFonts w:asciiTheme="minorHAnsi" w:hAnsiTheme="minorHAnsi" w:cstheme="minorHAnsi"/>
          <w:b/>
          <w:sz w:val="21"/>
          <w:szCs w:val="21"/>
        </w:rPr>
        <w:t>AQUISIÇÃO DE BENS</w:t>
      </w:r>
    </w:p>
    <w:p w14:paraId="4B10BC37">
      <w:pPr>
        <w:spacing w:after="120"/>
        <w:ind w:right="282"/>
        <w:jc w:val="both"/>
        <w:rPr>
          <w:rFonts w:asciiTheme="minorHAnsi" w:hAnsiTheme="minorHAnsi" w:cstheme="minorHAnsi"/>
          <w:sz w:val="21"/>
          <w:szCs w:val="21"/>
        </w:rPr>
      </w:pPr>
    </w:p>
    <w:p w14:paraId="5C115C1A">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ind w:left="0" w:firstLine="0"/>
        <w:jc w:val="both"/>
        <w:rPr>
          <w:rFonts w:asciiTheme="minorHAnsi" w:hAnsiTheme="minorHAnsi" w:cstheme="minorHAnsi"/>
          <w:b/>
          <w:color w:val="000000"/>
          <w:sz w:val="21"/>
          <w:szCs w:val="21"/>
        </w:rPr>
      </w:pPr>
      <w:r>
        <w:rPr>
          <w:rFonts w:asciiTheme="minorHAnsi" w:hAnsiTheme="minorHAnsi" w:cstheme="minorHAnsi"/>
          <w:b/>
          <w:color w:val="000000"/>
          <w:sz w:val="21"/>
          <w:szCs w:val="21"/>
        </w:rPr>
        <w:t>CONDIÇÕES GERAIS DA CONTRATAÇÃO</w:t>
      </w:r>
    </w:p>
    <w:p w14:paraId="323B87EA">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276" w:lineRule="auto"/>
        <w:ind w:left="0" w:firstLine="0"/>
        <w:jc w:val="both"/>
        <w:rPr>
          <w:rFonts w:asciiTheme="minorHAnsi" w:hAnsiTheme="minorHAnsi" w:cstheme="minorHAnsi"/>
          <w:b/>
          <w:color w:val="000000"/>
          <w:sz w:val="21"/>
          <w:szCs w:val="21"/>
        </w:rPr>
      </w:pPr>
      <w:r>
        <w:rPr>
          <w:rFonts w:asciiTheme="minorHAnsi" w:hAnsiTheme="minorHAnsi" w:cstheme="minorHAnsi"/>
          <w:sz w:val="21"/>
          <w:szCs w:val="21"/>
        </w:rPr>
        <w:t>Registro de preços para aquisição de itens dermocosméticos para atendimento de demandas de pacientes por ordens judiciais por período estimado de 12 (DOZE) meses</w:t>
      </w:r>
      <w:r>
        <w:rPr>
          <w:rFonts w:asciiTheme="minorHAnsi" w:hAnsiTheme="minorHAnsi" w:cstheme="minorHAnsi"/>
          <w:b/>
          <w:color w:val="000000"/>
          <w:sz w:val="21"/>
          <w:szCs w:val="21"/>
        </w:rPr>
        <w:t>,</w:t>
      </w:r>
      <w:r>
        <w:rPr>
          <w:rFonts w:asciiTheme="minorHAnsi" w:hAnsiTheme="minorHAnsi" w:cstheme="minorHAnsi"/>
          <w:color w:val="000000"/>
          <w:sz w:val="21"/>
          <w:szCs w:val="21"/>
        </w:rPr>
        <w:t xml:space="preserve"> nos termos da tabela abaixo, conforme condições e exigências estabelecidas neste instrumento.</w:t>
      </w:r>
    </w:p>
    <w:p w14:paraId="5263BDE6">
      <w:pPr>
        <w:pStyle w:val="19"/>
        <w:rPr>
          <w:rFonts w:asciiTheme="minorHAnsi" w:hAnsiTheme="minorHAnsi" w:cstheme="minorHAnsi"/>
          <w:sz w:val="21"/>
          <w:szCs w:val="21"/>
        </w:rPr>
      </w:pPr>
    </w:p>
    <w:p w14:paraId="69CF16D4">
      <w:pPr>
        <w:autoSpaceDE w:val="0"/>
        <w:autoSpaceDN w:val="0"/>
        <w:adjustRightInd w:val="0"/>
        <w:jc w:val="center"/>
        <w:rPr>
          <w:rFonts w:asciiTheme="minorHAnsi" w:hAnsiTheme="minorHAnsi" w:cstheme="minorHAnsi"/>
          <w:b/>
          <w:bCs/>
          <w:sz w:val="21"/>
          <w:szCs w:val="21"/>
        </w:rPr>
      </w:pPr>
      <w:r>
        <w:rPr>
          <w:rFonts w:asciiTheme="minorHAnsi" w:hAnsiTheme="minorHAnsi" w:cstheme="minorHAnsi"/>
          <w:b/>
          <w:bCs/>
          <w:sz w:val="21"/>
          <w:szCs w:val="21"/>
        </w:rPr>
        <w:t>DESCRIÇÃO DOS ITENS, ESPECIFICAÇÕES, QUANTIDADES E PREÇOS MÁXIMOS FIXADOS.</w:t>
      </w:r>
    </w:p>
    <w:tbl>
      <w:tblPr>
        <w:tblStyle w:val="4"/>
        <w:tblW w:w="9493" w:type="dxa"/>
        <w:tblInd w:w="0" w:type="dxa"/>
        <w:tblLayout w:type="autofit"/>
        <w:tblCellMar>
          <w:top w:w="0" w:type="dxa"/>
          <w:left w:w="70" w:type="dxa"/>
          <w:bottom w:w="0" w:type="dxa"/>
          <w:right w:w="70" w:type="dxa"/>
        </w:tblCellMar>
      </w:tblPr>
      <w:tblGrid>
        <w:gridCol w:w="472"/>
        <w:gridCol w:w="1791"/>
        <w:gridCol w:w="3402"/>
        <w:gridCol w:w="426"/>
        <w:gridCol w:w="992"/>
        <w:gridCol w:w="1134"/>
        <w:gridCol w:w="1276"/>
      </w:tblGrid>
      <w:tr w14:paraId="0210138A">
        <w:tblPrEx>
          <w:tblCellMar>
            <w:top w:w="0" w:type="dxa"/>
            <w:left w:w="70" w:type="dxa"/>
            <w:bottom w:w="0" w:type="dxa"/>
            <w:right w:w="70" w:type="dxa"/>
          </w:tblCellMar>
        </w:tblPrEx>
        <w:trPr>
          <w:trHeight w:val="258" w:hRule="atLeast"/>
        </w:trPr>
        <w:tc>
          <w:tcPr>
            <w:tcW w:w="6091" w:type="dxa"/>
            <w:gridSpan w:val="4"/>
            <w:tcBorders>
              <w:top w:val="single" w:color="auto" w:sz="4" w:space="0"/>
              <w:left w:val="single" w:color="auto" w:sz="4" w:space="0"/>
              <w:bottom w:val="single" w:color="auto" w:sz="4" w:space="0"/>
              <w:right w:val="single" w:color="auto" w:sz="4" w:space="0"/>
            </w:tcBorders>
            <w:shd w:val="clear" w:color="auto" w:fill="auto"/>
          </w:tcPr>
          <w:p w14:paraId="53F0A1C8">
            <w:pPr>
              <w:jc w:val="center"/>
              <w:rPr>
                <w:rFonts w:ascii="Tahoma" w:hAnsi="Tahoma" w:cs="Tahoma"/>
                <w:sz w:val="16"/>
                <w:szCs w:val="16"/>
              </w:rPr>
            </w:pPr>
            <w:r>
              <w:rPr>
                <w:rFonts w:ascii="Tahoma" w:hAnsi="Tahoma" w:cs="Tahoma"/>
                <w:sz w:val="16"/>
                <w:szCs w:val="16"/>
              </w:rPr>
              <w:t>Item</w:t>
            </w:r>
          </w:p>
        </w:tc>
        <w:tc>
          <w:tcPr>
            <w:tcW w:w="3402" w:type="dxa"/>
            <w:gridSpan w:val="3"/>
            <w:tcBorders>
              <w:top w:val="single" w:color="auto" w:sz="4" w:space="0"/>
              <w:left w:val="nil"/>
              <w:bottom w:val="single" w:color="auto" w:sz="4" w:space="0"/>
              <w:right w:val="single" w:color="auto" w:sz="4" w:space="0"/>
            </w:tcBorders>
            <w:shd w:val="clear" w:color="auto" w:fill="auto"/>
          </w:tcPr>
          <w:p w14:paraId="517B4B99">
            <w:pPr>
              <w:jc w:val="center"/>
              <w:rPr>
                <w:rFonts w:ascii="Tahoma" w:hAnsi="Tahoma" w:cs="Tahoma"/>
                <w:sz w:val="16"/>
                <w:szCs w:val="16"/>
              </w:rPr>
            </w:pPr>
            <w:r>
              <w:rPr>
                <w:rFonts w:ascii="Tahoma" w:hAnsi="Tahoma" w:cs="Tahoma"/>
                <w:sz w:val="16"/>
                <w:szCs w:val="16"/>
              </w:rPr>
              <w:t>Valores estimados do processo</w:t>
            </w:r>
          </w:p>
        </w:tc>
      </w:tr>
      <w:tr w14:paraId="35F0A792">
        <w:tblPrEx>
          <w:tblCellMar>
            <w:top w:w="0" w:type="dxa"/>
            <w:left w:w="70" w:type="dxa"/>
            <w:bottom w:w="0" w:type="dxa"/>
            <w:right w:w="70" w:type="dxa"/>
          </w:tblCellMar>
        </w:tblPrEx>
        <w:trPr>
          <w:trHeight w:val="258" w:hRule="atLeast"/>
        </w:trPr>
        <w:tc>
          <w:tcPr>
            <w:tcW w:w="472" w:type="dxa"/>
            <w:tcBorders>
              <w:top w:val="nil"/>
              <w:left w:val="single" w:color="auto" w:sz="4" w:space="0"/>
              <w:bottom w:val="single" w:color="auto" w:sz="4" w:space="0"/>
              <w:right w:val="single" w:color="auto" w:sz="4" w:space="0"/>
            </w:tcBorders>
            <w:shd w:val="clear" w:color="auto" w:fill="auto"/>
          </w:tcPr>
          <w:p w14:paraId="3DCA3846">
            <w:pPr>
              <w:rPr>
                <w:rFonts w:ascii="Tahoma" w:hAnsi="Tahoma" w:cs="Tahoma"/>
                <w:sz w:val="16"/>
                <w:szCs w:val="16"/>
              </w:rPr>
            </w:pPr>
            <w:r>
              <w:rPr>
                <w:rFonts w:ascii="Tahoma" w:hAnsi="Tahoma" w:cs="Tahoma"/>
                <w:sz w:val="16"/>
                <w:szCs w:val="16"/>
              </w:rPr>
              <w:t>Item</w:t>
            </w:r>
          </w:p>
        </w:tc>
        <w:tc>
          <w:tcPr>
            <w:tcW w:w="1791" w:type="dxa"/>
            <w:tcBorders>
              <w:top w:val="nil"/>
              <w:left w:val="nil"/>
              <w:bottom w:val="single" w:color="auto" w:sz="4" w:space="0"/>
              <w:right w:val="single" w:color="auto" w:sz="4" w:space="0"/>
            </w:tcBorders>
            <w:shd w:val="clear" w:color="auto" w:fill="auto"/>
          </w:tcPr>
          <w:p w14:paraId="11DDB68B">
            <w:pPr>
              <w:rPr>
                <w:rFonts w:ascii="Tahoma" w:hAnsi="Tahoma" w:cs="Tahoma"/>
                <w:sz w:val="16"/>
                <w:szCs w:val="16"/>
              </w:rPr>
            </w:pPr>
            <w:r>
              <w:rPr>
                <w:rFonts w:ascii="Tahoma" w:hAnsi="Tahoma" w:cs="Tahoma"/>
                <w:sz w:val="16"/>
                <w:szCs w:val="16"/>
              </w:rPr>
              <w:t>Descrição</w:t>
            </w:r>
          </w:p>
        </w:tc>
        <w:tc>
          <w:tcPr>
            <w:tcW w:w="3402" w:type="dxa"/>
            <w:tcBorders>
              <w:top w:val="nil"/>
              <w:left w:val="nil"/>
              <w:bottom w:val="single" w:color="auto" w:sz="4" w:space="0"/>
              <w:right w:val="single" w:color="auto" w:sz="4" w:space="0"/>
            </w:tcBorders>
            <w:shd w:val="clear" w:color="auto" w:fill="auto"/>
          </w:tcPr>
          <w:p w14:paraId="01B0A633">
            <w:pPr>
              <w:rPr>
                <w:rFonts w:ascii="Tahoma" w:hAnsi="Tahoma" w:cs="Tahoma"/>
                <w:sz w:val="16"/>
                <w:szCs w:val="16"/>
              </w:rPr>
            </w:pPr>
            <w:r>
              <w:rPr>
                <w:rFonts w:ascii="Tahoma" w:hAnsi="Tahoma" w:cs="Tahoma"/>
                <w:sz w:val="16"/>
                <w:szCs w:val="16"/>
              </w:rPr>
              <w:t>Especificação</w:t>
            </w:r>
          </w:p>
        </w:tc>
        <w:tc>
          <w:tcPr>
            <w:tcW w:w="426" w:type="dxa"/>
            <w:tcBorders>
              <w:top w:val="nil"/>
              <w:left w:val="nil"/>
              <w:bottom w:val="single" w:color="auto" w:sz="4" w:space="0"/>
              <w:right w:val="single" w:color="auto" w:sz="4" w:space="0"/>
            </w:tcBorders>
            <w:shd w:val="clear" w:color="auto" w:fill="auto"/>
          </w:tcPr>
          <w:p w14:paraId="70E4B2BD">
            <w:pPr>
              <w:rPr>
                <w:rFonts w:ascii="Tahoma" w:hAnsi="Tahoma" w:cs="Tahoma"/>
                <w:sz w:val="16"/>
                <w:szCs w:val="16"/>
              </w:rPr>
            </w:pPr>
            <w:r>
              <w:rPr>
                <w:rFonts w:ascii="Tahoma" w:hAnsi="Tahoma" w:cs="Tahoma"/>
                <w:sz w:val="16"/>
                <w:szCs w:val="16"/>
              </w:rPr>
              <w:t>UN</w:t>
            </w:r>
          </w:p>
        </w:tc>
        <w:tc>
          <w:tcPr>
            <w:tcW w:w="992" w:type="dxa"/>
            <w:tcBorders>
              <w:top w:val="nil"/>
              <w:left w:val="nil"/>
              <w:bottom w:val="single" w:color="auto" w:sz="4" w:space="0"/>
              <w:right w:val="single" w:color="auto" w:sz="4" w:space="0"/>
            </w:tcBorders>
            <w:shd w:val="clear" w:color="auto" w:fill="auto"/>
          </w:tcPr>
          <w:p w14:paraId="10A9F00E">
            <w:pPr>
              <w:rPr>
                <w:rFonts w:ascii="Tahoma" w:hAnsi="Tahoma" w:cs="Tahoma"/>
                <w:sz w:val="16"/>
                <w:szCs w:val="16"/>
              </w:rPr>
            </w:pPr>
            <w:r>
              <w:rPr>
                <w:rFonts w:ascii="Tahoma" w:hAnsi="Tahoma" w:cs="Tahoma"/>
                <w:sz w:val="16"/>
                <w:szCs w:val="16"/>
              </w:rPr>
              <w:t>Quantidade</w:t>
            </w:r>
          </w:p>
        </w:tc>
        <w:tc>
          <w:tcPr>
            <w:tcW w:w="1134" w:type="dxa"/>
            <w:tcBorders>
              <w:top w:val="nil"/>
              <w:left w:val="nil"/>
              <w:bottom w:val="single" w:color="auto" w:sz="4" w:space="0"/>
              <w:right w:val="single" w:color="auto" w:sz="4" w:space="0"/>
            </w:tcBorders>
            <w:shd w:val="clear" w:color="auto" w:fill="auto"/>
          </w:tcPr>
          <w:p w14:paraId="626B0926">
            <w:pPr>
              <w:rPr>
                <w:rFonts w:ascii="Tahoma" w:hAnsi="Tahoma" w:cs="Tahoma"/>
                <w:sz w:val="16"/>
                <w:szCs w:val="16"/>
              </w:rPr>
            </w:pPr>
            <w:r>
              <w:rPr>
                <w:rFonts w:ascii="Tahoma" w:hAnsi="Tahoma" w:cs="Tahoma"/>
                <w:sz w:val="16"/>
                <w:szCs w:val="16"/>
              </w:rPr>
              <w:t>Valor unitário</w:t>
            </w:r>
          </w:p>
        </w:tc>
        <w:tc>
          <w:tcPr>
            <w:tcW w:w="1276" w:type="dxa"/>
            <w:tcBorders>
              <w:top w:val="nil"/>
              <w:left w:val="nil"/>
              <w:bottom w:val="single" w:color="auto" w:sz="4" w:space="0"/>
              <w:right w:val="single" w:color="auto" w:sz="4" w:space="0"/>
            </w:tcBorders>
            <w:shd w:val="clear" w:color="auto" w:fill="auto"/>
          </w:tcPr>
          <w:p w14:paraId="3F4ADC42">
            <w:pPr>
              <w:rPr>
                <w:rFonts w:ascii="Tahoma" w:hAnsi="Tahoma" w:cs="Tahoma"/>
                <w:sz w:val="16"/>
                <w:szCs w:val="16"/>
              </w:rPr>
            </w:pPr>
            <w:r>
              <w:rPr>
                <w:rFonts w:ascii="Tahoma" w:hAnsi="Tahoma" w:cs="Tahoma"/>
                <w:sz w:val="16"/>
                <w:szCs w:val="16"/>
              </w:rPr>
              <w:t>Valor total</w:t>
            </w:r>
          </w:p>
        </w:tc>
      </w:tr>
      <w:tr w14:paraId="1E23879A">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6C594C7A">
            <w:pPr>
              <w:jc w:val="right"/>
              <w:rPr>
                <w:rFonts w:ascii="Tahoma" w:hAnsi="Tahoma" w:cs="Tahoma"/>
                <w:sz w:val="16"/>
                <w:szCs w:val="16"/>
              </w:rPr>
            </w:pPr>
            <w:r>
              <w:rPr>
                <w:rFonts w:ascii="Tahoma" w:hAnsi="Tahoma" w:cs="Tahoma"/>
                <w:sz w:val="16"/>
                <w:szCs w:val="16"/>
              </w:rPr>
              <w:t>1</w:t>
            </w:r>
          </w:p>
        </w:tc>
        <w:tc>
          <w:tcPr>
            <w:tcW w:w="1791" w:type="dxa"/>
            <w:tcBorders>
              <w:top w:val="nil"/>
              <w:left w:val="nil"/>
              <w:bottom w:val="single" w:color="auto" w:sz="4" w:space="0"/>
              <w:right w:val="single" w:color="auto" w:sz="4" w:space="0"/>
            </w:tcBorders>
            <w:shd w:val="clear" w:color="auto" w:fill="auto"/>
          </w:tcPr>
          <w:p w14:paraId="38D7C641">
            <w:pPr>
              <w:rPr>
                <w:rFonts w:ascii="Tahoma" w:hAnsi="Tahoma" w:cs="Tahoma"/>
                <w:sz w:val="16"/>
                <w:szCs w:val="16"/>
              </w:rPr>
            </w:pPr>
            <w:r>
              <w:rPr>
                <w:rFonts w:ascii="Tahoma" w:hAnsi="Tahoma" w:cs="Tahoma"/>
                <w:sz w:val="16"/>
                <w:szCs w:val="16"/>
              </w:rPr>
              <w:t xml:space="preserve">CETAPHIL LOÇÃO HIDRATANTE  </w:t>
            </w:r>
          </w:p>
        </w:tc>
        <w:tc>
          <w:tcPr>
            <w:tcW w:w="3402" w:type="dxa"/>
            <w:tcBorders>
              <w:top w:val="nil"/>
              <w:left w:val="nil"/>
              <w:bottom w:val="single" w:color="auto" w:sz="4" w:space="0"/>
              <w:right w:val="single" w:color="auto" w:sz="4" w:space="0"/>
            </w:tcBorders>
            <w:shd w:val="clear" w:color="auto" w:fill="auto"/>
          </w:tcPr>
          <w:p w14:paraId="48DD6EAD">
            <w:pPr>
              <w:rPr>
                <w:rFonts w:ascii="Tahoma" w:hAnsi="Tahoma" w:cs="Tahoma"/>
                <w:sz w:val="16"/>
                <w:szCs w:val="16"/>
              </w:rPr>
            </w:pPr>
            <w:r>
              <w:rPr>
                <w:rFonts w:ascii="Tahoma" w:hAnsi="Tahoma" w:cs="Tahoma"/>
                <w:sz w:val="16"/>
                <w:szCs w:val="16"/>
              </w:rPr>
              <w:t>"CETAPHIL ADVANCED MOISTURIZER PUMP CREME HIDRATANTE PARA PELE SECA E SENSÍVEL PARA O CORPO 473 G.</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MARCA: GALDERMA</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0000598-74.2018.8.26.0534"</w:t>
            </w:r>
          </w:p>
        </w:tc>
        <w:tc>
          <w:tcPr>
            <w:tcW w:w="426" w:type="dxa"/>
            <w:tcBorders>
              <w:top w:val="nil"/>
              <w:left w:val="nil"/>
              <w:bottom w:val="single" w:color="auto" w:sz="4" w:space="0"/>
              <w:right w:val="single" w:color="auto" w:sz="4" w:space="0"/>
            </w:tcBorders>
            <w:shd w:val="clear" w:color="auto" w:fill="auto"/>
          </w:tcPr>
          <w:p w14:paraId="71EBAC20">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79373A30">
            <w:pPr>
              <w:jc w:val="right"/>
              <w:rPr>
                <w:rFonts w:ascii="Tahoma" w:hAnsi="Tahoma" w:cs="Tahoma"/>
                <w:sz w:val="16"/>
                <w:szCs w:val="16"/>
              </w:rPr>
            </w:pPr>
            <w:r>
              <w:rPr>
                <w:rFonts w:ascii="Tahoma" w:hAnsi="Tahoma" w:cs="Tahoma"/>
                <w:sz w:val="16"/>
                <w:szCs w:val="16"/>
              </w:rPr>
              <w:t>30</w:t>
            </w:r>
          </w:p>
        </w:tc>
        <w:tc>
          <w:tcPr>
            <w:tcW w:w="1134" w:type="dxa"/>
            <w:tcBorders>
              <w:top w:val="nil"/>
              <w:left w:val="nil"/>
              <w:bottom w:val="single" w:color="auto" w:sz="4" w:space="0"/>
              <w:right w:val="single" w:color="auto" w:sz="4" w:space="0"/>
            </w:tcBorders>
            <w:shd w:val="clear" w:color="auto" w:fill="auto"/>
          </w:tcPr>
          <w:p w14:paraId="56C0394C">
            <w:pPr>
              <w:jc w:val="right"/>
              <w:rPr>
                <w:rFonts w:ascii="Tahoma" w:hAnsi="Tahoma" w:cs="Tahoma"/>
                <w:sz w:val="16"/>
                <w:szCs w:val="16"/>
              </w:rPr>
            </w:pPr>
            <w:r>
              <w:rPr>
                <w:rFonts w:ascii="Tahoma" w:hAnsi="Tahoma" w:cs="Tahoma"/>
                <w:sz w:val="16"/>
                <w:szCs w:val="16"/>
              </w:rPr>
              <w:t>R$ 114,49</w:t>
            </w:r>
          </w:p>
        </w:tc>
        <w:tc>
          <w:tcPr>
            <w:tcW w:w="1276" w:type="dxa"/>
            <w:tcBorders>
              <w:top w:val="nil"/>
              <w:left w:val="nil"/>
              <w:bottom w:val="single" w:color="auto" w:sz="4" w:space="0"/>
              <w:right w:val="single" w:color="auto" w:sz="4" w:space="0"/>
            </w:tcBorders>
            <w:shd w:val="clear" w:color="auto" w:fill="auto"/>
          </w:tcPr>
          <w:p w14:paraId="27630E2C">
            <w:pPr>
              <w:jc w:val="right"/>
              <w:rPr>
                <w:rFonts w:ascii="Tahoma" w:hAnsi="Tahoma" w:cs="Tahoma"/>
                <w:sz w:val="16"/>
                <w:szCs w:val="16"/>
              </w:rPr>
            </w:pPr>
            <w:r>
              <w:rPr>
                <w:rFonts w:ascii="Tahoma" w:hAnsi="Tahoma" w:cs="Tahoma"/>
                <w:sz w:val="16"/>
                <w:szCs w:val="16"/>
              </w:rPr>
              <w:t>R$ 3.434,70</w:t>
            </w:r>
          </w:p>
        </w:tc>
      </w:tr>
      <w:tr w14:paraId="594186BB">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5415DBB6">
            <w:pPr>
              <w:jc w:val="right"/>
              <w:rPr>
                <w:rFonts w:ascii="Tahoma" w:hAnsi="Tahoma" w:cs="Tahoma"/>
                <w:sz w:val="16"/>
                <w:szCs w:val="16"/>
              </w:rPr>
            </w:pPr>
            <w:r>
              <w:rPr>
                <w:rFonts w:ascii="Tahoma" w:hAnsi="Tahoma" w:cs="Tahoma"/>
                <w:sz w:val="16"/>
                <w:szCs w:val="16"/>
              </w:rPr>
              <w:t>2</w:t>
            </w:r>
          </w:p>
        </w:tc>
        <w:tc>
          <w:tcPr>
            <w:tcW w:w="1791" w:type="dxa"/>
            <w:tcBorders>
              <w:top w:val="nil"/>
              <w:left w:val="nil"/>
              <w:bottom w:val="single" w:color="auto" w:sz="4" w:space="0"/>
              <w:right w:val="single" w:color="auto" w:sz="4" w:space="0"/>
            </w:tcBorders>
            <w:shd w:val="clear" w:color="auto" w:fill="auto"/>
          </w:tcPr>
          <w:p w14:paraId="659ABADE">
            <w:pPr>
              <w:rPr>
                <w:rFonts w:ascii="Tahoma" w:hAnsi="Tahoma" w:cs="Tahoma"/>
                <w:sz w:val="16"/>
                <w:szCs w:val="16"/>
              </w:rPr>
            </w:pPr>
            <w:r>
              <w:rPr>
                <w:rFonts w:ascii="Tahoma" w:hAnsi="Tahoma" w:cs="Tahoma"/>
                <w:sz w:val="16"/>
                <w:szCs w:val="16"/>
              </w:rPr>
              <w:t>CLAREADOR FACIAL</w:t>
            </w:r>
          </w:p>
        </w:tc>
        <w:tc>
          <w:tcPr>
            <w:tcW w:w="3402" w:type="dxa"/>
            <w:tcBorders>
              <w:top w:val="nil"/>
              <w:left w:val="nil"/>
              <w:bottom w:val="single" w:color="auto" w:sz="4" w:space="0"/>
              <w:right w:val="single" w:color="auto" w:sz="4" w:space="0"/>
            </w:tcBorders>
            <w:shd w:val="clear" w:color="auto" w:fill="auto"/>
          </w:tcPr>
          <w:p w14:paraId="7BFFCA1C">
            <w:pPr>
              <w:rPr>
                <w:rFonts w:ascii="Tahoma" w:hAnsi="Tahoma" w:cs="Tahoma"/>
                <w:sz w:val="16"/>
                <w:szCs w:val="16"/>
              </w:rPr>
            </w:pPr>
            <w:r>
              <w:rPr>
                <w:rFonts w:ascii="Tahoma" w:hAnsi="Tahoma" w:cs="Tahoma"/>
                <w:sz w:val="16"/>
                <w:szCs w:val="16"/>
              </w:rPr>
              <w:t>"CLAREADOR FACIAL ISDIN - FOTOULTRA ACTIVE UNIFY FUSION FLUID FPS 99 - 50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26" w:type="dxa"/>
            <w:tcBorders>
              <w:top w:val="nil"/>
              <w:left w:val="nil"/>
              <w:bottom w:val="single" w:color="auto" w:sz="4" w:space="0"/>
              <w:right w:val="single" w:color="auto" w:sz="4" w:space="0"/>
            </w:tcBorders>
            <w:shd w:val="clear" w:color="auto" w:fill="auto"/>
          </w:tcPr>
          <w:p w14:paraId="1EF990DB">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6736DEA0">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3F077B63">
            <w:pPr>
              <w:jc w:val="right"/>
              <w:rPr>
                <w:rFonts w:ascii="Tahoma" w:hAnsi="Tahoma" w:cs="Tahoma"/>
                <w:sz w:val="16"/>
                <w:szCs w:val="16"/>
              </w:rPr>
            </w:pPr>
            <w:r>
              <w:rPr>
                <w:rFonts w:ascii="Tahoma" w:hAnsi="Tahoma" w:cs="Tahoma"/>
                <w:sz w:val="16"/>
                <w:szCs w:val="16"/>
              </w:rPr>
              <w:t>R$ 143,90</w:t>
            </w:r>
          </w:p>
        </w:tc>
        <w:tc>
          <w:tcPr>
            <w:tcW w:w="1276" w:type="dxa"/>
            <w:tcBorders>
              <w:top w:val="nil"/>
              <w:left w:val="nil"/>
              <w:bottom w:val="single" w:color="auto" w:sz="4" w:space="0"/>
              <w:right w:val="single" w:color="auto" w:sz="4" w:space="0"/>
            </w:tcBorders>
            <w:shd w:val="clear" w:color="auto" w:fill="auto"/>
          </w:tcPr>
          <w:p w14:paraId="1D1567F3">
            <w:pPr>
              <w:jc w:val="right"/>
              <w:rPr>
                <w:rFonts w:ascii="Tahoma" w:hAnsi="Tahoma" w:cs="Tahoma"/>
                <w:sz w:val="16"/>
                <w:szCs w:val="16"/>
              </w:rPr>
            </w:pPr>
            <w:r>
              <w:rPr>
                <w:rFonts w:ascii="Tahoma" w:hAnsi="Tahoma" w:cs="Tahoma"/>
                <w:sz w:val="16"/>
                <w:szCs w:val="16"/>
              </w:rPr>
              <w:t>R$ 2.590,20</w:t>
            </w:r>
          </w:p>
        </w:tc>
      </w:tr>
      <w:tr w14:paraId="3A951894">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41DA8947">
            <w:pPr>
              <w:jc w:val="right"/>
              <w:rPr>
                <w:rFonts w:ascii="Tahoma" w:hAnsi="Tahoma" w:cs="Tahoma"/>
                <w:sz w:val="16"/>
                <w:szCs w:val="16"/>
              </w:rPr>
            </w:pPr>
            <w:r>
              <w:rPr>
                <w:rFonts w:ascii="Tahoma" w:hAnsi="Tahoma" w:cs="Tahoma"/>
                <w:sz w:val="16"/>
                <w:szCs w:val="16"/>
              </w:rPr>
              <w:t>3</w:t>
            </w:r>
          </w:p>
        </w:tc>
        <w:tc>
          <w:tcPr>
            <w:tcW w:w="1791" w:type="dxa"/>
            <w:tcBorders>
              <w:top w:val="nil"/>
              <w:left w:val="nil"/>
              <w:bottom w:val="single" w:color="auto" w:sz="4" w:space="0"/>
              <w:right w:val="single" w:color="auto" w:sz="4" w:space="0"/>
            </w:tcBorders>
            <w:shd w:val="clear" w:color="auto" w:fill="auto"/>
          </w:tcPr>
          <w:p w14:paraId="77D13E5C">
            <w:pPr>
              <w:rPr>
                <w:rFonts w:ascii="Tahoma" w:hAnsi="Tahoma" w:cs="Tahoma"/>
                <w:sz w:val="16"/>
                <w:szCs w:val="16"/>
              </w:rPr>
            </w:pPr>
            <w:r>
              <w:rPr>
                <w:rFonts w:ascii="Tahoma" w:hAnsi="Tahoma" w:cs="Tahoma"/>
                <w:sz w:val="16"/>
                <w:szCs w:val="16"/>
              </w:rPr>
              <w:t>DIPROPIONATO DE BETAMETASONA 0,64 MG/G</w:t>
            </w:r>
          </w:p>
        </w:tc>
        <w:tc>
          <w:tcPr>
            <w:tcW w:w="3402" w:type="dxa"/>
            <w:tcBorders>
              <w:top w:val="nil"/>
              <w:left w:val="nil"/>
              <w:bottom w:val="single" w:color="auto" w:sz="4" w:space="0"/>
              <w:right w:val="single" w:color="auto" w:sz="4" w:space="0"/>
            </w:tcBorders>
            <w:shd w:val="clear" w:color="auto" w:fill="auto"/>
          </w:tcPr>
          <w:p w14:paraId="315239E5">
            <w:pPr>
              <w:rPr>
                <w:rFonts w:ascii="Tahoma" w:hAnsi="Tahoma" w:cs="Tahoma"/>
                <w:sz w:val="16"/>
                <w:szCs w:val="16"/>
              </w:rPr>
            </w:pPr>
            <w:r>
              <w:rPr>
                <w:rFonts w:ascii="Tahoma" w:hAnsi="Tahoma" w:cs="Tahoma"/>
                <w:sz w:val="16"/>
                <w:szCs w:val="16"/>
              </w:rPr>
              <w:t>"DIPROSONE DIPROPIONATO DE BETAMETASONA 0,64 MG/G - SUSPENSÃO DE USO DERMATOLÓGICO - 30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26" w:type="dxa"/>
            <w:tcBorders>
              <w:top w:val="nil"/>
              <w:left w:val="nil"/>
              <w:bottom w:val="single" w:color="auto" w:sz="4" w:space="0"/>
              <w:right w:val="single" w:color="auto" w:sz="4" w:space="0"/>
            </w:tcBorders>
            <w:shd w:val="clear" w:color="auto" w:fill="auto"/>
          </w:tcPr>
          <w:p w14:paraId="3A83E460">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70DD1D13">
            <w:pPr>
              <w:jc w:val="right"/>
              <w:rPr>
                <w:rFonts w:ascii="Tahoma" w:hAnsi="Tahoma" w:cs="Tahoma"/>
                <w:sz w:val="16"/>
                <w:szCs w:val="16"/>
              </w:rPr>
            </w:pPr>
            <w:r>
              <w:rPr>
                <w:rFonts w:ascii="Tahoma" w:hAnsi="Tahoma" w:cs="Tahoma"/>
                <w:sz w:val="16"/>
                <w:szCs w:val="16"/>
              </w:rPr>
              <w:t>25</w:t>
            </w:r>
          </w:p>
        </w:tc>
        <w:tc>
          <w:tcPr>
            <w:tcW w:w="1134" w:type="dxa"/>
            <w:tcBorders>
              <w:top w:val="nil"/>
              <w:left w:val="nil"/>
              <w:bottom w:val="single" w:color="auto" w:sz="4" w:space="0"/>
              <w:right w:val="single" w:color="auto" w:sz="4" w:space="0"/>
            </w:tcBorders>
            <w:shd w:val="clear" w:color="auto" w:fill="auto"/>
          </w:tcPr>
          <w:p w14:paraId="6DB158D0">
            <w:pPr>
              <w:jc w:val="right"/>
              <w:rPr>
                <w:rFonts w:ascii="Tahoma" w:hAnsi="Tahoma" w:cs="Tahoma"/>
                <w:sz w:val="16"/>
                <w:szCs w:val="16"/>
              </w:rPr>
            </w:pPr>
            <w:r>
              <w:rPr>
                <w:rFonts w:ascii="Tahoma" w:hAnsi="Tahoma" w:cs="Tahoma"/>
                <w:sz w:val="16"/>
                <w:szCs w:val="16"/>
              </w:rPr>
              <w:t>R$ 49,19</w:t>
            </w:r>
          </w:p>
        </w:tc>
        <w:tc>
          <w:tcPr>
            <w:tcW w:w="1276" w:type="dxa"/>
            <w:tcBorders>
              <w:top w:val="nil"/>
              <w:left w:val="nil"/>
              <w:bottom w:val="single" w:color="auto" w:sz="4" w:space="0"/>
              <w:right w:val="single" w:color="auto" w:sz="4" w:space="0"/>
            </w:tcBorders>
            <w:shd w:val="clear" w:color="auto" w:fill="auto"/>
          </w:tcPr>
          <w:p w14:paraId="47A90797">
            <w:pPr>
              <w:jc w:val="right"/>
              <w:rPr>
                <w:rFonts w:ascii="Tahoma" w:hAnsi="Tahoma" w:cs="Tahoma"/>
                <w:sz w:val="16"/>
                <w:szCs w:val="16"/>
              </w:rPr>
            </w:pPr>
            <w:r>
              <w:rPr>
                <w:rFonts w:ascii="Tahoma" w:hAnsi="Tahoma" w:cs="Tahoma"/>
                <w:sz w:val="16"/>
                <w:szCs w:val="16"/>
              </w:rPr>
              <w:t>R$ 1.229,75</w:t>
            </w:r>
          </w:p>
        </w:tc>
      </w:tr>
      <w:tr w14:paraId="06E5BE6D">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04DCAEC0">
            <w:pPr>
              <w:jc w:val="right"/>
              <w:rPr>
                <w:rFonts w:ascii="Tahoma" w:hAnsi="Tahoma" w:cs="Tahoma"/>
                <w:sz w:val="16"/>
                <w:szCs w:val="16"/>
              </w:rPr>
            </w:pPr>
            <w:r>
              <w:rPr>
                <w:rFonts w:ascii="Tahoma" w:hAnsi="Tahoma" w:cs="Tahoma"/>
                <w:sz w:val="16"/>
                <w:szCs w:val="16"/>
              </w:rPr>
              <w:t>4</w:t>
            </w:r>
          </w:p>
        </w:tc>
        <w:tc>
          <w:tcPr>
            <w:tcW w:w="1791" w:type="dxa"/>
            <w:tcBorders>
              <w:top w:val="nil"/>
              <w:left w:val="nil"/>
              <w:bottom w:val="single" w:color="auto" w:sz="4" w:space="0"/>
              <w:right w:val="single" w:color="auto" w:sz="4" w:space="0"/>
            </w:tcBorders>
            <w:shd w:val="clear" w:color="auto" w:fill="auto"/>
          </w:tcPr>
          <w:p w14:paraId="2128AC15">
            <w:pPr>
              <w:rPr>
                <w:rFonts w:ascii="Tahoma" w:hAnsi="Tahoma" w:cs="Tahoma"/>
                <w:sz w:val="16"/>
                <w:szCs w:val="16"/>
              </w:rPr>
            </w:pPr>
            <w:r>
              <w:rPr>
                <w:rFonts w:ascii="Tahoma" w:hAnsi="Tahoma" w:cs="Tahoma"/>
                <w:sz w:val="16"/>
                <w:szCs w:val="16"/>
              </w:rPr>
              <w:t>LOÇÃO HIDRATANTE HIPOALERGÊNICA HYDRAPORIN - FRASCO 450 G</w:t>
            </w:r>
          </w:p>
        </w:tc>
        <w:tc>
          <w:tcPr>
            <w:tcW w:w="3402" w:type="dxa"/>
            <w:tcBorders>
              <w:top w:val="nil"/>
              <w:left w:val="nil"/>
              <w:bottom w:val="single" w:color="auto" w:sz="4" w:space="0"/>
              <w:right w:val="single" w:color="auto" w:sz="4" w:space="0"/>
            </w:tcBorders>
            <w:shd w:val="clear" w:color="auto" w:fill="auto"/>
          </w:tcPr>
          <w:p w14:paraId="305E5B2D">
            <w:pPr>
              <w:rPr>
                <w:rFonts w:ascii="Tahoma" w:hAnsi="Tahoma" w:cs="Tahoma"/>
                <w:sz w:val="16"/>
                <w:szCs w:val="16"/>
              </w:rPr>
            </w:pPr>
            <w:r>
              <w:rPr>
                <w:rFonts w:ascii="Tahoma" w:hAnsi="Tahoma" w:cs="Tahoma"/>
                <w:sz w:val="16"/>
                <w:szCs w:val="16"/>
              </w:rPr>
              <w:t>"HYDRAPORIN AI LOÇÃO HIDRATANTE 450 G</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1000403-72.2018.8.26.0534"</w:t>
            </w:r>
          </w:p>
        </w:tc>
        <w:tc>
          <w:tcPr>
            <w:tcW w:w="426" w:type="dxa"/>
            <w:tcBorders>
              <w:top w:val="nil"/>
              <w:left w:val="nil"/>
              <w:bottom w:val="single" w:color="auto" w:sz="4" w:space="0"/>
              <w:right w:val="single" w:color="auto" w:sz="4" w:space="0"/>
            </w:tcBorders>
            <w:shd w:val="clear" w:color="auto" w:fill="auto"/>
          </w:tcPr>
          <w:p w14:paraId="2EDC9402">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5F26CF37">
            <w:pPr>
              <w:jc w:val="right"/>
              <w:rPr>
                <w:rFonts w:ascii="Tahoma" w:hAnsi="Tahoma" w:cs="Tahoma"/>
                <w:sz w:val="16"/>
                <w:szCs w:val="16"/>
              </w:rPr>
            </w:pPr>
            <w:r>
              <w:rPr>
                <w:rFonts w:ascii="Tahoma" w:hAnsi="Tahoma" w:cs="Tahoma"/>
                <w:sz w:val="16"/>
                <w:szCs w:val="16"/>
              </w:rPr>
              <w:t>36</w:t>
            </w:r>
          </w:p>
        </w:tc>
        <w:tc>
          <w:tcPr>
            <w:tcW w:w="1134" w:type="dxa"/>
            <w:tcBorders>
              <w:top w:val="nil"/>
              <w:left w:val="nil"/>
              <w:bottom w:val="single" w:color="auto" w:sz="4" w:space="0"/>
              <w:right w:val="single" w:color="auto" w:sz="4" w:space="0"/>
            </w:tcBorders>
            <w:shd w:val="clear" w:color="auto" w:fill="auto"/>
          </w:tcPr>
          <w:p w14:paraId="6EE85D8D">
            <w:pPr>
              <w:jc w:val="right"/>
              <w:rPr>
                <w:rFonts w:ascii="Tahoma" w:hAnsi="Tahoma" w:cs="Tahoma"/>
                <w:sz w:val="16"/>
                <w:szCs w:val="16"/>
              </w:rPr>
            </w:pPr>
            <w:r>
              <w:rPr>
                <w:rFonts w:ascii="Tahoma" w:hAnsi="Tahoma" w:cs="Tahoma"/>
                <w:sz w:val="16"/>
                <w:szCs w:val="16"/>
              </w:rPr>
              <w:t>R$ 179,90</w:t>
            </w:r>
          </w:p>
        </w:tc>
        <w:tc>
          <w:tcPr>
            <w:tcW w:w="1276" w:type="dxa"/>
            <w:tcBorders>
              <w:top w:val="nil"/>
              <w:left w:val="nil"/>
              <w:bottom w:val="single" w:color="auto" w:sz="4" w:space="0"/>
              <w:right w:val="single" w:color="auto" w:sz="4" w:space="0"/>
            </w:tcBorders>
            <w:shd w:val="clear" w:color="auto" w:fill="auto"/>
          </w:tcPr>
          <w:p w14:paraId="6359CBA1">
            <w:pPr>
              <w:jc w:val="right"/>
              <w:rPr>
                <w:rFonts w:ascii="Tahoma" w:hAnsi="Tahoma" w:cs="Tahoma"/>
                <w:sz w:val="16"/>
                <w:szCs w:val="16"/>
              </w:rPr>
            </w:pPr>
            <w:r>
              <w:rPr>
                <w:rFonts w:ascii="Tahoma" w:hAnsi="Tahoma" w:cs="Tahoma"/>
                <w:sz w:val="16"/>
                <w:szCs w:val="16"/>
              </w:rPr>
              <w:t>R$ 6.476,40</w:t>
            </w:r>
          </w:p>
        </w:tc>
      </w:tr>
      <w:tr w14:paraId="6A3538F0">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36C71465">
            <w:pPr>
              <w:jc w:val="right"/>
              <w:rPr>
                <w:rFonts w:ascii="Tahoma" w:hAnsi="Tahoma" w:cs="Tahoma"/>
                <w:sz w:val="16"/>
                <w:szCs w:val="16"/>
              </w:rPr>
            </w:pPr>
            <w:r>
              <w:rPr>
                <w:rFonts w:ascii="Tahoma" w:hAnsi="Tahoma" w:cs="Tahoma"/>
                <w:sz w:val="16"/>
                <w:szCs w:val="16"/>
              </w:rPr>
              <w:t>5</w:t>
            </w:r>
          </w:p>
        </w:tc>
        <w:tc>
          <w:tcPr>
            <w:tcW w:w="1791" w:type="dxa"/>
            <w:tcBorders>
              <w:top w:val="nil"/>
              <w:left w:val="nil"/>
              <w:bottom w:val="single" w:color="auto" w:sz="4" w:space="0"/>
              <w:right w:val="single" w:color="auto" w:sz="4" w:space="0"/>
            </w:tcBorders>
            <w:shd w:val="clear" w:color="auto" w:fill="auto"/>
          </w:tcPr>
          <w:p w14:paraId="61E436D9">
            <w:pPr>
              <w:rPr>
                <w:rFonts w:ascii="Tahoma" w:hAnsi="Tahoma" w:cs="Tahoma"/>
                <w:sz w:val="16"/>
                <w:szCs w:val="16"/>
              </w:rPr>
            </w:pPr>
            <w:r>
              <w:rPr>
                <w:rFonts w:ascii="Tahoma" w:hAnsi="Tahoma" w:cs="Tahoma"/>
                <w:sz w:val="16"/>
                <w:szCs w:val="16"/>
              </w:rPr>
              <w:t>LOÇÃO HIDRATANTE HIPOALERGÊNICA HYDRAPORIN - FRASCO 450 G</w:t>
            </w:r>
          </w:p>
          <w:p w14:paraId="5DBE0950">
            <w:pPr>
              <w:rPr>
                <w:rFonts w:ascii="Tahoma" w:hAnsi="Tahoma" w:cs="Tahoma"/>
                <w:sz w:val="16"/>
                <w:szCs w:val="16"/>
              </w:rPr>
            </w:pPr>
          </w:p>
          <w:p w14:paraId="0E663465">
            <w:pPr>
              <w:jc w:val="center"/>
              <w:rPr>
                <w:rFonts w:ascii="Tahoma" w:hAnsi="Tahoma" w:cs="Tahoma"/>
                <w:b/>
                <w:bCs/>
                <w:sz w:val="16"/>
                <w:szCs w:val="16"/>
              </w:rPr>
            </w:pPr>
            <w:r>
              <w:rPr>
                <w:rFonts w:ascii="Tahoma" w:hAnsi="Tahoma" w:cs="Tahoma"/>
                <w:b/>
                <w:bCs/>
                <w:sz w:val="16"/>
                <w:szCs w:val="16"/>
                <w:highlight w:val="yellow"/>
              </w:rPr>
              <w:t>COTA RESERVADA PARA EMPRESAS ME/EPP</w:t>
            </w:r>
          </w:p>
        </w:tc>
        <w:tc>
          <w:tcPr>
            <w:tcW w:w="3402" w:type="dxa"/>
            <w:tcBorders>
              <w:top w:val="nil"/>
              <w:left w:val="nil"/>
              <w:bottom w:val="single" w:color="auto" w:sz="4" w:space="0"/>
              <w:right w:val="single" w:color="auto" w:sz="4" w:space="0"/>
            </w:tcBorders>
            <w:shd w:val="clear" w:color="auto" w:fill="auto"/>
          </w:tcPr>
          <w:p w14:paraId="01F4C808">
            <w:pPr>
              <w:rPr>
                <w:rFonts w:ascii="Tahoma" w:hAnsi="Tahoma" w:cs="Tahoma"/>
                <w:sz w:val="16"/>
                <w:szCs w:val="16"/>
              </w:rPr>
            </w:pPr>
            <w:r>
              <w:rPr>
                <w:rFonts w:ascii="Tahoma" w:hAnsi="Tahoma" w:cs="Tahoma"/>
                <w:sz w:val="16"/>
                <w:szCs w:val="16"/>
              </w:rPr>
              <w:t>"HYDRAPORIN AI LOÇÃO HIDRATANTE 450 G</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1000403-72.2018.8.26.0534"</w:t>
            </w:r>
          </w:p>
        </w:tc>
        <w:tc>
          <w:tcPr>
            <w:tcW w:w="426" w:type="dxa"/>
            <w:tcBorders>
              <w:top w:val="nil"/>
              <w:left w:val="nil"/>
              <w:bottom w:val="single" w:color="auto" w:sz="4" w:space="0"/>
              <w:right w:val="single" w:color="auto" w:sz="4" w:space="0"/>
            </w:tcBorders>
            <w:shd w:val="clear" w:color="auto" w:fill="auto"/>
          </w:tcPr>
          <w:p w14:paraId="26AA9D5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7A63FD68">
            <w:pPr>
              <w:jc w:val="right"/>
              <w:rPr>
                <w:rFonts w:ascii="Tahoma" w:hAnsi="Tahoma" w:cs="Tahoma"/>
                <w:sz w:val="16"/>
                <w:szCs w:val="16"/>
              </w:rPr>
            </w:pPr>
            <w:r>
              <w:rPr>
                <w:rFonts w:ascii="Tahoma" w:hAnsi="Tahoma" w:cs="Tahoma"/>
                <w:sz w:val="16"/>
                <w:szCs w:val="16"/>
              </w:rPr>
              <w:t>4</w:t>
            </w:r>
          </w:p>
        </w:tc>
        <w:tc>
          <w:tcPr>
            <w:tcW w:w="1134" w:type="dxa"/>
            <w:tcBorders>
              <w:top w:val="nil"/>
              <w:left w:val="nil"/>
              <w:bottom w:val="single" w:color="auto" w:sz="4" w:space="0"/>
              <w:right w:val="single" w:color="auto" w:sz="4" w:space="0"/>
            </w:tcBorders>
            <w:shd w:val="clear" w:color="auto" w:fill="auto"/>
          </w:tcPr>
          <w:p w14:paraId="68FD82F4">
            <w:pPr>
              <w:jc w:val="right"/>
              <w:rPr>
                <w:rFonts w:ascii="Tahoma" w:hAnsi="Tahoma" w:cs="Tahoma"/>
                <w:sz w:val="16"/>
                <w:szCs w:val="16"/>
              </w:rPr>
            </w:pPr>
            <w:r>
              <w:rPr>
                <w:rFonts w:ascii="Tahoma" w:hAnsi="Tahoma" w:cs="Tahoma"/>
                <w:sz w:val="16"/>
                <w:szCs w:val="16"/>
              </w:rPr>
              <w:t>R$ 179,90</w:t>
            </w:r>
          </w:p>
        </w:tc>
        <w:tc>
          <w:tcPr>
            <w:tcW w:w="1276" w:type="dxa"/>
            <w:tcBorders>
              <w:top w:val="nil"/>
              <w:left w:val="nil"/>
              <w:bottom w:val="single" w:color="auto" w:sz="4" w:space="0"/>
              <w:right w:val="single" w:color="auto" w:sz="4" w:space="0"/>
            </w:tcBorders>
            <w:shd w:val="clear" w:color="auto" w:fill="auto"/>
          </w:tcPr>
          <w:p w14:paraId="6095B45D">
            <w:pPr>
              <w:jc w:val="right"/>
              <w:rPr>
                <w:rFonts w:ascii="Tahoma" w:hAnsi="Tahoma" w:cs="Tahoma"/>
                <w:sz w:val="16"/>
                <w:szCs w:val="16"/>
              </w:rPr>
            </w:pPr>
            <w:r>
              <w:rPr>
                <w:rFonts w:ascii="Tahoma" w:hAnsi="Tahoma" w:cs="Tahoma"/>
                <w:sz w:val="16"/>
                <w:szCs w:val="16"/>
              </w:rPr>
              <w:t>R$ 719,60</w:t>
            </w:r>
          </w:p>
        </w:tc>
      </w:tr>
      <w:tr w14:paraId="71D7FDF4">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16D63145">
            <w:pPr>
              <w:jc w:val="right"/>
              <w:rPr>
                <w:rFonts w:ascii="Tahoma" w:hAnsi="Tahoma" w:cs="Tahoma"/>
                <w:sz w:val="16"/>
                <w:szCs w:val="16"/>
              </w:rPr>
            </w:pPr>
            <w:r>
              <w:rPr>
                <w:rFonts w:ascii="Tahoma" w:hAnsi="Tahoma" w:cs="Tahoma"/>
                <w:sz w:val="16"/>
                <w:szCs w:val="16"/>
              </w:rPr>
              <w:t>6</w:t>
            </w:r>
          </w:p>
        </w:tc>
        <w:tc>
          <w:tcPr>
            <w:tcW w:w="1791" w:type="dxa"/>
            <w:tcBorders>
              <w:top w:val="nil"/>
              <w:left w:val="nil"/>
              <w:bottom w:val="single" w:color="auto" w:sz="4" w:space="0"/>
              <w:right w:val="single" w:color="auto" w:sz="4" w:space="0"/>
            </w:tcBorders>
            <w:shd w:val="clear" w:color="auto" w:fill="auto"/>
          </w:tcPr>
          <w:p w14:paraId="322CF4FD">
            <w:pPr>
              <w:rPr>
                <w:rFonts w:ascii="Tahoma" w:hAnsi="Tahoma" w:cs="Tahoma"/>
                <w:sz w:val="16"/>
                <w:szCs w:val="16"/>
              </w:rPr>
            </w:pPr>
            <w:r>
              <w:rPr>
                <w:rFonts w:ascii="Tahoma" w:hAnsi="Tahoma" w:cs="Tahoma"/>
                <w:sz w:val="16"/>
                <w:szCs w:val="16"/>
              </w:rPr>
              <w:t>ANTHELIUS XL FPS 70</w:t>
            </w:r>
          </w:p>
        </w:tc>
        <w:tc>
          <w:tcPr>
            <w:tcW w:w="3402" w:type="dxa"/>
            <w:tcBorders>
              <w:top w:val="nil"/>
              <w:left w:val="nil"/>
              <w:bottom w:val="single" w:color="auto" w:sz="4" w:space="0"/>
              <w:right w:val="single" w:color="auto" w:sz="4" w:space="0"/>
            </w:tcBorders>
            <w:shd w:val="clear" w:color="auto" w:fill="auto"/>
          </w:tcPr>
          <w:p w14:paraId="01BF6E59">
            <w:pPr>
              <w:rPr>
                <w:rFonts w:ascii="Tahoma" w:hAnsi="Tahoma" w:cs="Tahoma"/>
                <w:sz w:val="16"/>
                <w:szCs w:val="16"/>
              </w:rPr>
            </w:pPr>
            <w:r>
              <w:rPr>
                <w:rFonts w:ascii="Tahoma" w:hAnsi="Tahoma" w:cs="Tahoma"/>
                <w:sz w:val="16"/>
                <w:szCs w:val="16"/>
              </w:rPr>
              <w:t>"ANTHELIOS XL FPS 70 LA ROCHE POSAY - PROTETOR SOLAR - 200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26" w:type="dxa"/>
            <w:tcBorders>
              <w:top w:val="nil"/>
              <w:left w:val="nil"/>
              <w:bottom w:val="single" w:color="auto" w:sz="4" w:space="0"/>
              <w:right w:val="single" w:color="auto" w:sz="4" w:space="0"/>
            </w:tcBorders>
            <w:shd w:val="clear" w:color="auto" w:fill="auto"/>
          </w:tcPr>
          <w:p w14:paraId="27F8F70B">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52A2902">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0D73EB33">
            <w:pPr>
              <w:jc w:val="right"/>
              <w:rPr>
                <w:rFonts w:ascii="Tahoma" w:hAnsi="Tahoma" w:cs="Tahoma"/>
                <w:sz w:val="16"/>
                <w:szCs w:val="16"/>
              </w:rPr>
            </w:pPr>
            <w:r>
              <w:rPr>
                <w:rFonts w:ascii="Tahoma" w:hAnsi="Tahoma" w:cs="Tahoma"/>
                <w:sz w:val="16"/>
                <w:szCs w:val="16"/>
              </w:rPr>
              <w:t>R$ 139,90</w:t>
            </w:r>
          </w:p>
        </w:tc>
        <w:tc>
          <w:tcPr>
            <w:tcW w:w="1276" w:type="dxa"/>
            <w:tcBorders>
              <w:top w:val="nil"/>
              <w:left w:val="nil"/>
              <w:bottom w:val="single" w:color="auto" w:sz="4" w:space="0"/>
              <w:right w:val="single" w:color="auto" w:sz="4" w:space="0"/>
            </w:tcBorders>
            <w:shd w:val="clear" w:color="auto" w:fill="auto"/>
          </w:tcPr>
          <w:p w14:paraId="3312C338">
            <w:pPr>
              <w:jc w:val="right"/>
              <w:rPr>
                <w:rFonts w:ascii="Tahoma" w:hAnsi="Tahoma" w:cs="Tahoma"/>
                <w:sz w:val="16"/>
                <w:szCs w:val="16"/>
              </w:rPr>
            </w:pPr>
            <w:r>
              <w:rPr>
                <w:rFonts w:ascii="Tahoma" w:hAnsi="Tahoma" w:cs="Tahoma"/>
                <w:sz w:val="16"/>
                <w:szCs w:val="16"/>
              </w:rPr>
              <w:t>R$ 2.518,20</w:t>
            </w:r>
          </w:p>
        </w:tc>
      </w:tr>
      <w:tr w14:paraId="73EA2864">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063665D7">
            <w:pPr>
              <w:jc w:val="right"/>
              <w:rPr>
                <w:rFonts w:ascii="Tahoma" w:hAnsi="Tahoma" w:cs="Tahoma"/>
                <w:sz w:val="16"/>
                <w:szCs w:val="16"/>
              </w:rPr>
            </w:pPr>
            <w:r>
              <w:rPr>
                <w:rFonts w:ascii="Tahoma" w:hAnsi="Tahoma" w:cs="Tahoma"/>
                <w:sz w:val="16"/>
                <w:szCs w:val="16"/>
              </w:rPr>
              <w:t>7</w:t>
            </w:r>
          </w:p>
        </w:tc>
        <w:tc>
          <w:tcPr>
            <w:tcW w:w="1791" w:type="dxa"/>
            <w:tcBorders>
              <w:top w:val="nil"/>
              <w:left w:val="nil"/>
              <w:bottom w:val="single" w:color="auto" w:sz="4" w:space="0"/>
              <w:right w:val="single" w:color="auto" w:sz="4" w:space="0"/>
            </w:tcBorders>
            <w:shd w:val="clear" w:color="auto" w:fill="auto"/>
          </w:tcPr>
          <w:p w14:paraId="6FEDA7AB">
            <w:pPr>
              <w:rPr>
                <w:rFonts w:ascii="Tahoma" w:hAnsi="Tahoma" w:cs="Tahoma"/>
                <w:sz w:val="16"/>
                <w:szCs w:val="16"/>
              </w:rPr>
            </w:pPr>
            <w:r>
              <w:rPr>
                <w:rFonts w:ascii="Tahoma" w:hAnsi="Tahoma" w:cs="Tahoma"/>
                <w:sz w:val="16"/>
                <w:szCs w:val="16"/>
              </w:rPr>
              <w:t>SABONETE LIQUIDO CETAPHIL</w:t>
            </w:r>
          </w:p>
        </w:tc>
        <w:tc>
          <w:tcPr>
            <w:tcW w:w="3402" w:type="dxa"/>
            <w:tcBorders>
              <w:top w:val="nil"/>
              <w:left w:val="nil"/>
              <w:bottom w:val="single" w:color="auto" w:sz="4" w:space="0"/>
              <w:right w:val="single" w:color="auto" w:sz="4" w:space="0"/>
            </w:tcBorders>
            <w:shd w:val="clear" w:color="auto" w:fill="auto"/>
          </w:tcPr>
          <w:p w14:paraId="0B463EAA">
            <w:pPr>
              <w:rPr>
                <w:rFonts w:ascii="Tahoma" w:hAnsi="Tahoma" w:cs="Tahoma"/>
                <w:sz w:val="16"/>
                <w:szCs w:val="16"/>
              </w:rPr>
            </w:pPr>
            <w:r>
              <w:rPr>
                <w:rFonts w:ascii="Tahoma" w:hAnsi="Tahoma" w:cs="Tahoma"/>
                <w:sz w:val="16"/>
                <w:szCs w:val="16"/>
              </w:rPr>
              <w:t>"CETAPHIL PRO AD CONTROL RESTORADERM SABONETE LÍQUIDO 295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0000598-74.2018.8.26.0534"</w:t>
            </w:r>
          </w:p>
        </w:tc>
        <w:tc>
          <w:tcPr>
            <w:tcW w:w="426" w:type="dxa"/>
            <w:tcBorders>
              <w:top w:val="nil"/>
              <w:left w:val="nil"/>
              <w:bottom w:val="single" w:color="auto" w:sz="4" w:space="0"/>
              <w:right w:val="single" w:color="auto" w:sz="4" w:space="0"/>
            </w:tcBorders>
            <w:shd w:val="clear" w:color="auto" w:fill="auto"/>
          </w:tcPr>
          <w:p w14:paraId="20DEB6D5">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B18D043">
            <w:pPr>
              <w:jc w:val="right"/>
              <w:rPr>
                <w:rFonts w:ascii="Tahoma" w:hAnsi="Tahoma" w:cs="Tahoma"/>
                <w:sz w:val="16"/>
                <w:szCs w:val="16"/>
              </w:rPr>
            </w:pPr>
            <w:r>
              <w:rPr>
                <w:rFonts w:ascii="Tahoma" w:hAnsi="Tahoma" w:cs="Tahoma"/>
                <w:sz w:val="16"/>
                <w:szCs w:val="16"/>
              </w:rPr>
              <w:t>36</w:t>
            </w:r>
          </w:p>
        </w:tc>
        <w:tc>
          <w:tcPr>
            <w:tcW w:w="1134" w:type="dxa"/>
            <w:tcBorders>
              <w:top w:val="nil"/>
              <w:left w:val="nil"/>
              <w:bottom w:val="single" w:color="auto" w:sz="4" w:space="0"/>
              <w:right w:val="single" w:color="auto" w:sz="4" w:space="0"/>
            </w:tcBorders>
            <w:shd w:val="clear" w:color="auto" w:fill="auto"/>
          </w:tcPr>
          <w:p w14:paraId="21FA6DBD">
            <w:pPr>
              <w:jc w:val="right"/>
              <w:rPr>
                <w:rFonts w:ascii="Tahoma" w:hAnsi="Tahoma" w:cs="Tahoma"/>
                <w:sz w:val="16"/>
                <w:szCs w:val="16"/>
              </w:rPr>
            </w:pPr>
            <w:r>
              <w:rPr>
                <w:rFonts w:ascii="Tahoma" w:hAnsi="Tahoma" w:cs="Tahoma"/>
                <w:sz w:val="16"/>
                <w:szCs w:val="16"/>
              </w:rPr>
              <w:t>R$ 87,49</w:t>
            </w:r>
          </w:p>
        </w:tc>
        <w:tc>
          <w:tcPr>
            <w:tcW w:w="1276" w:type="dxa"/>
            <w:tcBorders>
              <w:top w:val="nil"/>
              <w:left w:val="nil"/>
              <w:bottom w:val="single" w:color="auto" w:sz="4" w:space="0"/>
              <w:right w:val="single" w:color="auto" w:sz="4" w:space="0"/>
            </w:tcBorders>
            <w:shd w:val="clear" w:color="auto" w:fill="auto"/>
          </w:tcPr>
          <w:p w14:paraId="1F50A582">
            <w:pPr>
              <w:jc w:val="right"/>
              <w:rPr>
                <w:rFonts w:ascii="Tahoma" w:hAnsi="Tahoma" w:cs="Tahoma"/>
                <w:sz w:val="16"/>
                <w:szCs w:val="16"/>
              </w:rPr>
            </w:pPr>
            <w:r>
              <w:rPr>
                <w:rFonts w:ascii="Tahoma" w:hAnsi="Tahoma" w:cs="Tahoma"/>
                <w:sz w:val="16"/>
                <w:szCs w:val="16"/>
              </w:rPr>
              <w:t>R$ 3.149,64</w:t>
            </w:r>
          </w:p>
        </w:tc>
      </w:tr>
      <w:tr w14:paraId="7CB6F0D6">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791C7F0F">
            <w:pPr>
              <w:jc w:val="right"/>
              <w:rPr>
                <w:rFonts w:ascii="Tahoma" w:hAnsi="Tahoma" w:cs="Tahoma"/>
                <w:sz w:val="16"/>
                <w:szCs w:val="16"/>
              </w:rPr>
            </w:pPr>
            <w:r>
              <w:rPr>
                <w:rFonts w:ascii="Tahoma" w:hAnsi="Tahoma" w:cs="Tahoma"/>
                <w:sz w:val="16"/>
                <w:szCs w:val="16"/>
              </w:rPr>
              <w:t>8</w:t>
            </w:r>
          </w:p>
        </w:tc>
        <w:tc>
          <w:tcPr>
            <w:tcW w:w="1791" w:type="dxa"/>
            <w:tcBorders>
              <w:top w:val="nil"/>
              <w:left w:val="nil"/>
              <w:bottom w:val="single" w:color="auto" w:sz="4" w:space="0"/>
              <w:right w:val="single" w:color="auto" w:sz="4" w:space="0"/>
            </w:tcBorders>
            <w:shd w:val="clear" w:color="auto" w:fill="auto"/>
          </w:tcPr>
          <w:p w14:paraId="1FE4598D">
            <w:pPr>
              <w:rPr>
                <w:rFonts w:ascii="Tahoma" w:hAnsi="Tahoma" w:cs="Tahoma"/>
                <w:sz w:val="16"/>
                <w:szCs w:val="16"/>
              </w:rPr>
            </w:pPr>
            <w:r>
              <w:rPr>
                <w:rFonts w:ascii="Tahoma" w:hAnsi="Tahoma" w:cs="Tahoma"/>
                <w:sz w:val="16"/>
                <w:szCs w:val="16"/>
              </w:rPr>
              <w:t>SABONETE LIQUIDO CETAPHIL</w:t>
            </w:r>
          </w:p>
          <w:p w14:paraId="0632C3D0">
            <w:pPr>
              <w:rPr>
                <w:rFonts w:ascii="Tahoma" w:hAnsi="Tahoma" w:cs="Tahoma"/>
                <w:sz w:val="16"/>
                <w:szCs w:val="16"/>
              </w:rPr>
            </w:pPr>
          </w:p>
          <w:p w14:paraId="554350AB">
            <w:pPr>
              <w:jc w:val="center"/>
              <w:rPr>
                <w:rFonts w:ascii="Tahoma" w:hAnsi="Tahoma" w:cs="Tahoma"/>
                <w:sz w:val="16"/>
                <w:szCs w:val="16"/>
              </w:rPr>
            </w:pPr>
            <w:r>
              <w:rPr>
                <w:rFonts w:ascii="Tahoma" w:hAnsi="Tahoma" w:cs="Tahoma"/>
                <w:b/>
                <w:bCs/>
                <w:sz w:val="16"/>
                <w:szCs w:val="16"/>
                <w:highlight w:val="yellow"/>
              </w:rPr>
              <w:t>COTA RESERVADA PARA EMPRESAS ME/EPP</w:t>
            </w:r>
          </w:p>
        </w:tc>
        <w:tc>
          <w:tcPr>
            <w:tcW w:w="3402" w:type="dxa"/>
            <w:tcBorders>
              <w:top w:val="nil"/>
              <w:left w:val="nil"/>
              <w:bottom w:val="single" w:color="auto" w:sz="4" w:space="0"/>
              <w:right w:val="single" w:color="auto" w:sz="4" w:space="0"/>
            </w:tcBorders>
            <w:shd w:val="clear" w:color="auto" w:fill="auto"/>
          </w:tcPr>
          <w:p w14:paraId="127A9175">
            <w:pPr>
              <w:rPr>
                <w:rFonts w:ascii="Tahoma" w:hAnsi="Tahoma" w:cs="Tahoma"/>
                <w:sz w:val="16"/>
                <w:szCs w:val="16"/>
              </w:rPr>
            </w:pPr>
            <w:r>
              <w:rPr>
                <w:rFonts w:ascii="Tahoma" w:hAnsi="Tahoma" w:cs="Tahoma"/>
                <w:sz w:val="16"/>
                <w:szCs w:val="16"/>
              </w:rPr>
              <w:t>"CETAPHIL PRO AD CONTROL RESTORADERM SABONETE LÍQUIDO 295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0000598-74.2018.8.26.0534"</w:t>
            </w:r>
          </w:p>
        </w:tc>
        <w:tc>
          <w:tcPr>
            <w:tcW w:w="426" w:type="dxa"/>
            <w:tcBorders>
              <w:top w:val="nil"/>
              <w:left w:val="nil"/>
              <w:bottom w:val="single" w:color="auto" w:sz="4" w:space="0"/>
              <w:right w:val="single" w:color="auto" w:sz="4" w:space="0"/>
            </w:tcBorders>
            <w:shd w:val="clear" w:color="auto" w:fill="auto"/>
          </w:tcPr>
          <w:p w14:paraId="032AE71C">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1FF0DA17">
            <w:pPr>
              <w:jc w:val="right"/>
              <w:rPr>
                <w:rFonts w:ascii="Tahoma" w:hAnsi="Tahoma" w:cs="Tahoma"/>
                <w:sz w:val="16"/>
                <w:szCs w:val="16"/>
              </w:rPr>
            </w:pPr>
            <w:r>
              <w:rPr>
                <w:rFonts w:ascii="Tahoma" w:hAnsi="Tahoma" w:cs="Tahoma"/>
                <w:sz w:val="16"/>
                <w:szCs w:val="16"/>
              </w:rPr>
              <w:t>4</w:t>
            </w:r>
          </w:p>
        </w:tc>
        <w:tc>
          <w:tcPr>
            <w:tcW w:w="1134" w:type="dxa"/>
            <w:tcBorders>
              <w:top w:val="nil"/>
              <w:left w:val="nil"/>
              <w:bottom w:val="single" w:color="auto" w:sz="4" w:space="0"/>
              <w:right w:val="single" w:color="auto" w:sz="4" w:space="0"/>
            </w:tcBorders>
            <w:shd w:val="clear" w:color="auto" w:fill="auto"/>
          </w:tcPr>
          <w:p w14:paraId="75EB71AE">
            <w:pPr>
              <w:jc w:val="right"/>
              <w:rPr>
                <w:rFonts w:ascii="Tahoma" w:hAnsi="Tahoma" w:cs="Tahoma"/>
                <w:sz w:val="16"/>
                <w:szCs w:val="16"/>
              </w:rPr>
            </w:pPr>
            <w:r>
              <w:rPr>
                <w:rFonts w:ascii="Tahoma" w:hAnsi="Tahoma" w:cs="Tahoma"/>
                <w:sz w:val="16"/>
                <w:szCs w:val="16"/>
              </w:rPr>
              <w:t>R$ 87,49</w:t>
            </w:r>
          </w:p>
        </w:tc>
        <w:tc>
          <w:tcPr>
            <w:tcW w:w="1276" w:type="dxa"/>
            <w:tcBorders>
              <w:top w:val="nil"/>
              <w:left w:val="nil"/>
              <w:bottom w:val="single" w:color="auto" w:sz="4" w:space="0"/>
              <w:right w:val="single" w:color="auto" w:sz="4" w:space="0"/>
            </w:tcBorders>
            <w:shd w:val="clear" w:color="auto" w:fill="auto"/>
          </w:tcPr>
          <w:p w14:paraId="6475226F">
            <w:pPr>
              <w:jc w:val="right"/>
              <w:rPr>
                <w:rFonts w:ascii="Tahoma" w:hAnsi="Tahoma" w:cs="Tahoma"/>
                <w:sz w:val="16"/>
                <w:szCs w:val="16"/>
              </w:rPr>
            </w:pPr>
            <w:r>
              <w:rPr>
                <w:rFonts w:ascii="Tahoma" w:hAnsi="Tahoma" w:cs="Tahoma"/>
                <w:sz w:val="16"/>
                <w:szCs w:val="16"/>
              </w:rPr>
              <w:t>R$ 349,96</w:t>
            </w:r>
          </w:p>
        </w:tc>
      </w:tr>
      <w:tr w14:paraId="03ADF52E">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11422CE5">
            <w:pPr>
              <w:jc w:val="right"/>
              <w:rPr>
                <w:rFonts w:ascii="Tahoma" w:hAnsi="Tahoma" w:cs="Tahoma"/>
                <w:sz w:val="16"/>
                <w:szCs w:val="16"/>
              </w:rPr>
            </w:pPr>
            <w:r>
              <w:rPr>
                <w:rFonts w:ascii="Tahoma" w:hAnsi="Tahoma" w:cs="Tahoma"/>
                <w:sz w:val="16"/>
                <w:szCs w:val="16"/>
              </w:rPr>
              <w:t>9</w:t>
            </w:r>
          </w:p>
        </w:tc>
        <w:tc>
          <w:tcPr>
            <w:tcW w:w="1791" w:type="dxa"/>
            <w:tcBorders>
              <w:top w:val="nil"/>
              <w:left w:val="nil"/>
              <w:bottom w:val="single" w:color="auto" w:sz="4" w:space="0"/>
              <w:right w:val="single" w:color="auto" w:sz="4" w:space="0"/>
            </w:tcBorders>
            <w:shd w:val="clear" w:color="auto" w:fill="auto"/>
          </w:tcPr>
          <w:p w14:paraId="32C0F714">
            <w:pPr>
              <w:rPr>
                <w:rFonts w:ascii="Tahoma" w:hAnsi="Tahoma" w:cs="Tahoma"/>
                <w:sz w:val="16"/>
                <w:szCs w:val="16"/>
              </w:rPr>
            </w:pPr>
            <w:r>
              <w:rPr>
                <w:rFonts w:ascii="Tahoma" w:hAnsi="Tahoma" w:cs="Tahoma"/>
                <w:sz w:val="16"/>
                <w:szCs w:val="16"/>
              </w:rPr>
              <w:t>MÁSCARA CAPILAR</w:t>
            </w:r>
          </w:p>
        </w:tc>
        <w:tc>
          <w:tcPr>
            <w:tcW w:w="3402" w:type="dxa"/>
            <w:tcBorders>
              <w:top w:val="nil"/>
              <w:left w:val="nil"/>
              <w:bottom w:val="single" w:color="auto" w:sz="4" w:space="0"/>
              <w:right w:val="single" w:color="auto" w:sz="4" w:space="0"/>
            </w:tcBorders>
            <w:shd w:val="clear" w:color="auto" w:fill="auto"/>
          </w:tcPr>
          <w:p w14:paraId="2FD38259">
            <w:pPr>
              <w:rPr>
                <w:rFonts w:ascii="Tahoma" w:hAnsi="Tahoma" w:cs="Tahoma"/>
                <w:sz w:val="16"/>
                <w:szCs w:val="16"/>
              </w:rPr>
            </w:pPr>
            <w:r>
              <w:rPr>
                <w:rFonts w:ascii="Tahoma" w:hAnsi="Tahoma" w:cs="Tahoma"/>
                <w:sz w:val="16"/>
                <w:szCs w:val="16"/>
              </w:rPr>
              <w:t>"MÁSCARA CAPILAR CONCENTRADA ANTIRRIGIDEZ VICHY DERCOS KERA SOLUTIONS 200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26" w:type="dxa"/>
            <w:tcBorders>
              <w:top w:val="nil"/>
              <w:left w:val="nil"/>
              <w:bottom w:val="single" w:color="auto" w:sz="4" w:space="0"/>
              <w:right w:val="single" w:color="auto" w:sz="4" w:space="0"/>
            </w:tcBorders>
            <w:shd w:val="clear" w:color="auto" w:fill="auto"/>
          </w:tcPr>
          <w:p w14:paraId="603C6021">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0740BCFD">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599EF812">
            <w:pPr>
              <w:jc w:val="right"/>
              <w:rPr>
                <w:rFonts w:ascii="Tahoma" w:hAnsi="Tahoma" w:cs="Tahoma"/>
                <w:sz w:val="16"/>
                <w:szCs w:val="16"/>
              </w:rPr>
            </w:pPr>
            <w:r>
              <w:rPr>
                <w:rFonts w:ascii="Tahoma" w:hAnsi="Tahoma" w:cs="Tahoma"/>
                <w:sz w:val="16"/>
                <w:szCs w:val="16"/>
              </w:rPr>
              <w:t>R$ 140,29</w:t>
            </w:r>
          </w:p>
        </w:tc>
        <w:tc>
          <w:tcPr>
            <w:tcW w:w="1276" w:type="dxa"/>
            <w:tcBorders>
              <w:top w:val="nil"/>
              <w:left w:val="nil"/>
              <w:bottom w:val="single" w:color="auto" w:sz="4" w:space="0"/>
              <w:right w:val="single" w:color="auto" w:sz="4" w:space="0"/>
            </w:tcBorders>
            <w:shd w:val="clear" w:color="auto" w:fill="auto"/>
          </w:tcPr>
          <w:p w14:paraId="429FB34A">
            <w:pPr>
              <w:jc w:val="right"/>
              <w:rPr>
                <w:rFonts w:ascii="Tahoma" w:hAnsi="Tahoma" w:cs="Tahoma"/>
                <w:sz w:val="16"/>
                <w:szCs w:val="16"/>
              </w:rPr>
            </w:pPr>
            <w:r>
              <w:rPr>
                <w:rFonts w:ascii="Tahoma" w:hAnsi="Tahoma" w:cs="Tahoma"/>
                <w:sz w:val="16"/>
                <w:szCs w:val="16"/>
              </w:rPr>
              <w:t>R$ 2.525,22</w:t>
            </w:r>
          </w:p>
        </w:tc>
      </w:tr>
      <w:tr w14:paraId="5EB3D162">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43A38A47">
            <w:pPr>
              <w:jc w:val="right"/>
              <w:rPr>
                <w:rFonts w:ascii="Tahoma" w:hAnsi="Tahoma" w:cs="Tahoma"/>
                <w:sz w:val="16"/>
                <w:szCs w:val="16"/>
              </w:rPr>
            </w:pPr>
            <w:r>
              <w:rPr>
                <w:rFonts w:ascii="Tahoma" w:hAnsi="Tahoma" w:cs="Tahoma"/>
                <w:sz w:val="16"/>
                <w:szCs w:val="16"/>
              </w:rPr>
              <w:t>10</w:t>
            </w:r>
          </w:p>
        </w:tc>
        <w:tc>
          <w:tcPr>
            <w:tcW w:w="1791" w:type="dxa"/>
            <w:tcBorders>
              <w:top w:val="nil"/>
              <w:left w:val="nil"/>
              <w:bottom w:val="single" w:color="auto" w:sz="4" w:space="0"/>
              <w:right w:val="single" w:color="auto" w:sz="4" w:space="0"/>
            </w:tcBorders>
            <w:shd w:val="clear" w:color="auto" w:fill="auto"/>
          </w:tcPr>
          <w:p w14:paraId="73FC91D8">
            <w:pPr>
              <w:rPr>
                <w:rFonts w:ascii="Tahoma" w:hAnsi="Tahoma" w:cs="Tahoma"/>
                <w:sz w:val="16"/>
                <w:szCs w:val="16"/>
              </w:rPr>
            </w:pPr>
            <w:r>
              <w:rPr>
                <w:rFonts w:ascii="Tahoma" w:hAnsi="Tahoma" w:cs="Tahoma"/>
                <w:sz w:val="16"/>
                <w:szCs w:val="16"/>
              </w:rPr>
              <w:t>SHAMPOO ANTIQUEDA</w:t>
            </w:r>
          </w:p>
        </w:tc>
        <w:tc>
          <w:tcPr>
            <w:tcW w:w="3402" w:type="dxa"/>
            <w:tcBorders>
              <w:top w:val="nil"/>
              <w:left w:val="nil"/>
              <w:bottom w:val="single" w:color="auto" w:sz="4" w:space="0"/>
              <w:right w:val="single" w:color="auto" w:sz="4" w:space="0"/>
            </w:tcBorders>
            <w:shd w:val="clear" w:color="auto" w:fill="auto"/>
          </w:tcPr>
          <w:p w14:paraId="3B73F352">
            <w:pPr>
              <w:rPr>
                <w:rFonts w:ascii="Tahoma" w:hAnsi="Tahoma" w:cs="Tahoma"/>
                <w:sz w:val="16"/>
                <w:szCs w:val="16"/>
              </w:rPr>
            </w:pPr>
            <w:r>
              <w:rPr>
                <w:rFonts w:ascii="Tahoma" w:hAnsi="Tahoma" w:cs="Tahoma"/>
                <w:sz w:val="16"/>
                <w:szCs w:val="16"/>
              </w:rPr>
              <w:t>"VICHY DERCOS ENERGIZANTE - SHAMPOO ANTIQUEDA 200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3000398-89.2013.8.26.0534"</w:t>
            </w:r>
          </w:p>
        </w:tc>
        <w:tc>
          <w:tcPr>
            <w:tcW w:w="426" w:type="dxa"/>
            <w:tcBorders>
              <w:top w:val="nil"/>
              <w:left w:val="nil"/>
              <w:bottom w:val="single" w:color="auto" w:sz="4" w:space="0"/>
              <w:right w:val="single" w:color="auto" w:sz="4" w:space="0"/>
            </w:tcBorders>
            <w:shd w:val="clear" w:color="auto" w:fill="auto"/>
          </w:tcPr>
          <w:p w14:paraId="6A4A6156">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2850432">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03FED7D9">
            <w:pPr>
              <w:jc w:val="right"/>
              <w:rPr>
                <w:rFonts w:ascii="Tahoma" w:hAnsi="Tahoma" w:cs="Tahoma"/>
                <w:sz w:val="16"/>
                <w:szCs w:val="16"/>
              </w:rPr>
            </w:pPr>
            <w:r>
              <w:rPr>
                <w:rFonts w:ascii="Tahoma" w:hAnsi="Tahoma" w:cs="Tahoma"/>
                <w:sz w:val="16"/>
                <w:szCs w:val="16"/>
              </w:rPr>
              <w:t>R$ 109,90</w:t>
            </w:r>
          </w:p>
        </w:tc>
        <w:tc>
          <w:tcPr>
            <w:tcW w:w="1276" w:type="dxa"/>
            <w:tcBorders>
              <w:top w:val="nil"/>
              <w:left w:val="nil"/>
              <w:bottom w:val="single" w:color="auto" w:sz="4" w:space="0"/>
              <w:right w:val="single" w:color="auto" w:sz="4" w:space="0"/>
            </w:tcBorders>
            <w:shd w:val="clear" w:color="auto" w:fill="auto"/>
          </w:tcPr>
          <w:p w14:paraId="62AB3F9A">
            <w:pPr>
              <w:jc w:val="right"/>
              <w:rPr>
                <w:rFonts w:ascii="Tahoma" w:hAnsi="Tahoma" w:cs="Tahoma"/>
                <w:sz w:val="16"/>
                <w:szCs w:val="16"/>
              </w:rPr>
            </w:pPr>
            <w:r>
              <w:rPr>
                <w:rFonts w:ascii="Tahoma" w:hAnsi="Tahoma" w:cs="Tahoma"/>
                <w:sz w:val="16"/>
                <w:szCs w:val="16"/>
              </w:rPr>
              <w:t>R$ 1.978,20</w:t>
            </w:r>
          </w:p>
        </w:tc>
      </w:tr>
      <w:tr w14:paraId="6512D938">
        <w:tblPrEx>
          <w:tblCellMar>
            <w:top w:w="0" w:type="dxa"/>
            <w:left w:w="70" w:type="dxa"/>
            <w:bottom w:w="0" w:type="dxa"/>
            <w:right w:w="70" w:type="dxa"/>
          </w:tblCellMar>
        </w:tblPrEx>
        <w:trPr>
          <w:trHeight w:val="273" w:hRule="atLeast"/>
        </w:trPr>
        <w:tc>
          <w:tcPr>
            <w:tcW w:w="472" w:type="dxa"/>
            <w:tcBorders>
              <w:top w:val="nil"/>
              <w:left w:val="single" w:color="auto" w:sz="4" w:space="0"/>
              <w:bottom w:val="single" w:color="auto" w:sz="4" w:space="0"/>
              <w:right w:val="single" w:color="auto" w:sz="4" w:space="0"/>
            </w:tcBorders>
            <w:shd w:val="clear" w:color="auto" w:fill="auto"/>
          </w:tcPr>
          <w:p w14:paraId="33747FA8">
            <w:pPr>
              <w:jc w:val="right"/>
              <w:rPr>
                <w:rFonts w:ascii="Tahoma" w:hAnsi="Tahoma" w:cs="Tahoma"/>
                <w:sz w:val="16"/>
                <w:szCs w:val="16"/>
              </w:rPr>
            </w:pPr>
            <w:r>
              <w:rPr>
                <w:rFonts w:ascii="Tahoma" w:hAnsi="Tahoma" w:cs="Tahoma"/>
                <w:sz w:val="16"/>
                <w:szCs w:val="16"/>
              </w:rPr>
              <w:t>11</w:t>
            </w:r>
          </w:p>
        </w:tc>
        <w:tc>
          <w:tcPr>
            <w:tcW w:w="1791" w:type="dxa"/>
            <w:tcBorders>
              <w:top w:val="nil"/>
              <w:left w:val="nil"/>
              <w:bottom w:val="single" w:color="auto" w:sz="4" w:space="0"/>
              <w:right w:val="single" w:color="auto" w:sz="4" w:space="0"/>
            </w:tcBorders>
            <w:shd w:val="clear" w:color="auto" w:fill="auto"/>
          </w:tcPr>
          <w:p w14:paraId="17522ED1">
            <w:pPr>
              <w:rPr>
                <w:rFonts w:ascii="Tahoma" w:hAnsi="Tahoma" w:cs="Tahoma"/>
                <w:sz w:val="16"/>
                <w:szCs w:val="16"/>
              </w:rPr>
            </w:pPr>
            <w:r>
              <w:rPr>
                <w:rFonts w:ascii="Tahoma" w:hAnsi="Tahoma" w:cs="Tahoma"/>
                <w:sz w:val="16"/>
                <w:szCs w:val="16"/>
              </w:rPr>
              <w:t>SYSTANE UL COL</w:t>
            </w:r>
          </w:p>
        </w:tc>
        <w:tc>
          <w:tcPr>
            <w:tcW w:w="3402" w:type="dxa"/>
            <w:tcBorders>
              <w:top w:val="nil"/>
              <w:left w:val="nil"/>
              <w:bottom w:val="single" w:color="auto" w:sz="4" w:space="0"/>
              <w:right w:val="single" w:color="auto" w:sz="4" w:space="0"/>
            </w:tcBorders>
            <w:shd w:val="clear" w:color="auto" w:fill="auto"/>
          </w:tcPr>
          <w:p w14:paraId="46DAD926">
            <w:pPr>
              <w:rPr>
                <w:rFonts w:ascii="Tahoma" w:hAnsi="Tahoma" w:cs="Tahoma"/>
                <w:sz w:val="16"/>
                <w:szCs w:val="16"/>
              </w:rPr>
            </w:pPr>
            <w:r>
              <w:rPr>
                <w:rFonts w:ascii="Tahoma" w:hAnsi="Tahoma" w:cs="Tahoma"/>
                <w:sz w:val="16"/>
                <w:szCs w:val="16"/>
              </w:rPr>
              <w:t>"LUBRIFICANTE OFTÁLMICO - FRASCO COM 15 ML</w:t>
            </w:r>
            <w:r>
              <w:rPr>
                <w:rFonts w:ascii="Tahoma" w:hAnsi="Tahoma" w:cs="Tahoma"/>
                <w:sz w:val="16"/>
                <w:szCs w:val="16"/>
              </w:rPr>
              <w:br w:type="textWrapping"/>
            </w:r>
            <w:r>
              <w:rPr>
                <w:rFonts w:ascii="Tahoma" w:hAnsi="Tahoma" w:cs="Tahoma"/>
                <w:sz w:val="16"/>
                <w:szCs w:val="16"/>
              </w:rPr>
              <w:br w:type="textWrapping"/>
            </w:r>
            <w:r>
              <w:rPr>
                <w:rFonts w:ascii="Tahoma" w:hAnsi="Tahoma" w:cs="Tahoma"/>
                <w:sz w:val="16"/>
                <w:szCs w:val="16"/>
              </w:rPr>
              <w:t>AÇÃO CIVIL PÚBLICA Nº 1000454-15.2020.8.26.0534"</w:t>
            </w:r>
          </w:p>
        </w:tc>
        <w:tc>
          <w:tcPr>
            <w:tcW w:w="426" w:type="dxa"/>
            <w:tcBorders>
              <w:top w:val="nil"/>
              <w:left w:val="nil"/>
              <w:bottom w:val="single" w:color="auto" w:sz="4" w:space="0"/>
              <w:right w:val="single" w:color="auto" w:sz="4" w:space="0"/>
            </w:tcBorders>
            <w:shd w:val="clear" w:color="auto" w:fill="auto"/>
          </w:tcPr>
          <w:p w14:paraId="54C95CBF">
            <w:pPr>
              <w:rPr>
                <w:rFonts w:ascii="Tahoma" w:hAnsi="Tahoma" w:cs="Tahoma"/>
                <w:sz w:val="16"/>
                <w:szCs w:val="16"/>
              </w:rPr>
            </w:pPr>
            <w:r>
              <w:rPr>
                <w:rFonts w:ascii="Tahoma" w:hAnsi="Tahoma" w:cs="Tahoma"/>
                <w:sz w:val="16"/>
                <w:szCs w:val="16"/>
              </w:rPr>
              <w:t>FRS</w:t>
            </w:r>
          </w:p>
        </w:tc>
        <w:tc>
          <w:tcPr>
            <w:tcW w:w="992" w:type="dxa"/>
            <w:tcBorders>
              <w:top w:val="nil"/>
              <w:left w:val="nil"/>
              <w:bottom w:val="single" w:color="auto" w:sz="4" w:space="0"/>
              <w:right w:val="single" w:color="auto" w:sz="4" w:space="0"/>
            </w:tcBorders>
            <w:shd w:val="clear" w:color="auto" w:fill="auto"/>
          </w:tcPr>
          <w:p w14:paraId="4BF7F256">
            <w:pPr>
              <w:jc w:val="right"/>
              <w:rPr>
                <w:rFonts w:ascii="Tahoma" w:hAnsi="Tahoma" w:cs="Tahoma"/>
                <w:sz w:val="16"/>
                <w:szCs w:val="16"/>
              </w:rPr>
            </w:pPr>
            <w:r>
              <w:rPr>
                <w:rFonts w:ascii="Tahoma" w:hAnsi="Tahoma" w:cs="Tahoma"/>
                <w:sz w:val="16"/>
                <w:szCs w:val="16"/>
              </w:rPr>
              <w:t>18</w:t>
            </w:r>
          </w:p>
        </w:tc>
        <w:tc>
          <w:tcPr>
            <w:tcW w:w="1134" w:type="dxa"/>
            <w:tcBorders>
              <w:top w:val="nil"/>
              <w:left w:val="nil"/>
              <w:bottom w:val="single" w:color="auto" w:sz="4" w:space="0"/>
              <w:right w:val="single" w:color="auto" w:sz="4" w:space="0"/>
            </w:tcBorders>
            <w:shd w:val="clear" w:color="auto" w:fill="auto"/>
          </w:tcPr>
          <w:p w14:paraId="0218BD1D">
            <w:pPr>
              <w:jc w:val="right"/>
              <w:rPr>
                <w:rFonts w:ascii="Tahoma" w:hAnsi="Tahoma" w:cs="Tahoma"/>
                <w:sz w:val="16"/>
                <w:szCs w:val="16"/>
              </w:rPr>
            </w:pPr>
            <w:r>
              <w:rPr>
                <w:rFonts w:ascii="Tahoma" w:hAnsi="Tahoma" w:cs="Tahoma"/>
                <w:sz w:val="16"/>
                <w:szCs w:val="16"/>
              </w:rPr>
              <w:t>R$ 89,17</w:t>
            </w:r>
          </w:p>
        </w:tc>
        <w:tc>
          <w:tcPr>
            <w:tcW w:w="1276" w:type="dxa"/>
            <w:tcBorders>
              <w:top w:val="nil"/>
              <w:left w:val="nil"/>
              <w:bottom w:val="single" w:color="auto" w:sz="4" w:space="0"/>
              <w:right w:val="single" w:color="auto" w:sz="4" w:space="0"/>
            </w:tcBorders>
            <w:shd w:val="clear" w:color="auto" w:fill="auto"/>
          </w:tcPr>
          <w:p w14:paraId="0A1BBC48">
            <w:pPr>
              <w:jc w:val="right"/>
              <w:rPr>
                <w:rFonts w:ascii="Tahoma" w:hAnsi="Tahoma" w:cs="Tahoma"/>
                <w:sz w:val="16"/>
                <w:szCs w:val="16"/>
              </w:rPr>
            </w:pPr>
            <w:r>
              <w:rPr>
                <w:rFonts w:ascii="Tahoma" w:hAnsi="Tahoma" w:cs="Tahoma"/>
                <w:sz w:val="16"/>
                <w:szCs w:val="16"/>
              </w:rPr>
              <w:t>R$ 1.605,06</w:t>
            </w:r>
          </w:p>
        </w:tc>
      </w:tr>
      <w:tr w14:paraId="780B9AF9">
        <w:tblPrEx>
          <w:tblCellMar>
            <w:top w:w="0" w:type="dxa"/>
            <w:left w:w="70" w:type="dxa"/>
            <w:bottom w:w="0" w:type="dxa"/>
            <w:right w:w="70" w:type="dxa"/>
          </w:tblCellMar>
        </w:tblPrEx>
        <w:trPr>
          <w:trHeight w:val="258" w:hRule="atLeast"/>
        </w:trPr>
        <w:tc>
          <w:tcPr>
            <w:tcW w:w="472" w:type="dxa"/>
            <w:tcBorders>
              <w:top w:val="nil"/>
              <w:left w:val="single" w:color="auto" w:sz="4" w:space="0"/>
              <w:bottom w:val="single" w:color="auto" w:sz="4" w:space="0"/>
              <w:right w:val="single" w:color="auto" w:sz="4" w:space="0"/>
            </w:tcBorders>
            <w:shd w:val="clear" w:color="auto" w:fill="auto"/>
          </w:tcPr>
          <w:p w14:paraId="1F24199F">
            <w:pPr>
              <w:rPr>
                <w:rFonts w:ascii="Tahoma" w:hAnsi="Tahoma" w:cs="Tahoma"/>
                <w:sz w:val="16"/>
                <w:szCs w:val="16"/>
              </w:rPr>
            </w:pPr>
            <w:r>
              <w:rPr>
                <w:rFonts w:ascii="Tahoma" w:hAnsi="Tahoma" w:cs="Tahoma"/>
                <w:sz w:val="16"/>
                <w:szCs w:val="16"/>
              </w:rPr>
              <w:t> </w:t>
            </w:r>
          </w:p>
        </w:tc>
        <w:tc>
          <w:tcPr>
            <w:tcW w:w="1791" w:type="dxa"/>
            <w:tcBorders>
              <w:top w:val="nil"/>
              <w:left w:val="nil"/>
              <w:bottom w:val="single" w:color="auto" w:sz="4" w:space="0"/>
              <w:right w:val="single" w:color="auto" w:sz="4" w:space="0"/>
            </w:tcBorders>
            <w:shd w:val="clear" w:color="auto" w:fill="auto"/>
          </w:tcPr>
          <w:p w14:paraId="46F79C9D">
            <w:pPr>
              <w:rPr>
                <w:rFonts w:ascii="Tahoma" w:hAnsi="Tahoma" w:cs="Tahoma"/>
                <w:sz w:val="16"/>
                <w:szCs w:val="16"/>
              </w:rPr>
            </w:pPr>
            <w:r>
              <w:rPr>
                <w:rFonts w:ascii="Tahoma" w:hAnsi="Tahoma" w:cs="Tahoma"/>
                <w:sz w:val="16"/>
                <w:szCs w:val="16"/>
              </w:rPr>
              <w:t> </w:t>
            </w:r>
          </w:p>
        </w:tc>
        <w:tc>
          <w:tcPr>
            <w:tcW w:w="3402" w:type="dxa"/>
            <w:tcBorders>
              <w:top w:val="nil"/>
              <w:left w:val="nil"/>
              <w:bottom w:val="single" w:color="auto" w:sz="4" w:space="0"/>
              <w:right w:val="single" w:color="auto" w:sz="4" w:space="0"/>
            </w:tcBorders>
            <w:shd w:val="clear" w:color="auto" w:fill="auto"/>
          </w:tcPr>
          <w:p w14:paraId="24400130">
            <w:pPr>
              <w:rPr>
                <w:rFonts w:ascii="Tahoma" w:hAnsi="Tahoma" w:cs="Tahoma"/>
                <w:sz w:val="16"/>
                <w:szCs w:val="16"/>
              </w:rPr>
            </w:pPr>
            <w:r>
              <w:rPr>
                <w:rFonts w:ascii="Tahoma" w:hAnsi="Tahoma" w:cs="Tahoma"/>
                <w:sz w:val="16"/>
                <w:szCs w:val="16"/>
              </w:rPr>
              <w:t> </w:t>
            </w:r>
          </w:p>
        </w:tc>
        <w:tc>
          <w:tcPr>
            <w:tcW w:w="426" w:type="dxa"/>
            <w:tcBorders>
              <w:top w:val="nil"/>
              <w:left w:val="nil"/>
              <w:bottom w:val="single" w:color="auto" w:sz="4" w:space="0"/>
              <w:right w:val="single" w:color="auto" w:sz="4" w:space="0"/>
            </w:tcBorders>
            <w:shd w:val="clear" w:color="auto" w:fill="auto"/>
          </w:tcPr>
          <w:p w14:paraId="467A5339">
            <w:pPr>
              <w:rPr>
                <w:rFonts w:ascii="Tahoma" w:hAnsi="Tahoma" w:cs="Tahoma"/>
                <w:sz w:val="16"/>
                <w:szCs w:val="16"/>
              </w:rPr>
            </w:pPr>
            <w:r>
              <w:rPr>
                <w:rFonts w:ascii="Tahoma" w:hAnsi="Tahoma" w:cs="Tahoma"/>
                <w:sz w:val="16"/>
                <w:szCs w:val="16"/>
              </w:rPr>
              <w:t> </w:t>
            </w:r>
          </w:p>
        </w:tc>
        <w:tc>
          <w:tcPr>
            <w:tcW w:w="992" w:type="dxa"/>
            <w:tcBorders>
              <w:top w:val="nil"/>
              <w:left w:val="nil"/>
              <w:bottom w:val="single" w:color="auto" w:sz="4" w:space="0"/>
              <w:right w:val="single" w:color="auto" w:sz="4" w:space="0"/>
            </w:tcBorders>
            <w:shd w:val="clear" w:color="auto" w:fill="auto"/>
          </w:tcPr>
          <w:p w14:paraId="5DD781CE">
            <w:pPr>
              <w:rPr>
                <w:rFonts w:ascii="Tahoma" w:hAnsi="Tahoma" w:cs="Tahoma"/>
                <w:sz w:val="16"/>
                <w:szCs w:val="16"/>
              </w:rPr>
            </w:pPr>
            <w:r>
              <w:rPr>
                <w:rFonts w:ascii="Tahoma" w:hAnsi="Tahoma" w:cs="Tahoma"/>
                <w:sz w:val="16"/>
                <w:szCs w:val="16"/>
              </w:rPr>
              <w:t> </w:t>
            </w:r>
          </w:p>
        </w:tc>
        <w:tc>
          <w:tcPr>
            <w:tcW w:w="1134" w:type="dxa"/>
            <w:tcBorders>
              <w:top w:val="nil"/>
              <w:left w:val="nil"/>
              <w:bottom w:val="single" w:color="auto" w:sz="4" w:space="0"/>
              <w:right w:val="single" w:color="auto" w:sz="4" w:space="0"/>
            </w:tcBorders>
            <w:shd w:val="clear" w:color="auto" w:fill="auto"/>
          </w:tcPr>
          <w:p w14:paraId="2F9B9C58">
            <w:pPr>
              <w:rPr>
                <w:rFonts w:ascii="Tahoma" w:hAnsi="Tahoma" w:cs="Tahoma"/>
                <w:sz w:val="16"/>
                <w:szCs w:val="16"/>
              </w:rPr>
            </w:pPr>
            <w:r>
              <w:rPr>
                <w:rFonts w:ascii="Tahoma" w:hAnsi="Tahoma" w:cs="Tahoma"/>
                <w:sz w:val="16"/>
                <w:szCs w:val="16"/>
              </w:rPr>
              <w:t> </w:t>
            </w:r>
          </w:p>
        </w:tc>
        <w:tc>
          <w:tcPr>
            <w:tcW w:w="1276" w:type="dxa"/>
            <w:tcBorders>
              <w:top w:val="nil"/>
              <w:left w:val="nil"/>
              <w:bottom w:val="single" w:color="auto" w:sz="4" w:space="0"/>
              <w:right w:val="single" w:color="auto" w:sz="4" w:space="0"/>
            </w:tcBorders>
            <w:shd w:val="clear" w:color="auto" w:fill="auto"/>
          </w:tcPr>
          <w:p w14:paraId="7FC9B402">
            <w:pPr>
              <w:jc w:val="right"/>
              <w:rPr>
                <w:rFonts w:ascii="Tahoma" w:hAnsi="Tahoma" w:cs="Tahoma"/>
                <w:b/>
                <w:bCs/>
                <w:sz w:val="16"/>
                <w:szCs w:val="16"/>
              </w:rPr>
            </w:pPr>
            <w:r>
              <w:rPr>
                <w:rFonts w:ascii="Tahoma" w:hAnsi="Tahoma" w:cs="Tahoma"/>
                <w:b/>
                <w:bCs/>
                <w:sz w:val="16"/>
                <w:szCs w:val="16"/>
              </w:rPr>
              <w:t>R$ 26.576,93</w:t>
            </w:r>
          </w:p>
        </w:tc>
      </w:tr>
    </w:tbl>
    <w:p w14:paraId="1998C4BB">
      <w:pPr>
        <w:spacing w:line="360" w:lineRule="auto"/>
        <w:ind w:right="-2"/>
        <w:jc w:val="both"/>
        <w:rPr>
          <w:rFonts w:asciiTheme="minorHAnsi" w:hAnsiTheme="minorHAnsi" w:cstheme="minorHAnsi"/>
          <w:sz w:val="21"/>
          <w:szCs w:val="21"/>
        </w:rPr>
      </w:pPr>
      <w:bookmarkStart w:id="3" w:name="_heading=h.gjdgxs" w:colFirst="0" w:colLast="0"/>
      <w:bookmarkEnd w:id="3"/>
    </w:p>
    <w:p w14:paraId="14BFE76B">
      <w:pPr>
        <w:pStyle w:val="21"/>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276" w:lineRule="auto"/>
        <w:ind w:left="709" w:hanging="709"/>
        <w:jc w:val="both"/>
        <w:rPr>
          <w:rFonts w:asciiTheme="minorHAnsi" w:hAnsiTheme="minorHAnsi" w:cstheme="minorHAnsi"/>
          <w:color w:val="000000"/>
          <w:sz w:val="21"/>
          <w:szCs w:val="21"/>
        </w:rPr>
      </w:pPr>
      <w:r>
        <w:rPr>
          <w:rFonts w:asciiTheme="minorHAnsi" w:hAnsiTheme="minorHAnsi" w:cstheme="minorHAnsi"/>
          <w:color w:val="000000"/>
          <w:sz w:val="21"/>
          <w:szCs w:val="21"/>
        </w:rPr>
        <w:t>O objeto desta contratação não se enquadra como sendo de bem de luxo, conforme Decreto Municipal n.º 402, de 28 de dezembro de 2023.</w:t>
      </w:r>
    </w:p>
    <w:p w14:paraId="211DB12A">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276" w:lineRule="auto"/>
        <w:ind w:left="0" w:hanging="6"/>
        <w:jc w:val="both"/>
        <w:rPr>
          <w:rFonts w:asciiTheme="minorHAnsi" w:hAnsiTheme="minorHAnsi" w:cstheme="minorHAnsi"/>
          <w:color w:val="000000"/>
          <w:sz w:val="21"/>
          <w:szCs w:val="21"/>
        </w:rPr>
      </w:pPr>
      <w:r>
        <w:rPr>
          <w:rFonts w:asciiTheme="minorHAnsi" w:hAnsiTheme="minorHAnsi" w:cstheme="minorHAnsi"/>
          <w:color w:val="000000"/>
          <w:sz w:val="21"/>
          <w:szCs w:val="21"/>
        </w:rPr>
        <w:t>Os bens objetos desta contratação são caracterizados como comuns.</w:t>
      </w:r>
    </w:p>
    <w:p w14:paraId="0B226211">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276" w:lineRule="auto"/>
        <w:ind w:left="0" w:firstLine="0"/>
        <w:jc w:val="both"/>
        <w:rPr>
          <w:rFonts w:asciiTheme="minorHAnsi" w:hAnsiTheme="minorHAnsi" w:cstheme="minorHAnsi"/>
          <w:color w:val="000000"/>
          <w:sz w:val="21"/>
          <w:szCs w:val="21"/>
        </w:rPr>
      </w:pPr>
      <w:r>
        <w:rPr>
          <w:rFonts w:asciiTheme="minorHAnsi" w:hAnsiTheme="minorHAnsi" w:cstheme="minorHAnsi"/>
          <w:color w:val="000000"/>
          <w:sz w:val="21"/>
          <w:szCs w:val="21"/>
        </w:rPr>
        <w:t>O prazo de vigência da contratação é de 12 (doze) meses contados da assinatura do contrato, na forma do art. 105 da Lei n.º 14.133, de 2021.</w:t>
      </w:r>
    </w:p>
    <w:p w14:paraId="4118D66E">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before="120" w:after="120" w:line="276" w:lineRule="auto"/>
        <w:ind w:left="0" w:firstLine="0"/>
        <w:jc w:val="both"/>
        <w:rPr>
          <w:rFonts w:asciiTheme="minorHAnsi" w:hAnsiTheme="minorHAnsi" w:cstheme="minorHAnsi"/>
          <w:color w:val="000000"/>
          <w:sz w:val="21"/>
          <w:szCs w:val="21"/>
        </w:rPr>
      </w:pPr>
      <w:r>
        <w:rPr>
          <w:rFonts w:asciiTheme="minorHAnsi" w:hAnsiTheme="minorHAnsi" w:cstheme="minorHAnsi"/>
          <w:color w:val="000000"/>
          <w:sz w:val="21"/>
          <w:szCs w:val="21"/>
        </w:rPr>
        <w:t>O Contrato oferecerá maior detalhamento das regras que serão aplicadas em relação à vigência da contratação.</w:t>
      </w:r>
    </w:p>
    <w:p w14:paraId="70E712E6">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color w:val="000000"/>
          <w:sz w:val="21"/>
          <w:szCs w:val="21"/>
        </w:rPr>
      </w:pPr>
      <w:r>
        <w:rPr>
          <w:rFonts w:asciiTheme="minorHAnsi" w:hAnsiTheme="minorHAnsi" w:cstheme="minorHAnsi"/>
          <w:b/>
          <w:color w:val="000000"/>
          <w:sz w:val="21"/>
          <w:szCs w:val="21"/>
        </w:rPr>
        <w:t>FUNDAMENTAÇÃO E DESCRIÇÃO DA NECESSIDADE DA CONTRATAÇÃO</w:t>
      </w:r>
    </w:p>
    <w:p w14:paraId="6BCCF2B2">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0" w:firstLine="0"/>
        <w:jc w:val="both"/>
        <w:rPr>
          <w:rFonts w:asciiTheme="minorHAnsi" w:hAnsiTheme="minorHAnsi" w:cstheme="minorHAnsi"/>
          <w:color w:val="000000"/>
          <w:sz w:val="21"/>
          <w:szCs w:val="21"/>
        </w:rPr>
      </w:pPr>
      <w:r>
        <w:rPr>
          <w:rFonts w:asciiTheme="minorHAnsi" w:hAnsiTheme="minorHAnsi" w:cstheme="minorHAnsi"/>
          <w:color w:val="000000"/>
          <w:sz w:val="21"/>
          <w:szCs w:val="21"/>
        </w:rPr>
        <w:t>A fundamentação da contratação e de seus quantitativos encontra-se pormenorizada em tópico específico do Estudo Técnico Preliminar, vinculado a este Termo de Referência.</w:t>
      </w:r>
    </w:p>
    <w:p w14:paraId="30877B4B">
      <w:pPr>
        <w:numPr>
          <w:ilvl w:val="1"/>
          <w:numId w:val="33"/>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0" w:firstLine="0"/>
        <w:jc w:val="both"/>
        <w:rPr>
          <w:rFonts w:asciiTheme="minorHAnsi" w:hAnsiTheme="minorHAnsi" w:cstheme="minorHAnsi"/>
          <w:color w:val="000000"/>
          <w:sz w:val="21"/>
          <w:szCs w:val="21"/>
        </w:rPr>
      </w:pPr>
      <w:r>
        <w:rPr>
          <w:rFonts w:asciiTheme="minorHAnsi" w:hAnsiTheme="minorHAnsi" w:cstheme="minorHAnsi"/>
          <w:color w:val="000000"/>
          <w:sz w:val="21"/>
          <w:szCs w:val="21"/>
        </w:rPr>
        <w:t>O objeto da contratação está previsto no Plano de Compras Anual 2024, sob o item 3 – Secretaria Municipal de Saúde, subitem 3.</w:t>
      </w:r>
      <w:r>
        <w:rPr>
          <w:rFonts w:asciiTheme="minorHAnsi" w:hAnsiTheme="minorHAnsi" w:cstheme="minorHAnsi"/>
          <w:sz w:val="21"/>
          <w:szCs w:val="21"/>
        </w:rPr>
        <w:t>22</w:t>
      </w:r>
      <w:r>
        <w:rPr>
          <w:rFonts w:asciiTheme="minorHAnsi" w:hAnsiTheme="minorHAnsi" w:cstheme="minorHAnsi"/>
          <w:color w:val="000000"/>
          <w:sz w:val="21"/>
          <w:szCs w:val="21"/>
        </w:rPr>
        <w:t xml:space="preserve"> – </w:t>
      </w:r>
      <w:r>
        <w:rPr>
          <w:rFonts w:asciiTheme="minorHAnsi" w:hAnsiTheme="minorHAnsi" w:cstheme="minorHAnsi"/>
          <w:sz w:val="21"/>
          <w:szCs w:val="21"/>
        </w:rPr>
        <w:t>Outros Materiais de Distribuição Gratuita</w:t>
      </w:r>
      <w:r>
        <w:rPr>
          <w:rFonts w:asciiTheme="minorHAnsi" w:hAnsiTheme="minorHAnsi" w:cstheme="minorHAnsi"/>
          <w:color w:val="000000"/>
          <w:sz w:val="21"/>
          <w:szCs w:val="21"/>
        </w:rPr>
        <w:t>.</w:t>
      </w:r>
    </w:p>
    <w:p w14:paraId="5891C3FC">
      <w:pPr>
        <w:rPr>
          <w:rFonts w:asciiTheme="minorHAnsi" w:hAnsiTheme="minorHAnsi" w:cstheme="minorHAnsi"/>
          <w:sz w:val="21"/>
          <w:szCs w:val="21"/>
        </w:rPr>
      </w:pPr>
    </w:p>
    <w:p w14:paraId="6B188F48">
      <w:pPr>
        <w:keepNext/>
        <w:keepLines/>
        <w:numPr>
          <w:ilvl w:val="0"/>
          <w:numId w:val="33"/>
        </w:numPr>
        <w:pBdr>
          <w:top w:val="none" w:color="auto" w:sz="0" w:space="0"/>
          <w:left w:val="none" w:color="auto" w:sz="0" w:space="0"/>
          <w:bottom w:val="none" w:color="auto" w:sz="0" w:space="0"/>
          <w:right w:val="none" w:color="auto" w:sz="0" w:space="0"/>
          <w:between w:val="none" w:color="auto" w:sz="0" w:space="0"/>
        </w:pBdr>
        <w:tabs>
          <w:tab w:val="left" w:pos="567"/>
        </w:tabs>
        <w:suppressAutoHyphens/>
        <w:spacing w:line="360" w:lineRule="auto"/>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SOLUÇÃO COMO UM TODO CONSIDERADO O CICLO DE VIDA DO OBJETO</w:t>
      </w:r>
    </w:p>
    <w:p w14:paraId="283DBD36">
      <w:pPr>
        <w:keepNext/>
        <w:keepLines/>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360" w:hanging="360"/>
        <w:jc w:val="both"/>
        <w:rPr>
          <w:rFonts w:asciiTheme="minorHAnsi" w:hAnsiTheme="minorHAnsi" w:cstheme="minorHAnsi"/>
          <w:color w:val="000000"/>
          <w:sz w:val="21"/>
          <w:szCs w:val="21"/>
        </w:rPr>
      </w:pPr>
      <w:r>
        <w:rPr>
          <w:rFonts w:asciiTheme="minorHAnsi" w:hAnsiTheme="minorHAnsi" w:cstheme="minorHAnsi"/>
          <w:b/>
          <w:color w:val="000000"/>
          <w:sz w:val="21"/>
          <w:szCs w:val="21"/>
        </w:rPr>
        <w:t>3.1.</w:t>
      </w:r>
      <w:r>
        <w:rPr>
          <w:rFonts w:asciiTheme="minorHAnsi" w:hAnsiTheme="minorHAnsi" w:cstheme="minorHAnsi"/>
          <w:color w:val="000000"/>
          <w:sz w:val="21"/>
          <w:szCs w:val="21"/>
        </w:rPr>
        <w:tab/>
      </w:r>
      <w:r>
        <w:rPr>
          <w:rFonts w:asciiTheme="minorHAnsi" w:hAnsiTheme="minorHAnsi" w:cstheme="minorHAnsi"/>
          <w:color w:val="000000"/>
          <w:sz w:val="21"/>
          <w:szCs w:val="21"/>
        </w:rPr>
        <w:t>A descrição da solução como um todo se encontra pormenorizada em tópico específico do Estudo Técnico Preliminar, vinculado a este Termo de Referência.</w:t>
      </w:r>
    </w:p>
    <w:p w14:paraId="6390846D">
      <w:pPr>
        <w:rPr>
          <w:rFonts w:asciiTheme="minorHAnsi" w:hAnsiTheme="minorHAnsi" w:cstheme="minorHAnsi"/>
          <w:sz w:val="21"/>
          <w:szCs w:val="21"/>
        </w:rPr>
      </w:pPr>
    </w:p>
    <w:p w14:paraId="3A353233">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4.</w:t>
      </w:r>
      <w:r>
        <w:rPr>
          <w:rFonts w:asciiTheme="minorHAnsi" w:hAnsiTheme="minorHAnsi" w:cstheme="minorHAnsi"/>
          <w:b/>
          <w:sz w:val="21"/>
          <w:szCs w:val="21"/>
        </w:rPr>
        <w:tab/>
      </w:r>
      <w:r>
        <w:rPr>
          <w:rFonts w:asciiTheme="minorHAnsi" w:hAnsiTheme="minorHAnsi" w:cstheme="minorHAnsi"/>
          <w:b/>
          <w:sz w:val="21"/>
          <w:szCs w:val="21"/>
        </w:rPr>
        <w:t>REQUISITOS DA CONTRATAÇÃO</w:t>
      </w:r>
    </w:p>
    <w:p w14:paraId="25D397E2">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4.1. </w:t>
      </w:r>
      <w:r>
        <w:rPr>
          <w:rFonts w:asciiTheme="minorHAnsi" w:hAnsiTheme="minorHAnsi" w:cstheme="minorHAnsi"/>
          <w:sz w:val="21"/>
          <w:szCs w:val="21"/>
        </w:rPr>
        <w:t>Os requisitos da contratação se encontram pormenorizados em tópico específico do Estudo Técnico Preliminar, vinculado a este Termo de Referência.</w:t>
      </w:r>
    </w:p>
    <w:p w14:paraId="41768C46">
      <w:pPr>
        <w:tabs>
          <w:tab w:val="left" w:pos="426"/>
        </w:tabs>
        <w:ind w:left="142"/>
        <w:jc w:val="both"/>
        <w:rPr>
          <w:rFonts w:asciiTheme="minorHAnsi" w:hAnsiTheme="minorHAnsi" w:cstheme="minorHAnsi"/>
          <w:sz w:val="21"/>
          <w:szCs w:val="21"/>
        </w:rPr>
      </w:pPr>
    </w:p>
    <w:p w14:paraId="7BF024BB">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Subcontratação</w:t>
      </w:r>
    </w:p>
    <w:p w14:paraId="46BE08D4">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4.2.</w:t>
      </w:r>
      <w:r>
        <w:rPr>
          <w:rFonts w:asciiTheme="minorHAnsi" w:hAnsiTheme="minorHAnsi" w:cstheme="minorHAnsi"/>
          <w:sz w:val="21"/>
          <w:szCs w:val="21"/>
        </w:rPr>
        <w:tab/>
      </w:r>
      <w:r>
        <w:rPr>
          <w:rFonts w:asciiTheme="minorHAnsi" w:hAnsiTheme="minorHAnsi" w:cstheme="minorHAnsi"/>
          <w:sz w:val="21"/>
          <w:szCs w:val="21"/>
        </w:rPr>
        <w:t>Não é admitida a subcontratação do objeto contratual.</w:t>
      </w:r>
    </w:p>
    <w:p w14:paraId="03658044">
      <w:pPr>
        <w:tabs>
          <w:tab w:val="left" w:pos="426"/>
        </w:tabs>
        <w:jc w:val="both"/>
        <w:rPr>
          <w:rFonts w:asciiTheme="minorHAnsi" w:hAnsiTheme="minorHAnsi" w:cstheme="minorHAnsi"/>
          <w:b/>
          <w:sz w:val="21"/>
          <w:szCs w:val="21"/>
        </w:rPr>
      </w:pPr>
    </w:p>
    <w:p w14:paraId="67F65C9C">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Garantia da contratação</w:t>
      </w:r>
    </w:p>
    <w:p w14:paraId="714BB771">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4.3.</w:t>
      </w:r>
      <w:r>
        <w:rPr>
          <w:rFonts w:asciiTheme="minorHAnsi" w:hAnsiTheme="minorHAnsi" w:cstheme="minorHAnsi"/>
          <w:sz w:val="21"/>
          <w:szCs w:val="21"/>
        </w:rPr>
        <w:tab/>
      </w:r>
      <w:r>
        <w:rPr>
          <w:rFonts w:asciiTheme="minorHAnsi" w:hAnsiTheme="minorHAnsi" w:cstheme="minorHAnsi"/>
          <w:sz w:val="21"/>
          <w:szCs w:val="21"/>
        </w:rPr>
        <w:t>Não haverá exigência da garantia da contratação dos arts. 96 e seguintes da Lei n.º 14.133, de 2021, pelas razões constantes do Estudo Técnico Preliminar.</w:t>
      </w:r>
    </w:p>
    <w:p w14:paraId="00C9640A">
      <w:pPr>
        <w:tabs>
          <w:tab w:val="left" w:pos="426"/>
        </w:tabs>
        <w:spacing w:line="360" w:lineRule="auto"/>
        <w:jc w:val="both"/>
        <w:rPr>
          <w:rFonts w:asciiTheme="minorHAnsi" w:hAnsiTheme="minorHAnsi" w:cstheme="minorHAnsi"/>
          <w:sz w:val="21"/>
          <w:szCs w:val="21"/>
        </w:rPr>
      </w:pPr>
    </w:p>
    <w:p w14:paraId="490F7C05">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5.</w:t>
      </w:r>
      <w:r>
        <w:rPr>
          <w:rFonts w:asciiTheme="minorHAnsi" w:hAnsiTheme="minorHAnsi" w:cstheme="minorHAnsi"/>
          <w:b/>
          <w:sz w:val="21"/>
          <w:szCs w:val="21"/>
        </w:rPr>
        <w:tab/>
      </w:r>
      <w:r>
        <w:rPr>
          <w:rFonts w:asciiTheme="minorHAnsi" w:hAnsiTheme="minorHAnsi" w:cstheme="minorHAnsi"/>
          <w:b/>
          <w:sz w:val="21"/>
          <w:szCs w:val="21"/>
        </w:rPr>
        <w:t>MODELO DE EXECUÇÃO DO OBJETO</w:t>
      </w:r>
    </w:p>
    <w:p w14:paraId="7215A1FB">
      <w:pPr>
        <w:tabs>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Condições de Entrega</w:t>
      </w:r>
    </w:p>
    <w:p w14:paraId="42F42181">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5.1.</w:t>
      </w:r>
      <w:r>
        <w:rPr>
          <w:rFonts w:asciiTheme="minorHAnsi" w:hAnsiTheme="minorHAnsi" w:cstheme="minorHAnsi"/>
          <w:sz w:val="21"/>
          <w:szCs w:val="21"/>
        </w:rPr>
        <w:t xml:space="preserve"> Os bens serão entregues, parceladamente. O prazo de entrega deve ser de </w:t>
      </w:r>
      <w:r>
        <w:rPr>
          <w:rFonts w:asciiTheme="minorHAnsi" w:hAnsiTheme="minorHAnsi" w:cstheme="minorHAnsi"/>
          <w:b/>
          <w:bCs/>
          <w:sz w:val="21"/>
          <w:szCs w:val="21"/>
          <w:u w:val="single"/>
        </w:rPr>
        <w:t>10 (dez) dias,</w:t>
      </w:r>
      <w:r>
        <w:rPr>
          <w:rFonts w:asciiTheme="minorHAnsi" w:hAnsiTheme="minorHAnsi" w:cstheme="minorHAnsi"/>
          <w:sz w:val="21"/>
          <w:szCs w:val="21"/>
        </w:rPr>
        <w:t xml:space="preserve"> após o envio da Autorização de Fornecimento.</w:t>
      </w:r>
    </w:p>
    <w:p w14:paraId="2AB62D81">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5.2.</w:t>
      </w:r>
      <w:r>
        <w:rPr>
          <w:rFonts w:asciiTheme="minorHAnsi" w:hAnsiTheme="minorHAnsi" w:cstheme="minorHAnsi"/>
          <w:sz w:val="21"/>
          <w:szCs w:val="21"/>
        </w:rPr>
        <w:tab/>
      </w:r>
      <w:r>
        <w:rPr>
          <w:rFonts w:asciiTheme="minorHAnsi" w:hAnsiTheme="minorHAnsi" w:cstheme="minorHAnsi"/>
          <w:sz w:val="21"/>
          <w:szCs w:val="21"/>
        </w:rPr>
        <w:t>Caso não seja possível a entrega na data assinalada, a empresa deverá comunicar as razões respectivas com pelo menos 5 dias de antecedência para que qualquer pleito de prorrogação de prazo seja analisado, ressalvadas situações de caso fortuito e força maior.</w:t>
      </w:r>
    </w:p>
    <w:p w14:paraId="29FC66F6">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5.3.</w:t>
      </w:r>
      <w:r>
        <w:rPr>
          <w:rFonts w:asciiTheme="minorHAnsi" w:hAnsiTheme="minorHAnsi" w:cstheme="minorHAnsi"/>
          <w:sz w:val="21"/>
          <w:szCs w:val="21"/>
        </w:rPr>
        <w:tab/>
      </w:r>
      <w:r>
        <w:rPr>
          <w:rFonts w:asciiTheme="minorHAnsi" w:hAnsiTheme="minorHAnsi" w:cstheme="minorHAnsi"/>
          <w:sz w:val="21"/>
          <w:szCs w:val="21"/>
        </w:rPr>
        <w:t>Os bens deverão ser entregues no seguinte endereço: Almoxarifado da Saúde – Praça Rui Barbosa, 109, Centro, Santa Branca – SP, CEP 12380-000, sendo das 08h às 16h, se pelo prazo ocorrer de a entrega ser realizada no sábado, domingo ou feriado, o município terá 72 horas para analisar os itens e informar, através do fiscal, se estão de acordo com o descritivo e condições solicitadas.</w:t>
      </w:r>
    </w:p>
    <w:p w14:paraId="5306AE94">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5.4.</w:t>
      </w:r>
      <w:r>
        <w:rPr>
          <w:rFonts w:asciiTheme="minorHAnsi" w:hAnsiTheme="minorHAnsi" w:cstheme="minorHAnsi"/>
          <w:sz w:val="21"/>
          <w:szCs w:val="21"/>
        </w:rPr>
        <w:tab/>
      </w:r>
      <w:r>
        <w:rPr>
          <w:rFonts w:asciiTheme="minorHAnsi" w:hAnsiTheme="minorHAnsi" w:cstheme="minorHAnsi"/>
          <w:sz w:val="21"/>
          <w:szCs w:val="21"/>
        </w:rPr>
        <w:t>No caso de produtos perecíveis, o prazo de validade na data da entrega não poderá ser inferior a 2/3 (dois terços) do prazo total recomendado pelo fabricante.</w:t>
      </w:r>
    </w:p>
    <w:p w14:paraId="42643AFB">
      <w:pPr>
        <w:tabs>
          <w:tab w:val="left" w:pos="426"/>
        </w:tabs>
        <w:jc w:val="both"/>
        <w:rPr>
          <w:rFonts w:asciiTheme="minorHAnsi" w:hAnsiTheme="minorHAnsi" w:cstheme="minorHAnsi"/>
          <w:b/>
          <w:sz w:val="21"/>
          <w:szCs w:val="21"/>
        </w:rPr>
      </w:pPr>
      <w:r>
        <w:rPr>
          <w:rFonts w:asciiTheme="minorHAnsi" w:hAnsiTheme="minorHAnsi" w:cstheme="minorHAnsi"/>
          <w:b/>
          <w:sz w:val="21"/>
          <w:szCs w:val="21"/>
        </w:rPr>
        <w:t>Garantia, manutenção e assistência técnica</w:t>
      </w:r>
    </w:p>
    <w:p w14:paraId="1A379982">
      <w:pPr>
        <w:tabs>
          <w:tab w:val="left" w:pos="426"/>
        </w:tabs>
        <w:jc w:val="both"/>
        <w:rPr>
          <w:rFonts w:asciiTheme="minorHAnsi" w:hAnsiTheme="minorHAnsi" w:cstheme="minorHAnsi"/>
          <w:b/>
          <w:sz w:val="21"/>
          <w:szCs w:val="21"/>
        </w:rPr>
      </w:pPr>
      <w:r>
        <w:rPr>
          <w:rFonts w:asciiTheme="minorHAnsi" w:hAnsiTheme="minorHAnsi" w:cstheme="minorHAnsi"/>
          <w:b/>
          <w:sz w:val="21"/>
          <w:szCs w:val="21"/>
        </w:rPr>
        <w:t xml:space="preserve">  </w:t>
      </w:r>
    </w:p>
    <w:p w14:paraId="6208E066">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5.5.</w:t>
      </w:r>
      <w:r>
        <w:rPr>
          <w:rFonts w:asciiTheme="minorHAnsi" w:hAnsiTheme="minorHAnsi" w:cstheme="minorHAnsi"/>
          <w:b/>
          <w:sz w:val="21"/>
          <w:szCs w:val="21"/>
        </w:rPr>
        <w:tab/>
      </w:r>
      <w:r>
        <w:rPr>
          <w:rFonts w:asciiTheme="minorHAnsi" w:hAnsiTheme="minorHAnsi" w:cstheme="minorHAnsi"/>
          <w:sz w:val="21"/>
          <w:szCs w:val="21"/>
        </w:rPr>
        <w:t xml:space="preserve">O prazo de garantia é aquele estabelecido na Lei nº 8.078, de 1990 (Código de Defesa do Consumidor). </w:t>
      </w:r>
    </w:p>
    <w:p w14:paraId="09959089">
      <w:pPr>
        <w:tabs>
          <w:tab w:val="left" w:pos="426"/>
        </w:tabs>
        <w:spacing w:line="360" w:lineRule="auto"/>
        <w:jc w:val="both"/>
        <w:rPr>
          <w:rFonts w:asciiTheme="minorHAnsi" w:hAnsiTheme="minorHAnsi" w:cstheme="minorHAnsi"/>
          <w:sz w:val="21"/>
          <w:szCs w:val="21"/>
        </w:rPr>
      </w:pPr>
    </w:p>
    <w:p w14:paraId="49D68553">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6.</w:t>
      </w:r>
      <w:r>
        <w:rPr>
          <w:rFonts w:asciiTheme="minorHAnsi" w:hAnsiTheme="minorHAnsi" w:cstheme="minorHAnsi"/>
          <w:b/>
          <w:sz w:val="21"/>
          <w:szCs w:val="21"/>
        </w:rPr>
        <w:tab/>
      </w:r>
      <w:r>
        <w:rPr>
          <w:rFonts w:asciiTheme="minorHAnsi" w:hAnsiTheme="minorHAnsi" w:cstheme="minorHAnsi"/>
          <w:b/>
          <w:sz w:val="21"/>
          <w:szCs w:val="21"/>
        </w:rPr>
        <w:t>DA GESTÃO E FISCALIZAÇÃO DO CONTRATO</w:t>
      </w:r>
    </w:p>
    <w:p w14:paraId="45C5ABC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6.1. </w:t>
      </w:r>
      <w:r>
        <w:rPr>
          <w:rFonts w:asciiTheme="minorHAnsi" w:hAnsiTheme="minorHAnsi" w:cstheme="minorHAnsi"/>
          <w:color w:val="000000"/>
          <w:sz w:val="21"/>
          <w:szCs w:val="21"/>
        </w:rPr>
        <w:t xml:space="preserve"> O contrato deverá ser executado fielmente pelas partes, de acordo com as cláusulas avençadas e as normas da Lei n.º 14.133, de 2021, e cada parte responderá pelas consequências de sua inexecução total ou parcial.</w:t>
      </w:r>
    </w:p>
    <w:p w14:paraId="4B5BB6F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6.2.</w:t>
      </w:r>
      <w:r>
        <w:rPr>
          <w:rFonts w:asciiTheme="minorHAnsi" w:hAnsiTheme="minorHAnsi" w:cstheme="minorHAnsi"/>
          <w:color w:val="000000"/>
          <w:sz w:val="21"/>
          <w:szCs w:val="21"/>
        </w:rPr>
        <w:t xml:space="preserve"> Em caso de impedimento, ordem de paralisação ou suspensão do contrato, o cronograma de execução será prorrogado automaticamente pelo tempo correspondente, anotadas tais circunstâncias mediante simples apostila.</w:t>
      </w:r>
    </w:p>
    <w:p w14:paraId="18876BD1">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6.3. </w:t>
      </w:r>
      <w:r>
        <w:rPr>
          <w:rFonts w:asciiTheme="minorHAnsi" w:hAnsiTheme="minorHAnsi" w:cstheme="minorHAnsi"/>
          <w:color w:val="000000"/>
          <w:sz w:val="21"/>
          <w:szCs w:val="21"/>
        </w:rPr>
        <w:t>As comunicações entre o órgão ou entidade e a contratada devem ser realizadas por escrito sempre que o ato exigir tal formalidade, admitindo-se o uso de mensagem eletrônica para esse fim.</w:t>
      </w:r>
    </w:p>
    <w:p w14:paraId="1E3FDFF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6.4. </w:t>
      </w:r>
      <w:r>
        <w:rPr>
          <w:rFonts w:asciiTheme="minorHAnsi" w:hAnsiTheme="minorHAnsi" w:cstheme="minorHAnsi"/>
          <w:color w:val="000000"/>
          <w:sz w:val="21"/>
          <w:szCs w:val="21"/>
        </w:rPr>
        <w:t>O órgão poderá convocar representante da empresa para adoção de providências que devam ser cumpridas de imediato.</w:t>
      </w:r>
    </w:p>
    <w:p w14:paraId="13807CB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6.5.</w:t>
      </w:r>
      <w:r>
        <w:rPr>
          <w:rFonts w:asciiTheme="minorHAnsi" w:hAnsiTheme="minorHAnsi" w:cstheme="minorHAnsi"/>
          <w:color w:val="000000"/>
          <w:sz w:val="21"/>
          <w:szCs w:val="21"/>
        </w:rPr>
        <w:tab/>
      </w:r>
      <w:r>
        <w:rPr>
          <w:rFonts w:asciiTheme="minorHAnsi" w:hAnsiTheme="minorHAnsi" w:cstheme="minorHAnsi"/>
          <w:color w:val="000000"/>
          <w:sz w:val="21"/>
          <w:szCs w:val="21"/>
        </w:rPr>
        <w:t>Após a assinatura do contrato ou instrumento equivalente, o órgão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33D8532">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6.6. </w:t>
      </w:r>
      <w:r>
        <w:rPr>
          <w:rFonts w:asciiTheme="minorHAnsi" w:hAnsiTheme="minorHAnsi" w:cstheme="minorHAnsi"/>
          <w:color w:val="000000"/>
          <w:sz w:val="21"/>
          <w:szCs w:val="21"/>
        </w:rPr>
        <w:t xml:space="preserve">A execução do contrato deverá ser acompanhada e fiscalizada pelo(s) fiscal(is) do contrato, ou pelos respectivos substitutos, conforme previsto no art. 117, </w:t>
      </w:r>
      <w:r>
        <w:rPr>
          <w:rFonts w:asciiTheme="minorHAnsi" w:hAnsiTheme="minorHAnsi" w:cstheme="minorHAnsi"/>
          <w:i/>
          <w:color w:val="000000"/>
          <w:sz w:val="21"/>
          <w:szCs w:val="21"/>
        </w:rPr>
        <w:t>caput</w:t>
      </w:r>
      <w:r>
        <w:rPr>
          <w:rFonts w:asciiTheme="minorHAnsi" w:hAnsiTheme="minorHAnsi" w:cstheme="minorHAnsi"/>
          <w:color w:val="000000"/>
          <w:sz w:val="21"/>
          <w:szCs w:val="21"/>
        </w:rPr>
        <w:t>, da Lei n.º 14.133, de 2021 e no Decreto Municipal n.º 400, de 2023.</w:t>
      </w:r>
    </w:p>
    <w:p w14:paraId="2A2BADA6">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 </w:t>
      </w:r>
      <w:r>
        <w:rPr>
          <w:rFonts w:asciiTheme="minorHAnsi" w:hAnsiTheme="minorHAnsi" w:cstheme="minorHAnsi"/>
          <w:color w:val="000000"/>
          <w:sz w:val="21"/>
          <w:szCs w:val="21"/>
        </w:rPr>
        <w:t>O fiscal do contrato acompanhará a execução do contrato, para que sejam cumpridas todas as condições estabelecidas no contrato, de modo a assegurar os melhores resultados para a Administração.</w:t>
      </w:r>
    </w:p>
    <w:p w14:paraId="68B19504">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6.7.1. </w:t>
      </w:r>
      <w:r>
        <w:rPr>
          <w:rFonts w:asciiTheme="minorHAnsi" w:hAnsiTheme="minorHAnsi" w:cstheme="minorHAnsi"/>
          <w:color w:val="000000"/>
          <w:sz w:val="21"/>
          <w:szCs w:val="21"/>
        </w:rPr>
        <w:t>O fiscal do contrato anotará no histórico de gerenciamento do contrato todas as ocorrências relacionadas à execução do contrato, com a descrição do que for necessário para a regularização das faltas ou dos defeitos observados.</w:t>
      </w:r>
    </w:p>
    <w:p w14:paraId="7FAEA0E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6.7.2. </w:t>
      </w:r>
      <w:r>
        <w:rPr>
          <w:rFonts w:asciiTheme="minorHAnsi" w:hAnsiTheme="minorHAnsi" w:cstheme="minorHAnsi"/>
          <w:color w:val="000000"/>
          <w:sz w:val="21"/>
          <w:szCs w:val="21"/>
        </w:rPr>
        <w:t>Identificada qualquer inexatidão ou irregularidade, o fiscal acionará a Contratada para a correção da execução do contrato, determinando prazo para a correção.</w:t>
      </w:r>
    </w:p>
    <w:p w14:paraId="695EBD3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6.7.3. </w:t>
      </w:r>
      <w:r>
        <w:rPr>
          <w:rFonts w:asciiTheme="minorHAnsi" w:hAnsiTheme="minorHAnsi" w:cstheme="minorHAnsi"/>
          <w:color w:val="000000"/>
          <w:sz w:val="21"/>
          <w:szCs w:val="21"/>
        </w:rPr>
        <w:t>O fiscal informará ao gestor do contato, em tempo hábil, a situação que demandar decisão ou adoção de medidas que ultrapassem sua competência, para que adote as medidas necessárias e saneadoras, se for o caso.</w:t>
      </w:r>
    </w:p>
    <w:p w14:paraId="728CD88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6.7.4. </w:t>
      </w:r>
      <w:r>
        <w:rPr>
          <w:rFonts w:asciiTheme="minorHAnsi" w:hAnsiTheme="minorHAnsi" w:cstheme="minorHAnsi"/>
          <w:color w:val="000000"/>
          <w:sz w:val="21"/>
          <w:szCs w:val="21"/>
        </w:rPr>
        <w:t>No caso de ocorrências que possam inviabilizar a execução do contrato nas datas aprazadas, o fiscal comunicará o fato imediatamente ao gestor do contrato.</w:t>
      </w:r>
    </w:p>
    <w:p w14:paraId="205C1AE0">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6.7.5. </w:t>
      </w:r>
      <w:r>
        <w:rPr>
          <w:rFonts w:asciiTheme="minorHAnsi" w:hAnsiTheme="minorHAnsi" w:cstheme="minorHAnsi"/>
          <w:color w:val="000000"/>
          <w:sz w:val="21"/>
          <w:szCs w:val="21"/>
        </w:rPr>
        <w:t>O fiscal comunicará ao gestor do contrato, em tempo hábil, o término do contrato sob sua responsabilidade, com vistas à tempestiva renovação ou à prorrogação contratual.</w:t>
      </w:r>
    </w:p>
    <w:p w14:paraId="087FB6DB">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 </w:t>
      </w:r>
      <w:r>
        <w:rPr>
          <w:rFonts w:asciiTheme="minorHAnsi" w:hAnsiTheme="minorHAnsi" w:cstheme="minorHAnsi"/>
          <w:color w:val="000000"/>
          <w:sz w:val="21"/>
          <w:szCs w:val="21"/>
        </w:rPr>
        <w:t>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26969ADE">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6.8.1. </w:t>
      </w:r>
      <w:r>
        <w:rPr>
          <w:rFonts w:asciiTheme="minorHAnsi" w:hAnsiTheme="minorHAnsi" w:cstheme="minorHAnsi"/>
          <w:color w:val="000000"/>
          <w:sz w:val="21"/>
          <w:szCs w:val="21"/>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7AC0100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6.8.2. </w:t>
      </w:r>
      <w:r>
        <w:rPr>
          <w:rFonts w:asciiTheme="minorHAnsi" w:hAnsiTheme="minorHAnsi" w:cstheme="minorHAnsi"/>
          <w:color w:val="000000"/>
          <w:sz w:val="21"/>
          <w:szCs w:val="21"/>
        </w:rPr>
        <w:t>O gestor do contrato verificará a manutenção das condições de habilitação da contratada, acompanhará o empenho, o pagamento, as garantias, as glosas e a formalização de apostilamento e termos aditivos, solicitando quaisquer documentos comprobatórios pertinentes, caso necessário, e anotará os problemas que obstem o fluxo normal da liquidação e do pagamento da despesa no relatório de riscos eventuais.</w:t>
      </w:r>
    </w:p>
    <w:p w14:paraId="35341DD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6.8.3. </w:t>
      </w:r>
      <w:r>
        <w:rPr>
          <w:rFonts w:asciiTheme="minorHAnsi" w:hAnsiTheme="minorHAnsi" w:cstheme="minorHAnsi"/>
          <w:color w:val="000000"/>
          <w:sz w:val="21"/>
          <w:szCs w:val="21"/>
        </w:rPr>
        <w:t xml:space="preserve">O gestor do contrato tomará providências para a formalização de processo administrativo de responsabilização para fins de aplicação de sanções, a ser conduzido pela comissão de que trata o </w:t>
      </w:r>
      <w:r>
        <w:fldChar w:fldCharType="begin"/>
      </w:r>
      <w:r>
        <w:instrText xml:space="preserve"> HYPERLINK "http://www.planalto.gov.br/ccivil_03/_ato2019-2022/2021/lei/L14133.htm" \l "art158" \h </w:instrText>
      </w:r>
      <w:r>
        <w:fldChar w:fldCharType="separate"/>
      </w:r>
      <w:r>
        <w:rPr>
          <w:rFonts w:asciiTheme="minorHAnsi" w:hAnsiTheme="minorHAnsi" w:cstheme="minorHAnsi"/>
          <w:color w:val="000000"/>
          <w:sz w:val="21"/>
          <w:szCs w:val="21"/>
        </w:rPr>
        <w:t>art. 158 da Lei n.º 14.133, de 2021</w:t>
      </w:r>
      <w:r>
        <w:rPr>
          <w:rFonts w:asciiTheme="minorHAnsi" w:hAnsiTheme="minorHAnsi" w:cstheme="minorHAnsi"/>
          <w:color w:val="000000"/>
          <w:sz w:val="21"/>
          <w:szCs w:val="21"/>
        </w:rPr>
        <w:fldChar w:fldCharType="end"/>
      </w:r>
      <w:r>
        <w:rPr>
          <w:rFonts w:asciiTheme="minorHAnsi" w:hAnsiTheme="minorHAnsi" w:cstheme="minorHAnsi"/>
          <w:color w:val="000000"/>
          <w:sz w:val="21"/>
          <w:szCs w:val="21"/>
        </w:rPr>
        <w:t xml:space="preserve">, conforme o caso. </w:t>
      </w:r>
    </w:p>
    <w:p w14:paraId="2B6A4CAD">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6.8.4. </w:t>
      </w:r>
      <w:r>
        <w:rPr>
          <w:rFonts w:asciiTheme="minorHAnsi" w:hAnsiTheme="minorHAnsi" w:cstheme="minorHAnsi"/>
          <w:color w:val="000000"/>
          <w:sz w:val="21"/>
          <w:szCs w:val="21"/>
        </w:rPr>
        <w:t>O gestor do contrato deverá enviar a documentação pertinente à Unidade de Contratos e Convênios para a formalização dos procedimentos de liquidação e pagamento, no valor dimensionado pela fiscalização e gestão nos termos do contrato.</w:t>
      </w:r>
    </w:p>
    <w:p w14:paraId="280C54D4">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6.8.5. </w:t>
      </w:r>
      <w:r>
        <w:rPr>
          <w:rFonts w:asciiTheme="minorHAnsi" w:hAnsiTheme="minorHAnsi" w:cstheme="minorHAnsi"/>
          <w:color w:val="000000"/>
          <w:sz w:val="21"/>
          <w:szCs w:val="21"/>
        </w:rPr>
        <w:t>O gestor do contrato deverá elaborar relatório final com informações sobre a consecução dos objetivos que tenham justificado a contratação e eventuais condutas a serem adotadas para o aprimoramento das atividades da Administração.</w:t>
      </w:r>
    </w:p>
    <w:p w14:paraId="7C1F0388">
      <w:pPr>
        <w:pBdr>
          <w:top w:val="none" w:color="auto" w:sz="0" w:space="0"/>
          <w:left w:val="none" w:color="auto" w:sz="0" w:space="0"/>
          <w:bottom w:val="none" w:color="auto" w:sz="0" w:space="0"/>
          <w:right w:val="none" w:color="auto" w:sz="0" w:space="0"/>
          <w:between w:val="none" w:color="auto" w:sz="0" w:space="0"/>
        </w:pBdr>
        <w:tabs>
          <w:tab w:val="left" w:pos="284"/>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6.9. </w:t>
      </w:r>
      <w:r>
        <w:rPr>
          <w:rFonts w:asciiTheme="minorHAnsi" w:hAnsiTheme="minorHAnsi" w:cstheme="minorHAnsi"/>
          <w:color w:val="000000"/>
          <w:sz w:val="21"/>
          <w:szCs w:val="21"/>
        </w:rPr>
        <w:t>A Contratada deverá manter preposto aceito pela Administração no local do serviço para representá-lo na execução do contrato, conforme art. 118 da Lei n.º 14.133, de 2021.</w:t>
      </w:r>
    </w:p>
    <w:p w14:paraId="4CD7734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color w:val="000000"/>
          <w:sz w:val="21"/>
          <w:szCs w:val="21"/>
        </w:rPr>
      </w:pPr>
    </w:p>
    <w:p w14:paraId="006EB388">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7.</w:t>
      </w:r>
      <w:r>
        <w:rPr>
          <w:rFonts w:asciiTheme="minorHAnsi" w:hAnsiTheme="minorHAnsi" w:cstheme="minorHAnsi"/>
          <w:b/>
          <w:sz w:val="21"/>
          <w:szCs w:val="21"/>
        </w:rPr>
        <w:tab/>
      </w:r>
      <w:r>
        <w:rPr>
          <w:rFonts w:asciiTheme="minorHAnsi" w:hAnsiTheme="minorHAnsi" w:cstheme="minorHAnsi"/>
          <w:b/>
          <w:sz w:val="21"/>
          <w:szCs w:val="21"/>
        </w:rPr>
        <w:t>DO RECEBIMENTO DO OBJETO E DO PAGAMENTO</w:t>
      </w:r>
    </w:p>
    <w:p w14:paraId="31EA0D1F">
      <w:pPr>
        <w:tabs>
          <w:tab w:val="left" w:pos="142"/>
          <w:tab w:val="left" w:pos="426"/>
        </w:tabs>
        <w:spacing w:line="360" w:lineRule="auto"/>
        <w:jc w:val="both"/>
        <w:rPr>
          <w:rFonts w:asciiTheme="minorHAnsi" w:hAnsiTheme="minorHAnsi" w:cstheme="minorHAnsi"/>
          <w:b/>
          <w:sz w:val="21"/>
          <w:szCs w:val="21"/>
        </w:rPr>
      </w:pPr>
    </w:p>
    <w:p w14:paraId="7B063840">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Provisório</w:t>
      </w:r>
    </w:p>
    <w:p w14:paraId="38A8DA5C">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 xml:space="preserve">7.1. </w:t>
      </w:r>
      <w:r>
        <w:rPr>
          <w:rFonts w:asciiTheme="minorHAnsi" w:hAnsiTheme="minorHAnsi" w:cstheme="minorHAnsi"/>
          <w:sz w:val="21"/>
          <w:szCs w:val="21"/>
        </w:rPr>
        <w:t>Os bens serão recebidos provisoriamente, de forma sumária, no ato da entrega, juntamente com a nota fiscal ou instrumento de cobrança equivalente, pelo fiscal do contrato, para efeito de posterior verificação de sua conformidade com as especificações constantes no Termo de Referência e na proposta, conforme art. 140, I, “a” da Lei n.º 14.133, de 2021 e no Decreto Municipal n.º 400, de 2023.</w:t>
      </w:r>
    </w:p>
    <w:p w14:paraId="40CDDB41">
      <w:pPr>
        <w:pBdr>
          <w:top w:val="none" w:color="auto" w:sz="0" w:space="0"/>
          <w:left w:val="none" w:color="auto" w:sz="0" w:space="0"/>
          <w:bottom w:val="none" w:color="auto" w:sz="0" w:space="0"/>
          <w:right w:val="none" w:color="auto" w:sz="0" w:space="0"/>
          <w:between w:val="none" w:color="auto" w:sz="0" w:space="0"/>
        </w:pBdr>
        <w:spacing w:before="120" w:after="288" w:line="312"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7.2. </w:t>
      </w:r>
      <w:r>
        <w:rPr>
          <w:rFonts w:asciiTheme="minorHAnsi" w:hAnsiTheme="minorHAnsi" w:cstheme="minorHAnsi"/>
          <w:color w:val="000000"/>
          <w:sz w:val="21"/>
          <w:szCs w:val="21"/>
        </w:rPr>
        <w:t>Os bens poderão ser rejeitados, no todo ou em parte, inclusive antes do recebimento provisório, quando em desacordo com as especificações constantes no Termo de Referência e na proposta, devendo ser substituídos no prazo de 5 (cinco) dias úteis, a contar da notificação da contratada, às suas custas, sem prejuízo da aplicação das penalidades.</w:t>
      </w:r>
    </w:p>
    <w:p w14:paraId="346132AB">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Recebimento Definitivo</w:t>
      </w:r>
    </w:p>
    <w:p w14:paraId="0FE18CBC">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7.3.</w:t>
      </w:r>
      <w:r>
        <w:rPr>
          <w:rFonts w:asciiTheme="minorHAnsi" w:hAnsiTheme="minorHAnsi" w:cstheme="minorHAnsi"/>
          <w:b/>
          <w:sz w:val="21"/>
          <w:szCs w:val="21"/>
        </w:rPr>
        <w:tab/>
      </w:r>
      <w:r>
        <w:rPr>
          <w:rFonts w:asciiTheme="minorHAnsi" w:hAnsiTheme="minorHAnsi" w:cstheme="minorHAnsi"/>
          <w:sz w:val="21"/>
          <w:szCs w:val="21"/>
        </w:rPr>
        <w:t xml:space="preserve">O recebimento definitivo ocorrerá no prazo de 10 (dez) dias úteis, pelo gestor do contrato, a contar do recebimento da nota fiscal ou instrumento de cobrança equivalente pela Administração, após a verificação da qualidade e quantidade do material e consequente aceitação mediante termo detalhado, conforme art. 140, I, “b” da Lei n.º 14.133, de 2021 e no Decreto Municipal n.º 400, de 2023. </w:t>
      </w:r>
    </w:p>
    <w:p w14:paraId="5AE0CE21">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7.4.</w:t>
      </w:r>
      <w:r>
        <w:rPr>
          <w:rFonts w:asciiTheme="minorHAnsi" w:hAnsiTheme="minorHAnsi" w:cstheme="minorHAnsi"/>
          <w:b/>
          <w:sz w:val="21"/>
          <w:szCs w:val="21"/>
        </w:rPr>
        <w:tab/>
      </w:r>
      <w:r>
        <w:rPr>
          <w:rFonts w:asciiTheme="minorHAnsi" w:hAnsiTheme="minorHAnsi" w:cstheme="minorHAnsi"/>
          <w:sz w:val="21"/>
          <w:szCs w:val="21"/>
        </w:rPr>
        <w:tab/>
      </w:r>
      <w:r>
        <w:rPr>
          <w:rFonts w:asciiTheme="minorHAnsi" w:hAnsiTheme="minorHAnsi" w:cstheme="minorHAnsi"/>
          <w:sz w:val="21"/>
          <w:szCs w:val="21"/>
        </w:rPr>
        <w:t>O prazo para recebimento definitivo poderá ser excepcionalmente prorrogado, de forma justificada, por igual período, quando houver necessidade de diligências para a aferição do atendimento das exigências contratuais.</w:t>
      </w:r>
    </w:p>
    <w:p w14:paraId="7D50ACE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142" w:firstLine="142"/>
        <w:jc w:val="both"/>
        <w:rPr>
          <w:rFonts w:asciiTheme="minorHAnsi" w:hAnsiTheme="minorHAnsi" w:cstheme="minorHAnsi"/>
          <w:color w:val="000000"/>
          <w:sz w:val="21"/>
          <w:szCs w:val="21"/>
        </w:rPr>
      </w:pPr>
      <w:r>
        <w:rPr>
          <w:rFonts w:asciiTheme="minorHAnsi" w:hAnsiTheme="minorHAnsi" w:cstheme="minorHAnsi"/>
          <w:b/>
          <w:color w:val="000000"/>
          <w:sz w:val="21"/>
          <w:szCs w:val="21"/>
        </w:rPr>
        <w:t>7.5.</w:t>
      </w:r>
      <w:r>
        <w:rPr>
          <w:rFonts w:asciiTheme="minorHAnsi" w:hAnsiTheme="minorHAnsi" w:cstheme="minorHAnsi"/>
          <w:color w:val="000000"/>
          <w:sz w:val="21"/>
          <w:szCs w:val="21"/>
        </w:rPr>
        <w:tab/>
      </w:r>
      <w:r>
        <w:rPr>
          <w:rFonts w:asciiTheme="minorHAnsi" w:hAnsiTheme="minorHAnsi" w:cstheme="minorHAnsi"/>
          <w:color w:val="000000"/>
          <w:sz w:val="21"/>
          <w:szCs w:val="21"/>
        </w:rPr>
        <w:t>No caso de controvérsia sobre a execução do objeto, quanto à dimensão, qualidade e quantidade, deverá ser observado o teor do art. 143 da Lei nº 14.133, de 2021, comunicando-se à empresa para emissão de Nota Fiscal no que for pertinente à parcela incontroversa da execução do objeto, para efeito de liquidação e pagamento.</w:t>
      </w:r>
    </w:p>
    <w:p w14:paraId="1B06808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142" w:firstLine="142"/>
        <w:jc w:val="both"/>
        <w:rPr>
          <w:rFonts w:asciiTheme="minorHAnsi" w:hAnsiTheme="minorHAnsi" w:cstheme="minorHAnsi"/>
          <w:color w:val="000000"/>
          <w:sz w:val="21"/>
          <w:szCs w:val="21"/>
        </w:rPr>
      </w:pPr>
      <w:r>
        <w:rPr>
          <w:rFonts w:asciiTheme="minorHAnsi" w:hAnsiTheme="minorHAnsi" w:cstheme="minorHAnsi"/>
          <w:b/>
          <w:color w:val="000000"/>
          <w:sz w:val="21"/>
          <w:szCs w:val="21"/>
        </w:rPr>
        <w:t>7.6.</w:t>
      </w:r>
      <w:r>
        <w:rPr>
          <w:rFonts w:asciiTheme="minorHAnsi" w:hAnsiTheme="minorHAnsi" w:cstheme="minorHAnsi"/>
          <w:color w:val="000000"/>
          <w:sz w:val="21"/>
          <w:szCs w:val="21"/>
        </w:rPr>
        <w:tab/>
      </w:r>
      <w:r>
        <w:rPr>
          <w:rFonts w:asciiTheme="minorHAnsi" w:hAnsiTheme="minorHAnsi" w:cstheme="minorHAnsi"/>
          <w:color w:val="000000"/>
          <w:sz w:val="21"/>
          <w:szCs w:val="21"/>
        </w:rPr>
        <w:t>Nenhum prazo de recebimento ocorrerá enquanto pendente a solução, pelo contratado, de inconsistências verificadas na execução do objeto ou no instrumento de cobrança.</w:t>
      </w:r>
    </w:p>
    <w:p w14:paraId="637E584B">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142" w:firstLine="142"/>
        <w:jc w:val="both"/>
        <w:rPr>
          <w:rFonts w:asciiTheme="minorHAnsi" w:hAnsiTheme="minorHAnsi" w:cstheme="minorHAnsi"/>
          <w:color w:val="000000"/>
          <w:sz w:val="21"/>
          <w:szCs w:val="21"/>
        </w:rPr>
      </w:pPr>
      <w:r>
        <w:rPr>
          <w:rFonts w:asciiTheme="minorHAnsi" w:hAnsiTheme="minorHAnsi" w:cstheme="minorHAnsi"/>
          <w:b/>
          <w:color w:val="000000"/>
          <w:sz w:val="21"/>
          <w:szCs w:val="21"/>
        </w:rPr>
        <w:t>7.7.</w:t>
      </w:r>
      <w:r>
        <w:rPr>
          <w:rFonts w:asciiTheme="minorHAnsi" w:hAnsiTheme="minorHAnsi" w:cstheme="minorHAnsi"/>
          <w:color w:val="000000"/>
          <w:sz w:val="21"/>
          <w:szCs w:val="21"/>
        </w:rPr>
        <w:tab/>
      </w:r>
      <w:r>
        <w:rPr>
          <w:rFonts w:asciiTheme="minorHAnsi" w:hAnsiTheme="minorHAnsi" w:cstheme="minorHAnsi"/>
          <w:color w:val="000000"/>
          <w:sz w:val="21"/>
          <w:szCs w:val="21"/>
        </w:rPr>
        <w:t>O recebimento provisório ou definitivo não excluirá a responsabilidade civil pela solidez e pela segurança do serviço nem a responsabilidade ético-profissional pela perfeita execução do contrato.</w:t>
      </w:r>
    </w:p>
    <w:p w14:paraId="010E227F">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142" w:firstLine="142"/>
        <w:jc w:val="both"/>
        <w:rPr>
          <w:rFonts w:asciiTheme="minorHAnsi" w:hAnsiTheme="minorHAnsi" w:cstheme="minorHAnsi"/>
          <w:color w:val="000000"/>
          <w:sz w:val="21"/>
          <w:szCs w:val="21"/>
        </w:rPr>
      </w:pPr>
    </w:p>
    <w:p w14:paraId="164E0F2C">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142" w:firstLine="142"/>
        <w:jc w:val="both"/>
        <w:rPr>
          <w:rFonts w:asciiTheme="minorHAnsi" w:hAnsiTheme="minorHAnsi" w:cstheme="minorHAnsi"/>
          <w:b/>
          <w:color w:val="000000"/>
          <w:sz w:val="21"/>
          <w:szCs w:val="21"/>
        </w:rPr>
      </w:pPr>
      <w:r>
        <w:rPr>
          <w:rFonts w:asciiTheme="minorHAnsi" w:hAnsiTheme="minorHAnsi" w:cstheme="minorHAnsi"/>
          <w:b/>
          <w:color w:val="000000"/>
          <w:sz w:val="21"/>
          <w:szCs w:val="21"/>
        </w:rPr>
        <w:t>Nota Fiscal</w:t>
      </w:r>
    </w:p>
    <w:p w14:paraId="4BA8C4D4">
      <w:pPr>
        <w:pBdr>
          <w:top w:val="none" w:color="auto" w:sz="0" w:space="0"/>
          <w:left w:val="none" w:color="auto" w:sz="0" w:space="0"/>
          <w:bottom w:val="none" w:color="auto" w:sz="0" w:space="0"/>
          <w:right w:val="none" w:color="auto" w:sz="0" w:space="0"/>
          <w:between w:val="none" w:color="auto" w:sz="0" w:space="0"/>
        </w:pBdr>
        <w:spacing w:line="360" w:lineRule="auto"/>
        <w:ind w:left="-142" w:firstLine="142"/>
        <w:jc w:val="both"/>
        <w:rPr>
          <w:rFonts w:asciiTheme="minorHAnsi" w:hAnsiTheme="minorHAnsi" w:cstheme="minorHAnsi"/>
          <w:color w:val="000000"/>
          <w:sz w:val="21"/>
          <w:szCs w:val="21"/>
        </w:rPr>
      </w:pPr>
      <w:r>
        <w:rPr>
          <w:rFonts w:asciiTheme="minorHAnsi" w:hAnsiTheme="minorHAnsi" w:cstheme="minorHAnsi"/>
          <w:b/>
          <w:color w:val="000000"/>
          <w:sz w:val="21"/>
          <w:szCs w:val="21"/>
        </w:rPr>
        <w:t>7.8.</w:t>
      </w:r>
      <w:r>
        <w:rPr>
          <w:rFonts w:asciiTheme="minorHAnsi" w:hAnsiTheme="minorHAnsi" w:cstheme="minorHAnsi"/>
          <w:color w:val="000000"/>
          <w:sz w:val="21"/>
          <w:szCs w:val="21"/>
        </w:rPr>
        <w:t xml:space="preserve"> A Nota Fiscal ou Fatura deverá ser obrigatoriamente acompanhada da comprovação da regularidade fiscal, constatada por meio de consulta </w:t>
      </w:r>
      <w:r>
        <w:rPr>
          <w:rFonts w:asciiTheme="minorHAnsi" w:hAnsiTheme="minorHAnsi" w:cstheme="minorHAnsi"/>
          <w:i/>
          <w:color w:val="000000"/>
          <w:sz w:val="21"/>
          <w:szCs w:val="21"/>
        </w:rPr>
        <w:t>on-line</w:t>
      </w:r>
      <w:r>
        <w:rPr>
          <w:rFonts w:asciiTheme="minorHAnsi" w:hAnsiTheme="minorHAnsi" w:cstheme="minorHAnsi"/>
          <w:color w:val="000000"/>
          <w:sz w:val="21"/>
          <w:szCs w:val="21"/>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\h </w:instrText>
      </w:r>
      <w:r>
        <w:fldChar w:fldCharType="separate"/>
      </w:r>
      <w:r>
        <w:rPr>
          <w:rFonts w:asciiTheme="minorHAnsi" w:hAnsiTheme="minorHAnsi" w:cstheme="minorHAnsi"/>
          <w:color w:val="000000"/>
          <w:sz w:val="21"/>
          <w:szCs w:val="21"/>
        </w:rPr>
        <w:t>art. 68 da Lei nº 14.133, de 2021</w:t>
      </w:r>
      <w:r>
        <w:rPr>
          <w:rFonts w:asciiTheme="minorHAnsi" w:hAnsiTheme="minorHAnsi" w:cstheme="minorHAnsi"/>
          <w:color w:val="000000"/>
          <w:sz w:val="21"/>
          <w:szCs w:val="21"/>
        </w:rPr>
        <w:fldChar w:fldCharType="end"/>
      </w:r>
      <w:r>
        <w:rPr>
          <w:rFonts w:asciiTheme="minorHAnsi" w:hAnsiTheme="minorHAnsi" w:cstheme="minorHAnsi"/>
          <w:color w:val="000000"/>
          <w:sz w:val="21"/>
          <w:szCs w:val="21"/>
        </w:rPr>
        <w:t>.</w:t>
      </w:r>
    </w:p>
    <w:p w14:paraId="2493E70D">
      <w:pPr>
        <w:pBdr>
          <w:top w:val="none" w:color="auto" w:sz="0" w:space="0"/>
          <w:left w:val="none" w:color="auto" w:sz="0" w:space="0"/>
          <w:bottom w:val="none" w:color="auto" w:sz="0" w:space="0"/>
          <w:right w:val="none" w:color="auto" w:sz="0" w:space="0"/>
          <w:between w:val="none" w:color="auto" w:sz="0" w:space="0"/>
        </w:pBdr>
        <w:spacing w:line="360" w:lineRule="auto"/>
        <w:ind w:left="999" w:hanging="432"/>
        <w:jc w:val="both"/>
        <w:rPr>
          <w:rFonts w:asciiTheme="minorHAnsi" w:hAnsiTheme="minorHAnsi" w:cstheme="minorHAnsi"/>
          <w:color w:val="000000"/>
          <w:sz w:val="21"/>
          <w:szCs w:val="21"/>
        </w:rPr>
      </w:pPr>
    </w:p>
    <w:p w14:paraId="59139A6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432"/>
        <w:jc w:val="both"/>
        <w:rPr>
          <w:rFonts w:asciiTheme="minorHAnsi" w:hAnsiTheme="minorHAnsi" w:cstheme="minorHAnsi"/>
          <w:b/>
          <w:color w:val="000000"/>
          <w:sz w:val="21"/>
          <w:szCs w:val="21"/>
        </w:rPr>
      </w:pPr>
      <w:r>
        <w:rPr>
          <w:rFonts w:asciiTheme="minorHAnsi" w:hAnsiTheme="minorHAnsi" w:cstheme="minorHAnsi"/>
          <w:b/>
          <w:color w:val="000000"/>
          <w:sz w:val="21"/>
          <w:szCs w:val="21"/>
        </w:rPr>
        <w:t>Prazo de pagamento</w:t>
      </w:r>
    </w:p>
    <w:p w14:paraId="6017B34A">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7.9.</w:t>
      </w:r>
      <w:r>
        <w:rPr>
          <w:rFonts w:asciiTheme="minorHAnsi" w:hAnsiTheme="minorHAnsi" w:cstheme="minorHAnsi"/>
          <w:color w:val="000000"/>
          <w:sz w:val="21"/>
          <w:szCs w:val="21"/>
        </w:rPr>
        <w:tab/>
      </w:r>
      <w:r>
        <w:rPr>
          <w:rFonts w:asciiTheme="minorHAnsi" w:hAnsiTheme="minorHAnsi" w:cstheme="minorHAnsi"/>
          <w:color w:val="000000"/>
          <w:sz w:val="21"/>
          <w:szCs w:val="21"/>
        </w:rPr>
        <w:t>O prazo de pagamento será de 21 DFS</w:t>
      </w:r>
    </w:p>
    <w:p w14:paraId="08461579">
      <w:pPr>
        <w:pBdr>
          <w:top w:val="none" w:color="auto" w:sz="0" w:space="0"/>
          <w:left w:val="none" w:color="auto" w:sz="0" w:space="0"/>
          <w:bottom w:val="none" w:color="auto" w:sz="0" w:space="0"/>
          <w:right w:val="none" w:color="auto" w:sz="0" w:space="0"/>
          <w:between w:val="none" w:color="auto" w:sz="0" w:space="0"/>
        </w:pBdr>
        <w:tabs>
          <w:tab w:val="left" w:pos="567"/>
        </w:tabs>
        <w:spacing w:line="360" w:lineRule="auto"/>
        <w:ind w:left="999" w:hanging="5"/>
        <w:jc w:val="both"/>
        <w:rPr>
          <w:rFonts w:asciiTheme="minorHAnsi" w:hAnsiTheme="minorHAnsi" w:cstheme="minorHAnsi"/>
          <w:color w:val="000000"/>
          <w:sz w:val="21"/>
          <w:szCs w:val="21"/>
        </w:rPr>
      </w:pPr>
      <w:r>
        <w:rPr>
          <w:rFonts w:asciiTheme="minorHAnsi" w:hAnsiTheme="minorHAnsi" w:cstheme="minorHAnsi"/>
          <w:b/>
          <w:color w:val="000000"/>
          <w:sz w:val="21"/>
          <w:szCs w:val="21"/>
        </w:rPr>
        <w:t>7.10.</w:t>
      </w:r>
      <w:r>
        <w:rPr>
          <w:rFonts w:asciiTheme="minorHAnsi" w:hAnsiTheme="minorHAnsi" w:cstheme="minorHAnsi"/>
          <w:color w:val="000000"/>
          <w:sz w:val="21"/>
          <w:szCs w:val="21"/>
        </w:rPr>
        <w:tab/>
      </w:r>
      <w:r>
        <w:rPr>
          <w:rFonts w:asciiTheme="minorHAnsi" w:hAnsiTheme="minorHAnsi" w:cstheme="minorHAnsi"/>
          <w:color w:val="000000"/>
          <w:sz w:val="21"/>
          <w:szCs w:val="21"/>
        </w:rPr>
        <w:t>No caso de atraso pelo Contratante, os valores devidos ao contratado serão atualizados monetariamente entre o termo final do prazo de pagamento até a data de sua efetiva realização, mediante aplicação do índice de correção monetária a ser referenciada no Contrato.</w:t>
      </w:r>
    </w:p>
    <w:p w14:paraId="03B2728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360" w:lineRule="auto"/>
        <w:ind w:left="999" w:hanging="432"/>
        <w:jc w:val="both"/>
        <w:rPr>
          <w:rFonts w:asciiTheme="minorHAnsi" w:hAnsiTheme="minorHAnsi" w:cstheme="minorHAnsi"/>
          <w:b/>
          <w:color w:val="000000"/>
          <w:sz w:val="21"/>
          <w:szCs w:val="21"/>
        </w:rPr>
      </w:pPr>
      <w:r>
        <w:rPr>
          <w:rFonts w:asciiTheme="minorHAnsi" w:hAnsiTheme="minorHAnsi" w:cstheme="minorHAnsi"/>
          <w:b/>
          <w:color w:val="000000"/>
          <w:sz w:val="21"/>
          <w:szCs w:val="21"/>
        </w:rPr>
        <w:t>Forma de pagamento</w:t>
      </w:r>
    </w:p>
    <w:p w14:paraId="6FE0D8B8">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7.11.</w:t>
      </w:r>
      <w:r>
        <w:rPr>
          <w:rFonts w:asciiTheme="minorHAnsi" w:hAnsiTheme="minorHAnsi" w:cstheme="minorHAnsi"/>
          <w:b/>
          <w:color w:val="000000"/>
          <w:sz w:val="21"/>
          <w:szCs w:val="21"/>
        </w:rPr>
        <w:tab/>
      </w:r>
      <w:r>
        <w:rPr>
          <w:rFonts w:asciiTheme="minorHAnsi" w:hAnsiTheme="minorHAnsi" w:cstheme="minorHAnsi"/>
          <w:color w:val="000000"/>
          <w:sz w:val="21"/>
          <w:szCs w:val="21"/>
        </w:rPr>
        <w:t>O pagamento será realizado por meio de ordem bancária, para crédito em banco, agência e conta corrente indicados pelo contratado.</w:t>
      </w:r>
    </w:p>
    <w:p w14:paraId="1FE6FAB7">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7.12.</w:t>
      </w:r>
      <w:r>
        <w:rPr>
          <w:rFonts w:asciiTheme="minorHAnsi" w:hAnsiTheme="minorHAnsi" w:cstheme="minorHAnsi"/>
          <w:color w:val="000000"/>
          <w:sz w:val="21"/>
          <w:szCs w:val="21"/>
        </w:rPr>
        <w:tab/>
      </w:r>
      <w:r>
        <w:rPr>
          <w:rFonts w:asciiTheme="minorHAnsi" w:hAnsiTheme="minorHAnsi" w:cstheme="minorHAnsi"/>
          <w:color w:val="000000"/>
          <w:sz w:val="21"/>
          <w:szCs w:val="21"/>
        </w:rPr>
        <w:t>Será considerada data do pagamento o dia em que constar como emitida a ordem bancária para pagamento.</w:t>
      </w:r>
    </w:p>
    <w:p w14:paraId="7B2CF94C">
      <w:pPr>
        <w:pBdr>
          <w:top w:val="none" w:color="auto" w:sz="0" w:space="0"/>
          <w:left w:val="none" w:color="auto" w:sz="0" w:space="0"/>
          <w:bottom w:val="none" w:color="auto" w:sz="0" w:space="0"/>
          <w:right w:val="none" w:color="auto" w:sz="0" w:space="0"/>
          <w:between w:val="none" w:color="auto" w:sz="0" w:space="0"/>
        </w:pBdr>
        <w:tabs>
          <w:tab w:val="left" w:pos="709"/>
        </w:tabs>
        <w:spacing w:before="120" w:after="120" w:line="360" w:lineRule="auto"/>
        <w:jc w:val="both"/>
        <w:rPr>
          <w:rFonts w:asciiTheme="minorHAnsi" w:hAnsiTheme="minorHAnsi" w:cstheme="minorHAnsi"/>
          <w:color w:val="000000"/>
          <w:sz w:val="21"/>
          <w:szCs w:val="21"/>
        </w:rPr>
      </w:pPr>
      <w:r>
        <w:rPr>
          <w:rFonts w:asciiTheme="minorHAnsi" w:hAnsiTheme="minorHAnsi" w:cstheme="minorHAnsi"/>
          <w:b/>
          <w:color w:val="000000"/>
          <w:sz w:val="21"/>
          <w:szCs w:val="21"/>
        </w:rPr>
        <w:t>7.13.</w:t>
      </w:r>
      <w:r>
        <w:rPr>
          <w:rFonts w:asciiTheme="minorHAnsi" w:hAnsiTheme="minorHAnsi" w:cstheme="minorHAnsi"/>
          <w:b/>
          <w:color w:val="000000"/>
          <w:sz w:val="21"/>
          <w:szCs w:val="21"/>
        </w:rPr>
        <w:tab/>
      </w:r>
      <w:r>
        <w:rPr>
          <w:rFonts w:asciiTheme="minorHAnsi" w:hAnsiTheme="minorHAnsi" w:cstheme="minorHAnsi"/>
          <w:color w:val="000000"/>
          <w:sz w:val="21"/>
          <w:szCs w:val="21"/>
        </w:rPr>
        <w:t>Quando do pagamento, será efetuada a retenção tributária prevista na legislação aplicável.</w:t>
      </w:r>
    </w:p>
    <w:p w14:paraId="0764C901">
      <w:pPr>
        <w:pBdr>
          <w:top w:val="none" w:color="auto" w:sz="0" w:space="0"/>
          <w:left w:val="none" w:color="auto" w:sz="0" w:space="0"/>
          <w:bottom w:val="none" w:color="auto" w:sz="0" w:space="0"/>
          <w:right w:val="none" w:color="auto" w:sz="0" w:space="0"/>
          <w:between w:val="none" w:color="auto" w:sz="0" w:space="0"/>
        </w:pBdr>
        <w:tabs>
          <w:tab w:val="left" w:pos="709"/>
        </w:tabs>
        <w:spacing w:line="360"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7.13.1.</w:t>
      </w:r>
      <w:r>
        <w:rPr>
          <w:rFonts w:asciiTheme="minorHAnsi" w:hAnsiTheme="minorHAnsi" w:cstheme="minorHAnsi"/>
          <w:color w:val="000000"/>
          <w:sz w:val="21"/>
          <w:szCs w:val="21"/>
        </w:rPr>
        <w:tab/>
      </w:r>
      <w:r>
        <w:rPr>
          <w:rFonts w:asciiTheme="minorHAnsi" w:hAnsiTheme="minorHAnsi" w:cstheme="minorHAnsi"/>
          <w:color w:val="000000"/>
          <w:sz w:val="21"/>
          <w:szCs w:val="21"/>
        </w:rPr>
        <w:t xml:space="preserve">Independentemente do percentual de tributo inserido na planilha, quando houver, serão retidos na fonte, quando da realização do pagamento, os percentuais estabelecidos na legislação vigente.  </w:t>
      </w:r>
    </w:p>
    <w:p w14:paraId="407FF086">
      <w:pPr>
        <w:tabs>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7.14.</w:t>
      </w:r>
      <w:r>
        <w:rPr>
          <w:rFonts w:asciiTheme="minorHAnsi" w:hAnsiTheme="minorHAnsi" w:cstheme="minorHAnsi"/>
          <w:sz w:val="21"/>
          <w:szCs w:val="21"/>
        </w:rPr>
        <w:tab/>
      </w:r>
      <w:r>
        <w:rPr>
          <w:rFonts w:asciiTheme="minorHAnsi" w:hAnsiTheme="minorHAnsi" w:cstheme="minorHAnsi"/>
          <w:sz w:val="21"/>
          <w:szCs w:val="21"/>
        </w:rPr>
        <w:t>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073B1143">
      <w:pPr>
        <w:tabs>
          <w:tab w:val="left" w:pos="426"/>
        </w:tabs>
        <w:spacing w:line="360" w:lineRule="auto"/>
        <w:jc w:val="both"/>
        <w:rPr>
          <w:rFonts w:asciiTheme="minorHAnsi" w:hAnsiTheme="minorHAnsi" w:cstheme="minorHAnsi"/>
          <w:sz w:val="21"/>
          <w:szCs w:val="21"/>
        </w:rPr>
      </w:pPr>
    </w:p>
    <w:p w14:paraId="0011DCE2">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8.</w:t>
      </w:r>
      <w:r>
        <w:rPr>
          <w:rFonts w:asciiTheme="minorHAnsi" w:hAnsiTheme="minorHAnsi" w:cstheme="minorHAnsi"/>
          <w:b/>
          <w:sz w:val="21"/>
          <w:szCs w:val="21"/>
        </w:rPr>
        <w:tab/>
      </w:r>
      <w:r>
        <w:rPr>
          <w:rFonts w:asciiTheme="minorHAnsi" w:hAnsiTheme="minorHAnsi" w:cstheme="minorHAnsi"/>
          <w:b/>
          <w:sz w:val="21"/>
          <w:szCs w:val="21"/>
        </w:rPr>
        <w:t>FORMA E CRITÉRIOS DE SELEÇÃO DO FORNECEDOR</w:t>
      </w:r>
    </w:p>
    <w:p w14:paraId="48537DA7">
      <w:pPr>
        <w:tabs>
          <w:tab w:val="left" w:pos="142"/>
          <w:tab w:val="left" w:pos="426"/>
        </w:tabs>
        <w:spacing w:line="360" w:lineRule="auto"/>
        <w:jc w:val="both"/>
        <w:rPr>
          <w:rFonts w:asciiTheme="minorHAnsi" w:hAnsiTheme="minorHAnsi" w:cstheme="minorHAnsi"/>
          <w:b/>
          <w:sz w:val="21"/>
          <w:szCs w:val="21"/>
        </w:rPr>
      </w:pPr>
      <w:r>
        <w:rPr>
          <w:rFonts w:asciiTheme="minorHAnsi" w:hAnsiTheme="minorHAnsi" w:cstheme="minorHAnsi"/>
          <w:b/>
          <w:sz w:val="21"/>
          <w:szCs w:val="21"/>
        </w:rPr>
        <w:t>Forma de seleção e critério de julgamento da proposta</w:t>
      </w:r>
    </w:p>
    <w:p w14:paraId="4608484F">
      <w:pPr>
        <w:tabs>
          <w:tab w:val="left" w:pos="142"/>
          <w:tab w:val="left" w:pos="426"/>
        </w:tabs>
        <w:spacing w:line="360" w:lineRule="auto"/>
        <w:jc w:val="both"/>
        <w:rPr>
          <w:rFonts w:asciiTheme="minorHAnsi" w:hAnsiTheme="minorHAnsi" w:cstheme="minorHAnsi"/>
          <w:sz w:val="21"/>
          <w:szCs w:val="21"/>
        </w:rPr>
      </w:pPr>
      <w:r>
        <w:rPr>
          <w:rFonts w:asciiTheme="minorHAnsi" w:hAnsiTheme="minorHAnsi" w:cstheme="minorHAnsi"/>
          <w:b/>
          <w:sz w:val="21"/>
          <w:szCs w:val="21"/>
        </w:rPr>
        <w:t>8.1.</w:t>
      </w:r>
      <w:r>
        <w:rPr>
          <w:rFonts w:asciiTheme="minorHAnsi" w:hAnsiTheme="minorHAnsi" w:cstheme="minorHAnsi"/>
          <w:sz w:val="21"/>
          <w:szCs w:val="21"/>
        </w:rPr>
        <w:tab/>
      </w:r>
      <w:r>
        <w:rPr>
          <w:rFonts w:asciiTheme="minorHAnsi" w:hAnsiTheme="minorHAnsi" w:cstheme="minorHAnsi"/>
          <w:sz w:val="21"/>
          <w:szCs w:val="21"/>
        </w:rPr>
        <w:t>O fornecedor será selecionado por meio da realização de procedimento de LICITAÇÃO, na modalidade PREGÃO, sob a forma ELETRÔNICA, com adoção do critério de julgamento pelo MENOR PREÇO.</w:t>
      </w:r>
    </w:p>
    <w:p w14:paraId="46CAE19B">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line="276" w:lineRule="auto"/>
        <w:ind w:left="999" w:hanging="432"/>
        <w:jc w:val="both"/>
        <w:rPr>
          <w:rFonts w:asciiTheme="minorHAnsi" w:hAnsiTheme="minorHAnsi" w:cstheme="minorHAnsi"/>
          <w:b/>
          <w:color w:val="000000"/>
          <w:sz w:val="21"/>
          <w:szCs w:val="21"/>
        </w:rPr>
      </w:pPr>
      <w:r>
        <w:rPr>
          <w:rFonts w:asciiTheme="minorHAnsi" w:hAnsiTheme="minorHAnsi" w:cstheme="minorHAnsi"/>
          <w:b/>
          <w:color w:val="000000"/>
          <w:sz w:val="21"/>
          <w:szCs w:val="21"/>
        </w:rPr>
        <w:t>Exigências de habilitação</w:t>
      </w:r>
    </w:p>
    <w:p w14:paraId="703DC827">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hanging="432"/>
        <w:jc w:val="both"/>
        <w:rPr>
          <w:rFonts w:asciiTheme="minorHAnsi" w:hAnsiTheme="minorHAnsi" w:cstheme="minorHAnsi"/>
          <w:color w:val="000000"/>
          <w:sz w:val="21"/>
          <w:szCs w:val="21"/>
        </w:rPr>
      </w:pPr>
      <w:r>
        <w:rPr>
          <w:rFonts w:asciiTheme="minorHAnsi" w:hAnsiTheme="minorHAnsi" w:cstheme="minorHAnsi"/>
          <w:color w:val="000000"/>
          <w:sz w:val="21"/>
          <w:szCs w:val="21"/>
        </w:rPr>
        <w:t>Para fins de habilitação, deverá o licitante comprovar os seguintes requisitos:</w:t>
      </w:r>
    </w:p>
    <w:p w14:paraId="0D348000">
      <w:pPr>
        <w:pBdr>
          <w:top w:val="none" w:color="auto" w:sz="0" w:space="0"/>
          <w:left w:val="none" w:color="auto" w:sz="0" w:space="0"/>
          <w:bottom w:val="none" w:color="auto" w:sz="0" w:space="0"/>
          <w:right w:val="none" w:color="auto" w:sz="0" w:space="0"/>
          <w:between w:val="none" w:color="auto" w:sz="0" w:space="0"/>
        </w:pBdr>
        <w:tabs>
          <w:tab w:val="left" w:pos="426"/>
        </w:tabs>
        <w:spacing w:before="120" w:after="120" w:line="276" w:lineRule="auto"/>
        <w:ind w:left="999" w:hanging="999"/>
        <w:jc w:val="both"/>
        <w:rPr>
          <w:rFonts w:asciiTheme="minorHAnsi" w:hAnsiTheme="minorHAnsi" w:cstheme="minorHAnsi"/>
          <w:b/>
          <w:color w:val="000000"/>
          <w:sz w:val="21"/>
          <w:szCs w:val="21"/>
        </w:rPr>
      </w:pPr>
      <w:r>
        <w:rPr>
          <w:rFonts w:asciiTheme="minorHAnsi" w:hAnsiTheme="minorHAnsi" w:cstheme="minorHAnsi"/>
          <w:b/>
          <w:color w:val="000000"/>
          <w:sz w:val="21"/>
          <w:szCs w:val="21"/>
        </w:rPr>
        <w:t>8.2.</w:t>
      </w:r>
      <w:r>
        <w:rPr>
          <w:rFonts w:asciiTheme="minorHAnsi" w:hAnsiTheme="minorHAnsi" w:cstheme="minorHAnsi"/>
          <w:color w:val="000000"/>
          <w:sz w:val="21"/>
          <w:szCs w:val="21"/>
        </w:rPr>
        <w:tab/>
      </w:r>
      <w:r>
        <w:rPr>
          <w:rFonts w:asciiTheme="minorHAnsi" w:hAnsiTheme="minorHAnsi" w:cstheme="minorHAnsi"/>
          <w:b/>
          <w:color w:val="000000"/>
          <w:sz w:val="21"/>
          <w:szCs w:val="21"/>
        </w:rPr>
        <w:t xml:space="preserve">Habilitação jurídica: </w:t>
      </w:r>
    </w:p>
    <w:p w14:paraId="321F2EFB">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hanging="432"/>
        <w:jc w:val="both"/>
        <w:rPr>
          <w:rFonts w:asciiTheme="minorHAnsi" w:hAnsiTheme="minorHAnsi" w:cstheme="minorHAnsi"/>
          <w:color w:val="000000"/>
          <w:sz w:val="21"/>
          <w:szCs w:val="21"/>
        </w:rPr>
      </w:pPr>
      <w:bookmarkStart w:id="4" w:name="_heading=h.30j0zll" w:colFirst="0" w:colLast="0"/>
      <w:bookmarkEnd w:id="4"/>
      <w:r>
        <w:rPr>
          <w:rFonts w:asciiTheme="minorHAnsi" w:hAnsiTheme="minorHAnsi" w:cstheme="minorHAnsi"/>
          <w:b/>
          <w:color w:val="000000"/>
          <w:sz w:val="21"/>
          <w:szCs w:val="21"/>
        </w:rPr>
        <w:t>8.2.1. Pessoa física:</w:t>
      </w:r>
      <w:r>
        <w:rPr>
          <w:rFonts w:asciiTheme="minorHAnsi" w:hAnsiTheme="minorHAnsi" w:cstheme="minorHAnsi"/>
          <w:color w:val="000000"/>
          <w:sz w:val="21"/>
          <w:szCs w:val="21"/>
        </w:rPr>
        <w:t xml:space="preserve"> cédula de identidade (RG) ou documento equivalente que, por força de lei, tenha validade para fins de identificação em todo o território nacional;</w:t>
      </w:r>
    </w:p>
    <w:p w14:paraId="715A28C0">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8.2.2. Empresário individual:</w:t>
      </w:r>
      <w:r>
        <w:rPr>
          <w:rFonts w:asciiTheme="minorHAnsi" w:hAnsiTheme="minorHAnsi" w:cstheme="minorHAnsi"/>
          <w:color w:val="000000"/>
          <w:sz w:val="21"/>
          <w:szCs w:val="21"/>
        </w:rPr>
        <w:t xml:space="preserve"> inscrição no Registro Público de Empresas Mercantis, a cargo da Junta Comercial da respectiva sede; </w:t>
      </w:r>
    </w:p>
    <w:p w14:paraId="2ADA383A">
      <w:pPr>
        <w:pBdr>
          <w:top w:val="none" w:color="auto" w:sz="0" w:space="0"/>
          <w:left w:val="none" w:color="auto" w:sz="0" w:space="0"/>
          <w:bottom w:val="none" w:color="auto" w:sz="0" w:space="0"/>
          <w:right w:val="none" w:color="auto" w:sz="0" w:space="0"/>
          <w:between w:val="none" w:color="auto" w:sz="0" w:space="0"/>
        </w:pBdr>
        <w:tabs>
          <w:tab w:val="left" w:pos="284"/>
          <w:tab w:val="left" w:pos="567"/>
        </w:tabs>
        <w:spacing w:before="120" w:after="120" w:line="276"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8.2.3. Microempreendedor Individual - MEI:</w:t>
      </w:r>
      <w:r>
        <w:rPr>
          <w:rFonts w:asciiTheme="minorHAnsi" w:hAnsiTheme="minorHAnsi" w:cstheme="minorHAnsi"/>
          <w:color w:val="000000"/>
          <w:sz w:val="21"/>
          <w:szCs w:val="21"/>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Fonts w:asciiTheme="minorHAnsi" w:hAnsiTheme="minorHAnsi" w:cstheme="minorHAnsi"/>
          <w:color w:val="000000"/>
          <w:sz w:val="21"/>
          <w:szCs w:val="21"/>
          <w:u w:val="single"/>
        </w:rPr>
        <w:t>https://www.gov.br/empresas-e-negocios/pt-br/empreendedor</w:t>
      </w:r>
      <w:r>
        <w:rPr>
          <w:rFonts w:asciiTheme="minorHAnsi" w:hAnsiTheme="minorHAnsi" w:cstheme="minorHAnsi"/>
          <w:color w:val="000000"/>
          <w:sz w:val="21"/>
          <w:szCs w:val="21"/>
          <w:u w:val="single"/>
        </w:rPr>
        <w:fldChar w:fldCharType="end"/>
      </w:r>
      <w:r>
        <w:rPr>
          <w:rFonts w:asciiTheme="minorHAnsi" w:hAnsiTheme="minorHAnsi" w:cstheme="minorHAnsi"/>
          <w:color w:val="000000"/>
          <w:sz w:val="21"/>
          <w:szCs w:val="21"/>
        </w:rPr>
        <w:t xml:space="preserve">; </w:t>
      </w:r>
    </w:p>
    <w:p w14:paraId="10ABC0E5">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8.2.4. Sociedade empresária, sociedade limitada unipessoal – SLU ou sociedade identificada como empresa individual de responsabilidade limitada - EIRELI:</w:t>
      </w:r>
      <w:r>
        <w:rPr>
          <w:rFonts w:asciiTheme="minorHAnsi" w:hAnsiTheme="minorHAnsi" w:cstheme="minorHAnsi"/>
          <w:color w:val="000000"/>
          <w:sz w:val="21"/>
          <w:szCs w:val="21"/>
        </w:rPr>
        <w:t xml:space="preserve"> inscrição do ato constitutivo, estatuto ou contrato social no Registro Público de Empresas Mercantis, a cargo da Junta Comercial da respectiva sede, acompanhada de documento comprobatório de seus administradores;</w:t>
      </w:r>
    </w:p>
    <w:p w14:paraId="2813D108">
      <w:pPr>
        <w:pBdr>
          <w:top w:val="none" w:color="auto" w:sz="0" w:space="0"/>
          <w:left w:val="none" w:color="auto" w:sz="0" w:space="0"/>
          <w:bottom w:val="none" w:color="auto" w:sz="0" w:space="0"/>
          <w:right w:val="none" w:color="auto" w:sz="0" w:space="0"/>
          <w:between w:val="none" w:color="auto" w:sz="0" w:space="0"/>
        </w:pBdr>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8.2.5. Sociedade empresária estrangeira:</w:t>
      </w:r>
      <w:r>
        <w:rPr>
          <w:rFonts w:asciiTheme="minorHAnsi" w:hAnsiTheme="minorHAnsi" w:cstheme="minorHAnsi"/>
          <w:color w:val="000000"/>
          <w:sz w:val="21"/>
          <w:szCs w:val="21"/>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Fonts w:asciiTheme="minorHAnsi" w:hAnsiTheme="minorHAnsi" w:cstheme="minorHAnsi"/>
          <w:color w:val="000000"/>
          <w:sz w:val="21"/>
          <w:szCs w:val="21"/>
          <w:u w:val="single"/>
        </w:rPr>
        <w:t>Normativa DREI/ME n.º 77, de 18 de março de 2020</w:t>
      </w:r>
      <w:r>
        <w:rPr>
          <w:rFonts w:asciiTheme="minorHAnsi" w:hAnsiTheme="minorHAnsi" w:cstheme="minorHAnsi"/>
          <w:color w:val="000000"/>
          <w:sz w:val="21"/>
          <w:szCs w:val="21"/>
          <w:u w:val="single"/>
        </w:rPr>
        <w:fldChar w:fldCharType="end"/>
      </w:r>
      <w:r>
        <w:rPr>
          <w:rFonts w:asciiTheme="minorHAnsi" w:hAnsiTheme="minorHAnsi" w:cstheme="minorHAnsi"/>
          <w:color w:val="000000"/>
          <w:sz w:val="21"/>
          <w:szCs w:val="21"/>
        </w:rPr>
        <w:t>.</w:t>
      </w:r>
    </w:p>
    <w:p w14:paraId="1B46F075">
      <w:pPr>
        <w:pBdr>
          <w:top w:val="none" w:color="auto" w:sz="0" w:space="0"/>
          <w:left w:val="none" w:color="auto" w:sz="0" w:space="0"/>
          <w:bottom w:val="none" w:color="auto" w:sz="0" w:space="0"/>
          <w:right w:val="none" w:color="auto" w:sz="0" w:space="0"/>
          <w:between w:val="none" w:color="auto" w:sz="0" w:space="0"/>
        </w:pBdr>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 xml:space="preserve">8.2.6. Sociedade simples: </w:t>
      </w:r>
      <w:r>
        <w:rPr>
          <w:rFonts w:asciiTheme="minorHAnsi" w:hAnsiTheme="minorHAnsi" w:cstheme="minorHAnsi"/>
          <w:color w:val="000000"/>
          <w:sz w:val="21"/>
          <w:szCs w:val="21"/>
        </w:rPr>
        <w:t>inscrição do ato constitutivo no Registro Civil de Pessoas Jurídicas do local de sua sede, acompanhada de documento comprobatório de seus administradores;</w:t>
      </w:r>
    </w:p>
    <w:p w14:paraId="0B837619">
      <w:pPr>
        <w:pBdr>
          <w:top w:val="none" w:color="auto" w:sz="0" w:space="0"/>
          <w:left w:val="none" w:color="auto" w:sz="0" w:space="0"/>
          <w:bottom w:val="none" w:color="auto" w:sz="0" w:space="0"/>
          <w:right w:val="none" w:color="auto" w:sz="0" w:space="0"/>
          <w:between w:val="none" w:color="auto" w:sz="0" w:space="0"/>
        </w:pBdr>
        <w:spacing w:before="120" w:after="120" w:line="276" w:lineRule="auto"/>
        <w:ind w:left="999" w:hanging="432"/>
        <w:jc w:val="both"/>
        <w:rPr>
          <w:rFonts w:asciiTheme="minorHAnsi" w:hAnsiTheme="minorHAnsi" w:cstheme="minorHAnsi"/>
          <w:color w:val="000000"/>
          <w:sz w:val="21"/>
          <w:szCs w:val="21"/>
        </w:rPr>
      </w:pPr>
      <w:bookmarkStart w:id="5" w:name="_heading=h.1fob9te" w:colFirst="0" w:colLast="0"/>
      <w:bookmarkEnd w:id="5"/>
      <w:r>
        <w:rPr>
          <w:rFonts w:asciiTheme="minorHAnsi" w:hAnsiTheme="minorHAnsi" w:cstheme="minorHAnsi"/>
          <w:b/>
          <w:color w:val="000000"/>
          <w:sz w:val="21"/>
          <w:szCs w:val="21"/>
        </w:rPr>
        <w:t>8.2.7. Filial, sucursal ou agência de sociedade simples ou empresária:</w:t>
      </w:r>
      <w:r>
        <w:rPr>
          <w:rFonts w:asciiTheme="minorHAnsi" w:hAnsiTheme="minorHAnsi" w:cstheme="minorHAnsi"/>
          <w:color w:val="000000"/>
          <w:sz w:val="21"/>
          <w:szCs w:val="21"/>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4D565C65">
      <w:pPr>
        <w:pBdr>
          <w:top w:val="none" w:color="auto" w:sz="0" w:space="0"/>
          <w:left w:val="none" w:color="auto" w:sz="0" w:space="0"/>
          <w:bottom w:val="none" w:color="auto" w:sz="0" w:space="0"/>
          <w:right w:val="none" w:color="auto" w:sz="0" w:space="0"/>
          <w:between w:val="none" w:color="auto" w:sz="0" w:space="0"/>
        </w:pBdr>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8.2.8. Sociedade cooperativa:</w:t>
      </w:r>
      <w:r>
        <w:rPr>
          <w:rFonts w:asciiTheme="minorHAnsi" w:hAnsiTheme="minorHAnsi" w:cstheme="minorHAnsi"/>
          <w:color w:val="000000"/>
          <w:sz w:val="21"/>
          <w:szCs w:val="21"/>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Fonts w:asciiTheme="minorHAnsi" w:hAnsiTheme="minorHAnsi" w:cstheme="minorHAnsi"/>
          <w:color w:val="000000"/>
          <w:sz w:val="21"/>
          <w:szCs w:val="21"/>
        </w:rPr>
        <w:t>art. 107 da Lei n.º 5.764, de 1971</w:t>
      </w:r>
      <w:r>
        <w:rPr>
          <w:rFonts w:asciiTheme="minorHAnsi" w:hAnsiTheme="minorHAnsi" w:cstheme="minorHAnsi"/>
          <w:color w:val="000000"/>
          <w:sz w:val="21"/>
          <w:szCs w:val="21"/>
        </w:rPr>
        <w:fldChar w:fldCharType="end"/>
      </w:r>
      <w:r>
        <w:rPr>
          <w:rFonts w:asciiTheme="minorHAnsi" w:hAnsiTheme="minorHAnsi" w:cstheme="minorHAnsi"/>
          <w:color w:val="000000"/>
          <w:sz w:val="21"/>
          <w:szCs w:val="21"/>
        </w:rPr>
        <w:t>.</w:t>
      </w:r>
    </w:p>
    <w:p w14:paraId="05237B31">
      <w:pPr>
        <w:pBdr>
          <w:top w:val="none" w:color="auto" w:sz="0" w:space="0"/>
          <w:left w:val="none" w:color="auto" w:sz="0" w:space="0"/>
          <w:bottom w:val="none" w:color="auto" w:sz="0" w:space="0"/>
          <w:right w:val="none" w:color="auto" w:sz="0" w:space="0"/>
          <w:between w:val="none" w:color="auto" w:sz="0" w:space="0"/>
        </w:pBdr>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8.2.9.</w:t>
      </w:r>
      <w:r>
        <w:rPr>
          <w:rFonts w:asciiTheme="minorHAnsi" w:hAnsiTheme="minorHAnsi" w:cstheme="minorHAnsi"/>
          <w:color w:val="000000"/>
          <w:sz w:val="21"/>
          <w:szCs w:val="21"/>
        </w:rPr>
        <w:t xml:space="preserve"> Os documentos apresentados deverão estar acompanhados de todas as alterações ou da consolidação respectiva.</w:t>
      </w:r>
    </w:p>
    <w:p w14:paraId="3D39BAE0">
      <w:pPr>
        <w:pBdr>
          <w:top w:val="none" w:color="auto" w:sz="0" w:space="0"/>
          <w:left w:val="none" w:color="auto" w:sz="0" w:space="0"/>
          <w:bottom w:val="none" w:color="auto" w:sz="0" w:space="0"/>
          <w:right w:val="none" w:color="auto" w:sz="0" w:space="0"/>
          <w:between w:val="none" w:color="auto" w:sz="0" w:space="0"/>
        </w:pBdr>
        <w:spacing w:before="120" w:after="120"/>
        <w:ind w:left="999" w:hanging="432"/>
        <w:jc w:val="both"/>
        <w:rPr>
          <w:rFonts w:asciiTheme="minorHAnsi" w:hAnsiTheme="minorHAnsi" w:cstheme="minorHAnsi"/>
          <w:color w:val="000000"/>
          <w:sz w:val="21"/>
          <w:szCs w:val="21"/>
        </w:rPr>
      </w:pPr>
    </w:p>
    <w:p w14:paraId="6AC3066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jc w:val="both"/>
        <w:rPr>
          <w:rFonts w:asciiTheme="minorHAnsi" w:hAnsiTheme="minorHAnsi" w:cstheme="minorHAnsi"/>
          <w:color w:val="000000"/>
          <w:sz w:val="21"/>
          <w:szCs w:val="21"/>
        </w:rPr>
      </w:pPr>
      <w:r>
        <w:rPr>
          <w:rFonts w:asciiTheme="minorHAnsi" w:hAnsiTheme="minorHAnsi" w:cstheme="minorHAnsi"/>
          <w:b/>
          <w:color w:val="000000"/>
          <w:sz w:val="21"/>
          <w:szCs w:val="21"/>
        </w:rPr>
        <w:t>8.3.</w:t>
      </w:r>
      <w:r>
        <w:rPr>
          <w:rFonts w:asciiTheme="minorHAnsi" w:hAnsiTheme="minorHAnsi" w:cstheme="minorHAnsi"/>
          <w:color w:val="000000"/>
          <w:sz w:val="21"/>
          <w:szCs w:val="21"/>
        </w:rPr>
        <w:t xml:space="preserve"> </w:t>
      </w:r>
      <w:r>
        <w:rPr>
          <w:rFonts w:asciiTheme="minorHAnsi" w:hAnsiTheme="minorHAnsi" w:cstheme="minorHAnsi"/>
          <w:b/>
          <w:color w:val="000000"/>
          <w:sz w:val="21"/>
          <w:szCs w:val="21"/>
        </w:rPr>
        <w:t>Habilitação fiscal, social e trabalhista:</w:t>
      </w:r>
      <w:r>
        <w:rPr>
          <w:rFonts w:asciiTheme="minorHAnsi" w:hAnsiTheme="minorHAnsi" w:cstheme="minorHAnsi"/>
          <w:color w:val="000000"/>
          <w:sz w:val="21"/>
          <w:szCs w:val="21"/>
        </w:rPr>
        <w:t xml:space="preserve"> </w:t>
      </w:r>
    </w:p>
    <w:p w14:paraId="56DA88BF">
      <w:pPr>
        <w:pBdr>
          <w:top w:val="none" w:color="auto" w:sz="0" w:space="0"/>
          <w:left w:val="none" w:color="auto" w:sz="0" w:space="0"/>
          <w:bottom w:val="none" w:color="auto" w:sz="0" w:space="0"/>
          <w:right w:val="none" w:color="auto" w:sz="0" w:space="0"/>
          <w:between w:val="none" w:color="auto" w:sz="0" w:space="0"/>
        </w:pBdr>
        <w:tabs>
          <w:tab w:val="left" w:pos="0"/>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8.3.1.</w:t>
      </w:r>
      <w:r>
        <w:rPr>
          <w:rFonts w:asciiTheme="minorHAnsi" w:hAnsiTheme="minorHAnsi" w:cstheme="minorHAnsi"/>
          <w:color w:val="000000"/>
          <w:sz w:val="21"/>
          <w:szCs w:val="21"/>
        </w:rPr>
        <w:tab/>
      </w:r>
      <w:r>
        <w:rPr>
          <w:rFonts w:asciiTheme="minorHAnsi" w:hAnsiTheme="minorHAnsi" w:cstheme="minorHAnsi"/>
          <w:color w:val="000000"/>
          <w:sz w:val="21"/>
          <w:szCs w:val="21"/>
        </w:rPr>
        <w:t>Prova de inscrição no Cadastro Nacional de Pessoas Jurídicas (CNPJ) ou no Cadastro de Pessoas Físicas (CPF), conforme o caso;</w:t>
      </w:r>
    </w:p>
    <w:p w14:paraId="18BCD89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8.3.2.</w:t>
      </w:r>
      <w:r>
        <w:rPr>
          <w:rFonts w:asciiTheme="minorHAnsi" w:hAnsiTheme="minorHAnsi" w:cstheme="minorHAnsi"/>
          <w:color w:val="000000"/>
          <w:sz w:val="21"/>
          <w:szCs w:val="21"/>
        </w:rPr>
        <w:tab/>
      </w:r>
      <w:r>
        <w:rPr>
          <w:rFonts w:asciiTheme="minorHAnsi" w:hAnsiTheme="minorHAnsi" w:cstheme="minorHAnsi"/>
          <w:color w:val="000000"/>
          <w:sz w:val="21"/>
          <w:szCs w:val="21"/>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FCEAE9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8.3.3.</w:t>
      </w:r>
      <w:r>
        <w:rPr>
          <w:rFonts w:asciiTheme="minorHAnsi" w:hAnsiTheme="minorHAnsi" w:cstheme="minorHAnsi"/>
          <w:color w:val="000000"/>
          <w:sz w:val="21"/>
          <w:szCs w:val="21"/>
        </w:rPr>
        <w:tab/>
      </w:r>
      <w:r>
        <w:rPr>
          <w:rFonts w:asciiTheme="minorHAnsi" w:hAnsiTheme="minorHAnsi" w:cstheme="minorHAnsi"/>
          <w:color w:val="000000"/>
          <w:sz w:val="21"/>
          <w:szCs w:val="21"/>
        </w:rPr>
        <w:t>Prova de regularidade com o Fundo de Garantia do Tempo de Serviço (FGTS);</w:t>
      </w:r>
    </w:p>
    <w:p w14:paraId="570DA3FC">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8.3.4.</w:t>
      </w:r>
      <w:r>
        <w:rPr>
          <w:rFonts w:asciiTheme="minorHAnsi" w:hAnsiTheme="minorHAnsi" w:cstheme="minorHAnsi"/>
          <w:color w:val="000000"/>
          <w:sz w:val="21"/>
          <w:szCs w:val="21"/>
        </w:rPr>
        <w:tab/>
      </w:r>
      <w:r>
        <w:rPr>
          <w:rFonts w:asciiTheme="minorHAnsi" w:hAnsiTheme="minorHAnsi" w:cstheme="minorHAnsi"/>
          <w:color w:val="000000"/>
          <w:sz w:val="21"/>
          <w:szCs w:val="21"/>
        </w:rPr>
        <w:t>Prova de inexistência de débitos inadimplidos perante a Justiça do Trabalho, mediante a apresentação de certidão negativa ou positiva com efeito de negativa, nos termos do Título VII-A da Consolidação das Leis do Trabalho, aprovada pelo Decreto-Lei n.º 5.452, de 1943;</w:t>
      </w:r>
    </w:p>
    <w:p w14:paraId="4158EA6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8.3.5.</w:t>
      </w:r>
      <w:r>
        <w:rPr>
          <w:rFonts w:asciiTheme="minorHAnsi" w:hAnsiTheme="minorHAnsi" w:cstheme="minorHAnsi"/>
          <w:color w:val="000000"/>
          <w:sz w:val="21"/>
          <w:szCs w:val="21"/>
        </w:rPr>
        <w:tab/>
      </w:r>
      <w:r>
        <w:rPr>
          <w:rFonts w:asciiTheme="minorHAnsi" w:hAnsiTheme="minorHAnsi" w:cstheme="minorHAnsi"/>
          <w:color w:val="000000"/>
          <w:sz w:val="21"/>
          <w:szCs w:val="21"/>
        </w:rPr>
        <w:t xml:space="preserve">Prova de inscrição no cadastro de contribuintes [Estadual/Distrital] e Municipal relativo ao domicílio ou sede do fornecedor, pertinente ao seu ramo de atividade e compatível com o objeto contratual; </w:t>
      </w:r>
    </w:p>
    <w:p w14:paraId="0B25C59E">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8.3.6.</w:t>
      </w:r>
      <w:r>
        <w:rPr>
          <w:rFonts w:asciiTheme="minorHAnsi" w:hAnsiTheme="minorHAnsi" w:cstheme="minorHAnsi"/>
          <w:color w:val="000000"/>
          <w:sz w:val="21"/>
          <w:szCs w:val="21"/>
        </w:rPr>
        <w:tab/>
      </w:r>
      <w:r>
        <w:rPr>
          <w:rFonts w:asciiTheme="minorHAnsi" w:hAnsiTheme="minorHAnsi" w:cstheme="minorHAnsi"/>
          <w:color w:val="000000"/>
          <w:sz w:val="21"/>
          <w:szCs w:val="21"/>
        </w:rPr>
        <w:t>Prova de regularidade com a Fazenda [Estadual/Distrital] e Municipal do domicílio ou sede do fornecedor, relativa à atividade em cujo exercício contrata ou concorre;</w:t>
      </w:r>
    </w:p>
    <w:p w14:paraId="431B0176">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8.3.7.</w:t>
      </w:r>
      <w:r>
        <w:rPr>
          <w:rFonts w:asciiTheme="minorHAnsi" w:hAnsiTheme="minorHAnsi" w:cstheme="minorHAnsi"/>
          <w:color w:val="000000"/>
          <w:sz w:val="21"/>
          <w:szCs w:val="21"/>
        </w:rPr>
        <w:tab/>
      </w:r>
      <w:r>
        <w:rPr>
          <w:rFonts w:asciiTheme="minorHAnsi" w:hAnsiTheme="minorHAnsi" w:cstheme="minorHAnsi"/>
          <w:color w:val="000000"/>
          <w:sz w:val="21"/>
          <w:szCs w:val="21"/>
        </w:rPr>
        <w:t>Caso o fornecedor seja considerado isento dos tributos [Estadual/Distrital] e Municipal relacionados ao objeto contratual, deverá comprovar tal condição mediante a apresentação de declaração da Fazenda respectiva do seu domicílio ou sede, ou outra equivalente, na forma da lei.</w:t>
      </w:r>
    </w:p>
    <w:p w14:paraId="7E13D52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color w:val="000000"/>
          <w:sz w:val="21"/>
          <w:szCs w:val="21"/>
        </w:rPr>
      </w:pPr>
      <w:r>
        <w:rPr>
          <w:rFonts w:asciiTheme="minorHAnsi" w:hAnsiTheme="minorHAnsi" w:cstheme="minorHAnsi"/>
          <w:b/>
          <w:color w:val="000000"/>
          <w:sz w:val="21"/>
          <w:szCs w:val="21"/>
        </w:rPr>
        <w:t>8.3.8.</w:t>
      </w:r>
      <w:r>
        <w:rPr>
          <w:rFonts w:asciiTheme="minorHAnsi" w:hAnsiTheme="minorHAnsi" w:cstheme="minorHAnsi"/>
          <w:color w:val="000000"/>
          <w:sz w:val="21"/>
          <w:szCs w:val="21"/>
        </w:rPr>
        <w:tab/>
      </w:r>
      <w:r>
        <w:rPr>
          <w:rFonts w:asciiTheme="minorHAnsi" w:hAnsiTheme="minorHAnsi" w:cstheme="minorHAnsi"/>
          <w:color w:val="000000"/>
          <w:sz w:val="21"/>
          <w:szCs w:val="21"/>
        </w:rPr>
        <w:t>O fornecedor enquadrado como microempreendedor individual que pretenda auferir os benefícios do tratamento diferenciado previstos na Lei Complementar n.º 123, de 2006, estará dispensado da prova de inscrição nos cadastros de contribuintes estadual e municipal.</w:t>
      </w:r>
    </w:p>
    <w:p w14:paraId="59E4DF01">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b/>
          <w:color w:val="000000"/>
          <w:sz w:val="21"/>
          <w:szCs w:val="21"/>
        </w:rPr>
      </w:pPr>
      <w:r>
        <w:rPr>
          <w:rFonts w:asciiTheme="minorHAnsi" w:hAnsiTheme="minorHAnsi" w:cstheme="minorHAnsi"/>
          <w:b/>
          <w:color w:val="000000"/>
          <w:sz w:val="21"/>
          <w:szCs w:val="21"/>
        </w:rPr>
        <w:t>8.4. Qualificação Econômico-Financeira:</w:t>
      </w:r>
    </w:p>
    <w:p w14:paraId="3C4C1F3A">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8.4.1.</w:t>
      </w:r>
      <w:r>
        <w:rPr>
          <w:rFonts w:asciiTheme="minorHAnsi" w:hAnsiTheme="minorHAnsi" w:cstheme="minorHAnsi"/>
          <w:color w:val="000000"/>
          <w:sz w:val="21"/>
          <w:szCs w:val="21"/>
        </w:rPr>
        <w:tab/>
      </w:r>
      <w:r>
        <w:rPr>
          <w:rFonts w:asciiTheme="minorHAnsi" w:hAnsiTheme="minorHAnsi" w:cstheme="minorHAnsi"/>
          <w:color w:val="000000"/>
          <w:sz w:val="21"/>
          <w:szCs w:val="21"/>
        </w:rPr>
        <w:t xml:space="preserve">Certidão negativa de insolvência civil expedida pelo distribuidor do domicílio ou sede do licitante, caso se trate de pessoa física, desde que admitida a sua participação na licitação ou de sociedade simples; </w:t>
      </w:r>
    </w:p>
    <w:p w14:paraId="4F56C332">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8.4.2.</w:t>
      </w:r>
      <w:r>
        <w:rPr>
          <w:rFonts w:asciiTheme="minorHAnsi" w:hAnsiTheme="minorHAnsi" w:cstheme="minorHAnsi"/>
          <w:color w:val="000000"/>
          <w:sz w:val="21"/>
          <w:szCs w:val="21"/>
        </w:rPr>
        <w:tab/>
      </w:r>
      <w:r>
        <w:rPr>
          <w:rFonts w:asciiTheme="minorHAnsi" w:hAnsiTheme="minorHAnsi" w:cstheme="minorHAnsi"/>
          <w:color w:val="000000"/>
          <w:sz w:val="21"/>
          <w:szCs w:val="21"/>
        </w:rPr>
        <w:t>Certidão negativa de falência expedida pelo distribuidor da sede do fornecedor, conforme art. 69, caput, II da Lei n.º 14.133, de 2021;</w:t>
      </w:r>
    </w:p>
    <w:p w14:paraId="4E8B27C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color w:val="000000"/>
          <w:sz w:val="21"/>
          <w:szCs w:val="21"/>
        </w:rPr>
      </w:pPr>
      <w:r>
        <w:rPr>
          <w:rFonts w:asciiTheme="minorHAnsi" w:hAnsiTheme="minorHAnsi" w:cstheme="minorHAnsi"/>
          <w:b/>
          <w:color w:val="000000"/>
          <w:sz w:val="21"/>
          <w:szCs w:val="21"/>
        </w:rPr>
        <w:t>8.5. Qualificação Técnica:</w:t>
      </w:r>
    </w:p>
    <w:p w14:paraId="4B831773">
      <w:pPr>
        <w:pBdr>
          <w:top w:val="none" w:color="auto" w:sz="0" w:space="0"/>
          <w:left w:val="none" w:color="auto" w:sz="0" w:space="0"/>
          <w:bottom w:val="none" w:color="auto" w:sz="0" w:space="0"/>
          <w:right w:val="none" w:color="auto" w:sz="0" w:space="0"/>
          <w:between w:val="none" w:color="auto" w:sz="0" w:space="0"/>
        </w:pBdr>
        <w:tabs>
          <w:tab w:val="left" w:pos="569"/>
        </w:tabs>
        <w:spacing w:before="120" w:after="120"/>
        <w:ind w:left="566"/>
        <w:jc w:val="both"/>
        <w:rPr>
          <w:rFonts w:asciiTheme="minorHAnsi" w:hAnsiTheme="minorHAnsi" w:cstheme="minorHAnsi"/>
          <w:sz w:val="21"/>
          <w:szCs w:val="21"/>
        </w:rPr>
      </w:pPr>
      <w:r>
        <w:rPr>
          <w:rFonts w:asciiTheme="minorHAnsi" w:hAnsiTheme="minorHAnsi" w:cstheme="minorHAnsi"/>
          <w:b/>
          <w:sz w:val="21"/>
          <w:szCs w:val="21"/>
        </w:rPr>
        <w:t>8.5.1</w:t>
      </w:r>
      <w:r>
        <w:rPr>
          <w:rFonts w:asciiTheme="minorHAnsi" w:hAnsiTheme="minorHAnsi" w:cstheme="minorHAnsi"/>
          <w:sz w:val="21"/>
          <w:szCs w:val="21"/>
        </w:rPr>
        <w:t xml:space="preserve"> Atestado(s) de capacidade técnica fornecido(s) por pessoa jurídica de direito público ou privado, que comprove(m) a aptidão do licitante para desempenho de atividade pertinente e compatível em características, quantidades e prazos com o(s) lote(s).</w:t>
      </w:r>
    </w:p>
    <w:p w14:paraId="52E37B1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567"/>
        <w:jc w:val="both"/>
        <w:rPr>
          <w:rFonts w:asciiTheme="minorHAnsi" w:hAnsiTheme="minorHAnsi" w:cstheme="minorHAnsi"/>
          <w:b/>
          <w:color w:val="000000"/>
          <w:sz w:val="21"/>
          <w:szCs w:val="21"/>
        </w:rPr>
      </w:pPr>
      <w:r>
        <w:rPr>
          <w:rFonts w:asciiTheme="minorHAnsi" w:hAnsiTheme="minorHAnsi" w:cstheme="minorHAnsi"/>
          <w:b/>
          <w:sz w:val="21"/>
          <w:szCs w:val="21"/>
        </w:rPr>
        <w:t xml:space="preserve">8.5.2 </w:t>
      </w:r>
      <w:r>
        <w:rPr>
          <w:rFonts w:asciiTheme="minorHAnsi" w:hAnsiTheme="minorHAnsi" w:cstheme="minorHAnsi"/>
          <w:b/>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b/>
          <w:sz w:val="21"/>
          <w:szCs w:val="21"/>
        </w:rPr>
        <w:t>comprovam</w:t>
      </w:r>
      <w:r>
        <w:rPr>
          <w:rFonts w:asciiTheme="minorHAnsi" w:hAnsiTheme="minorHAnsi" w:cstheme="minorHAnsi"/>
          <w:b/>
          <w:color w:val="000000"/>
          <w:sz w:val="21"/>
          <w:szCs w:val="21"/>
        </w:rPr>
        <w:t xml:space="preserve"> que o número do registro indicado na proposta comercial permanece válido. </w:t>
      </w:r>
    </w:p>
    <w:p w14:paraId="7BF5B4C2">
      <w:pPr>
        <w:spacing w:before="120" w:after="120"/>
        <w:ind w:left="999" w:hanging="432"/>
        <w:jc w:val="both"/>
        <w:rPr>
          <w:rFonts w:asciiTheme="minorHAnsi" w:hAnsiTheme="minorHAnsi" w:cstheme="minorHAnsi"/>
          <w:b/>
          <w:sz w:val="21"/>
          <w:szCs w:val="21"/>
        </w:rPr>
      </w:pPr>
      <w:r>
        <w:rPr>
          <w:rFonts w:asciiTheme="minorHAnsi" w:hAnsiTheme="minorHAnsi" w:cstheme="minorHAnsi"/>
          <w:b/>
          <w:sz w:val="21"/>
          <w:szCs w:val="21"/>
        </w:rPr>
        <w:t>8.5.3. Alvará de Funcionamento ou Licença de Funcionamento, com validade em vigor, expedido por órgão competente da Vigilância Sanitária;</w:t>
      </w:r>
    </w:p>
    <w:p w14:paraId="1C247868">
      <w:pPr>
        <w:spacing w:before="120" w:after="120"/>
        <w:ind w:left="999" w:hanging="432"/>
        <w:jc w:val="both"/>
        <w:rPr>
          <w:rFonts w:asciiTheme="minorHAnsi" w:hAnsiTheme="minorHAnsi" w:cstheme="minorHAnsi"/>
          <w:b/>
          <w:sz w:val="21"/>
          <w:szCs w:val="21"/>
        </w:rPr>
      </w:pPr>
      <w:r>
        <w:rPr>
          <w:rFonts w:asciiTheme="minorHAnsi" w:hAnsiTheme="minorHAnsi" w:cstheme="minorHAnsi"/>
          <w:b/>
          <w:sz w:val="21"/>
          <w:szCs w:val="21"/>
        </w:rPr>
        <w:t>8.5.4. Apresentar Autorização de Funcionamento, expedida pela Secretaria de Vigilância Sanitária do Ministério da Saúde;</w:t>
      </w:r>
    </w:p>
    <w:p w14:paraId="58101DE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sz w:val="21"/>
          <w:szCs w:val="21"/>
        </w:rPr>
      </w:pPr>
    </w:p>
    <w:p w14:paraId="7D586083">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b/>
          <w:color w:val="000000"/>
          <w:sz w:val="21"/>
          <w:szCs w:val="21"/>
        </w:rPr>
      </w:pPr>
      <w:r>
        <w:rPr>
          <w:rFonts w:asciiTheme="minorHAnsi" w:hAnsiTheme="minorHAnsi" w:cstheme="minorHAnsi"/>
          <w:b/>
          <w:color w:val="000000"/>
          <w:sz w:val="21"/>
          <w:szCs w:val="21"/>
        </w:rPr>
        <w:t>9.</w:t>
      </w:r>
      <w:r>
        <w:rPr>
          <w:rFonts w:asciiTheme="minorHAnsi" w:hAnsiTheme="minorHAnsi" w:cstheme="minorHAnsi"/>
          <w:b/>
          <w:color w:val="000000"/>
          <w:sz w:val="21"/>
          <w:szCs w:val="21"/>
        </w:rPr>
        <w:tab/>
      </w:r>
      <w:r>
        <w:rPr>
          <w:rFonts w:asciiTheme="minorHAnsi" w:hAnsiTheme="minorHAnsi" w:cstheme="minorHAnsi"/>
          <w:b/>
          <w:color w:val="000000"/>
          <w:sz w:val="21"/>
          <w:szCs w:val="21"/>
        </w:rPr>
        <w:t>ESTIMATIVAS DO VALOR DA CONTRATAÇÃO</w:t>
      </w:r>
    </w:p>
    <w:p w14:paraId="427B7EDF">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432"/>
        <w:jc w:val="both"/>
        <w:rPr>
          <w:rFonts w:asciiTheme="minorHAnsi" w:hAnsiTheme="minorHAnsi" w:cstheme="minorHAnsi"/>
          <w:color w:val="000000"/>
          <w:sz w:val="21"/>
          <w:szCs w:val="21"/>
        </w:rPr>
      </w:pPr>
      <w:r>
        <w:rPr>
          <w:rFonts w:asciiTheme="minorHAnsi" w:hAnsiTheme="minorHAnsi" w:cstheme="minorHAnsi"/>
          <w:b/>
          <w:color w:val="000000"/>
          <w:sz w:val="21"/>
          <w:szCs w:val="21"/>
        </w:rPr>
        <w:t>9.1.</w:t>
      </w:r>
      <w:r>
        <w:rPr>
          <w:rFonts w:asciiTheme="minorHAnsi" w:hAnsiTheme="minorHAnsi" w:cstheme="minorHAnsi"/>
          <w:color w:val="000000"/>
          <w:sz w:val="21"/>
          <w:szCs w:val="21"/>
        </w:rPr>
        <w:tab/>
      </w:r>
      <w:r>
        <w:rPr>
          <w:rFonts w:asciiTheme="minorHAnsi" w:hAnsiTheme="minorHAnsi" w:cstheme="minorHAnsi"/>
          <w:color w:val="000000"/>
          <w:sz w:val="21"/>
          <w:szCs w:val="21"/>
        </w:rPr>
        <w:t xml:space="preserve">O custo estimado total da contratação é de </w:t>
      </w:r>
      <w:r>
        <w:rPr>
          <w:rFonts w:asciiTheme="minorHAnsi" w:hAnsiTheme="minorHAnsi" w:cstheme="minorHAnsi"/>
          <w:sz w:val="21"/>
          <w:szCs w:val="21"/>
        </w:rPr>
        <w:t>R$ 26.576,93 (vinte e seis mil, quinhentos e setenta e seis reais e noventa e três centavos)</w:t>
      </w:r>
      <w:r>
        <w:rPr>
          <w:rFonts w:asciiTheme="minorHAnsi" w:hAnsiTheme="minorHAnsi" w:cstheme="minorHAnsi"/>
          <w:color w:val="000000"/>
          <w:sz w:val="21"/>
          <w:szCs w:val="21"/>
        </w:rPr>
        <w:t>, conforme levantamentos apresentados no Estudo Técnico Preliminar.</w:t>
      </w:r>
    </w:p>
    <w:p w14:paraId="16BEFF77">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color w:val="000000"/>
          <w:sz w:val="21"/>
          <w:szCs w:val="21"/>
        </w:rPr>
      </w:pPr>
    </w:p>
    <w:p w14:paraId="385B3287">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b/>
          <w:color w:val="000000"/>
          <w:sz w:val="21"/>
          <w:szCs w:val="21"/>
        </w:rPr>
      </w:pPr>
      <w:r>
        <w:rPr>
          <w:rFonts w:asciiTheme="minorHAnsi" w:hAnsiTheme="minorHAnsi" w:cstheme="minorHAnsi"/>
          <w:b/>
          <w:color w:val="000000"/>
          <w:sz w:val="21"/>
          <w:szCs w:val="21"/>
        </w:rPr>
        <w:t>10.</w:t>
      </w:r>
      <w:r>
        <w:rPr>
          <w:rFonts w:asciiTheme="minorHAnsi" w:hAnsiTheme="minorHAnsi" w:cstheme="minorHAnsi"/>
          <w:b/>
          <w:color w:val="000000"/>
          <w:sz w:val="21"/>
          <w:szCs w:val="21"/>
        </w:rPr>
        <w:tab/>
      </w:r>
      <w:r>
        <w:rPr>
          <w:rFonts w:asciiTheme="minorHAnsi" w:hAnsiTheme="minorHAnsi" w:cstheme="minorHAnsi"/>
          <w:b/>
          <w:color w:val="000000"/>
          <w:sz w:val="21"/>
          <w:szCs w:val="21"/>
        </w:rPr>
        <w:t>DOTAÇÃO ORÇAMENTÁRIA</w:t>
      </w:r>
    </w:p>
    <w:p w14:paraId="1DAE24A9">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color w:val="000000"/>
          <w:sz w:val="21"/>
          <w:szCs w:val="21"/>
        </w:rPr>
      </w:pPr>
      <w:r>
        <w:rPr>
          <w:rFonts w:asciiTheme="minorHAnsi" w:hAnsiTheme="minorHAnsi" w:cstheme="minorHAnsi"/>
          <w:b/>
          <w:color w:val="000000"/>
          <w:sz w:val="21"/>
          <w:szCs w:val="21"/>
        </w:rPr>
        <w:t>10.1.</w:t>
      </w:r>
      <w:r>
        <w:rPr>
          <w:rFonts w:asciiTheme="minorHAnsi" w:hAnsiTheme="minorHAnsi" w:cstheme="minorHAnsi"/>
          <w:color w:val="000000"/>
          <w:sz w:val="21"/>
          <w:szCs w:val="21"/>
        </w:rPr>
        <w:tab/>
      </w:r>
      <w:r>
        <w:rPr>
          <w:rFonts w:asciiTheme="minorHAnsi" w:hAnsiTheme="minorHAnsi" w:cstheme="minorHAnsi"/>
          <w:color w:val="000000"/>
          <w:sz w:val="21"/>
          <w:szCs w:val="21"/>
        </w:rPr>
        <w:t xml:space="preserve">As despesas decorrentes da presente contratação correrão à conta de recursos específicos consignados da(s) seguinte(s) dotação(ões) orçamentária(s): </w:t>
      </w:r>
    </w:p>
    <w:p w14:paraId="3CC1230A">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02.06.01.10.301.0007.2029.3.3.90.32.00 – Ficha 203;</w:t>
      </w:r>
    </w:p>
    <w:p w14:paraId="586A0096">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02.06.01.10.301.0007.2029.3.3.90.32.00 – Ficha 507;</w:t>
      </w:r>
    </w:p>
    <w:p w14:paraId="75A55F0B">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02.06.01.10.301.0007.2029.3.3.90.32.00 – Ficha 508;</w:t>
      </w:r>
    </w:p>
    <w:p w14:paraId="643C200E">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232;</w:t>
      </w:r>
    </w:p>
    <w:p w14:paraId="71A6AB0D">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203;</w:t>
      </w:r>
    </w:p>
    <w:p w14:paraId="21FCF621">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233;</w:t>
      </w:r>
    </w:p>
    <w:p w14:paraId="007B12C1">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234;</w:t>
      </w:r>
    </w:p>
    <w:p w14:paraId="0C8B2386">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531;</w:t>
      </w:r>
    </w:p>
    <w:p w14:paraId="50DE8201">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530;</w:t>
      </w:r>
    </w:p>
    <w:p w14:paraId="032E39CB">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533;</w:t>
      </w:r>
    </w:p>
    <w:p w14:paraId="1F6BDF3D">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02.06.01.10.301.0007.2029.3.3.90.30.00 – Ficha 532;</w:t>
      </w:r>
    </w:p>
    <w:p w14:paraId="085FED60">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02.06.01.10.301.0007.2029.3.3.90.32.00 – Ficha 235;</w:t>
      </w:r>
    </w:p>
    <w:p w14:paraId="6322278E">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02.06.01.10.301.0007.2029.3.3.90.32.00 – Ficha 236;</w:t>
      </w:r>
    </w:p>
    <w:p w14:paraId="30546ED1">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02.06.01.10.301.0007.2029.3.3.90.39.00 – Ficha 237;</w:t>
      </w:r>
    </w:p>
    <w:p w14:paraId="322C27E9">
      <w:pPr>
        <w:numPr>
          <w:ilvl w:val="0"/>
          <w:numId w:val="34"/>
        </w:numPr>
        <w:tabs>
          <w:tab w:val="left" w:pos="567"/>
        </w:tabs>
        <w:suppressAutoHyphens/>
        <w:spacing w:before="120" w:after="120"/>
        <w:ind w:hanging="360"/>
        <w:jc w:val="both"/>
        <w:rPr>
          <w:rFonts w:asciiTheme="minorHAnsi" w:hAnsiTheme="minorHAnsi" w:cstheme="minorHAnsi"/>
          <w:sz w:val="21"/>
          <w:szCs w:val="21"/>
        </w:rPr>
      </w:pPr>
      <w:r>
        <w:rPr>
          <w:rFonts w:asciiTheme="minorHAnsi" w:hAnsiTheme="minorHAnsi" w:cstheme="minorHAnsi"/>
          <w:sz w:val="21"/>
          <w:szCs w:val="21"/>
        </w:rPr>
        <w:t xml:space="preserve">02.06.01.10.301.0007.2029.3.3.90.91.00 – Ficha 238. </w:t>
      </w:r>
    </w:p>
    <w:p w14:paraId="3823DEAF">
      <w:pPr>
        <w:tabs>
          <w:tab w:val="left" w:pos="567"/>
        </w:tabs>
        <w:suppressAutoHyphens/>
        <w:spacing w:before="120" w:after="120"/>
        <w:ind w:left="714"/>
        <w:jc w:val="both"/>
        <w:rPr>
          <w:rFonts w:asciiTheme="minorHAnsi" w:hAnsiTheme="minorHAnsi" w:cstheme="minorHAnsi"/>
          <w:sz w:val="21"/>
          <w:szCs w:val="21"/>
        </w:rPr>
      </w:pPr>
    </w:p>
    <w:p w14:paraId="6303E345">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jc w:val="both"/>
        <w:rPr>
          <w:rFonts w:asciiTheme="minorHAnsi" w:hAnsiTheme="minorHAnsi" w:cstheme="minorHAnsi"/>
          <w:color w:val="000000"/>
          <w:sz w:val="21"/>
          <w:szCs w:val="21"/>
        </w:rPr>
      </w:pPr>
      <w:r>
        <w:rPr>
          <w:rFonts w:asciiTheme="minorHAnsi" w:hAnsiTheme="minorHAnsi" w:cstheme="minorHAnsi"/>
          <w:b/>
          <w:color w:val="000000"/>
          <w:sz w:val="21"/>
          <w:szCs w:val="21"/>
        </w:rPr>
        <w:t>10.2.</w:t>
      </w:r>
      <w:r>
        <w:rPr>
          <w:rFonts w:asciiTheme="minorHAnsi" w:hAnsiTheme="minorHAnsi" w:cstheme="minorHAnsi"/>
          <w:color w:val="000000"/>
          <w:sz w:val="21"/>
          <w:szCs w:val="21"/>
        </w:rPr>
        <w:tab/>
      </w:r>
      <w:r>
        <w:rPr>
          <w:rFonts w:asciiTheme="minorHAnsi" w:hAnsiTheme="minorHAnsi" w:cstheme="minorHAnsi"/>
          <w:color w:val="000000"/>
          <w:sz w:val="21"/>
          <w:szCs w:val="21"/>
        </w:rPr>
        <w:t>A(s) dotação(ões) relativa(s) aos exercícios financeiros subsequentes será(ão) indicada(s) após aprovação da respectiva Lei Orçamentária e liberação dos créditos correspondentes, mediante apostilamento.</w:t>
      </w:r>
    </w:p>
    <w:p w14:paraId="2732AECD">
      <w:pPr>
        <w:pBdr>
          <w:top w:val="none" w:color="auto" w:sz="0" w:space="0"/>
          <w:left w:val="none" w:color="auto" w:sz="0" w:space="0"/>
          <w:bottom w:val="none" w:color="auto" w:sz="0" w:space="0"/>
          <w:right w:val="none" w:color="auto" w:sz="0" w:space="0"/>
          <w:between w:val="none" w:color="auto" w:sz="0" w:space="0"/>
        </w:pBdr>
        <w:tabs>
          <w:tab w:val="left" w:pos="567"/>
        </w:tabs>
        <w:spacing w:before="120" w:after="120"/>
        <w:ind w:left="999" w:hanging="5"/>
        <w:jc w:val="both"/>
        <w:rPr>
          <w:rFonts w:asciiTheme="minorHAnsi" w:hAnsiTheme="minorHAnsi" w:cstheme="minorHAnsi"/>
          <w:color w:val="000000"/>
          <w:sz w:val="21"/>
          <w:szCs w:val="21"/>
        </w:rPr>
      </w:pPr>
    </w:p>
    <w:p w14:paraId="71F6B7F8">
      <w:pPr>
        <w:pBdr>
          <w:top w:val="none" w:color="auto" w:sz="0" w:space="0"/>
          <w:left w:val="none" w:color="auto" w:sz="0" w:space="0"/>
          <w:bottom w:val="none" w:color="auto" w:sz="0" w:space="0"/>
          <w:right w:val="none" w:color="auto" w:sz="0" w:space="0"/>
          <w:between w:val="none" w:color="auto" w:sz="0" w:space="0"/>
        </w:pBdr>
        <w:tabs>
          <w:tab w:val="left" w:pos="567"/>
        </w:tabs>
        <w:ind w:left="999" w:hanging="5"/>
        <w:jc w:val="both"/>
        <w:rPr>
          <w:rFonts w:asciiTheme="minorHAnsi" w:hAnsiTheme="minorHAnsi" w:cstheme="minorHAnsi"/>
          <w:color w:val="000000"/>
          <w:sz w:val="21"/>
          <w:szCs w:val="21"/>
        </w:rPr>
      </w:pPr>
    </w:p>
    <w:tbl>
      <w:tblPr>
        <w:tblStyle w:val="4"/>
        <w:tblW w:w="964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821"/>
        <w:gridCol w:w="3821"/>
      </w:tblGrid>
      <w:tr w14:paraId="39B93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9642" w:type="dxa"/>
            <w:gridSpan w:val="2"/>
          </w:tcPr>
          <w:p w14:paraId="05917EC6">
            <w:pPr>
              <w:pBdr>
                <w:top w:val="none" w:color="auto" w:sz="0" w:space="0"/>
                <w:left w:val="none" w:color="auto" w:sz="0" w:space="0"/>
                <w:bottom w:val="none" w:color="auto" w:sz="0" w:space="0"/>
                <w:right w:val="none" w:color="auto" w:sz="0" w:space="0"/>
                <w:between w:val="none" w:color="auto" w:sz="0" w:space="0"/>
              </w:pBdr>
              <w:spacing w:before="97"/>
              <w:jc w:val="center"/>
              <w:rPr>
                <w:rFonts w:asciiTheme="minorHAnsi" w:hAnsiTheme="minorHAnsi" w:cstheme="minorHAnsi"/>
                <w:b/>
                <w:color w:val="000000"/>
                <w:sz w:val="21"/>
                <w:szCs w:val="21"/>
              </w:rPr>
            </w:pPr>
            <w:r>
              <w:rPr>
                <w:rFonts w:asciiTheme="minorHAnsi" w:hAnsiTheme="minorHAnsi" w:cstheme="minorHAnsi"/>
                <w:b/>
                <w:color w:val="000000"/>
                <w:sz w:val="21"/>
                <w:szCs w:val="21"/>
              </w:rPr>
              <w:t>Indicação de membros da equipe responsável pela gestão e fiscalização</w:t>
            </w:r>
          </w:p>
        </w:tc>
      </w:tr>
      <w:tr w14:paraId="509D7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jc w:val="center"/>
        </w:trPr>
        <w:tc>
          <w:tcPr>
            <w:tcW w:w="5821" w:type="dxa"/>
          </w:tcPr>
          <w:p w14:paraId="11131EFB">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b/>
                <w:color w:val="000000"/>
                <w:sz w:val="21"/>
                <w:szCs w:val="21"/>
              </w:rPr>
            </w:pPr>
            <w:r>
              <w:rPr>
                <w:rFonts w:asciiTheme="minorHAnsi" w:hAnsiTheme="minorHAnsi" w:cstheme="minorHAnsi"/>
                <w:b/>
                <w:color w:val="000000"/>
                <w:sz w:val="21"/>
                <w:szCs w:val="21"/>
              </w:rPr>
              <w:t>Gestão – Nome:</w:t>
            </w:r>
          </w:p>
          <w:p w14:paraId="25982FFE">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color w:val="000000"/>
                <w:sz w:val="21"/>
                <w:szCs w:val="21"/>
              </w:rPr>
            </w:pPr>
            <w:r>
              <w:rPr>
                <w:rFonts w:asciiTheme="minorHAnsi" w:hAnsiTheme="minorHAnsi" w:cstheme="minorHAnsi"/>
                <w:sz w:val="21"/>
                <w:szCs w:val="21"/>
              </w:rPr>
              <w:t>Caio da Cunha Pinto</w:t>
            </w:r>
          </w:p>
        </w:tc>
        <w:tc>
          <w:tcPr>
            <w:tcW w:w="3821" w:type="dxa"/>
          </w:tcPr>
          <w:p w14:paraId="5A75EE93">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b/>
                <w:color w:val="000000"/>
                <w:sz w:val="21"/>
                <w:szCs w:val="21"/>
              </w:rPr>
            </w:pPr>
            <w:r>
              <w:rPr>
                <w:rFonts w:asciiTheme="minorHAnsi" w:hAnsiTheme="minorHAnsi" w:cstheme="minorHAnsi"/>
                <w:b/>
                <w:color w:val="000000"/>
                <w:sz w:val="21"/>
                <w:szCs w:val="21"/>
              </w:rPr>
              <w:t>Gestão – Matrícula:</w:t>
            </w:r>
          </w:p>
          <w:p w14:paraId="794E6C4B">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color w:val="000000"/>
                <w:sz w:val="21"/>
                <w:szCs w:val="21"/>
              </w:rPr>
            </w:pPr>
            <w:r>
              <w:rPr>
                <w:rFonts w:asciiTheme="minorHAnsi" w:hAnsiTheme="minorHAnsi" w:cstheme="minorHAnsi"/>
                <w:color w:val="000000"/>
                <w:sz w:val="21"/>
                <w:szCs w:val="21"/>
              </w:rPr>
              <w:t>1350</w:t>
            </w:r>
            <w:r>
              <w:rPr>
                <w:rFonts w:asciiTheme="minorHAnsi" w:hAnsiTheme="minorHAnsi" w:cstheme="minorHAnsi"/>
                <w:sz w:val="21"/>
                <w:szCs w:val="21"/>
              </w:rPr>
              <w:t>4</w:t>
            </w:r>
          </w:p>
        </w:tc>
      </w:tr>
      <w:tr w14:paraId="06F9B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jc w:val="center"/>
        </w:trPr>
        <w:tc>
          <w:tcPr>
            <w:tcW w:w="5821" w:type="dxa"/>
          </w:tcPr>
          <w:p w14:paraId="434C0DE8">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b/>
                <w:color w:val="000000"/>
                <w:sz w:val="21"/>
                <w:szCs w:val="21"/>
              </w:rPr>
            </w:pPr>
            <w:r>
              <w:rPr>
                <w:rFonts w:asciiTheme="minorHAnsi" w:hAnsiTheme="minorHAnsi" w:cstheme="minorHAnsi"/>
                <w:b/>
                <w:color w:val="000000"/>
                <w:sz w:val="21"/>
                <w:szCs w:val="21"/>
              </w:rPr>
              <w:t>Fiscalização – Nome:</w:t>
            </w:r>
          </w:p>
          <w:p w14:paraId="57BE48A8">
            <w:pPr>
              <w:spacing w:before="101"/>
              <w:ind w:left="99"/>
              <w:rPr>
                <w:rFonts w:asciiTheme="minorHAnsi" w:hAnsiTheme="minorHAnsi" w:cstheme="minorHAnsi"/>
                <w:color w:val="000000"/>
                <w:sz w:val="21"/>
                <w:szCs w:val="21"/>
              </w:rPr>
            </w:pPr>
            <w:r>
              <w:rPr>
                <w:rFonts w:asciiTheme="minorHAnsi" w:hAnsiTheme="minorHAnsi" w:cstheme="minorHAnsi"/>
                <w:sz w:val="21"/>
                <w:szCs w:val="21"/>
              </w:rPr>
              <w:t>Daniela de Sousa Lobo Silva</w:t>
            </w:r>
          </w:p>
        </w:tc>
        <w:tc>
          <w:tcPr>
            <w:tcW w:w="3821" w:type="dxa"/>
          </w:tcPr>
          <w:p w14:paraId="39F64AE5">
            <w:pPr>
              <w:pBdr>
                <w:top w:val="none" w:color="auto" w:sz="0" w:space="0"/>
                <w:left w:val="none" w:color="auto" w:sz="0" w:space="0"/>
                <w:bottom w:val="none" w:color="auto" w:sz="0" w:space="0"/>
                <w:right w:val="none" w:color="auto" w:sz="0" w:space="0"/>
                <w:between w:val="none" w:color="auto" w:sz="0" w:space="0"/>
              </w:pBdr>
              <w:spacing w:before="101"/>
              <w:ind w:left="99"/>
              <w:rPr>
                <w:rFonts w:asciiTheme="minorHAnsi" w:hAnsiTheme="minorHAnsi" w:cstheme="minorHAnsi"/>
                <w:b/>
                <w:color w:val="000000"/>
                <w:sz w:val="21"/>
                <w:szCs w:val="21"/>
              </w:rPr>
            </w:pPr>
            <w:r>
              <w:rPr>
                <w:rFonts w:asciiTheme="minorHAnsi" w:hAnsiTheme="minorHAnsi" w:cstheme="minorHAnsi"/>
                <w:b/>
                <w:color w:val="000000"/>
                <w:sz w:val="21"/>
                <w:szCs w:val="21"/>
              </w:rPr>
              <w:t>Fiscalização – Matrícula:</w:t>
            </w:r>
          </w:p>
          <w:p w14:paraId="38A40251">
            <w:pPr>
              <w:spacing w:before="101"/>
              <w:ind w:left="99"/>
              <w:rPr>
                <w:rFonts w:asciiTheme="minorHAnsi" w:hAnsiTheme="minorHAnsi" w:cstheme="minorHAnsi"/>
                <w:color w:val="000000"/>
                <w:sz w:val="21"/>
                <w:szCs w:val="21"/>
              </w:rPr>
            </w:pPr>
            <w:r>
              <w:rPr>
                <w:rFonts w:asciiTheme="minorHAnsi" w:hAnsiTheme="minorHAnsi" w:cstheme="minorHAnsi"/>
                <w:sz w:val="21"/>
                <w:szCs w:val="21"/>
              </w:rPr>
              <w:t>13543</w:t>
            </w:r>
          </w:p>
        </w:tc>
      </w:tr>
    </w:tbl>
    <w:p w14:paraId="1AA34B6E">
      <w:pPr>
        <w:pBdr>
          <w:top w:val="none" w:color="auto" w:sz="0" w:space="0"/>
          <w:left w:val="none" w:color="auto" w:sz="0" w:space="0"/>
          <w:bottom w:val="none" w:color="auto" w:sz="0" w:space="0"/>
          <w:right w:val="none" w:color="auto" w:sz="0" w:space="0"/>
          <w:between w:val="none" w:color="auto" w:sz="0" w:space="0"/>
        </w:pBdr>
        <w:tabs>
          <w:tab w:val="left" w:pos="567"/>
        </w:tabs>
        <w:ind w:left="999" w:hanging="5"/>
        <w:jc w:val="both"/>
        <w:rPr>
          <w:rFonts w:asciiTheme="minorHAnsi" w:hAnsiTheme="minorHAnsi" w:cstheme="minorHAnsi"/>
          <w:color w:val="000000"/>
          <w:sz w:val="21"/>
          <w:szCs w:val="21"/>
        </w:rPr>
      </w:pPr>
    </w:p>
    <w:p w14:paraId="578E69C7">
      <w:pPr>
        <w:pBdr>
          <w:top w:val="none" w:color="auto" w:sz="0" w:space="0"/>
          <w:left w:val="none" w:color="auto" w:sz="0" w:space="0"/>
          <w:bottom w:val="none" w:color="auto" w:sz="0" w:space="0"/>
          <w:right w:val="none" w:color="auto" w:sz="0" w:space="0"/>
          <w:between w:val="none" w:color="auto" w:sz="0" w:space="0"/>
        </w:pBdr>
        <w:tabs>
          <w:tab w:val="left" w:pos="567"/>
        </w:tabs>
        <w:rPr>
          <w:rFonts w:asciiTheme="minorHAnsi" w:hAnsiTheme="minorHAnsi" w:cstheme="minorHAnsi"/>
          <w:b/>
          <w:bCs/>
          <w:color w:val="000000"/>
          <w:sz w:val="21"/>
          <w:szCs w:val="21"/>
        </w:rPr>
      </w:pPr>
    </w:p>
    <w:p w14:paraId="561E6512">
      <w:pPr>
        <w:pBdr>
          <w:top w:val="none" w:color="auto" w:sz="0" w:space="0"/>
          <w:left w:val="none" w:color="auto" w:sz="0" w:space="0"/>
          <w:bottom w:val="none" w:color="auto" w:sz="0" w:space="0"/>
          <w:right w:val="none" w:color="auto" w:sz="0" w:space="0"/>
          <w:between w:val="none" w:color="auto" w:sz="0" w:space="0"/>
        </w:pBdr>
        <w:tabs>
          <w:tab w:val="left" w:pos="567"/>
        </w:tabs>
        <w:rPr>
          <w:rFonts w:asciiTheme="minorHAnsi" w:hAnsiTheme="minorHAnsi" w:cstheme="minorHAnsi"/>
          <w:b/>
          <w:bCs/>
          <w:color w:val="000000"/>
          <w:sz w:val="21"/>
          <w:szCs w:val="21"/>
        </w:rPr>
      </w:pPr>
      <w:r>
        <w:rPr>
          <w:rFonts w:asciiTheme="minorHAnsi" w:hAnsiTheme="minorHAnsi" w:cstheme="minorHAnsi"/>
          <w:b/>
          <w:bCs/>
          <w:color w:val="000000"/>
          <w:sz w:val="21"/>
          <w:szCs w:val="21"/>
        </w:rPr>
        <w:t xml:space="preserve">GESTOR DA ATA DE REGISTRO DE PREÇO: CAIO DA CUNHA PINTO </w:t>
      </w:r>
    </w:p>
    <w:p w14:paraId="57782661">
      <w:pPr>
        <w:tabs>
          <w:tab w:val="left" w:pos="426"/>
        </w:tabs>
        <w:rPr>
          <w:rFonts w:asciiTheme="minorHAnsi" w:hAnsiTheme="minorHAnsi" w:cstheme="minorHAnsi"/>
          <w:sz w:val="21"/>
          <w:szCs w:val="21"/>
        </w:rPr>
      </w:pPr>
      <w:r>
        <w:rPr>
          <w:rFonts w:asciiTheme="minorHAnsi" w:hAnsiTheme="minorHAnsi" w:cstheme="minorHAnsi"/>
          <w:b/>
          <w:bCs/>
          <w:color w:val="000000"/>
          <w:sz w:val="21"/>
          <w:szCs w:val="21"/>
        </w:rPr>
        <w:t xml:space="preserve">FISCAL DA ATA DE REGISTRO DE PREÇO: </w:t>
      </w:r>
      <w:r>
        <w:rPr>
          <w:rFonts w:asciiTheme="minorHAnsi" w:hAnsiTheme="minorHAnsi" w:cstheme="minorHAnsi"/>
          <w:b/>
          <w:bCs/>
          <w:sz w:val="21"/>
          <w:szCs w:val="21"/>
        </w:rPr>
        <w:t>DANIELA DE SOUSA LOBO SILVA</w:t>
      </w:r>
    </w:p>
    <w:p w14:paraId="2F66E4C7">
      <w:pPr>
        <w:pBdr>
          <w:top w:val="none" w:color="auto" w:sz="0" w:space="0"/>
          <w:left w:val="none" w:color="auto" w:sz="0" w:space="0"/>
          <w:bottom w:val="none" w:color="auto" w:sz="0" w:space="0"/>
          <w:right w:val="none" w:color="auto" w:sz="0" w:space="0"/>
          <w:between w:val="none" w:color="auto" w:sz="0" w:space="0"/>
        </w:pBdr>
        <w:tabs>
          <w:tab w:val="left" w:pos="567"/>
        </w:tabs>
        <w:ind w:left="999" w:hanging="5"/>
        <w:jc w:val="both"/>
        <w:rPr>
          <w:rFonts w:asciiTheme="minorHAnsi" w:hAnsiTheme="minorHAnsi" w:cstheme="minorHAnsi"/>
          <w:color w:val="000000"/>
          <w:sz w:val="21"/>
          <w:szCs w:val="21"/>
        </w:rPr>
      </w:pPr>
    </w:p>
    <w:p w14:paraId="59DCD77E">
      <w:pPr>
        <w:pBdr>
          <w:top w:val="none" w:color="auto" w:sz="0" w:space="0"/>
          <w:left w:val="none" w:color="auto" w:sz="0" w:space="0"/>
          <w:bottom w:val="none" w:color="auto" w:sz="0" w:space="0"/>
          <w:right w:val="none" w:color="auto" w:sz="0" w:space="0"/>
          <w:between w:val="none" w:color="auto" w:sz="0" w:space="0"/>
        </w:pBdr>
        <w:tabs>
          <w:tab w:val="left" w:pos="567"/>
        </w:tabs>
        <w:ind w:left="999" w:hanging="5"/>
        <w:jc w:val="both"/>
        <w:rPr>
          <w:rFonts w:asciiTheme="minorHAnsi" w:hAnsiTheme="minorHAnsi" w:cstheme="minorHAnsi"/>
          <w:color w:val="000000"/>
          <w:sz w:val="21"/>
          <w:szCs w:val="21"/>
        </w:rPr>
      </w:pPr>
    </w:p>
    <w:p w14:paraId="15818CB3">
      <w:pPr>
        <w:tabs>
          <w:tab w:val="left" w:pos="426"/>
        </w:tabs>
        <w:spacing w:line="360" w:lineRule="auto"/>
        <w:jc w:val="both"/>
        <w:rPr>
          <w:rFonts w:asciiTheme="minorHAnsi" w:hAnsiTheme="minorHAnsi" w:cstheme="minorHAnsi"/>
          <w:sz w:val="21"/>
          <w:szCs w:val="21"/>
        </w:rPr>
      </w:pPr>
    </w:p>
    <w:p w14:paraId="73793777">
      <w:pPr>
        <w:tabs>
          <w:tab w:val="left" w:pos="426"/>
        </w:tabs>
        <w:spacing w:line="360" w:lineRule="auto"/>
        <w:jc w:val="center"/>
        <w:rPr>
          <w:rFonts w:asciiTheme="minorHAnsi" w:hAnsiTheme="minorHAnsi" w:cstheme="minorHAnsi"/>
          <w:sz w:val="21"/>
          <w:szCs w:val="21"/>
        </w:rPr>
      </w:pPr>
    </w:p>
    <w:p w14:paraId="7C548E87">
      <w:pPr>
        <w:tabs>
          <w:tab w:val="left" w:pos="426"/>
        </w:tabs>
        <w:spacing w:line="360" w:lineRule="auto"/>
        <w:jc w:val="center"/>
        <w:rPr>
          <w:rFonts w:asciiTheme="minorHAnsi" w:hAnsiTheme="minorHAnsi" w:cstheme="minorHAnsi"/>
          <w:sz w:val="21"/>
          <w:szCs w:val="21"/>
        </w:rPr>
      </w:pPr>
    </w:p>
    <w:p w14:paraId="60BCEB43">
      <w:pPr>
        <w:tabs>
          <w:tab w:val="left" w:pos="426"/>
        </w:tabs>
        <w:spacing w:line="360" w:lineRule="auto"/>
        <w:jc w:val="center"/>
        <w:rPr>
          <w:rFonts w:asciiTheme="minorHAnsi" w:hAnsiTheme="minorHAnsi" w:cstheme="minorHAnsi"/>
          <w:sz w:val="21"/>
          <w:szCs w:val="21"/>
        </w:rPr>
      </w:pPr>
    </w:p>
    <w:p w14:paraId="1D4C13A6">
      <w:pPr>
        <w:tabs>
          <w:tab w:val="left" w:pos="426"/>
        </w:tabs>
        <w:spacing w:line="360" w:lineRule="auto"/>
        <w:jc w:val="center"/>
        <w:rPr>
          <w:rFonts w:asciiTheme="minorHAnsi" w:hAnsiTheme="minorHAnsi" w:cstheme="minorHAnsi"/>
          <w:sz w:val="21"/>
          <w:szCs w:val="21"/>
        </w:rPr>
      </w:pPr>
    </w:p>
    <w:p w14:paraId="66E8D3D9">
      <w:pPr>
        <w:tabs>
          <w:tab w:val="left" w:pos="426"/>
        </w:tabs>
        <w:spacing w:line="360" w:lineRule="auto"/>
        <w:jc w:val="center"/>
        <w:rPr>
          <w:rFonts w:asciiTheme="minorHAnsi" w:hAnsiTheme="minorHAnsi" w:cstheme="minorHAnsi"/>
          <w:sz w:val="21"/>
          <w:szCs w:val="21"/>
        </w:rPr>
      </w:pPr>
    </w:p>
    <w:p w14:paraId="5643F0F9">
      <w:pPr>
        <w:tabs>
          <w:tab w:val="left" w:pos="426"/>
        </w:tabs>
        <w:spacing w:line="360" w:lineRule="auto"/>
        <w:jc w:val="center"/>
        <w:rPr>
          <w:rFonts w:asciiTheme="minorHAnsi" w:hAnsiTheme="minorHAnsi" w:cstheme="minorHAnsi"/>
          <w:sz w:val="21"/>
          <w:szCs w:val="21"/>
        </w:rPr>
      </w:pPr>
    </w:p>
    <w:p w14:paraId="61824DE0">
      <w:pPr>
        <w:tabs>
          <w:tab w:val="left" w:pos="426"/>
        </w:tabs>
        <w:spacing w:line="360" w:lineRule="auto"/>
        <w:jc w:val="center"/>
        <w:rPr>
          <w:rFonts w:asciiTheme="minorHAnsi" w:hAnsiTheme="minorHAnsi" w:cstheme="minorHAnsi"/>
          <w:sz w:val="21"/>
          <w:szCs w:val="21"/>
        </w:rPr>
      </w:pPr>
    </w:p>
    <w:p w14:paraId="16AA64BF">
      <w:pPr>
        <w:tabs>
          <w:tab w:val="left" w:pos="426"/>
        </w:tabs>
        <w:spacing w:line="360" w:lineRule="auto"/>
        <w:jc w:val="center"/>
        <w:rPr>
          <w:rFonts w:asciiTheme="minorHAnsi" w:hAnsiTheme="minorHAnsi" w:cstheme="minorHAnsi"/>
          <w:sz w:val="21"/>
          <w:szCs w:val="21"/>
        </w:rPr>
      </w:pPr>
    </w:p>
    <w:p w14:paraId="4DEED35F">
      <w:pPr>
        <w:tabs>
          <w:tab w:val="left" w:pos="426"/>
        </w:tabs>
        <w:spacing w:line="360" w:lineRule="auto"/>
        <w:jc w:val="center"/>
        <w:rPr>
          <w:rFonts w:asciiTheme="minorHAnsi" w:hAnsiTheme="minorHAnsi" w:cstheme="minorHAnsi"/>
          <w:sz w:val="21"/>
          <w:szCs w:val="21"/>
        </w:rPr>
      </w:pPr>
    </w:p>
    <w:p w14:paraId="4ED3BA4C">
      <w:pPr>
        <w:tabs>
          <w:tab w:val="left" w:pos="426"/>
        </w:tabs>
        <w:spacing w:line="360" w:lineRule="auto"/>
        <w:jc w:val="center"/>
        <w:rPr>
          <w:rFonts w:asciiTheme="minorHAnsi" w:hAnsiTheme="minorHAnsi" w:cstheme="minorHAnsi"/>
          <w:sz w:val="21"/>
          <w:szCs w:val="21"/>
        </w:rPr>
      </w:pPr>
    </w:p>
    <w:p w14:paraId="0988BDEC">
      <w:pPr>
        <w:tabs>
          <w:tab w:val="left" w:pos="426"/>
        </w:tabs>
        <w:spacing w:line="360" w:lineRule="auto"/>
        <w:jc w:val="center"/>
        <w:rPr>
          <w:rFonts w:asciiTheme="minorHAnsi" w:hAnsiTheme="minorHAnsi" w:cstheme="minorHAnsi"/>
          <w:sz w:val="21"/>
          <w:szCs w:val="21"/>
        </w:rPr>
      </w:pPr>
    </w:p>
    <w:tbl>
      <w:tblPr>
        <w:tblStyle w:val="36"/>
        <w:tblW w:w="9067"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9067"/>
      </w:tblGrid>
      <w:tr w14:paraId="592236CB">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9067"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4F60690E">
            <w:pPr>
              <w:pStyle w:val="19"/>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ANEXO II</w:t>
            </w:r>
          </w:p>
          <w:p w14:paraId="2032D500">
            <w:pPr>
              <w:pStyle w:val="19"/>
              <w:numPr>
                <w:ilvl w:val="0"/>
                <w:numId w:val="25"/>
              </w:numPr>
              <w:jc w:val="center"/>
              <w:rPr>
                <w:rFonts w:asciiTheme="minorHAnsi" w:hAnsiTheme="minorHAnsi" w:cstheme="minorHAnsi"/>
                <w:b/>
                <w:bCs/>
                <w:sz w:val="21"/>
                <w:szCs w:val="21"/>
              </w:rPr>
            </w:pPr>
            <w:r>
              <w:rPr>
                <w:rFonts w:asciiTheme="minorHAnsi" w:hAnsiTheme="minorHAnsi" w:cstheme="minorHAnsi"/>
                <w:b/>
                <w:bCs/>
                <w:sz w:val="21"/>
                <w:szCs w:val="21"/>
              </w:rPr>
              <w:t xml:space="preserve">ESTUDO TÉCNICO PRELIMINAR E ANÁLISE DE RISCO </w:t>
            </w:r>
          </w:p>
        </w:tc>
      </w:tr>
    </w:tbl>
    <w:p w14:paraId="5B1E952A">
      <w:pPr>
        <w:pStyle w:val="19"/>
        <w:numPr>
          <w:ilvl w:val="0"/>
          <w:numId w:val="25"/>
        </w:numPr>
        <w:rPr>
          <w:rFonts w:asciiTheme="minorHAnsi" w:hAnsiTheme="minorHAnsi" w:cstheme="minorHAnsi"/>
          <w:sz w:val="21"/>
          <w:szCs w:val="21"/>
        </w:rPr>
      </w:pPr>
    </w:p>
    <w:p w14:paraId="1E443B73">
      <w:pPr>
        <w:spacing w:line="360" w:lineRule="auto"/>
        <w:ind w:right="-2"/>
        <w:jc w:val="center"/>
        <w:rPr>
          <w:rFonts w:asciiTheme="minorHAnsi" w:hAnsiTheme="minorHAnsi" w:cstheme="minorHAnsi"/>
          <w:b/>
          <w:sz w:val="21"/>
          <w:szCs w:val="21"/>
        </w:rPr>
      </w:pPr>
      <w:r>
        <w:rPr>
          <w:rFonts w:asciiTheme="minorHAnsi" w:hAnsiTheme="minorHAnsi" w:cstheme="minorHAnsi"/>
          <w:b/>
          <w:sz w:val="21"/>
          <w:szCs w:val="21"/>
        </w:rPr>
        <w:t>ESTUDO TÉCNICO PRELIMINAR</w:t>
      </w:r>
    </w:p>
    <w:tbl>
      <w:tblPr>
        <w:tblStyle w:val="4"/>
        <w:tblW w:w="93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111"/>
        <w:gridCol w:w="3260"/>
      </w:tblGrid>
      <w:tr w14:paraId="0FB6E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3AA965E5">
            <w:pPr>
              <w:rPr>
                <w:rFonts w:asciiTheme="minorHAnsi" w:hAnsiTheme="minorHAnsi" w:cstheme="minorHAnsi"/>
                <w:b/>
                <w:color w:val="000000"/>
                <w:sz w:val="21"/>
                <w:szCs w:val="21"/>
              </w:rPr>
            </w:pPr>
            <w:r>
              <w:rPr>
                <w:rFonts w:asciiTheme="minorHAnsi" w:hAnsiTheme="minorHAnsi" w:cstheme="minorHAnsi"/>
                <w:b/>
                <w:color w:val="000000"/>
                <w:sz w:val="21"/>
                <w:szCs w:val="21"/>
              </w:rPr>
              <w:t>Órgão:</w:t>
            </w:r>
          </w:p>
        </w:tc>
      </w:tr>
      <w:tr w14:paraId="5919C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76F2BBC1">
            <w:pPr>
              <w:rPr>
                <w:rFonts w:asciiTheme="minorHAnsi" w:hAnsiTheme="minorHAnsi" w:cstheme="minorHAnsi"/>
                <w:color w:val="000000"/>
                <w:sz w:val="21"/>
                <w:szCs w:val="21"/>
              </w:rPr>
            </w:pPr>
            <w:r>
              <w:rPr>
                <w:rFonts w:asciiTheme="minorHAnsi" w:hAnsiTheme="minorHAnsi" w:cstheme="minorHAnsi"/>
                <w:b/>
                <w:color w:val="000000"/>
                <w:sz w:val="21"/>
                <w:szCs w:val="21"/>
              </w:rPr>
              <w:t> </w:t>
            </w:r>
            <w:r>
              <w:rPr>
                <w:rFonts w:asciiTheme="minorHAnsi" w:hAnsiTheme="minorHAnsi" w:cstheme="minorHAnsi"/>
                <w:color w:val="000000"/>
                <w:sz w:val="21"/>
                <w:szCs w:val="21"/>
              </w:rPr>
              <w:t>Prefeitura Municipal de Santa Branca</w:t>
            </w:r>
          </w:p>
        </w:tc>
      </w:tr>
      <w:tr w14:paraId="77525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4E3C388D">
            <w:pPr>
              <w:rPr>
                <w:rFonts w:asciiTheme="minorHAnsi" w:hAnsiTheme="minorHAnsi" w:cstheme="minorHAnsi"/>
                <w:b/>
                <w:color w:val="000000"/>
                <w:sz w:val="21"/>
                <w:szCs w:val="21"/>
              </w:rPr>
            </w:pPr>
            <w:r>
              <w:rPr>
                <w:rFonts w:asciiTheme="minorHAnsi" w:hAnsiTheme="minorHAnsi" w:cstheme="minorHAnsi"/>
                <w:b/>
                <w:color w:val="000000"/>
                <w:sz w:val="21"/>
                <w:szCs w:val="21"/>
              </w:rPr>
              <w:t>Unidade executora / Setor requisitante:</w:t>
            </w:r>
          </w:p>
        </w:tc>
      </w:tr>
      <w:tr w14:paraId="66427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9371"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14:paraId="2D887021">
            <w:pPr>
              <w:rPr>
                <w:rFonts w:asciiTheme="minorHAnsi" w:hAnsiTheme="minorHAnsi" w:cstheme="minorHAnsi"/>
                <w:color w:val="000000"/>
                <w:sz w:val="21"/>
                <w:szCs w:val="21"/>
              </w:rPr>
            </w:pPr>
            <w:r>
              <w:rPr>
                <w:rFonts w:asciiTheme="minorHAnsi" w:hAnsiTheme="minorHAnsi" w:cstheme="minorHAnsi"/>
                <w:b/>
                <w:color w:val="000000"/>
                <w:sz w:val="21"/>
                <w:szCs w:val="21"/>
              </w:rPr>
              <w:t> </w:t>
            </w:r>
            <w:r>
              <w:rPr>
                <w:rFonts w:asciiTheme="minorHAnsi" w:hAnsiTheme="minorHAnsi" w:cstheme="minorHAnsi"/>
                <w:color w:val="000000"/>
                <w:sz w:val="21"/>
                <w:szCs w:val="21"/>
              </w:rPr>
              <w:t>Secretaria Municipal de Santa Branca – Diretoria de Atenção Básica</w:t>
            </w:r>
          </w:p>
        </w:tc>
      </w:tr>
      <w:tr w14:paraId="3615ED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single" w:color="000000" w:sz="8" w:space="0"/>
            </w:tcBorders>
            <w:shd w:val="clear" w:color="auto" w:fill="FFFFFF"/>
            <w:vAlign w:val="center"/>
          </w:tcPr>
          <w:p w14:paraId="1FF7014B">
            <w:pPr>
              <w:rPr>
                <w:rFonts w:asciiTheme="minorHAnsi" w:hAnsiTheme="minorHAnsi" w:cstheme="minorHAnsi"/>
                <w:b/>
                <w:color w:val="000000"/>
                <w:sz w:val="21"/>
                <w:szCs w:val="21"/>
              </w:rPr>
            </w:pPr>
            <w:r>
              <w:rPr>
                <w:rFonts w:asciiTheme="minorHAnsi" w:hAnsiTheme="minorHAnsi" w:cstheme="minorHAnsi"/>
                <w:b/>
                <w:color w:val="000000"/>
                <w:sz w:val="21"/>
                <w:szCs w:val="21"/>
              </w:rPr>
              <w:t>Responsável:</w:t>
            </w:r>
          </w:p>
        </w:tc>
        <w:tc>
          <w:tcPr>
            <w:tcW w:w="3260" w:type="dxa"/>
            <w:tcBorders>
              <w:top w:val="nil"/>
              <w:left w:val="nil"/>
              <w:bottom w:val="single" w:color="000000" w:sz="8" w:space="0"/>
              <w:right w:val="single" w:color="000000" w:sz="8" w:space="0"/>
            </w:tcBorders>
            <w:shd w:val="clear" w:color="auto" w:fill="FFFFFF"/>
            <w:vAlign w:val="center"/>
          </w:tcPr>
          <w:p w14:paraId="61F95A9C">
            <w:pPr>
              <w:rPr>
                <w:rFonts w:asciiTheme="minorHAnsi" w:hAnsiTheme="minorHAnsi" w:cstheme="minorHAnsi"/>
                <w:b/>
                <w:color w:val="000000"/>
                <w:sz w:val="21"/>
                <w:szCs w:val="21"/>
              </w:rPr>
            </w:pPr>
            <w:r>
              <w:rPr>
                <w:rFonts w:asciiTheme="minorHAnsi" w:hAnsiTheme="minorHAnsi" w:cstheme="minorHAnsi"/>
                <w:b/>
                <w:color w:val="000000"/>
                <w:sz w:val="21"/>
                <w:szCs w:val="21"/>
              </w:rPr>
              <w:t>Matrícula:</w:t>
            </w:r>
          </w:p>
        </w:tc>
      </w:tr>
      <w:tr w14:paraId="4AD2E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nil"/>
              <w:left w:val="single" w:color="000000" w:sz="8" w:space="0"/>
              <w:bottom w:val="single" w:color="000000" w:sz="8" w:space="0"/>
              <w:right w:val="nil"/>
            </w:tcBorders>
            <w:shd w:val="clear" w:color="auto" w:fill="FFFFFF"/>
            <w:vAlign w:val="center"/>
          </w:tcPr>
          <w:p w14:paraId="024A4D53">
            <w:pPr>
              <w:rPr>
                <w:rFonts w:asciiTheme="minorHAnsi" w:hAnsiTheme="minorHAnsi" w:cstheme="minorHAnsi"/>
                <w:color w:val="000000"/>
                <w:sz w:val="21"/>
                <w:szCs w:val="21"/>
              </w:rPr>
            </w:pPr>
            <w:r>
              <w:rPr>
                <w:rFonts w:asciiTheme="minorHAnsi" w:hAnsiTheme="minorHAnsi" w:cstheme="minorHAnsi"/>
                <w:color w:val="000000"/>
                <w:sz w:val="21"/>
                <w:szCs w:val="21"/>
              </w:rPr>
              <w:t>Daniela de Sousa Lobo Silva </w:t>
            </w:r>
          </w:p>
        </w:tc>
        <w:tc>
          <w:tcPr>
            <w:tcW w:w="32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7852B16">
            <w:pPr>
              <w:rPr>
                <w:rFonts w:asciiTheme="minorHAnsi" w:hAnsiTheme="minorHAnsi" w:cstheme="minorHAnsi"/>
                <w:color w:val="000000"/>
                <w:sz w:val="21"/>
                <w:szCs w:val="21"/>
              </w:rPr>
            </w:pPr>
            <w:r>
              <w:rPr>
                <w:rFonts w:asciiTheme="minorHAnsi" w:hAnsiTheme="minorHAnsi" w:cstheme="minorHAnsi"/>
                <w:color w:val="000000"/>
                <w:sz w:val="21"/>
                <w:szCs w:val="21"/>
              </w:rPr>
              <w:t>13543</w:t>
            </w:r>
          </w:p>
        </w:tc>
      </w:tr>
      <w:tr w14:paraId="7CD8C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7AFD030">
            <w:pPr>
              <w:rPr>
                <w:rFonts w:asciiTheme="minorHAnsi" w:hAnsiTheme="minorHAnsi" w:cstheme="minorHAnsi"/>
                <w:b/>
                <w:color w:val="000000"/>
                <w:sz w:val="21"/>
                <w:szCs w:val="21"/>
              </w:rPr>
            </w:pPr>
            <w:r>
              <w:rPr>
                <w:rFonts w:asciiTheme="minorHAnsi" w:hAnsiTheme="minorHAnsi" w:cstheme="minorHAnsi"/>
                <w:b/>
                <w:color w:val="000000"/>
                <w:sz w:val="21"/>
                <w:szCs w:val="21"/>
              </w:rPr>
              <w:t>E-mail:</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4ED2822D">
            <w:pPr>
              <w:rPr>
                <w:rFonts w:asciiTheme="minorHAnsi" w:hAnsiTheme="minorHAnsi" w:cstheme="minorHAnsi"/>
                <w:b/>
                <w:color w:val="000000"/>
                <w:sz w:val="21"/>
                <w:szCs w:val="21"/>
              </w:rPr>
            </w:pPr>
            <w:r>
              <w:rPr>
                <w:rFonts w:asciiTheme="minorHAnsi" w:hAnsiTheme="minorHAnsi" w:cstheme="minorHAnsi"/>
                <w:b/>
                <w:color w:val="000000"/>
                <w:sz w:val="21"/>
                <w:szCs w:val="21"/>
              </w:rPr>
              <w:t>Processo:</w:t>
            </w:r>
          </w:p>
        </w:tc>
      </w:tr>
      <w:tr w14:paraId="3EAA8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6111"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A85140">
            <w:pPr>
              <w:rPr>
                <w:rFonts w:asciiTheme="minorHAnsi" w:hAnsiTheme="minorHAnsi" w:cstheme="minorHAnsi"/>
                <w:color w:val="000000"/>
                <w:sz w:val="21"/>
                <w:szCs w:val="21"/>
              </w:rPr>
            </w:pPr>
            <w:r>
              <w:rPr>
                <w:rFonts w:asciiTheme="minorHAnsi" w:hAnsiTheme="minorHAnsi" w:cstheme="minorHAnsi"/>
                <w:b/>
                <w:color w:val="000000"/>
                <w:sz w:val="21"/>
                <w:szCs w:val="21"/>
              </w:rPr>
              <w:t> </w:t>
            </w:r>
            <w:r>
              <w:rPr>
                <w:rFonts w:asciiTheme="minorHAnsi" w:hAnsiTheme="minorHAnsi" w:cstheme="minorHAnsi"/>
                <w:color w:val="000000"/>
                <w:sz w:val="21"/>
                <w:szCs w:val="21"/>
              </w:rPr>
              <w:t>santabranca@santabranca.sp.gov.br</w:t>
            </w:r>
          </w:p>
        </w:tc>
        <w:tc>
          <w:tcPr>
            <w:tcW w:w="3260" w:type="dxa"/>
            <w:tcBorders>
              <w:top w:val="single" w:color="000000" w:sz="8" w:space="0"/>
              <w:left w:val="nil"/>
              <w:bottom w:val="single" w:color="000000" w:sz="8" w:space="0"/>
              <w:right w:val="single" w:color="000000" w:sz="8" w:space="0"/>
            </w:tcBorders>
            <w:shd w:val="clear" w:color="auto" w:fill="FFFFFF"/>
            <w:vAlign w:val="center"/>
          </w:tcPr>
          <w:p w14:paraId="6841C835">
            <w:pPr>
              <w:rPr>
                <w:rFonts w:asciiTheme="minorHAnsi" w:hAnsiTheme="minorHAnsi" w:cstheme="minorHAnsi"/>
                <w:b/>
                <w:color w:val="000000"/>
                <w:sz w:val="21"/>
                <w:szCs w:val="21"/>
              </w:rPr>
            </w:pPr>
            <w:r>
              <w:rPr>
                <w:rFonts w:asciiTheme="minorHAnsi" w:hAnsiTheme="minorHAnsi" w:cstheme="minorHAnsi"/>
                <w:b/>
                <w:color w:val="000000"/>
                <w:sz w:val="21"/>
                <w:szCs w:val="21"/>
              </w:rPr>
              <w:t> </w:t>
            </w:r>
          </w:p>
        </w:tc>
      </w:tr>
    </w:tbl>
    <w:p w14:paraId="305B1FDC">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256038B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NECESSIDADE PÚBLICA</w:t>
      </w:r>
    </w:p>
    <w:p w14:paraId="776D239D">
      <w:pPr>
        <w:widowControl w:val="0"/>
        <w:ind w:firstLine="360"/>
        <w:jc w:val="both"/>
        <w:rPr>
          <w:rFonts w:asciiTheme="minorHAnsi" w:hAnsiTheme="minorHAnsi" w:cstheme="minorHAnsi"/>
          <w:color w:val="000000"/>
          <w:sz w:val="21"/>
          <w:szCs w:val="21"/>
        </w:rPr>
      </w:pPr>
      <w:r>
        <w:rPr>
          <w:rFonts w:asciiTheme="minorHAnsi" w:hAnsiTheme="minorHAnsi" w:cstheme="minorHAnsi"/>
          <w:sz w:val="21"/>
          <w:szCs w:val="21"/>
        </w:rPr>
        <w:t>A Prefeitura Municipal de Santa Branca, por meio da Secretaria Municipal de Santa Branca, realiza pregão para registro de preços dos itens dermocosméticos destinados ao atendimento da demanda dos pacientes oriundo de demandas de ordens judiciais no município para a garantia de compra a um menor custo, destinados a distribuição destes insumos a esses pacientes apoiando as ações de saúde do município</w:t>
      </w:r>
    </w:p>
    <w:p w14:paraId="30FC3B64">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47E69BC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PREVISÃO NO PLANO DE CONTRATAÇÕES ANUAL</w:t>
      </w:r>
    </w:p>
    <w:p w14:paraId="74F39CF9">
      <w:pPr>
        <w:spacing w:line="360" w:lineRule="auto"/>
        <w:ind w:firstLine="720"/>
        <w:jc w:val="both"/>
        <w:rPr>
          <w:rFonts w:asciiTheme="minorHAnsi" w:hAnsiTheme="minorHAnsi" w:cstheme="minorHAnsi"/>
          <w:color w:val="000000"/>
          <w:sz w:val="21"/>
          <w:szCs w:val="21"/>
        </w:rPr>
      </w:pPr>
      <w:r>
        <w:rPr>
          <w:rFonts w:asciiTheme="minorHAnsi" w:hAnsiTheme="minorHAnsi" w:cstheme="minorHAnsi"/>
          <w:sz w:val="21"/>
          <w:szCs w:val="21"/>
        </w:rPr>
        <w:t>O objeto da contratação está previsto no Plano de Compras Anual 2024, sob o item 3 – Secretaria Municipal de Saúde, subitem 3.22 – Outros Materiais de Distribuição Gratuita.</w:t>
      </w:r>
    </w:p>
    <w:p w14:paraId="40DA01AE">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FF0000"/>
          <w:sz w:val="21"/>
          <w:szCs w:val="21"/>
        </w:rPr>
      </w:pPr>
    </w:p>
    <w:p w14:paraId="5C0F28F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REQUISITOS DA CONTRATAÇÃO</w:t>
      </w:r>
    </w:p>
    <w:p w14:paraId="4CA40444">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Deverão apresentar a Cópia do Registro ou Cópia da Consulta do Registro no site da ANVISA ou ainda da publicação no Diário Oficial da União documentos estes que </w:t>
      </w:r>
      <w:r>
        <w:rPr>
          <w:rFonts w:asciiTheme="minorHAnsi" w:hAnsiTheme="minorHAnsi" w:cstheme="minorHAnsi"/>
          <w:sz w:val="21"/>
          <w:szCs w:val="21"/>
        </w:rPr>
        <w:t>comprovam</w:t>
      </w:r>
      <w:r>
        <w:rPr>
          <w:rFonts w:asciiTheme="minorHAnsi" w:hAnsiTheme="minorHAnsi" w:cstheme="minorHAnsi"/>
          <w:color w:val="000000"/>
          <w:sz w:val="21"/>
          <w:szCs w:val="21"/>
        </w:rPr>
        <w:t xml:space="preserve"> que o número do registro indicado na proposta comercial permanece válido para os itens abaixo relacionados. Serão aceitos protocolos com peticionamento em até 180 dias antes do vencimento do registro do produto, nos termos do RDC/ANVISA Nº 250/2004;</w:t>
      </w:r>
    </w:p>
    <w:p w14:paraId="4B4491CC">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As empresas deverão apresentar a ficha técnica ou documento que contenha as informações técnicas do produto para todos os itens;</w:t>
      </w:r>
    </w:p>
    <w:p w14:paraId="209A2AEF">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Alvará de Funcionamento ou Licença de Funcionamento, com validade em vigor, expedido por órgão competente da Vigilância Sanitária;</w:t>
      </w:r>
    </w:p>
    <w:p w14:paraId="556DD4E9">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Apresentar Autorização de Funcionamento, expedida pela Secretaria da Vigilância Sanitária do Ministério da Saúde;</w:t>
      </w:r>
    </w:p>
    <w:p w14:paraId="718DD06C">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Deverá conter impresso na embalagem os dados de identificação do produto, nome do fabricante, número do lote, data de validade e fabricação, instruções de uso e armazenagem;</w:t>
      </w:r>
    </w:p>
    <w:p w14:paraId="6881C10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Por ocasião da entrega na Unidade Requisitante, os produtos devem apresentar validade equivalente a pelo menos 2/3 (dois terços) do prazo de validade total. Na hipótese de absoluta impossibilidade de cumprimento desta condição, devidamente justificada e previamente avaliada pela Secretaria, esta poderá, excepcionalmente, admitir a entrega, obrigando-se o fornecedor, quando acionado, a proceder à imediata substituição, à vista da inviabilidade de utilização dos materiais hospitalares no período de validade.</w:t>
      </w:r>
    </w:p>
    <w:p w14:paraId="54D65AA4">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0CD80D0D">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DE QUANTIDADE</w:t>
      </w:r>
    </w:p>
    <w:p w14:paraId="577953E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A Prefeitura Municipal de Santa Branca não estará obrigada a adquirir os quantitativos dispostos neste Estudo Técnico Preliminar, devendo adquirir os itens de acordo com a sua necessidade e os que não forem adquiridos imediatamente ficarão registrados em ATA.</w:t>
      </w:r>
    </w:p>
    <w:p w14:paraId="6493ECB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Os quantitativos dos itens estão dimensionados com base nas médias atuais de consumo mensal do ano de 2023 nas unidades de saúde.</w:t>
      </w:r>
    </w:p>
    <w:p w14:paraId="19ED7D6E">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Foram considerados os seguintes parâmetros para o dimensionamento das demandas:</w:t>
      </w:r>
    </w:p>
    <w:p w14:paraId="3EB9839E">
      <w:pPr>
        <w:numPr>
          <w:ilvl w:val="0"/>
          <w:numId w:val="36"/>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sz w:val="21"/>
          <w:szCs w:val="21"/>
        </w:rPr>
      </w:pPr>
      <w:r>
        <w:rPr>
          <w:rFonts w:asciiTheme="minorHAnsi" w:hAnsiTheme="minorHAnsi" w:cstheme="minorHAnsi"/>
          <w:sz w:val="21"/>
          <w:szCs w:val="21"/>
        </w:rPr>
        <w:t>Eventuais faltas dos itens no mercado e demais eventos que possam vir a afetar diretamente o fornecimento dos itens ao longo da vigência da aquisição.</w:t>
      </w:r>
    </w:p>
    <w:tbl>
      <w:tblPr>
        <w:tblStyle w:val="4"/>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06"/>
        <w:gridCol w:w="711"/>
        <w:gridCol w:w="1880"/>
        <w:gridCol w:w="2241"/>
        <w:gridCol w:w="805"/>
        <w:gridCol w:w="1039"/>
        <w:gridCol w:w="1039"/>
        <w:gridCol w:w="1039"/>
      </w:tblGrid>
      <w:tr w14:paraId="57A86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6DFB1458">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ITEM</w:t>
            </w:r>
          </w:p>
        </w:tc>
        <w:tc>
          <w:tcPr>
            <w:tcW w:w="711" w:type="dxa"/>
            <w:tcBorders>
              <w:top w:val="single" w:color="000000" w:sz="4" w:space="0"/>
              <w:left w:val="single" w:color="000000" w:sz="4" w:space="0"/>
              <w:bottom w:val="single" w:color="000000" w:sz="4" w:space="0"/>
              <w:right w:val="single" w:color="000000" w:sz="4" w:space="0"/>
            </w:tcBorders>
            <w:vAlign w:val="center"/>
          </w:tcPr>
          <w:p w14:paraId="54486CE7">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Cod. SUP</w:t>
            </w:r>
          </w:p>
        </w:tc>
        <w:tc>
          <w:tcPr>
            <w:tcW w:w="1879" w:type="dxa"/>
            <w:tcBorders>
              <w:top w:val="single" w:color="000000" w:sz="4" w:space="0"/>
              <w:left w:val="single" w:color="000000" w:sz="4" w:space="0"/>
              <w:bottom w:val="single" w:color="000000" w:sz="4" w:space="0"/>
              <w:right w:val="single" w:color="000000" w:sz="4" w:space="0"/>
            </w:tcBorders>
            <w:vAlign w:val="center"/>
          </w:tcPr>
          <w:p w14:paraId="7986BA59">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DESCRIÇÃO</w:t>
            </w:r>
          </w:p>
        </w:tc>
        <w:tc>
          <w:tcPr>
            <w:tcW w:w="2240" w:type="dxa"/>
            <w:tcBorders>
              <w:top w:val="single" w:color="000000" w:sz="4" w:space="0"/>
              <w:left w:val="single" w:color="000000" w:sz="4" w:space="0"/>
              <w:bottom w:val="single" w:color="000000" w:sz="4" w:space="0"/>
              <w:right w:val="single" w:color="000000" w:sz="4" w:space="0"/>
            </w:tcBorders>
            <w:vAlign w:val="center"/>
          </w:tcPr>
          <w:p w14:paraId="40A7DFC5">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ESPECIFICAÇÃO</w:t>
            </w:r>
          </w:p>
        </w:tc>
        <w:tc>
          <w:tcPr>
            <w:tcW w:w="805" w:type="dxa"/>
            <w:tcBorders>
              <w:top w:val="single" w:color="000000" w:sz="4" w:space="0"/>
              <w:left w:val="single" w:color="000000" w:sz="4" w:space="0"/>
              <w:bottom w:val="single" w:color="000000" w:sz="4" w:space="0"/>
              <w:right w:val="single" w:color="000000" w:sz="4" w:space="0"/>
            </w:tcBorders>
            <w:vAlign w:val="center"/>
          </w:tcPr>
          <w:p w14:paraId="034050BA">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UNIDADE</w:t>
            </w:r>
          </w:p>
        </w:tc>
        <w:tc>
          <w:tcPr>
            <w:tcW w:w="1038" w:type="dxa"/>
            <w:tcBorders>
              <w:top w:val="single" w:color="000000" w:sz="4" w:space="0"/>
              <w:left w:val="single" w:color="000000" w:sz="4" w:space="0"/>
              <w:bottom w:val="single" w:color="000000" w:sz="4" w:space="0"/>
              <w:right w:val="single" w:color="000000" w:sz="4" w:space="0"/>
            </w:tcBorders>
            <w:vAlign w:val="center"/>
          </w:tcPr>
          <w:p w14:paraId="55659FF9">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QTDE.</w:t>
            </w:r>
          </w:p>
        </w:tc>
        <w:tc>
          <w:tcPr>
            <w:tcW w:w="1038" w:type="dxa"/>
            <w:tcBorders>
              <w:top w:val="single" w:color="000000" w:sz="4" w:space="0"/>
              <w:left w:val="single" w:color="000000" w:sz="4" w:space="0"/>
              <w:bottom w:val="single" w:color="000000" w:sz="4" w:space="0"/>
              <w:right w:val="single" w:color="000000" w:sz="4" w:space="0"/>
            </w:tcBorders>
            <w:vAlign w:val="center"/>
          </w:tcPr>
          <w:p w14:paraId="36B6FA56">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VALOR UNITÁRIO</w:t>
            </w:r>
          </w:p>
        </w:tc>
        <w:tc>
          <w:tcPr>
            <w:tcW w:w="1038" w:type="dxa"/>
            <w:tcBorders>
              <w:top w:val="single" w:color="000000" w:sz="4" w:space="0"/>
              <w:left w:val="single" w:color="000000" w:sz="4" w:space="0"/>
              <w:bottom w:val="single" w:color="000000" w:sz="4" w:space="0"/>
              <w:right w:val="single" w:color="000000" w:sz="4" w:space="0"/>
            </w:tcBorders>
            <w:vAlign w:val="center"/>
          </w:tcPr>
          <w:p w14:paraId="24AE8EC9">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TOTAL</w:t>
            </w:r>
          </w:p>
        </w:tc>
      </w:tr>
      <w:tr w14:paraId="13A11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7316BDCC">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1</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A7C2E33">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5599</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905345E">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CETAPHIL LOÇÃO HIDRATANTE</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7B6CBD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CETAPHIL ADVANCED MOISTURIZER PUMP CREME HIDRATANTE PARA PELE SECA E SENSÍVEL PARA O CORPO 473 G.</w:t>
            </w:r>
          </w:p>
          <w:p w14:paraId="3AB610AE">
            <w:pPr>
              <w:widowControl w:val="0"/>
              <w:spacing w:line="276" w:lineRule="auto"/>
              <w:jc w:val="center"/>
              <w:rPr>
                <w:rFonts w:asciiTheme="minorHAnsi" w:hAnsiTheme="minorHAnsi" w:cstheme="minorHAnsi"/>
                <w:sz w:val="18"/>
                <w:szCs w:val="18"/>
              </w:rPr>
            </w:pPr>
          </w:p>
          <w:p w14:paraId="75AAB18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MARCA: GALDERMA</w:t>
            </w:r>
          </w:p>
          <w:p w14:paraId="3068C150">
            <w:pPr>
              <w:widowControl w:val="0"/>
              <w:spacing w:line="276" w:lineRule="auto"/>
              <w:jc w:val="center"/>
              <w:rPr>
                <w:rFonts w:asciiTheme="minorHAnsi" w:hAnsiTheme="minorHAnsi" w:cstheme="minorHAnsi"/>
                <w:sz w:val="18"/>
                <w:szCs w:val="18"/>
              </w:rPr>
            </w:pPr>
          </w:p>
          <w:p w14:paraId="3DCCE1EB">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0000598-74.2018.8.26.0534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803D5A0">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627527C">
            <w:pPr>
              <w:widowControl w:val="0"/>
              <w:pBdr>
                <w:top w:val="none" w:color="auto" w:sz="0" w:space="0"/>
                <w:left w:val="none" w:color="auto" w:sz="0" w:space="0"/>
                <w:bottom w:val="none" w:color="auto" w:sz="0" w:space="0"/>
                <w:right w:val="none" w:color="auto" w:sz="0" w:space="0"/>
                <w:between w:val="none" w:color="auto" w:sz="0" w:space="0"/>
              </w:pBdr>
              <w:spacing w:line="276" w:lineRule="auto"/>
              <w:jc w:val="center"/>
              <w:rPr>
                <w:rFonts w:asciiTheme="minorHAnsi" w:hAnsiTheme="minorHAnsi" w:cstheme="minorHAnsi"/>
                <w:sz w:val="18"/>
                <w:szCs w:val="18"/>
              </w:rPr>
            </w:pPr>
            <w:r>
              <w:rPr>
                <w:rFonts w:asciiTheme="minorHAnsi" w:hAnsiTheme="minorHAnsi" w:cstheme="minorHAnsi"/>
                <w:sz w:val="18"/>
                <w:szCs w:val="18"/>
              </w:rPr>
              <w:t>30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D944685">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R$ 114,49</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C625699">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R$ 3.434,70</w:t>
            </w:r>
          </w:p>
        </w:tc>
      </w:tr>
      <w:tr w14:paraId="6EFB6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25DDB504">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2</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576120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13185</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D9F4E0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CLAREADOR FACIAL</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380F2BA">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CLAREADOR FACIAL ISDIN - FOTOULTRA ACTIVE UNIFY FUSION FLUID FPS 99 - 50 ML</w:t>
            </w:r>
          </w:p>
          <w:p w14:paraId="44ECAC67">
            <w:pPr>
              <w:widowControl w:val="0"/>
              <w:spacing w:line="276" w:lineRule="auto"/>
              <w:jc w:val="center"/>
              <w:rPr>
                <w:rFonts w:asciiTheme="minorHAnsi" w:hAnsiTheme="minorHAnsi" w:cstheme="minorHAnsi"/>
                <w:sz w:val="18"/>
                <w:szCs w:val="18"/>
              </w:rPr>
            </w:pPr>
          </w:p>
          <w:p w14:paraId="469EB54C">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19E023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5C70CFC">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049EAB4">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R$ 143,90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EBDB5FD">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R$ 2.590,20</w:t>
            </w:r>
          </w:p>
        </w:tc>
      </w:tr>
      <w:tr w14:paraId="09CB1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3CA00ACB">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3</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2CAD93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11862</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AFB4FFF">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DIPROPIONATO DE BETAMETASONA 0,64 MG/G</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638B4A4">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DIPROSONE DIPROPIONATO DE BETAMETASONA 0,64 MG/G - SUSPENSÃO DE USO DERMATOLÓGICO - 30 ML</w:t>
            </w:r>
          </w:p>
          <w:p w14:paraId="3876CA99">
            <w:pPr>
              <w:widowControl w:val="0"/>
              <w:spacing w:line="276" w:lineRule="auto"/>
              <w:jc w:val="center"/>
              <w:rPr>
                <w:rFonts w:asciiTheme="minorHAnsi" w:hAnsiTheme="minorHAnsi" w:cstheme="minorHAnsi"/>
                <w:sz w:val="18"/>
                <w:szCs w:val="18"/>
              </w:rPr>
            </w:pPr>
          </w:p>
          <w:p w14:paraId="40473350">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68854D7">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72B683D">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25</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74AC57A">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R$ 49,19</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A86A094">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R$ 1.229,75</w:t>
            </w:r>
          </w:p>
        </w:tc>
      </w:tr>
      <w:tr w14:paraId="4E215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503CE82E">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4</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BA4111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13504</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0316EA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LOÇÃO HIDRATANTE HIPOALERGÊNICA HYDRAPORIN - FRASCO 450 G</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36F1D2A">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HYDRAPORIN AI LOÇÃO HIDRATANTE 450 G</w:t>
            </w:r>
          </w:p>
          <w:p w14:paraId="48BEB118">
            <w:pPr>
              <w:widowControl w:val="0"/>
              <w:spacing w:line="276" w:lineRule="auto"/>
              <w:jc w:val="center"/>
              <w:rPr>
                <w:rFonts w:asciiTheme="minorHAnsi" w:hAnsiTheme="minorHAnsi" w:cstheme="minorHAnsi"/>
                <w:sz w:val="18"/>
                <w:szCs w:val="18"/>
              </w:rPr>
            </w:pPr>
          </w:p>
          <w:p w14:paraId="569CC194">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1000403-72.2018.8.26.0534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6BB3F2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871B232">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40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CCE26DE">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R$ 179,90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BB5F268">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R$ 7.196,00</w:t>
            </w:r>
          </w:p>
        </w:tc>
      </w:tr>
      <w:tr w14:paraId="0F956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7146F11F">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5</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99D15D7">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13186</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A5BC26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ANTHELIUS XL FPS 70</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D3CE4F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ANTHELIOS XL FPS 70 LA ROCHE POSAY - PROTETOR SOLAR - 200 ML</w:t>
            </w:r>
          </w:p>
          <w:p w14:paraId="4427EC5C">
            <w:pPr>
              <w:widowControl w:val="0"/>
              <w:spacing w:line="276" w:lineRule="auto"/>
              <w:jc w:val="center"/>
              <w:rPr>
                <w:rFonts w:asciiTheme="minorHAnsi" w:hAnsiTheme="minorHAnsi" w:cstheme="minorHAnsi"/>
                <w:sz w:val="18"/>
                <w:szCs w:val="18"/>
              </w:rPr>
            </w:pPr>
          </w:p>
          <w:p w14:paraId="4AA35419">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6DE1247">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0702DC5">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A98C1B3">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R$ 139,90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14BAF6B">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R$ 2.518,20</w:t>
            </w:r>
          </w:p>
        </w:tc>
      </w:tr>
      <w:tr w14:paraId="26C93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71E8EEC6">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6</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01D055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13295</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46375C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SABONETE LIQUIDO CETAPHIL</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6A97D6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CETAPHIL PRO AD CONTROL RESTORADERM SABONETE LÍQUIDO 295 ML</w:t>
            </w:r>
          </w:p>
          <w:p w14:paraId="1F3D924B">
            <w:pPr>
              <w:widowControl w:val="0"/>
              <w:spacing w:line="276" w:lineRule="auto"/>
              <w:jc w:val="center"/>
              <w:rPr>
                <w:rFonts w:asciiTheme="minorHAnsi" w:hAnsiTheme="minorHAnsi" w:cstheme="minorHAnsi"/>
                <w:sz w:val="18"/>
                <w:szCs w:val="18"/>
              </w:rPr>
            </w:pPr>
          </w:p>
          <w:p w14:paraId="18221CF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0000598-74.2018.8.26.0534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FBE01C6">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7570529">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40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06DD608">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R$ 87,49</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0B8A61B">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R$ 3.499,60</w:t>
            </w:r>
          </w:p>
        </w:tc>
      </w:tr>
      <w:tr w14:paraId="7C020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0F9B7B4F">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7</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AD6362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10313</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6E94A3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MÁSCARA CAPILAR</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ED01E9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MÁSCARA CAPILAR CONCENTRADA ANTIRRIGIDEZ VICHY DERCOS KERA SOLUTIONS 200 ML</w:t>
            </w:r>
          </w:p>
          <w:p w14:paraId="3131F95F">
            <w:pPr>
              <w:widowControl w:val="0"/>
              <w:spacing w:line="276" w:lineRule="auto"/>
              <w:jc w:val="center"/>
              <w:rPr>
                <w:rFonts w:asciiTheme="minorHAnsi" w:hAnsiTheme="minorHAnsi" w:cstheme="minorHAnsi"/>
                <w:sz w:val="18"/>
                <w:szCs w:val="18"/>
              </w:rPr>
            </w:pPr>
          </w:p>
          <w:p w14:paraId="653870AD">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1477B6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E562776">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A34BC2B">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R$ 140,29</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423C9D0">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R$ 2.525,22</w:t>
            </w:r>
          </w:p>
        </w:tc>
      </w:tr>
      <w:tr w14:paraId="091D3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747B6CEA">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8</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E0E5334">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10312</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69AD80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SHAMPOO ANTIQUEDA</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D5E016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VICHY DERCOS ENERGIZANTE - SHAMPOO ANTIQUEDA 200 ML</w:t>
            </w:r>
          </w:p>
          <w:p w14:paraId="5A6867C4">
            <w:pPr>
              <w:widowControl w:val="0"/>
              <w:spacing w:line="276" w:lineRule="auto"/>
              <w:jc w:val="center"/>
              <w:rPr>
                <w:rFonts w:asciiTheme="minorHAnsi" w:hAnsiTheme="minorHAnsi" w:cstheme="minorHAnsi"/>
                <w:sz w:val="18"/>
                <w:szCs w:val="18"/>
              </w:rPr>
            </w:pPr>
          </w:p>
          <w:p w14:paraId="7261AF8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3000398-89.2013.8.26.0534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896D7E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DE4C1DB">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BEDD6B6">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R$ 109,90</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E52CA07">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R$ 1.978,20</w:t>
            </w:r>
          </w:p>
        </w:tc>
      </w:tr>
      <w:tr w14:paraId="3A269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06" w:type="dxa"/>
            <w:tcBorders>
              <w:top w:val="single" w:color="000000" w:sz="4" w:space="0"/>
              <w:left w:val="single" w:color="000000" w:sz="4" w:space="0"/>
              <w:bottom w:val="single" w:color="000000" w:sz="4" w:space="0"/>
              <w:right w:val="single" w:color="000000" w:sz="4" w:space="0"/>
            </w:tcBorders>
            <w:vAlign w:val="center"/>
          </w:tcPr>
          <w:p w14:paraId="4063AC52">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9</w:t>
            </w:r>
          </w:p>
        </w:tc>
        <w:tc>
          <w:tcPr>
            <w:tcW w:w="71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AD6A373">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1006</w:t>
            </w:r>
          </w:p>
        </w:tc>
        <w:tc>
          <w:tcPr>
            <w:tcW w:w="1879"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7494E9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SYSTANE UL COL</w:t>
            </w:r>
          </w:p>
        </w:tc>
        <w:tc>
          <w:tcPr>
            <w:tcW w:w="224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257D7B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LUBRIFICANTE OFTÁLMICO - FRASCO COM 15 ML</w:t>
            </w:r>
          </w:p>
          <w:p w14:paraId="3EFB1C16">
            <w:pPr>
              <w:widowControl w:val="0"/>
              <w:spacing w:line="276" w:lineRule="auto"/>
              <w:jc w:val="center"/>
              <w:rPr>
                <w:rFonts w:asciiTheme="minorHAnsi" w:hAnsiTheme="minorHAnsi" w:cstheme="minorHAnsi"/>
                <w:sz w:val="18"/>
                <w:szCs w:val="18"/>
              </w:rPr>
            </w:pPr>
          </w:p>
          <w:p w14:paraId="42714FF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AÇÃO CIVIL PÚBLICA Nº 1000454-15.2020.8.26.0534</w:t>
            </w:r>
          </w:p>
        </w:tc>
        <w:tc>
          <w:tcPr>
            <w:tcW w:w="805"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0154D4A">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38"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C42B6D9">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66D67B1">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R$ 89,17</w:t>
            </w:r>
          </w:p>
        </w:tc>
        <w:tc>
          <w:tcPr>
            <w:tcW w:w="103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E2FC85D">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R$ 1.605,06</w:t>
            </w:r>
          </w:p>
        </w:tc>
      </w:tr>
    </w:tbl>
    <w:p w14:paraId="7603524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FF0000"/>
          <w:sz w:val="21"/>
          <w:szCs w:val="21"/>
        </w:rPr>
      </w:pPr>
    </w:p>
    <w:p w14:paraId="1F9BEC54">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LEVANTAMENTO DE SOLUÇÕES </w:t>
      </w:r>
      <w:r>
        <w:rPr>
          <w:rFonts w:asciiTheme="minorHAnsi" w:hAnsiTheme="minorHAnsi" w:cstheme="minorHAnsi"/>
          <w:b/>
          <w:sz w:val="21"/>
          <w:szCs w:val="21"/>
        </w:rPr>
        <w:t>DISPONÍVEIS</w:t>
      </w:r>
      <w:r>
        <w:rPr>
          <w:rFonts w:asciiTheme="minorHAnsi" w:hAnsiTheme="minorHAnsi" w:cstheme="minorHAnsi"/>
          <w:b/>
          <w:color w:val="000000"/>
          <w:sz w:val="21"/>
          <w:szCs w:val="21"/>
        </w:rPr>
        <w:t xml:space="preserve"> NO MERCADO</w:t>
      </w:r>
    </w:p>
    <w:p w14:paraId="3BC61A13">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sz w:val="21"/>
          <w:szCs w:val="21"/>
        </w:rPr>
        <w:t>Não há outra solução disponível no mercado que não seja a aquisição dos itens do objeto.</w:t>
      </w:r>
    </w:p>
    <w:p w14:paraId="39E31049">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01F7BFE8">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ESTIMATIVAS DO VALOR DE CONTRATAÇÃO</w:t>
      </w:r>
    </w:p>
    <w:p w14:paraId="7BC81414">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 relação dos valores obtidos segue anexo </w:t>
      </w:r>
      <w:r>
        <w:rPr>
          <w:rFonts w:asciiTheme="minorHAnsi" w:hAnsiTheme="minorHAnsi" w:cstheme="minorHAnsi"/>
          <w:sz w:val="21"/>
          <w:szCs w:val="21"/>
        </w:rPr>
        <w:t>a este</w:t>
      </w:r>
      <w:r>
        <w:rPr>
          <w:rFonts w:asciiTheme="minorHAnsi" w:hAnsiTheme="minorHAnsi" w:cstheme="minorHAnsi"/>
          <w:color w:val="000000"/>
          <w:sz w:val="21"/>
          <w:szCs w:val="21"/>
        </w:rPr>
        <w:t xml:space="preserve"> documento no ANEXO I – Pesquisa de Preços.</w:t>
      </w:r>
    </w:p>
    <w:tbl>
      <w:tblPr>
        <w:tblStyle w:val="4"/>
        <w:tblW w:w="98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13"/>
        <w:gridCol w:w="3284"/>
        <w:gridCol w:w="1370"/>
        <w:gridCol w:w="1041"/>
        <w:gridCol w:w="1524"/>
        <w:gridCol w:w="1688"/>
      </w:tblGrid>
      <w:tr w14:paraId="5873D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45B73E73">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ITEM</w:t>
            </w:r>
          </w:p>
        </w:tc>
        <w:tc>
          <w:tcPr>
            <w:tcW w:w="3284" w:type="dxa"/>
            <w:tcBorders>
              <w:top w:val="single" w:color="000000" w:sz="4" w:space="0"/>
              <w:left w:val="single" w:color="000000" w:sz="4" w:space="0"/>
              <w:bottom w:val="single" w:color="000000" w:sz="4" w:space="0"/>
              <w:right w:val="single" w:color="000000" w:sz="4" w:space="0"/>
            </w:tcBorders>
            <w:vAlign w:val="center"/>
          </w:tcPr>
          <w:p w14:paraId="21E38CEF">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DESCRIÇÃO</w:t>
            </w:r>
          </w:p>
        </w:tc>
        <w:tc>
          <w:tcPr>
            <w:tcW w:w="1370" w:type="dxa"/>
            <w:tcBorders>
              <w:top w:val="single" w:color="000000" w:sz="4" w:space="0"/>
              <w:left w:val="single" w:color="000000" w:sz="4" w:space="0"/>
              <w:bottom w:val="single" w:color="000000" w:sz="4" w:space="0"/>
              <w:right w:val="single" w:color="000000" w:sz="4" w:space="0"/>
            </w:tcBorders>
            <w:vAlign w:val="center"/>
          </w:tcPr>
          <w:p w14:paraId="31A2676B">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UNIDADE DE MEDIDA</w:t>
            </w:r>
          </w:p>
        </w:tc>
        <w:tc>
          <w:tcPr>
            <w:tcW w:w="1041" w:type="dxa"/>
            <w:tcBorders>
              <w:top w:val="single" w:color="000000" w:sz="4" w:space="0"/>
              <w:left w:val="single" w:color="000000" w:sz="4" w:space="0"/>
              <w:bottom w:val="single" w:color="000000" w:sz="4" w:space="0"/>
              <w:right w:val="single" w:color="000000" w:sz="4" w:space="0"/>
            </w:tcBorders>
            <w:vAlign w:val="center"/>
          </w:tcPr>
          <w:p w14:paraId="3E664F5C">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QTDE.</w:t>
            </w:r>
          </w:p>
        </w:tc>
        <w:tc>
          <w:tcPr>
            <w:tcW w:w="1524" w:type="dxa"/>
            <w:tcBorders>
              <w:top w:val="single" w:color="000000" w:sz="4" w:space="0"/>
              <w:left w:val="single" w:color="000000" w:sz="4" w:space="0"/>
              <w:bottom w:val="single" w:color="000000" w:sz="4" w:space="0"/>
              <w:right w:val="single" w:color="000000" w:sz="4" w:space="0"/>
            </w:tcBorders>
            <w:vAlign w:val="center"/>
          </w:tcPr>
          <w:p w14:paraId="75FF4DF1">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VALOR UNITÁRIO</w:t>
            </w:r>
          </w:p>
        </w:tc>
        <w:tc>
          <w:tcPr>
            <w:tcW w:w="1688" w:type="dxa"/>
            <w:tcBorders>
              <w:top w:val="single" w:color="000000" w:sz="4" w:space="0"/>
              <w:left w:val="single" w:color="000000" w:sz="4" w:space="0"/>
              <w:bottom w:val="single" w:color="000000" w:sz="4" w:space="0"/>
              <w:right w:val="single" w:color="000000" w:sz="4" w:space="0"/>
            </w:tcBorders>
            <w:vAlign w:val="center"/>
          </w:tcPr>
          <w:p w14:paraId="5E5E085E">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VALOR TOTAL</w:t>
            </w:r>
          </w:p>
        </w:tc>
      </w:tr>
      <w:tr w14:paraId="01D36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6EB35C45">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1</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1E7B854">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CETAPHIL LOÇÃO HIDRATANTE</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19752B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54C4AF6">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30</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5AE4801B">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R$ 114,49</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B136341">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R$ 3.434,70</w:t>
            </w:r>
          </w:p>
        </w:tc>
      </w:tr>
      <w:tr w14:paraId="1AFD4E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2627ADB6">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2</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B3FE15B">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CLAREADOR FACIAL</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CB5406B">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07512FA">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665CCF2">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R$ 143,90</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3A744EBC">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R$ 2.590,20</w:t>
            </w:r>
          </w:p>
        </w:tc>
      </w:tr>
      <w:tr w14:paraId="1D727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02BF13AB">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3</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762470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DIPROPIONATO DE BETAMETASONA 0,64 MG/G</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04BFBCB">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4E0744EE">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25</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7EC426B">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R$ 49,19</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DBCC230">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R$ 1.229,75</w:t>
            </w:r>
          </w:p>
        </w:tc>
      </w:tr>
      <w:tr w14:paraId="00DB5E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4A7BC87A">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4</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09C6D361">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LOÇÃO HIDRATANTE HIPOALERGÊNICA HYDRAPORIN - FRASCO 450 G</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BA7E8A9">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3956C9D">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40</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674BF57">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R$ 179,90</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7DD538E">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R$ 7.196,00</w:t>
            </w:r>
          </w:p>
        </w:tc>
      </w:tr>
      <w:tr w14:paraId="04BD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7AC92910">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5</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23932F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ANTHELIUS XL FPS 70</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764FF2E">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89E4C32">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2BDDF4C1">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R$ 139,90</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D035ABD">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R$ 2.518,20</w:t>
            </w:r>
          </w:p>
        </w:tc>
      </w:tr>
      <w:tr w14:paraId="79D4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61F1E9B8">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6</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8A03414">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SABONETE LIQUIDO CETAPHIL</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54FA9CE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2D617E18">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40</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02F1917">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R$ 87,49</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79E24DEF">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R$ 3.499,60</w:t>
            </w:r>
          </w:p>
        </w:tc>
      </w:tr>
      <w:tr w14:paraId="44AA1D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73F2794E">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7</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8248D6A">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MÁSCARA CAPILAR</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6D51DA85">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839174D">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13FCFE5">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R$ 140,29</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81765D3">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R$ 2.525,22</w:t>
            </w:r>
          </w:p>
        </w:tc>
      </w:tr>
      <w:tr w14:paraId="0A990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4D2C4DC9">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8</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37B0E6D8">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SHAMPOO ANTIQUEDA</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894C99B">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F0710AF">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6D17C717">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R$ 109,90</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443D9C11">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R$ 1.978,20</w:t>
            </w:r>
          </w:p>
        </w:tc>
      </w:tr>
      <w:tr w14:paraId="0C97C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13" w:type="dxa"/>
            <w:tcBorders>
              <w:top w:val="single" w:color="000000" w:sz="4" w:space="0"/>
              <w:left w:val="single" w:color="000000" w:sz="4" w:space="0"/>
              <w:bottom w:val="single" w:color="000000" w:sz="4" w:space="0"/>
              <w:right w:val="single" w:color="000000" w:sz="4" w:space="0"/>
            </w:tcBorders>
            <w:vAlign w:val="center"/>
          </w:tcPr>
          <w:p w14:paraId="2AFF1007">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9</w:t>
            </w:r>
          </w:p>
        </w:tc>
        <w:tc>
          <w:tcPr>
            <w:tcW w:w="3284"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6169CC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SYSTANE UL COL</w:t>
            </w:r>
          </w:p>
        </w:tc>
        <w:tc>
          <w:tcPr>
            <w:tcW w:w="1370"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7C888B80">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FRS</w:t>
            </w:r>
          </w:p>
        </w:tc>
        <w:tc>
          <w:tcPr>
            <w:tcW w:w="1041" w:type="dxa"/>
            <w:tcBorders>
              <w:top w:val="single" w:color="000000" w:sz="6" w:space="0"/>
              <w:left w:val="single" w:color="000000" w:sz="6" w:space="0"/>
              <w:bottom w:val="single" w:color="000000" w:sz="6" w:space="0"/>
              <w:right w:val="single" w:color="000000" w:sz="6" w:space="0"/>
            </w:tcBorders>
            <w:tcMar>
              <w:top w:w="0" w:type="dxa"/>
              <w:left w:w="40" w:type="dxa"/>
              <w:bottom w:w="0" w:type="dxa"/>
              <w:right w:w="40" w:type="dxa"/>
            </w:tcMar>
            <w:vAlign w:val="center"/>
          </w:tcPr>
          <w:p w14:paraId="1D5CA337">
            <w:pPr>
              <w:widowControl w:val="0"/>
              <w:spacing w:line="276" w:lineRule="auto"/>
              <w:jc w:val="center"/>
              <w:rPr>
                <w:rFonts w:asciiTheme="minorHAnsi" w:hAnsiTheme="minorHAnsi" w:cstheme="minorHAnsi"/>
                <w:sz w:val="18"/>
                <w:szCs w:val="18"/>
              </w:rPr>
            </w:pPr>
            <w:r>
              <w:rPr>
                <w:rFonts w:asciiTheme="minorHAnsi" w:hAnsiTheme="minorHAnsi" w:cstheme="minorHAnsi"/>
                <w:b/>
                <w:sz w:val="18"/>
                <w:szCs w:val="18"/>
              </w:rPr>
              <w:t>18</w:t>
            </w:r>
          </w:p>
        </w:tc>
        <w:tc>
          <w:tcPr>
            <w:tcW w:w="1524"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05EE363F">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R$ 89,17</w:t>
            </w:r>
          </w:p>
        </w:tc>
        <w:tc>
          <w:tcPr>
            <w:tcW w:w="1688"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center"/>
          </w:tcPr>
          <w:p w14:paraId="1EA3CA62">
            <w:pPr>
              <w:widowControl w:val="0"/>
              <w:spacing w:line="276" w:lineRule="auto"/>
              <w:jc w:val="center"/>
              <w:rPr>
                <w:rFonts w:eastAsia="Arial" w:asciiTheme="minorHAnsi" w:hAnsiTheme="minorHAnsi" w:cstheme="minorHAnsi"/>
                <w:sz w:val="18"/>
                <w:szCs w:val="18"/>
              </w:rPr>
            </w:pPr>
            <w:r>
              <w:rPr>
                <w:rFonts w:asciiTheme="minorHAnsi" w:hAnsiTheme="minorHAnsi" w:cstheme="minorHAnsi"/>
                <w:sz w:val="18"/>
                <w:szCs w:val="18"/>
              </w:rPr>
              <w:t>R$ 1.605,06</w:t>
            </w:r>
          </w:p>
        </w:tc>
      </w:tr>
      <w:tr w14:paraId="7E936C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608" w:type="dxa"/>
            <w:gridSpan w:val="4"/>
            <w:tcBorders>
              <w:top w:val="single" w:color="000000" w:sz="4" w:space="0"/>
              <w:left w:val="single" w:color="000000" w:sz="4" w:space="0"/>
              <w:bottom w:val="single" w:color="000000" w:sz="4" w:space="0"/>
              <w:right w:val="single" w:color="000000" w:sz="4" w:space="0"/>
            </w:tcBorders>
            <w:vAlign w:val="center"/>
          </w:tcPr>
          <w:p w14:paraId="36B81332">
            <w:pPr>
              <w:widowControl w:val="0"/>
              <w:spacing w:line="276" w:lineRule="auto"/>
              <w:jc w:val="center"/>
              <w:rPr>
                <w:rFonts w:asciiTheme="minorHAnsi" w:hAnsiTheme="minorHAnsi" w:cstheme="minorHAnsi"/>
                <w:sz w:val="18"/>
                <w:szCs w:val="18"/>
              </w:rPr>
            </w:pPr>
            <w:r>
              <w:rPr>
                <w:rFonts w:asciiTheme="minorHAnsi" w:hAnsiTheme="minorHAnsi" w:cstheme="minorHAnsi"/>
                <w:sz w:val="18"/>
                <w:szCs w:val="18"/>
              </w:rPr>
              <w:t>Valor Total</w:t>
            </w:r>
          </w:p>
        </w:tc>
        <w:tc>
          <w:tcPr>
            <w:tcW w:w="3212" w:type="dxa"/>
            <w:gridSpan w:val="2"/>
            <w:tcBorders>
              <w:top w:val="single" w:color="000000" w:sz="4" w:space="0"/>
              <w:left w:val="single" w:color="000000" w:sz="4" w:space="0"/>
              <w:bottom w:val="single" w:color="000000" w:sz="4" w:space="0"/>
              <w:right w:val="single" w:color="000000" w:sz="4" w:space="0"/>
            </w:tcBorders>
            <w:vAlign w:val="center"/>
          </w:tcPr>
          <w:p w14:paraId="4EC5351D">
            <w:pPr>
              <w:widowControl w:val="0"/>
              <w:spacing w:line="276" w:lineRule="auto"/>
              <w:jc w:val="center"/>
              <w:rPr>
                <w:rFonts w:asciiTheme="minorHAnsi" w:hAnsiTheme="minorHAnsi" w:cstheme="minorHAnsi"/>
                <w:b/>
                <w:sz w:val="18"/>
                <w:szCs w:val="18"/>
              </w:rPr>
            </w:pPr>
            <w:r>
              <w:rPr>
                <w:rFonts w:asciiTheme="minorHAnsi" w:hAnsiTheme="minorHAnsi" w:cstheme="minorHAnsi"/>
                <w:b/>
                <w:sz w:val="18"/>
                <w:szCs w:val="18"/>
              </w:rPr>
              <w:t>R$ 26.576,93</w:t>
            </w:r>
          </w:p>
        </w:tc>
      </w:tr>
    </w:tbl>
    <w:p w14:paraId="78A72817">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3FB9E3EE">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DESCRIÇÃO DA SOLUÇÃO COMO UM TODO</w:t>
      </w:r>
    </w:p>
    <w:p w14:paraId="5969F8C0">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70C0"/>
          <w:sz w:val="21"/>
          <w:szCs w:val="21"/>
        </w:rPr>
      </w:pPr>
    </w:p>
    <w:p w14:paraId="5178CF0A">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Os bens enquadram-se na classificação de bens comuns, nos termos da Lei nº 14.133 de 2021, pois os padrões de desempenho e qualidade podem ser objetivamente definidos, por meio de especificações usuais de mercado.</w:t>
      </w:r>
    </w:p>
    <w:p w14:paraId="22ABA50D">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A contratação do produto por meio de Registro de Preços trará benefícios a Prefeitura Municipal de Santa Branca, proporcionando maior economicidade considerando-se com o mercado. Importante salientar que, não há a necessidade de se estocar grandes quantidades, o que poderia ocasionar perda de validade do produto, haja vista que a compra por meio de Registro de Preços permite a aquisição do produto somente quando houver a necessidade de determinado quantitativo.</w:t>
      </w:r>
    </w:p>
    <w:p w14:paraId="2DE7A536">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Diante da necessidade de contratações frequentes e da não possibilidade de definir previamente o quantitativo a ser demandado pela Administração justifica-se a escolha pelo Sistema de Registro de Preços.</w:t>
      </w:r>
    </w:p>
    <w:p w14:paraId="2AB9D904">
      <w:pPr>
        <w:spacing w:line="360" w:lineRule="auto"/>
        <w:ind w:firstLine="567"/>
        <w:jc w:val="both"/>
        <w:rPr>
          <w:rFonts w:asciiTheme="minorHAnsi" w:hAnsiTheme="minorHAnsi" w:cstheme="minorHAnsi"/>
          <w:sz w:val="21"/>
          <w:szCs w:val="21"/>
        </w:rPr>
      </w:pPr>
      <w:r>
        <w:rPr>
          <w:rFonts w:asciiTheme="minorHAnsi" w:hAnsiTheme="minorHAnsi" w:cstheme="minorHAnsi"/>
          <w:sz w:val="21"/>
          <w:szCs w:val="21"/>
        </w:rPr>
        <w:t>Analisando as alternativas disponíveis e quem atenderam à necessidade da área requisitante, considerando a viabilidade técnica e econômica, a solução que se mostrou mais vantajosa é a realização de procedimento licitatório da modalidade Pregão Eletrônico, pelo sistema de registro de preços, para aquisição de materiais de consumo, de acordo com especificações comuns de mercado capazes de atender aos requisitos estipulados. As licitantes deverão apresentar suas propostas com base nas suas estimativas de custo para o fornecimento. Os preços serão fixos e irreajustáveis dentro do prazo de um ano. O fornecimento só será efetivado após a emissão da Nota de Empenho e mediante Autorização de Fornecimento, expedida pela Diretoria responsável. Na Autorização de Fornecimento constará: a descrição, a quantidade e o valor dos itens empenhados, o prazo de entrega, o responsável pela solicitação e a referência à Nota de Empenho.</w:t>
      </w:r>
    </w:p>
    <w:p w14:paraId="36C74479">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0070C0"/>
          <w:sz w:val="21"/>
          <w:szCs w:val="21"/>
        </w:rPr>
      </w:pPr>
    </w:p>
    <w:p w14:paraId="159A9D84">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JUSTIFICATIVA PARA PARCELAMENTO</w:t>
      </w:r>
    </w:p>
    <w:p w14:paraId="67999656">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 objeto é divisível, razão pela qual foi relacionado em vários itens para realização do certame. O critério de julgamento das propostas será o menor preço por item. A divisão do objeto não representa perda da economia de escala.</w:t>
      </w:r>
    </w:p>
    <w:p w14:paraId="0A2942BA">
      <w:pPr>
        <w:spacing w:line="360" w:lineRule="auto"/>
        <w:ind w:right="-2" w:firstLine="567"/>
        <w:jc w:val="both"/>
        <w:rPr>
          <w:rFonts w:asciiTheme="minorHAnsi" w:hAnsiTheme="minorHAnsi" w:cstheme="minorHAnsi"/>
          <w:sz w:val="21"/>
          <w:szCs w:val="21"/>
        </w:rPr>
      </w:pPr>
      <w:r>
        <w:rPr>
          <w:rFonts w:asciiTheme="minorHAnsi" w:hAnsiTheme="minorHAnsi" w:cstheme="minorHAnsi"/>
          <w:b/>
          <w:sz w:val="21"/>
          <w:szCs w:val="21"/>
        </w:rPr>
        <w:t xml:space="preserve">Cotas para ME/EPP/Cooperativas. </w:t>
      </w:r>
      <w:r>
        <w:rPr>
          <w:rFonts w:asciiTheme="minorHAnsi" w:hAnsiTheme="minorHAnsi" w:cstheme="minorHAnsi"/>
          <w:sz w:val="21"/>
          <w:szCs w:val="21"/>
        </w:rPr>
        <w:t>Em cumprimento ao artigo 48, inciso III, da Lei Complementar Federal nº 123/2006, os itens poderão</w:t>
      </w:r>
      <w:r>
        <w:rPr>
          <w:rFonts w:asciiTheme="minorHAnsi" w:hAnsiTheme="minorHAnsi" w:cstheme="minorHAnsi"/>
          <w:b/>
          <w:sz w:val="21"/>
          <w:szCs w:val="21"/>
        </w:rPr>
        <w:t xml:space="preserve"> </w:t>
      </w:r>
      <w:r>
        <w:rPr>
          <w:rFonts w:asciiTheme="minorHAnsi" w:hAnsiTheme="minorHAnsi" w:cstheme="minorHAnsi"/>
          <w:sz w:val="21"/>
          <w:szCs w:val="21"/>
        </w:rPr>
        <w:t>serão divididos em cota principal e cota reservada à participação de microempresas, empresas de pequeno porte e cooperativas que preencham as condições estabelecidas no artigo 34, da Lei Federal nº 11.488/2007, no limite máximo de até 25% (vinte e cinco por cento) do objeto</w:t>
      </w:r>
    </w:p>
    <w:p w14:paraId="6BF1991B">
      <w:pPr>
        <w:spacing w:line="360" w:lineRule="auto"/>
        <w:ind w:right="-2" w:firstLine="567"/>
        <w:jc w:val="both"/>
        <w:rPr>
          <w:rFonts w:asciiTheme="minorHAnsi" w:hAnsiTheme="minorHAnsi" w:cstheme="minorHAnsi"/>
          <w:sz w:val="21"/>
          <w:szCs w:val="21"/>
        </w:rPr>
      </w:pPr>
    </w:p>
    <w:p w14:paraId="3DDABFC5">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RESULTADOS PRETENDIDOS</w:t>
      </w:r>
    </w:p>
    <w:p w14:paraId="0BFBAD5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Os ganhos diretos e indiretos que se almeja com a aquisição, essencialmente efetividade, em termos de economicidade, eficácia e eficiência, e melhor aproveitamento dos recursos financeiros disponíveis são:</w:t>
      </w:r>
    </w:p>
    <w:p w14:paraId="513625CB">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Abastecer o estoque dos itens nos dispensários das Unidades </w:t>
      </w:r>
      <w:r>
        <w:rPr>
          <w:rFonts w:asciiTheme="minorHAnsi" w:hAnsiTheme="minorHAnsi" w:cstheme="minorHAnsi"/>
          <w:sz w:val="21"/>
          <w:szCs w:val="21"/>
        </w:rPr>
        <w:t>de saúde</w:t>
      </w:r>
      <w:r>
        <w:rPr>
          <w:rFonts w:asciiTheme="minorHAnsi" w:hAnsiTheme="minorHAnsi" w:cstheme="minorHAnsi"/>
          <w:color w:val="000000"/>
          <w:sz w:val="21"/>
          <w:szCs w:val="21"/>
        </w:rPr>
        <w:t>, possibilitando o atendimento das demandas dos munícipes.</w:t>
      </w:r>
    </w:p>
    <w:p w14:paraId="2554BD41">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b/>
          <w:color w:val="000000"/>
          <w:sz w:val="21"/>
          <w:szCs w:val="21"/>
        </w:rPr>
      </w:pPr>
    </w:p>
    <w:p w14:paraId="2E8976E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PROVIDÊNCIAS A SEREM ADOTADAS ANTES DA CONTRATAÇÃO</w:t>
      </w:r>
    </w:p>
    <w:p w14:paraId="6AA3DE93">
      <w:pP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As providências a serem adotadas antes da contratação, visando possibilitar o pleno atendimento do objetivo proposto com a aquisição são:</w:t>
      </w:r>
    </w:p>
    <w:p w14:paraId="2B9E9900">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 xml:space="preserve">Elencar os itens que são objeto da referida </w:t>
      </w:r>
      <w:r>
        <w:rPr>
          <w:rFonts w:asciiTheme="minorHAnsi" w:hAnsiTheme="minorHAnsi" w:cstheme="minorHAnsi"/>
          <w:sz w:val="21"/>
          <w:szCs w:val="21"/>
        </w:rPr>
        <w:t>aquisição</w:t>
      </w:r>
      <w:r>
        <w:rPr>
          <w:rFonts w:asciiTheme="minorHAnsi" w:hAnsiTheme="minorHAnsi" w:cstheme="minorHAnsi"/>
          <w:color w:val="000000"/>
          <w:sz w:val="21"/>
          <w:szCs w:val="21"/>
        </w:rPr>
        <w:t>;</w:t>
      </w:r>
    </w:p>
    <w:p w14:paraId="7E60688B">
      <w:pPr>
        <w:numPr>
          <w:ilvl w:val="0"/>
          <w:numId w:val="37"/>
        </w:numPr>
        <w:pBdr>
          <w:top w:val="none" w:color="auto" w:sz="0" w:space="0"/>
          <w:left w:val="none" w:color="auto" w:sz="0" w:space="0"/>
          <w:bottom w:val="none" w:color="auto" w:sz="0" w:space="0"/>
          <w:right w:val="none" w:color="auto" w:sz="0" w:space="0"/>
          <w:between w:val="none" w:color="auto" w:sz="0" w:space="0"/>
        </w:pBdr>
        <w:suppressAutoHyphens/>
        <w:spacing w:line="360" w:lineRule="auto"/>
        <w:ind w:right="-2"/>
        <w:jc w:val="both"/>
        <w:rPr>
          <w:rFonts w:asciiTheme="minorHAnsi" w:hAnsiTheme="minorHAnsi" w:cstheme="minorHAnsi"/>
          <w:color w:val="000000"/>
          <w:sz w:val="21"/>
          <w:szCs w:val="21"/>
        </w:rPr>
      </w:pPr>
      <w:r>
        <w:rPr>
          <w:rFonts w:asciiTheme="minorHAnsi" w:hAnsiTheme="minorHAnsi" w:cstheme="minorHAnsi"/>
          <w:color w:val="000000"/>
          <w:sz w:val="21"/>
          <w:szCs w:val="21"/>
        </w:rPr>
        <w:t>Quantificação dos itens com base no histórico de consumo de cada um, considerando as particularidades de cada item;</w:t>
      </w:r>
    </w:p>
    <w:p w14:paraId="53978AA4">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sz w:val="21"/>
          <w:szCs w:val="21"/>
        </w:rPr>
      </w:pPr>
      <w:r>
        <w:rPr>
          <w:rFonts w:asciiTheme="minorHAnsi" w:hAnsiTheme="minorHAnsi" w:cstheme="minorHAnsi"/>
          <w:sz w:val="21"/>
          <w:szCs w:val="21"/>
        </w:rPr>
        <w:tab/>
      </w:r>
      <w:r>
        <w:rPr>
          <w:rFonts w:asciiTheme="minorHAnsi" w:hAnsiTheme="minorHAnsi" w:cstheme="minorHAnsi"/>
          <w:sz w:val="21"/>
          <w:szCs w:val="21"/>
        </w:rPr>
        <w:t>A aquisição não exige capacitação prévia dos servidores para fiscalização e gestão contratual do mesmo, dado que se trata de aquisição de materiais de consumo.</w:t>
      </w:r>
    </w:p>
    <w:p w14:paraId="77AE9003">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7ED7CC81">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CONTRATAÇÕES CORRELATAS E/OU INTERDEPENDENTES</w:t>
      </w:r>
    </w:p>
    <w:p w14:paraId="37CD7629">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color w:val="FF0000"/>
          <w:sz w:val="21"/>
          <w:szCs w:val="21"/>
        </w:rPr>
      </w:pPr>
    </w:p>
    <w:p w14:paraId="603AE220">
      <w:pPr>
        <w:pBdr>
          <w:top w:val="none" w:color="auto" w:sz="0" w:space="0"/>
          <w:left w:val="none" w:color="auto" w:sz="0" w:space="0"/>
          <w:bottom w:val="none" w:color="auto" w:sz="0" w:space="0"/>
          <w:right w:val="none" w:color="auto" w:sz="0" w:space="0"/>
          <w:between w:val="none" w:color="auto" w:sz="0" w:space="0"/>
        </w:pBdr>
        <w:spacing w:line="360" w:lineRule="auto"/>
        <w:ind w:right="-2" w:firstLine="560"/>
        <w:jc w:val="both"/>
        <w:rPr>
          <w:rFonts w:asciiTheme="minorHAnsi" w:hAnsiTheme="minorHAnsi" w:cstheme="minorHAnsi"/>
          <w:sz w:val="21"/>
          <w:szCs w:val="21"/>
        </w:rPr>
      </w:pPr>
      <w:r>
        <w:rPr>
          <w:rFonts w:asciiTheme="minorHAnsi" w:hAnsiTheme="minorHAnsi" w:cstheme="minorHAnsi"/>
          <w:sz w:val="21"/>
          <w:szCs w:val="21"/>
        </w:rPr>
        <w:t>Não há item vinculado na aquisição dos itens pertencentes ao objeto.</w:t>
      </w:r>
    </w:p>
    <w:p w14:paraId="4E01E0A8">
      <w:pPr>
        <w:pBdr>
          <w:top w:val="none" w:color="auto" w:sz="0" w:space="0"/>
          <w:left w:val="none" w:color="auto" w:sz="0" w:space="0"/>
          <w:bottom w:val="none" w:color="auto" w:sz="0" w:space="0"/>
          <w:right w:val="none" w:color="auto" w:sz="0" w:space="0"/>
          <w:between w:val="none" w:color="auto" w:sz="0" w:space="0"/>
        </w:pBdr>
        <w:spacing w:line="360" w:lineRule="auto"/>
        <w:ind w:left="560" w:right="-2"/>
        <w:jc w:val="both"/>
        <w:rPr>
          <w:rFonts w:asciiTheme="minorHAnsi" w:hAnsiTheme="minorHAnsi" w:cstheme="minorHAnsi"/>
          <w:b/>
          <w:color w:val="000000"/>
          <w:sz w:val="21"/>
          <w:szCs w:val="21"/>
        </w:rPr>
      </w:pPr>
    </w:p>
    <w:p w14:paraId="3914709D">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PRÁTICAS DE SUSTENTABILIDADE </w:t>
      </w:r>
    </w:p>
    <w:p w14:paraId="6030F9DF">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000000"/>
          <w:sz w:val="21"/>
          <w:szCs w:val="21"/>
        </w:rPr>
      </w:pPr>
    </w:p>
    <w:p w14:paraId="51EEBAC0">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sz w:val="21"/>
          <w:szCs w:val="21"/>
        </w:rPr>
      </w:pPr>
      <w:r>
        <w:rPr>
          <w:rFonts w:asciiTheme="minorHAnsi" w:hAnsiTheme="minorHAnsi" w:cstheme="minorHAnsi"/>
          <w:sz w:val="21"/>
          <w:szCs w:val="21"/>
        </w:rPr>
        <w:t xml:space="preserve">Os materiais deverão ser fornecidos com embalagens primárias e secundárias recicláveis e/ou biodegradáveis possibilitando a posterior reciclagem e reaproveitamento das embalagens, potencializando o manejo e descarte sustentável das embalagens. </w:t>
      </w:r>
    </w:p>
    <w:p w14:paraId="4E7F3051">
      <w:pPr>
        <w:pBdr>
          <w:top w:val="none" w:color="auto" w:sz="0" w:space="0"/>
          <w:left w:val="none" w:color="auto" w:sz="0" w:space="0"/>
          <w:bottom w:val="none" w:color="auto" w:sz="0" w:space="0"/>
          <w:right w:val="none" w:color="auto" w:sz="0" w:space="0"/>
          <w:between w:val="none" w:color="auto" w:sz="0" w:space="0"/>
        </w:pBdr>
        <w:spacing w:line="360" w:lineRule="auto"/>
        <w:ind w:left="567" w:right="-2"/>
        <w:jc w:val="both"/>
        <w:rPr>
          <w:rFonts w:asciiTheme="minorHAnsi" w:hAnsiTheme="minorHAnsi" w:cstheme="minorHAnsi"/>
          <w:b/>
          <w:color w:val="FF0000"/>
          <w:sz w:val="21"/>
          <w:szCs w:val="21"/>
        </w:rPr>
      </w:pPr>
    </w:p>
    <w:p w14:paraId="006D61BB">
      <w:pPr>
        <w:numPr>
          <w:ilvl w:val="0"/>
          <w:numId w:val="35"/>
        </w:numPr>
        <w:pBdr>
          <w:top w:val="none" w:color="auto" w:sz="0" w:space="0"/>
          <w:left w:val="none" w:color="auto" w:sz="0" w:space="0"/>
          <w:bottom w:val="none" w:color="auto" w:sz="0" w:space="0"/>
          <w:right w:val="none" w:color="auto" w:sz="0" w:space="0"/>
          <w:between w:val="none" w:color="auto" w:sz="0" w:space="0"/>
        </w:pBdr>
        <w:suppressAutoHyphens/>
        <w:spacing w:line="360" w:lineRule="auto"/>
        <w:ind w:left="567" w:right="-2" w:hanging="567"/>
        <w:jc w:val="both"/>
        <w:rPr>
          <w:rFonts w:asciiTheme="minorHAnsi" w:hAnsiTheme="minorHAnsi" w:cstheme="minorHAnsi"/>
          <w:b/>
          <w:color w:val="000000"/>
          <w:sz w:val="21"/>
          <w:szCs w:val="21"/>
        </w:rPr>
      </w:pPr>
      <w:r>
        <w:rPr>
          <w:rFonts w:asciiTheme="minorHAnsi" w:hAnsiTheme="minorHAnsi" w:cstheme="minorHAnsi"/>
          <w:b/>
          <w:color w:val="000000"/>
          <w:sz w:val="21"/>
          <w:szCs w:val="21"/>
        </w:rPr>
        <w:t xml:space="preserve">CONCLUSÃO DE VIABILIDADE DA CONTRATAÇÃO </w:t>
      </w:r>
    </w:p>
    <w:p w14:paraId="7F4AEF4A">
      <w:pPr>
        <w:pBdr>
          <w:top w:val="none" w:color="auto" w:sz="0" w:space="0"/>
          <w:left w:val="none" w:color="auto" w:sz="0" w:space="0"/>
          <w:bottom w:val="none" w:color="auto" w:sz="0" w:space="0"/>
          <w:right w:val="none" w:color="auto" w:sz="0" w:space="0"/>
          <w:between w:val="none" w:color="auto" w:sz="0" w:space="0"/>
        </w:pBdr>
        <w:spacing w:line="360" w:lineRule="auto"/>
        <w:ind w:right="-2"/>
        <w:jc w:val="both"/>
        <w:rPr>
          <w:rFonts w:asciiTheme="minorHAnsi" w:hAnsiTheme="minorHAnsi" w:cstheme="minorHAnsi"/>
          <w:b/>
          <w:color w:val="000000"/>
          <w:sz w:val="21"/>
          <w:szCs w:val="21"/>
        </w:rPr>
      </w:pPr>
    </w:p>
    <w:p w14:paraId="78CAD81A">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r>
        <w:rPr>
          <w:rFonts w:asciiTheme="minorHAnsi" w:hAnsiTheme="minorHAnsi" w:cstheme="minorHAnsi"/>
          <w:color w:val="000000"/>
          <w:sz w:val="21"/>
          <w:szCs w:val="21"/>
        </w:rPr>
        <w:t>Os estudos preliminares evidenciam que a aquisição pretendida, visando atender as demandas do município, mostra-se possível tecnicamente e fundamentalmente necessária. Diante o exposto, declaramos ser viável a contratação pretendida, do ponto de vista técnico e gerencial.</w:t>
      </w:r>
    </w:p>
    <w:p w14:paraId="18D14A52">
      <w:pPr>
        <w:pBdr>
          <w:top w:val="none" w:color="auto" w:sz="0" w:space="0"/>
          <w:left w:val="none" w:color="auto" w:sz="0" w:space="0"/>
          <w:bottom w:val="none" w:color="auto" w:sz="0" w:space="0"/>
          <w:right w:val="none" w:color="auto" w:sz="0" w:space="0"/>
          <w:between w:val="none" w:color="auto" w:sz="0" w:space="0"/>
        </w:pBdr>
        <w:spacing w:line="360" w:lineRule="auto"/>
        <w:ind w:right="-2" w:firstLine="567"/>
        <w:jc w:val="both"/>
        <w:rPr>
          <w:rFonts w:asciiTheme="minorHAnsi" w:hAnsiTheme="minorHAnsi" w:cstheme="minorHAnsi"/>
          <w:color w:val="000000"/>
          <w:sz w:val="21"/>
          <w:szCs w:val="21"/>
        </w:rPr>
      </w:pPr>
    </w:p>
    <w:tbl>
      <w:tblPr>
        <w:tblStyle w:val="4"/>
        <w:tblW w:w="8775" w:type="dxa"/>
        <w:jc w:val="center"/>
        <w:tblLayout w:type="fixed"/>
        <w:tblCellMar>
          <w:top w:w="0" w:type="dxa"/>
          <w:left w:w="108" w:type="dxa"/>
          <w:bottom w:w="0" w:type="dxa"/>
          <w:right w:w="108" w:type="dxa"/>
        </w:tblCellMar>
      </w:tblPr>
      <w:tblGrid>
        <w:gridCol w:w="4256"/>
        <w:gridCol w:w="4519"/>
      </w:tblGrid>
      <w:tr w14:paraId="769D556B">
        <w:trPr>
          <w:jc w:val="center"/>
        </w:trPr>
        <w:tc>
          <w:tcPr>
            <w:tcW w:w="4256" w:type="dxa"/>
            <w:tcBorders>
              <w:top w:val="single" w:color="000000" w:sz="6" w:space="0"/>
              <w:left w:val="single" w:color="000000" w:sz="6" w:space="0"/>
              <w:bottom w:val="nil"/>
              <w:right w:val="nil"/>
            </w:tcBorders>
            <w:shd w:val="clear" w:color="auto" w:fill="EEEEEE"/>
            <w:tcMar>
              <w:top w:w="57" w:type="dxa"/>
              <w:left w:w="57" w:type="dxa"/>
              <w:bottom w:w="0" w:type="dxa"/>
              <w:right w:w="0" w:type="dxa"/>
            </w:tcMar>
          </w:tcPr>
          <w:p w14:paraId="301CDC6B">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TÉCNICO</w:t>
            </w:r>
          </w:p>
        </w:tc>
        <w:tc>
          <w:tcPr>
            <w:tcW w:w="4519"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5E40CA4A">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INTEGRANTE REQUISITANTE</w:t>
            </w:r>
          </w:p>
        </w:tc>
      </w:tr>
      <w:tr w14:paraId="2615E186">
        <w:tblPrEx>
          <w:tblCellMar>
            <w:top w:w="0" w:type="dxa"/>
            <w:left w:w="108" w:type="dxa"/>
            <w:bottom w:w="0" w:type="dxa"/>
            <w:right w:w="108" w:type="dxa"/>
          </w:tblCellMar>
        </w:tblPrEx>
        <w:trPr>
          <w:jc w:val="center"/>
        </w:trPr>
        <w:tc>
          <w:tcPr>
            <w:tcW w:w="4256" w:type="dxa"/>
            <w:tcBorders>
              <w:top w:val="nil"/>
              <w:left w:val="single" w:color="000000" w:sz="6" w:space="0"/>
              <w:bottom w:val="nil"/>
              <w:right w:val="nil"/>
            </w:tcBorders>
            <w:shd w:val="clear" w:color="auto" w:fill="FFFFFF"/>
            <w:tcMar>
              <w:top w:w="0" w:type="dxa"/>
              <w:left w:w="57" w:type="dxa"/>
              <w:bottom w:w="57" w:type="dxa"/>
              <w:right w:w="0" w:type="dxa"/>
            </w:tcMar>
          </w:tcPr>
          <w:p w14:paraId="0CE2D03A">
            <w:pPr>
              <w:spacing w:line="360" w:lineRule="auto"/>
              <w:ind w:right="-2"/>
              <w:jc w:val="center"/>
              <w:rPr>
                <w:rFonts w:asciiTheme="minorHAnsi" w:hAnsiTheme="minorHAnsi" w:cstheme="minorHAnsi"/>
                <w:sz w:val="21"/>
                <w:szCs w:val="21"/>
              </w:rPr>
            </w:pPr>
          </w:p>
          <w:p w14:paraId="745AF957">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w:t>
            </w:r>
          </w:p>
          <w:p w14:paraId="611C6841">
            <w:pPr>
              <w:spacing w:line="360" w:lineRule="auto"/>
              <w:ind w:left="-57" w:right="-2"/>
              <w:jc w:val="center"/>
              <w:rPr>
                <w:rFonts w:asciiTheme="minorHAnsi" w:hAnsiTheme="minorHAnsi" w:cstheme="minorHAnsi"/>
                <w:sz w:val="21"/>
                <w:szCs w:val="21"/>
              </w:rPr>
            </w:pPr>
            <w:r>
              <w:rPr>
                <w:rFonts w:asciiTheme="minorHAnsi" w:hAnsiTheme="minorHAnsi" w:cstheme="minorHAnsi"/>
                <w:sz w:val="21"/>
                <w:szCs w:val="21"/>
              </w:rPr>
              <w:t>Nome: Daniela de Souza Lobo Silva</w:t>
            </w:r>
          </w:p>
          <w:p w14:paraId="19D863F3">
            <w:pPr>
              <w:spacing w:line="360" w:lineRule="auto"/>
              <w:ind w:left="-57" w:right="-2"/>
              <w:jc w:val="center"/>
              <w:rPr>
                <w:rFonts w:asciiTheme="minorHAnsi" w:hAnsiTheme="minorHAnsi" w:cstheme="minorHAnsi"/>
                <w:sz w:val="21"/>
                <w:szCs w:val="21"/>
              </w:rPr>
            </w:pPr>
            <w:r>
              <w:rPr>
                <w:rFonts w:asciiTheme="minorHAnsi" w:hAnsiTheme="minorHAnsi" w:cstheme="minorHAnsi"/>
                <w:sz w:val="21"/>
                <w:szCs w:val="21"/>
              </w:rPr>
              <w:t>Cargo/Função: Farmacêutica</w:t>
            </w:r>
          </w:p>
          <w:p w14:paraId="1D7F2F0E">
            <w:pPr>
              <w:spacing w:line="360" w:lineRule="auto"/>
              <w:ind w:left="-57" w:right="-2"/>
              <w:jc w:val="center"/>
              <w:rPr>
                <w:rFonts w:asciiTheme="minorHAnsi" w:hAnsiTheme="minorHAnsi" w:cstheme="minorHAnsi"/>
                <w:sz w:val="21"/>
                <w:szCs w:val="21"/>
              </w:rPr>
            </w:pPr>
            <w:r>
              <w:rPr>
                <w:rFonts w:asciiTheme="minorHAnsi" w:hAnsiTheme="minorHAnsi" w:cstheme="minorHAnsi"/>
                <w:b/>
                <w:sz w:val="21"/>
                <w:szCs w:val="21"/>
              </w:rPr>
              <w:t>Matrícula: 13543</w:t>
            </w:r>
          </w:p>
          <w:p w14:paraId="333CF465">
            <w:pPr>
              <w:spacing w:line="360" w:lineRule="auto"/>
              <w:ind w:right="-2"/>
              <w:jc w:val="center"/>
              <w:rPr>
                <w:rFonts w:asciiTheme="minorHAnsi" w:hAnsiTheme="minorHAnsi" w:cstheme="minorHAnsi"/>
                <w:sz w:val="21"/>
                <w:szCs w:val="21"/>
              </w:rPr>
            </w:pPr>
          </w:p>
          <w:p w14:paraId="44788508">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Santa Branca, 10 de julho de 2024</w:t>
            </w:r>
          </w:p>
        </w:tc>
        <w:tc>
          <w:tcPr>
            <w:tcW w:w="4519" w:type="dxa"/>
            <w:tcBorders>
              <w:top w:val="nil"/>
              <w:left w:val="single" w:color="000000" w:sz="6" w:space="0"/>
              <w:bottom w:val="nil"/>
              <w:right w:val="single" w:color="000000" w:sz="6" w:space="0"/>
            </w:tcBorders>
            <w:shd w:val="clear" w:color="auto" w:fill="FFFFFF"/>
            <w:tcMar>
              <w:top w:w="0" w:type="dxa"/>
              <w:left w:w="57" w:type="dxa"/>
              <w:bottom w:w="57" w:type="dxa"/>
              <w:right w:w="57" w:type="dxa"/>
            </w:tcMar>
          </w:tcPr>
          <w:p w14:paraId="5E94628A">
            <w:pPr>
              <w:spacing w:line="360" w:lineRule="auto"/>
              <w:ind w:right="-2"/>
              <w:jc w:val="center"/>
              <w:rPr>
                <w:rFonts w:asciiTheme="minorHAnsi" w:hAnsiTheme="minorHAnsi" w:cstheme="minorHAnsi"/>
                <w:sz w:val="21"/>
                <w:szCs w:val="21"/>
              </w:rPr>
            </w:pPr>
          </w:p>
          <w:p w14:paraId="7D9531C7">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______________________________</w:t>
            </w:r>
          </w:p>
          <w:p w14:paraId="5FA3A3D7">
            <w:pPr>
              <w:spacing w:line="360" w:lineRule="auto"/>
              <w:ind w:left="-57" w:right="-2"/>
              <w:jc w:val="center"/>
              <w:rPr>
                <w:rFonts w:asciiTheme="minorHAnsi" w:hAnsiTheme="minorHAnsi" w:cstheme="minorHAnsi"/>
                <w:sz w:val="21"/>
                <w:szCs w:val="21"/>
              </w:rPr>
            </w:pPr>
            <w:r>
              <w:rPr>
                <w:rFonts w:asciiTheme="minorHAnsi" w:hAnsiTheme="minorHAnsi" w:cstheme="minorHAnsi"/>
                <w:sz w:val="21"/>
                <w:szCs w:val="21"/>
              </w:rPr>
              <w:t>Nome: Caio da Cunha Pinto</w:t>
            </w:r>
          </w:p>
          <w:p w14:paraId="23D15562">
            <w:pPr>
              <w:spacing w:line="360" w:lineRule="auto"/>
              <w:ind w:left="-57" w:right="-2"/>
              <w:jc w:val="center"/>
              <w:rPr>
                <w:rFonts w:asciiTheme="minorHAnsi" w:hAnsiTheme="minorHAnsi" w:cstheme="minorHAnsi"/>
                <w:sz w:val="21"/>
                <w:szCs w:val="21"/>
              </w:rPr>
            </w:pPr>
            <w:r>
              <w:rPr>
                <w:rFonts w:asciiTheme="minorHAnsi" w:hAnsiTheme="minorHAnsi" w:cstheme="minorHAnsi"/>
                <w:sz w:val="21"/>
                <w:szCs w:val="21"/>
              </w:rPr>
              <w:t>Cargo/Função: Diretor de Atenção Básica</w:t>
            </w:r>
          </w:p>
          <w:p w14:paraId="30C5681E">
            <w:pPr>
              <w:spacing w:line="360" w:lineRule="auto"/>
              <w:ind w:left="-57" w:right="-2"/>
              <w:jc w:val="center"/>
              <w:rPr>
                <w:rFonts w:asciiTheme="minorHAnsi" w:hAnsiTheme="minorHAnsi" w:cstheme="minorHAnsi"/>
                <w:sz w:val="21"/>
                <w:szCs w:val="21"/>
              </w:rPr>
            </w:pPr>
            <w:r>
              <w:rPr>
                <w:rFonts w:asciiTheme="minorHAnsi" w:hAnsiTheme="minorHAnsi" w:cstheme="minorHAnsi"/>
                <w:b/>
                <w:sz w:val="21"/>
                <w:szCs w:val="21"/>
              </w:rPr>
              <w:t>Matrícula: 13504</w:t>
            </w:r>
          </w:p>
          <w:p w14:paraId="203826BC">
            <w:pPr>
              <w:spacing w:line="360" w:lineRule="auto"/>
              <w:ind w:right="-2"/>
              <w:jc w:val="center"/>
              <w:rPr>
                <w:rFonts w:asciiTheme="minorHAnsi" w:hAnsiTheme="minorHAnsi" w:cstheme="minorHAnsi"/>
                <w:sz w:val="21"/>
                <w:szCs w:val="21"/>
              </w:rPr>
            </w:pPr>
          </w:p>
          <w:p w14:paraId="2532B9FD">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Santa Branca, 10 de julho de 2024</w:t>
            </w:r>
          </w:p>
        </w:tc>
      </w:tr>
      <w:tr w14:paraId="46C7F87E">
        <w:tblPrEx>
          <w:tblCellMar>
            <w:top w:w="0" w:type="dxa"/>
            <w:left w:w="108" w:type="dxa"/>
            <w:bottom w:w="0" w:type="dxa"/>
            <w:right w:w="108" w:type="dxa"/>
          </w:tblCellMar>
        </w:tblPrEx>
        <w:trPr>
          <w:jc w:val="center"/>
        </w:trPr>
        <w:tc>
          <w:tcPr>
            <w:tcW w:w="8775" w:type="dxa"/>
            <w:gridSpan w:val="2"/>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30799784">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p w14:paraId="43B66185">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(OU A QUEM FOR DELEGADA)</w:t>
            </w:r>
          </w:p>
        </w:tc>
      </w:tr>
      <w:tr w14:paraId="4EB95844">
        <w:tblPrEx>
          <w:tblCellMar>
            <w:top w:w="0" w:type="dxa"/>
            <w:left w:w="108" w:type="dxa"/>
            <w:bottom w:w="0" w:type="dxa"/>
            <w:right w:w="108" w:type="dxa"/>
          </w:tblCellMar>
        </w:tblPrEx>
        <w:trPr>
          <w:trHeight w:val="1659" w:hRule="atLeast"/>
          <w:jc w:val="center"/>
        </w:trPr>
        <w:tc>
          <w:tcPr>
            <w:tcW w:w="8775" w:type="dxa"/>
            <w:gridSpan w:val="2"/>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0094D710">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w:t>
            </w:r>
          </w:p>
          <w:p w14:paraId="690B39C1">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Nome: Rodrigo Eduardo de Souza</w:t>
            </w:r>
          </w:p>
          <w:p w14:paraId="6EB3A31D">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Cargo/Função: Secretário Adjunto de Saúde</w:t>
            </w:r>
          </w:p>
          <w:p w14:paraId="7C857A74">
            <w:pPr>
              <w:spacing w:line="360" w:lineRule="auto"/>
              <w:ind w:right="-2"/>
              <w:jc w:val="center"/>
              <w:rPr>
                <w:rFonts w:asciiTheme="minorHAnsi" w:hAnsiTheme="minorHAnsi" w:cstheme="minorHAnsi"/>
                <w:sz w:val="21"/>
                <w:szCs w:val="21"/>
              </w:rPr>
            </w:pPr>
          </w:p>
          <w:p w14:paraId="27B7BC23">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Santa Branca, 10 de julho de 2024</w:t>
            </w:r>
          </w:p>
        </w:tc>
      </w:tr>
    </w:tbl>
    <w:p w14:paraId="5DD18B0F">
      <w:pPr>
        <w:spacing w:line="360" w:lineRule="auto"/>
        <w:ind w:right="-2"/>
        <w:jc w:val="both"/>
        <w:rPr>
          <w:rFonts w:asciiTheme="minorHAnsi" w:hAnsiTheme="minorHAnsi" w:cstheme="minorHAnsi"/>
          <w:b/>
          <w:sz w:val="21"/>
          <w:szCs w:val="21"/>
        </w:rPr>
      </w:pPr>
    </w:p>
    <w:p w14:paraId="43840195">
      <w:pPr>
        <w:spacing w:line="360" w:lineRule="auto"/>
        <w:ind w:right="-2"/>
        <w:jc w:val="both"/>
        <w:rPr>
          <w:rFonts w:asciiTheme="minorHAnsi" w:hAnsiTheme="minorHAnsi" w:cstheme="minorHAnsi"/>
          <w:b/>
          <w:sz w:val="21"/>
          <w:szCs w:val="21"/>
        </w:rPr>
      </w:pPr>
    </w:p>
    <w:p w14:paraId="1BC0A881">
      <w:pPr>
        <w:spacing w:line="360" w:lineRule="auto"/>
        <w:ind w:right="-2"/>
        <w:jc w:val="both"/>
        <w:rPr>
          <w:rFonts w:asciiTheme="minorHAnsi" w:hAnsiTheme="minorHAnsi" w:cstheme="minorHAnsi"/>
          <w:b/>
          <w:sz w:val="21"/>
          <w:szCs w:val="21"/>
        </w:rPr>
      </w:pPr>
    </w:p>
    <w:p w14:paraId="113680A7">
      <w:pPr>
        <w:pBdr>
          <w:top w:val="none" w:color="auto" w:sz="0" w:space="0"/>
          <w:left w:val="none" w:color="auto" w:sz="0" w:space="0"/>
          <w:bottom w:val="none" w:color="auto" w:sz="0" w:space="0"/>
          <w:right w:val="none" w:color="auto" w:sz="0" w:space="0"/>
          <w:between w:val="none" w:color="auto" w:sz="0" w:space="0"/>
        </w:pBdr>
        <w:shd w:val="clear" w:color="auto" w:fill="FFFFFF"/>
        <w:spacing w:line="360" w:lineRule="auto"/>
        <w:jc w:val="center"/>
        <w:rPr>
          <w:rFonts w:asciiTheme="minorHAnsi" w:hAnsiTheme="minorHAnsi" w:cstheme="minorHAnsi"/>
          <w:b/>
          <w:color w:val="000000"/>
          <w:sz w:val="21"/>
          <w:szCs w:val="21"/>
          <w:highlight w:val="white"/>
        </w:rPr>
      </w:pPr>
      <w:r>
        <w:rPr>
          <w:rFonts w:asciiTheme="minorHAnsi" w:hAnsiTheme="minorHAnsi" w:cstheme="minorHAnsi"/>
          <w:b/>
          <w:color w:val="000000"/>
          <w:sz w:val="21"/>
          <w:szCs w:val="21"/>
        </w:rPr>
        <w:t>ANÁLISE DOS RISCOS QUE POSSAM COMPROMETER O SUCESSO DA LICITAÇÃO E A BOA EXECUÇÃO CONTRATUAL</w:t>
      </w:r>
      <w:r>
        <w:rPr>
          <w:rFonts w:asciiTheme="minorHAnsi" w:hAnsiTheme="minorHAnsi" w:cstheme="minorHAnsi"/>
          <w:b/>
          <w:sz w:val="21"/>
          <w:szCs w:val="21"/>
        </w:rPr>
        <w:t xml:space="preserve"> </w:t>
      </w:r>
      <w:r>
        <w:rPr>
          <w:rFonts w:asciiTheme="minorHAnsi" w:hAnsiTheme="minorHAnsi" w:cstheme="minorHAnsi"/>
          <w:b/>
          <w:color w:val="000000"/>
          <w:sz w:val="21"/>
          <w:szCs w:val="21"/>
        </w:rPr>
        <w:t>(ART. 18, X)</w:t>
      </w:r>
    </w:p>
    <w:p w14:paraId="72F23A24">
      <w:pPr>
        <w:spacing w:line="360" w:lineRule="auto"/>
        <w:ind w:right="1133"/>
        <w:jc w:val="both"/>
        <w:rPr>
          <w:rFonts w:asciiTheme="minorHAnsi" w:hAnsiTheme="minorHAnsi" w:cstheme="minorHAnsi"/>
          <w:sz w:val="21"/>
          <w:szCs w:val="21"/>
        </w:rPr>
      </w:pPr>
    </w:p>
    <w:tbl>
      <w:tblPr>
        <w:tblStyle w:val="4"/>
        <w:tblW w:w="9075" w:type="dxa"/>
        <w:tblInd w:w="-60" w:type="dxa"/>
        <w:tblLayout w:type="fixed"/>
        <w:tblCellMar>
          <w:top w:w="0" w:type="dxa"/>
          <w:left w:w="108" w:type="dxa"/>
          <w:bottom w:w="0" w:type="dxa"/>
          <w:right w:w="108" w:type="dxa"/>
        </w:tblCellMar>
      </w:tblPr>
      <w:tblGrid>
        <w:gridCol w:w="1815"/>
        <w:gridCol w:w="4110"/>
        <w:gridCol w:w="1335"/>
        <w:gridCol w:w="1815"/>
      </w:tblGrid>
      <w:tr w14:paraId="7ADA0610">
        <w:tblPrEx>
          <w:tblCellMar>
            <w:top w:w="0" w:type="dxa"/>
            <w:left w:w="108" w:type="dxa"/>
            <w:bottom w:w="0" w:type="dxa"/>
            <w:right w:w="108" w:type="dxa"/>
          </w:tblCellMar>
        </w:tblPrEx>
        <w:trPr>
          <w:trHeight w:val="450" w:hRule="atLeast"/>
        </w:trPr>
        <w:tc>
          <w:tcPr>
            <w:tcW w:w="1815" w:type="dxa"/>
            <w:tcBorders>
              <w:top w:val="nil"/>
              <w:left w:val="nil"/>
              <w:bottom w:val="nil"/>
              <w:right w:val="nil"/>
            </w:tcBorders>
            <w:shd w:val="clear" w:color="auto" w:fill="FFFFFF"/>
            <w:vAlign w:val="center"/>
          </w:tcPr>
          <w:p w14:paraId="51AD6F1D">
            <w:pPr>
              <w:spacing w:line="360" w:lineRule="auto"/>
              <w:jc w:val="right"/>
              <w:rPr>
                <w:rFonts w:asciiTheme="minorHAnsi" w:hAnsiTheme="minorHAnsi" w:cstheme="minorHAnsi"/>
                <w:b/>
                <w:sz w:val="21"/>
                <w:szCs w:val="21"/>
              </w:rPr>
            </w:pPr>
            <w:r>
              <w:rPr>
                <w:rFonts w:asciiTheme="minorHAnsi" w:hAnsiTheme="minorHAnsi" w:cstheme="minorHAnsi"/>
                <w:b/>
                <w:sz w:val="21"/>
                <w:szCs w:val="21"/>
              </w:rPr>
              <w:t>Órgão:</w:t>
            </w:r>
          </w:p>
        </w:tc>
        <w:tc>
          <w:tcPr>
            <w:tcW w:w="7260" w:type="dxa"/>
            <w:gridSpan w:val="3"/>
            <w:tcBorders>
              <w:top w:val="nil"/>
              <w:left w:val="nil"/>
              <w:bottom w:val="nil"/>
              <w:right w:val="nil"/>
            </w:tcBorders>
            <w:shd w:val="clear" w:color="auto" w:fill="FFFFFF"/>
            <w:vAlign w:val="center"/>
          </w:tcPr>
          <w:p w14:paraId="058C8514">
            <w:pPr>
              <w:spacing w:line="360" w:lineRule="auto"/>
              <w:rPr>
                <w:rFonts w:asciiTheme="minorHAnsi" w:hAnsiTheme="minorHAnsi" w:cstheme="minorHAnsi"/>
                <w:b/>
                <w:sz w:val="21"/>
                <w:szCs w:val="21"/>
              </w:rPr>
            </w:pPr>
            <w:r>
              <w:rPr>
                <w:rFonts w:asciiTheme="minorHAnsi" w:hAnsiTheme="minorHAnsi" w:cstheme="minorHAnsi"/>
                <w:sz w:val="21"/>
                <w:szCs w:val="21"/>
              </w:rPr>
              <w:t>Prefeitura de Santa Branca</w:t>
            </w:r>
          </w:p>
        </w:tc>
      </w:tr>
      <w:tr w14:paraId="1B0D95BE">
        <w:tblPrEx>
          <w:tblCellMar>
            <w:top w:w="0" w:type="dxa"/>
            <w:left w:w="108" w:type="dxa"/>
            <w:bottom w:w="0" w:type="dxa"/>
            <w:right w:w="108" w:type="dxa"/>
          </w:tblCellMar>
        </w:tblPrEx>
        <w:trPr>
          <w:trHeight w:val="375" w:hRule="atLeast"/>
        </w:trPr>
        <w:tc>
          <w:tcPr>
            <w:tcW w:w="9075" w:type="dxa"/>
            <w:gridSpan w:val="4"/>
            <w:tcBorders>
              <w:top w:val="nil"/>
              <w:left w:val="nil"/>
              <w:bottom w:val="nil"/>
              <w:right w:val="nil"/>
            </w:tcBorders>
            <w:shd w:val="clear" w:color="auto" w:fill="FFFFFF"/>
            <w:vAlign w:val="center"/>
          </w:tcPr>
          <w:p w14:paraId="19277DB0">
            <w:pPr>
              <w:spacing w:line="360" w:lineRule="auto"/>
              <w:rPr>
                <w:rFonts w:asciiTheme="minorHAnsi" w:hAnsiTheme="minorHAnsi" w:cstheme="minorHAnsi"/>
                <w:b/>
                <w:sz w:val="21"/>
                <w:szCs w:val="21"/>
              </w:rPr>
            </w:pPr>
            <w:r>
              <w:rPr>
                <w:rFonts w:asciiTheme="minorHAnsi" w:hAnsiTheme="minorHAnsi" w:cstheme="minorHAnsi"/>
                <w:b/>
                <w:sz w:val="21"/>
                <w:szCs w:val="21"/>
              </w:rPr>
              <w:t>Unidade executora / Setor requisitante:</w:t>
            </w:r>
            <w:r>
              <w:rPr>
                <w:rFonts w:asciiTheme="minorHAnsi" w:hAnsiTheme="minorHAnsi" w:cstheme="minorHAnsi"/>
                <w:sz w:val="21"/>
                <w:szCs w:val="21"/>
              </w:rPr>
              <w:t> Secretaria Municipal de Saúde</w:t>
            </w:r>
          </w:p>
        </w:tc>
      </w:tr>
      <w:tr w14:paraId="4F8CBB68">
        <w:tblPrEx>
          <w:tblCellMar>
            <w:top w:w="0" w:type="dxa"/>
            <w:left w:w="108" w:type="dxa"/>
            <w:bottom w:w="0" w:type="dxa"/>
            <w:right w:w="108" w:type="dxa"/>
          </w:tblCellMar>
        </w:tblPrEx>
        <w:trPr>
          <w:trHeight w:val="375" w:hRule="atLeast"/>
        </w:trPr>
        <w:tc>
          <w:tcPr>
            <w:tcW w:w="1815" w:type="dxa"/>
            <w:tcBorders>
              <w:top w:val="nil"/>
              <w:left w:val="nil"/>
              <w:bottom w:val="nil"/>
              <w:right w:val="nil"/>
            </w:tcBorders>
            <w:shd w:val="clear" w:color="auto" w:fill="FFFFFF"/>
            <w:vAlign w:val="center"/>
          </w:tcPr>
          <w:p w14:paraId="73365477">
            <w:pPr>
              <w:spacing w:line="360" w:lineRule="auto"/>
              <w:jc w:val="right"/>
              <w:rPr>
                <w:rFonts w:asciiTheme="minorHAnsi" w:hAnsiTheme="minorHAnsi" w:cstheme="minorHAnsi"/>
                <w:b/>
                <w:sz w:val="21"/>
                <w:szCs w:val="21"/>
              </w:rPr>
            </w:pPr>
            <w:r>
              <w:rPr>
                <w:rFonts w:asciiTheme="minorHAnsi" w:hAnsiTheme="minorHAnsi" w:cstheme="minorHAnsi"/>
                <w:b/>
                <w:sz w:val="21"/>
                <w:szCs w:val="21"/>
              </w:rPr>
              <w:t>Responsável:</w:t>
            </w:r>
          </w:p>
        </w:tc>
        <w:tc>
          <w:tcPr>
            <w:tcW w:w="4110" w:type="dxa"/>
            <w:tcBorders>
              <w:top w:val="nil"/>
              <w:left w:val="nil"/>
              <w:bottom w:val="nil"/>
              <w:right w:val="nil"/>
            </w:tcBorders>
            <w:shd w:val="clear" w:color="auto" w:fill="FFFFFF"/>
            <w:vAlign w:val="center"/>
          </w:tcPr>
          <w:p w14:paraId="06534D26">
            <w:pPr>
              <w:spacing w:line="360" w:lineRule="auto"/>
              <w:rPr>
                <w:rFonts w:asciiTheme="minorHAnsi" w:hAnsiTheme="minorHAnsi" w:cstheme="minorHAnsi"/>
                <w:b/>
                <w:sz w:val="21"/>
                <w:szCs w:val="21"/>
              </w:rPr>
            </w:pPr>
            <w:r>
              <w:rPr>
                <w:rFonts w:asciiTheme="minorHAnsi" w:hAnsiTheme="minorHAnsi" w:cstheme="minorHAnsi"/>
                <w:sz w:val="21"/>
                <w:szCs w:val="21"/>
              </w:rPr>
              <w:t>Rodrigo Eduardo de Souza</w:t>
            </w:r>
          </w:p>
        </w:tc>
        <w:tc>
          <w:tcPr>
            <w:tcW w:w="1335" w:type="dxa"/>
            <w:tcBorders>
              <w:top w:val="nil"/>
              <w:left w:val="nil"/>
              <w:bottom w:val="nil"/>
              <w:right w:val="nil"/>
            </w:tcBorders>
            <w:shd w:val="clear" w:color="auto" w:fill="FFFFFF"/>
            <w:vAlign w:val="center"/>
          </w:tcPr>
          <w:p w14:paraId="44C35E48">
            <w:pPr>
              <w:spacing w:line="360" w:lineRule="auto"/>
              <w:rPr>
                <w:rFonts w:asciiTheme="minorHAnsi" w:hAnsiTheme="minorHAnsi" w:cstheme="minorHAnsi"/>
                <w:b/>
                <w:sz w:val="21"/>
                <w:szCs w:val="21"/>
              </w:rPr>
            </w:pPr>
            <w:r>
              <w:rPr>
                <w:rFonts w:asciiTheme="minorHAnsi" w:hAnsiTheme="minorHAnsi" w:cstheme="minorHAnsi"/>
                <w:b/>
                <w:sz w:val="21"/>
                <w:szCs w:val="21"/>
              </w:rPr>
              <w:t>Matrícula:</w:t>
            </w:r>
          </w:p>
        </w:tc>
        <w:tc>
          <w:tcPr>
            <w:tcW w:w="1815" w:type="dxa"/>
            <w:tcBorders>
              <w:top w:val="nil"/>
              <w:left w:val="nil"/>
              <w:bottom w:val="nil"/>
              <w:right w:val="nil"/>
            </w:tcBorders>
            <w:shd w:val="clear" w:color="auto" w:fill="FFFFFF"/>
            <w:vAlign w:val="center"/>
          </w:tcPr>
          <w:p w14:paraId="1604C1D5">
            <w:pPr>
              <w:spacing w:line="360" w:lineRule="auto"/>
              <w:rPr>
                <w:rFonts w:asciiTheme="minorHAnsi" w:hAnsiTheme="minorHAnsi" w:cstheme="minorHAnsi"/>
                <w:b/>
                <w:sz w:val="21"/>
                <w:szCs w:val="21"/>
              </w:rPr>
            </w:pPr>
            <w:r>
              <w:rPr>
                <w:rFonts w:asciiTheme="minorHAnsi" w:hAnsiTheme="minorHAnsi" w:cstheme="minorHAnsi"/>
                <w:b/>
                <w:sz w:val="21"/>
                <w:szCs w:val="21"/>
              </w:rPr>
              <w:t> </w:t>
            </w:r>
          </w:p>
        </w:tc>
      </w:tr>
      <w:tr w14:paraId="740F214F">
        <w:tblPrEx>
          <w:tblCellMar>
            <w:top w:w="0" w:type="dxa"/>
            <w:left w:w="108" w:type="dxa"/>
            <w:bottom w:w="0" w:type="dxa"/>
            <w:right w:w="108" w:type="dxa"/>
          </w:tblCellMar>
        </w:tblPrEx>
        <w:trPr>
          <w:trHeight w:val="375" w:hRule="atLeast"/>
        </w:trPr>
        <w:tc>
          <w:tcPr>
            <w:tcW w:w="1815" w:type="dxa"/>
            <w:tcBorders>
              <w:top w:val="nil"/>
              <w:left w:val="nil"/>
              <w:bottom w:val="nil"/>
              <w:right w:val="nil"/>
            </w:tcBorders>
            <w:shd w:val="clear" w:color="auto" w:fill="FFFFFF"/>
            <w:vAlign w:val="center"/>
          </w:tcPr>
          <w:p w14:paraId="64FE5301">
            <w:pPr>
              <w:spacing w:line="360" w:lineRule="auto"/>
              <w:jc w:val="right"/>
              <w:rPr>
                <w:rFonts w:asciiTheme="minorHAnsi" w:hAnsiTheme="minorHAnsi" w:cstheme="minorHAnsi"/>
                <w:b/>
                <w:sz w:val="21"/>
                <w:szCs w:val="21"/>
              </w:rPr>
            </w:pPr>
            <w:r>
              <w:rPr>
                <w:rFonts w:asciiTheme="minorHAnsi" w:hAnsiTheme="minorHAnsi" w:cstheme="minorHAnsi"/>
                <w:b/>
                <w:sz w:val="21"/>
                <w:szCs w:val="21"/>
              </w:rPr>
              <w:t>E-mail:</w:t>
            </w:r>
          </w:p>
        </w:tc>
        <w:tc>
          <w:tcPr>
            <w:tcW w:w="4110" w:type="dxa"/>
            <w:tcBorders>
              <w:top w:val="nil"/>
              <w:left w:val="nil"/>
              <w:bottom w:val="nil"/>
              <w:right w:val="nil"/>
            </w:tcBorders>
            <w:shd w:val="clear" w:color="auto" w:fill="FFFFFF"/>
            <w:vAlign w:val="center"/>
          </w:tcPr>
          <w:p w14:paraId="0BC33F7C">
            <w:pPr>
              <w:spacing w:line="360" w:lineRule="auto"/>
              <w:rPr>
                <w:rFonts w:asciiTheme="minorHAnsi" w:hAnsiTheme="minorHAnsi" w:cstheme="minorHAnsi"/>
                <w:sz w:val="21"/>
                <w:szCs w:val="21"/>
              </w:rPr>
            </w:pPr>
            <w:r>
              <w:rPr>
                <w:rFonts w:asciiTheme="minorHAnsi" w:hAnsiTheme="minorHAnsi" w:cstheme="minorHAnsi"/>
                <w:sz w:val="21"/>
                <w:szCs w:val="21"/>
              </w:rPr>
              <w:t>saude@santabranca.sp.gov.br</w:t>
            </w:r>
          </w:p>
        </w:tc>
        <w:tc>
          <w:tcPr>
            <w:tcW w:w="1335" w:type="dxa"/>
            <w:tcBorders>
              <w:top w:val="nil"/>
              <w:left w:val="nil"/>
              <w:bottom w:val="nil"/>
              <w:right w:val="nil"/>
            </w:tcBorders>
            <w:shd w:val="clear" w:color="auto" w:fill="FFFFFF"/>
            <w:vAlign w:val="center"/>
          </w:tcPr>
          <w:p w14:paraId="5C671DA9">
            <w:pPr>
              <w:spacing w:line="360" w:lineRule="auto"/>
              <w:rPr>
                <w:rFonts w:asciiTheme="minorHAnsi" w:hAnsiTheme="minorHAnsi" w:cstheme="minorHAnsi"/>
                <w:b/>
                <w:sz w:val="21"/>
                <w:szCs w:val="21"/>
              </w:rPr>
            </w:pPr>
            <w:r>
              <w:rPr>
                <w:rFonts w:asciiTheme="minorHAnsi" w:hAnsiTheme="minorHAnsi" w:cstheme="minorHAnsi"/>
                <w:b/>
                <w:sz w:val="21"/>
                <w:szCs w:val="21"/>
              </w:rPr>
              <w:t>Processo:</w:t>
            </w:r>
          </w:p>
        </w:tc>
        <w:tc>
          <w:tcPr>
            <w:tcW w:w="1815" w:type="dxa"/>
            <w:tcBorders>
              <w:top w:val="nil"/>
              <w:left w:val="nil"/>
              <w:bottom w:val="nil"/>
              <w:right w:val="nil"/>
            </w:tcBorders>
            <w:shd w:val="clear" w:color="auto" w:fill="FFFFFF"/>
            <w:vAlign w:val="center"/>
          </w:tcPr>
          <w:p w14:paraId="7AE9BD46">
            <w:pPr>
              <w:spacing w:line="360" w:lineRule="auto"/>
              <w:rPr>
                <w:rFonts w:asciiTheme="minorHAnsi" w:hAnsiTheme="minorHAnsi" w:cstheme="minorHAnsi"/>
                <w:b/>
                <w:sz w:val="21"/>
                <w:szCs w:val="21"/>
              </w:rPr>
            </w:pPr>
            <w:r>
              <w:rPr>
                <w:rFonts w:asciiTheme="minorHAnsi" w:hAnsiTheme="minorHAnsi" w:cstheme="minorHAnsi"/>
                <w:b/>
                <w:sz w:val="21"/>
                <w:szCs w:val="21"/>
              </w:rPr>
              <w:t> </w:t>
            </w:r>
          </w:p>
        </w:tc>
      </w:tr>
    </w:tbl>
    <w:p w14:paraId="037DCFB6">
      <w:pPr>
        <w:spacing w:line="360" w:lineRule="auto"/>
        <w:ind w:right="1133"/>
        <w:jc w:val="both"/>
        <w:rPr>
          <w:rFonts w:asciiTheme="minorHAnsi" w:hAnsiTheme="minorHAnsi" w:cstheme="minorHAnsi"/>
          <w:sz w:val="21"/>
          <w:szCs w:val="21"/>
        </w:rPr>
      </w:pPr>
    </w:p>
    <w:p w14:paraId="76062E3C">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 – IDENTIFICAÇÃO</w:t>
      </w:r>
    </w:p>
    <w:tbl>
      <w:tblPr>
        <w:tblStyle w:val="4"/>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EBDD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6628B5A5">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Risco 1:</w:t>
            </w:r>
          </w:p>
        </w:tc>
        <w:tc>
          <w:tcPr>
            <w:tcW w:w="7305" w:type="dxa"/>
            <w:gridSpan w:val="2"/>
            <w:shd w:val="clear" w:color="auto" w:fill="auto"/>
            <w:tcMar>
              <w:top w:w="100" w:type="dxa"/>
              <w:left w:w="100" w:type="dxa"/>
              <w:bottom w:w="100" w:type="dxa"/>
              <w:right w:w="100" w:type="dxa"/>
            </w:tcMar>
          </w:tcPr>
          <w:p w14:paraId="42CD72E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Deficiência na definição da demanda</w:t>
            </w:r>
          </w:p>
        </w:tc>
      </w:tr>
      <w:tr w14:paraId="183B6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346E0DF4">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7D1A1504">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tcPr>
          <w:p w14:paraId="6CA5305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5263B9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39436DD1">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6AD8AEA9">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15B16B0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Superdimensionamento ou subdimensionamento da demanda</w:t>
            </w:r>
          </w:p>
        </w:tc>
      </w:tr>
    </w:tbl>
    <w:p w14:paraId="56C0A77B">
      <w:pPr>
        <w:spacing w:line="360" w:lineRule="auto"/>
        <w:ind w:right="1133"/>
        <w:jc w:val="both"/>
        <w:rPr>
          <w:rFonts w:asciiTheme="minorHAnsi" w:hAnsiTheme="minorHAnsi" w:cstheme="minorHAnsi"/>
          <w:b/>
          <w:sz w:val="21"/>
          <w:szCs w:val="21"/>
        </w:rPr>
      </w:pPr>
    </w:p>
    <w:tbl>
      <w:tblPr>
        <w:tblStyle w:val="4"/>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668E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tcPr>
          <w:p w14:paraId="37E60AC0">
            <w:pPr>
              <w:jc w:val="center"/>
              <w:rPr>
                <w:rFonts w:asciiTheme="minorHAnsi" w:hAnsiTheme="minorHAnsi" w:cstheme="minorHAnsi"/>
                <w:b/>
                <w:sz w:val="21"/>
                <w:szCs w:val="21"/>
              </w:rPr>
            </w:pPr>
            <w:r>
              <w:rPr>
                <w:rFonts w:asciiTheme="minorHAnsi" w:hAnsiTheme="minorHAnsi" w:cstheme="minorHAnsi"/>
                <w:b/>
                <w:sz w:val="21"/>
                <w:szCs w:val="21"/>
              </w:rPr>
              <w:t>Risco 2:</w:t>
            </w:r>
          </w:p>
        </w:tc>
        <w:tc>
          <w:tcPr>
            <w:tcW w:w="7305" w:type="dxa"/>
            <w:gridSpan w:val="2"/>
            <w:shd w:val="clear" w:color="auto" w:fill="auto"/>
            <w:tcMar>
              <w:top w:w="100" w:type="dxa"/>
              <w:left w:w="100" w:type="dxa"/>
              <w:bottom w:w="100" w:type="dxa"/>
              <w:right w:w="100" w:type="dxa"/>
            </w:tcMar>
          </w:tcPr>
          <w:p w14:paraId="0F374544">
            <w:pPr>
              <w:jc w:val="center"/>
              <w:rPr>
                <w:rFonts w:asciiTheme="minorHAnsi" w:hAnsiTheme="minorHAnsi" w:cstheme="minorHAnsi"/>
                <w:sz w:val="21"/>
                <w:szCs w:val="21"/>
              </w:rPr>
            </w:pPr>
            <w:r>
              <w:rPr>
                <w:rFonts w:asciiTheme="minorHAnsi" w:hAnsiTheme="minorHAnsi" w:cstheme="minorHAnsi"/>
                <w:sz w:val="21"/>
                <w:szCs w:val="21"/>
              </w:rPr>
              <w:t>Não aprovação do Estudo Técnico / Termo de Referência</w:t>
            </w:r>
          </w:p>
        </w:tc>
      </w:tr>
      <w:tr w14:paraId="4EE360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11C6CC14">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128FD57D">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tcPr>
          <w:p w14:paraId="32FDD50F">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69DA26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03EEE790">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7F364105">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tcPr>
          <w:p w14:paraId="5F69687B">
            <w:pPr>
              <w:jc w:val="center"/>
              <w:rPr>
                <w:rFonts w:asciiTheme="minorHAnsi" w:hAnsiTheme="minorHAnsi" w:cstheme="minorHAnsi"/>
                <w:sz w:val="21"/>
                <w:szCs w:val="21"/>
              </w:rPr>
            </w:pPr>
            <w:r>
              <w:rPr>
                <w:rFonts w:asciiTheme="minorHAnsi" w:hAnsiTheme="minorHAnsi" w:cstheme="minorHAnsi"/>
                <w:sz w:val="21"/>
                <w:szCs w:val="21"/>
              </w:rPr>
              <w:t>Atraso no Processo Licitatório e atraso no início da execução dos serviços.</w:t>
            </w:r>
          </w:p>
        </w:tc>
      </w:tr>
    </w:tbl>
    <w:p w14:paraId="710B9012">
      <w:pPr>
        <w:spacing w:line="360" w:lineRule="auto"/>
        <w:ind w:right="1133"/>
        <w:jc w:val="both"/>
        <w:rPr>
          <w:rFonts w:asciiTheme="minorHAnsi" w:hAnsiTheme="minorHAnsi" w:cstheme="minorHAnsi"/>
          <w:b/>
          <w:sz w:val="21"/>
          <w:szCs w:val="21"/>
        </w:rPr>
      </w:pPr>
    </w:p>
    <w:tbl>
      <w:tblPr>
        <w:tblStyle w:val="4"/>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55BD9B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63A2E3B8">
            <w:pPr>
              <w:jc w:val="center"/>
              <w:rPr>
                <w:rFonts w:asciiTheme="minorHAnsi" w:hAnsiTheme="minorHAnsi" w:cstheme="minorHAnsi"/>
                <w:b/>
                <w:sz w:val="21"/>
                <w:szCs w:val="21"/>
              </w:rPr>
            </w:pPr>
            <w:r>
              <w:rPr>
                <w:rFonts w:asciiTheme="minorHAnsi" w:hAnsiTheme="minorHAnsi" w:cstheme="minorHAnsi"/>
                <w:b/>
                <w:sz w:val="21"/>
                <w:szCs w:val="21"/>
              </w:rPr>
              <w:t>Risco 3:</w:t>
            </w:r>
          </w:p>
        </w:tc>
        <w:tc>
          <w:tcPr>
            <w:tcW w:w="7305" w:type="dxa"/>
            <w:gridSpan w:val="2"/>
            <w:shd w:val="clear" w:color="auto" w:fill="auto"/>
            <w:tcMar>
              <w:top w:w="100" w:type="dxa"/>
              <w:left w:w="100" w:type="dxa"/>
              <w:bottom w:w="100" w:type="dxa"/>
              <w:right w:w="100" w:type="dxa"/>
            </w:tcMar>
            <w:vAlign w:val="center"/>
          </w:tcPr>
          <w:p w14:paraId="7B06FA4F">
            <w:pPr>
              <w:jc w:val="center"/>
              <w:rPr>
                <w:rFonts w:asciiTheme="minorHAnsi" w:hAnsiTheme="minorHAnsi" w:cstheme="minorHAnsi"/>
                <w:sz w:val="21"/>
                <w:szCs w:val="21"/>
              </w:rPr>
            </w:pPr>
            <w:r>
              <w:rPr>
                <w:rFonts w:asciiTheme="minorHAnsi" w:hAnsiTheme="minorHAnsi" w:cstheme="minorHAnsi"/>
                <w:sz w:val="21"/>
                <w:szCs w:val="21"/>
              </w:rPr>
              <w:t>Deficiências do ato convocatório, critérios de julgamento, prazos e sanções, entre outros</w:t>
            </w:r>
          </w:p>
        </w:tc>
      </w:tr>
      <w:tr w14:paraId="6A862F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5F76F41">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60740340">
            <w:pPr>
              <w:jc w:val="center"/>
              <w:rPr>
                <w:rFonts w:asciiTheme="minorHAnsi" w:hAnsiTheme="minorHAnsi" w:cstheme="minorHAnsi"/>
                <w:sz w:val="21"/>
                <w:szCs w:val="21"/>
              </w:rPr>
            </w:pPr>
            <w:r>
              <w:rPr>
                <w:rFonts w:asciiTheme="minorHAnsi" w:hAnsiTheme="minorHAnsi" w:cstheme="minorHAnsi"/>
                <w:sz w:val="21"/>
                <w:szCs w:val="21"/>
              </w:rPr>
              <w:t>Baixa</w:t>
            </w:r>
          </w:p>
        </w:tc>
        <w:tc>
          <w:tcPr>
            <w:tcW w:w="6285" w:type="dxa"/>
            <w:shd w:val="clear" w:color="auto" w:fill="auto"/>
            <w:tcMar>
              <w:top w:w="100" w:type="dxa"/>
              <w:left w:w="100" w:type="dxa"/>
              <w:bottom w:w="100" w:type="dxa"/>
              <w:right w:w="100" w:type="dxa"/>
            </w:tcMar>
            <w:vAlign w:val="center"/>
          </w:tcPr>
          <w:p w14:paraId="5DADAB01">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27BBA0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38E322FB">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7CC1DA89">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33E9B46E">
            <w:pPr>
              <w:jc w:val="center"/>
              <w:rPr>
                <w:rFonts w:asciiTheme="minorHAnsi" w:hAnsiTheme="minorHAnsi" w:cstheme="minorHAnsi"/>
                <w:sz w:val="21"/>
                <w:szCs w:val="21"/>
              </w:rPr>
            </w:pPr>
            <w:r>
              <w:rPr>
                <w:rFonts w:asciiTheme="minorHAnsi" w:hAnsiTheme="minorHAnsi" w:cstheme="minorHAnsi"/>
                <w:sz w:val="21"/>
                <w:szCs w:val="21"/>
              </w:rPr>
              <w:t>Encerramento da Licitação</w:t>
            </w:r>
          </w:p>
        </w:tc>
      </w:tr>
    </w:tbl>
    <w:p w14:paraId="6413AA56">
      <w:pPr>
        <w:spacing w:line="360" w:lineRule="auto"/>
        <w:ind w:right="1133"/>
        <w:jc w:val="both"/>
        <w:rPr>
          <w:rFonts w:asciiTheme="minorHAnsi" w:hAnsiTheme="minorHAnsi" w:cstheme="minorHAnsi"/>
          <w:b/>
          <w:sz w:val="21"/>
          <w:szCs w:val="21"/>
        </w:rPr>
      </w:pPr>
    </w:p>
    <w:tbl>
      <w:tblPr>
        <w:tblStyle w:val="4"/>
        <w:tblW w:w="9315"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2010"/>
        <w:gridCol w:w="1020"/>
        <w:gridCol w:w="6285"/>
      </w:tblGrid>
      <w:tr w14:paraId="4A9F7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shd w:val="clear" w:color="auto" w:fill="auto"/>
            <w:tcMar>
              <w:top w:w="100" w:type="dxa"/>
              <w:left w:w="100" w:type="dxa"/>
              <w:bottom w:w="100" w:type="dxa"/>
              <w:right w:w="100" w:type="dxa"/>
            </w:tcMar>
            <w:vAlign w:val="center"/>
          </w:tcPr>
          <w:p w14:paraId="617AA059">
            <w:pPr>
              <w:jc w:val="center"/>
              <w:rPr>
                <w:rFonts w:asciiTheme="minorHAnsi" w:hAnsiTheme="minorHAnsi" w:cstheme="minorHAnsi"/>
                <w:b/>
                <w:sz w:val="21"/>
                <w:szCs w:val="21"/>
              </w:rPr>
            </w:pPr>
            <w:r>
              <w:rPr>
                <w:rFonts w:asciiTheme="minorHAnsi" w:hAnsiTheme="minorHAnsi" w:cstheme="minorHAnsi"/>
                <w:b/>
                <w:sz w:val="21"/>
                <w:szCs w:val="21"/>
              </w:rPr>
              <w:t>Risco 4:</w:t>
            </w:r>
          </w:p>
        </w:tc>
        <w:tc>
          <w:tcPr>
            <w:tcW w:w="7305" w:type="dxa"/>
            <w:gridSpan w:val="2"/>
            <w:shd w:val="clear" w:color="auto" w:fill="auto"/>
            <w:tcMar>
              <w:top w:w="100" w:type="dxa"/>
              <w:left w:w="100" w:type="dxa"/>
              <w:bottom w:w="100" w:type="dxa"/>
              <w:right w:w="100" w:type="dxa"/>
            </w:tcMar>
            <w:vAlign w:val="center"/>
          </w:tcPr>
          <w:p w14:paraId="386660E1">
            <w:pPr>
              <w:jc w:val="center"/>
              <w:rPr>
                <w:rFonts w:asciiTheme="minorHAnsi" w:hAnsiTheme="minorHAnsi" w:cstheme="minorHAnsi"/>
                <w:sz w:val="21"/>
                <w:szCs w:val="21"/>
              </w:rPr>
            </w:pPr>
            <w:r>
              <w:rPr>
                <w:rFonts w:asciiTheme="minorHAnsi" w:hAnsiTheme="minorHAnsi" w:cstheme="minorHAnsi"/>
                <w:sz w:val="21"/>
                <w:szCs w:val="21"/>
              </w:rPr>
              <w:t>Inércia frente a descumprimento de obrigações contratuais, falha ou omissão no registro dos atos e fatos do contrato</w:t>
            </w:r>
          </w:p>
        </w:tc>
      </w:tr>
      <w:tr w14:paraId="71F0C5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restart"/>
            <w:shd w:val="clear" w:color="auto" w:fill="auto"/>
            <w:tcMar>
              <w:top w:w="100" w:type="dxa"/>
              <w:left w:w="100" w:type="dxa"/>
              <w:bottom w:w="100" w:type="dxa"/>
              <w:right w:w="100" w:type="dxa"/>
            </w:tcMar>
            <w:vAlign w:val="center"/>
          </w:tcPr>
          <w:p w14:paraId="63843909">
            <w:pPr>
              <w:jc w:val="center"/>
              <w:rPr>
                <w:rFonts w:asciiTheme="minorHAnsi" w:hAnsiTheme="minorHAnsi" w:cstheme="minorHAnsi"/>
                <w:b/>
                <w:sz w:val="21"/>
                <w:szCs w:val="21"/>
              </w:rPr>
            </w:pPr>
            <w:r>
              <w:rPr>
                <w:rFonts w:asciiTheme="minorHAnsi" w:hAnsiTheme="minorHAnsi" w:cstheme="minorHAnsi"/>
                <w:b/>
                <w:sz w:val="21"/>
                <w:szCs w:val="21"/>
              </w:rPr>
              <w:t>Probabilidade:</w:t>
            </w:r>
          </w:p>
        </w:tc>
        <w:tc>
          <w:tcPr>
            <w:tcW w:w="1020" w:type="dxa"/>
            <w:vMerge w:val="restart"/>
            <w:shd w:val="clear" w:color="auto" w:fill="auto"/>
            <w:tcMar>
              <w:top w:w="100" w:type="dxa"/>
              <w:left w:w="100" w:type="dxa"/>
              <w:bottom w:w="100" w:type="dxa"/>
              <w:right w:w="100" w:type="dxa"/>
            </w:tcMar>
            <w:vAlign w:val="center"/>
          </w:tcPr>
          <w:p w14:paraId="628D09AD">
            <w:pPr>
              <w:jc w:val="center"/>
              <w:rPr>
                <w:rFonts w:asciiTheme="minorHAnsi" w:hAnsiTheme="minorHAnsi" w:cstheme="minorHAnsi"/>
                <w:sz w:val="21"/>
                <w:szCs w:val="21"/>
              </w:rPr>
            </w:pPr>
            <w:r>
              <w:rPr>
                <w:rFonts w:asciiTheme="minorHAnsi" w:hAnsiTheme="minorHAnsi" w:cstheme="minorHAnsi"/>
                <w:sz w:val="21"/>
                <w:szCs w:val="21"/>
              </w:rPr>
              <w:t>Média</w:t>
            </w:r>
          </w:p>
        </w:tc>
        <w:tc>
          <w:tcPr>
            <w:tcW w:w="6285" w:type="dxa"/>
            <w:shd w:val="clear" w:color="auto" w:fill="auto"/>
            <w:tcMar>
              <w:top w:w="100" w:type="dxa"/>
              <w:left w:w="100" w:type="dxa"/>
              <w:bottom w:w="100" w:type="dxa"/>
              <w:right w:w="100" w:type="dxa"/>
            </w:tcMar>
            <w:vAlign w:val="center"/>
          </w:tcPr>
          <w:p w14:paraId="57B911E8">
            <w:pPr>
              <w:jc w:val="center"/>
              <w:rPr>
                <w:rFonts w:asciiTheme="minorHAnsi" w:hAnsiTheme="minorHAnsi" w:cstheme="minorHAnsi"/>
                <w:b/>
                <w:sz w:val="21"/>
                <w:szCs w:val="21"/>
              </w:rPr>
            </w:pPr>
            <w:r>
              <w:rPr>
                <w:rFonts w:asciiTheme="minorHAnsi" w:hAnsiTheme="minorHAnsi" w:cstheme="minorHAnsi"/>
                <w:b/>
                <w:sz w:val="21"/>
                <w:szCs w:val="21"/>
              </w:rPr>
              <w:t>Dano Potencial:</w:t>
            </w:r>
          </w:p>
        </w:tc>
      </w:tr>
      <w:tr w14:paraId="1308B8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2010" w:type="dxa"/>
            <w:vMerge w:val="continue"/>
            <w:shd w:val="clear" w:color="auto" w:fill="auto"/>
            <w:tcMar>
              <w:top w:w="100" w:type="dxa"/>
              <w:left w:w="100" w:type="dxa"/>
              <w:bottom w:w="100" w:type="dxa"/>
              <w:right w:w="100" w:type="dxa"/>
            </w:tcMar>
            <w:vAlign w:val="center"/>
          </w:tcPr>
          <w:p w14:paraId="3CE3FEFD">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1020" w:type="dxa"/>
            <w:vMerge w:val="continue"/>
            <w:shd w:val="clear" w:color="auto" w:fill="auto"/>
            <w:tcMar>
              <w:top w:w="100" w:type="dxa"/>
              <w:left w:w="100" w:type="dxa"/>
              <w:bottom w:w="100" w:type="dxa"/>
              <w:right w:w="100" w:type="dxa"/>
            </w:tcMar>
            <w:vAlign w:val="center"/>
          </w:tcPr>
          <w:p w14:paraId="11B9F6DF">
            <w:pPr>
              <w:pBdr>
                <w:top w:val="none" w:color="auto" w:sz="0" w:space="0"/>
                <w:left w:val="none" w:color="auto" w:sz="0" w:space="0"/>
                <w:bottom w:val="none" w:color="auto" w:sz="0" w:space="0"/>
                <w:right w:val="none" w:color="auto" w:sz="0" w:space="0"/>
                <w:between w:val="none" w:color="auto" w:sz="0" w:space="0"/>
              </w:pBdr>
              <w:spacing w:line="276" w:lineRule="auto"/>
              <w:rPr>
                <w:rFonts w:asciiTheme="minorHAnsi" w:hAnsiTheme="minorHAnsi" w:cstheme="minorHAnsi"/>
                <w:b/>
                <w:sz w:val="21"/>
                <w:szCs w:val="21"/>
              </w:rPr>
            </w:pPr>
          </w:p>
        </w:tc>
        <w:tc>
          <w:tcPr>
            <w:tcW w:w="6285" w:type="dxa"/>
            <w:shd w:val="clear" w:color="auto" w:fill="auto"/>
            <w:tcMar>
              <w:top w:w="100" w:type="dxa"/>
              <w:left w:w="100" w:type="dxa"/>
              <w:bottom w:w="100" w:type="dxa"/>
              <w:right w:w="100" w:type="dxa"/>
            </w:tcMar>
            <w:vAlign w:val="center"/>
          </w:tcPr>
          <w:p w14:paraId="26407D04">
            <w:pPr>
              <w:jc w:val="center"/>
              <w:rPr>
                <w:rFonts w:asciiTheme="minorHAnsi" w:hAnsiTheme="minorHAnsi" w:cstheme="minorHAnsi"/>
                <w:sz w:val="21"/>
                <w:szCs w:val="21"/>
              </w:rPr>
            </w:pPr>
            <w:r>
              <w:rPr>
                <w:rFonts w:asciiTheme="minorHAnsi" w:hAnsiTheme="minorHAnsi" w:cstheme="minorHAnsi"/>
                <w:sz w:val="21"/>
                <w:szCs w:val="21"/>
              </w:rPr>
              <w:t>Deficiência na prestação dos serviços, e prejuízos financeiros a Administração.</w:t>
            </w:r>
          </w:p>
        </w:tc>
      </w:tr>
    </w:tbl>
    <w:p w14:paraId="73C70188">
      <w:pPr>
        <w:spacing w:line="360" w:lineRule="auto"/>
        <w:ind w:right="1133"/>
        <w:jc w:val="both"/>
        <w:rPr>
          <w:rFonts w:asciiTheme="minorHAnsi" w:hAnsiTheme="minorHAnsi" w:cstheme="minorHAnsi"/>
          <w:b/>
          <w:sz w:val="21"/>
          <w:szCs w:val="21"/>
        </w:rPr>
      </w:pPr>
    </w:p>
    <w:p w14:paraId="3492BCA9">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II – AVALIAÇÃO DOS RISCOS</w:t>
      </w:r>
    </w:p>
    <w:p w14:paraId="7C5C7BC7">
      <w:pPr>
        <w:spacing w:line="360" w:lineRule="auto"/>
        <w:ind w:right="1133"/>
        <w:jc w:val="both"/>
        <w:rPr>
          <w:rFonts w:asciiTheme="minorHAnsi" w:hAnsiTheme="minorHAnsi" w:cstheme="minorHAnsi"/>
          <w:b/>
          <w:sz w:val="21"/>
          <w:szCs w:val="21"/>
        </w:rPr>
      </w:pPr>
    </w:p>
    <w:tbl>
      <w:tblPr>
        <w:tblStyle w:val="4"/>
        <w:tblW w:w="9354" w:type="dxa"/>
        <w:tblInd w:w="-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3118"/>
        <w:gridCol w:w="3118"/>
        <w:gridCol w:w="3118"/>
      </w:tblGrid>
      <w:tr w14:paraId="050F1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0" w:hRule="atLeast"/>
        </w:trPr>
        <w:tc>
          <w:tcPr>
            <w:tcW w:w="9354" w:type="dxa"/>
            <w:gridSpan w:val="3"/>
            <w:shd w:val="clear" w:color="auto" w:fill="auto"/>
            <w:tcMar>
              <w:top w:w="100" w:type="dxa"/>
              <w:left w:w="100" w:type="dxa"/>
              <w:bottom w:w="100" w:type="dxa"/>
              <w:right w:w="100" w:type="dxa"/>
            </w:tcMar>
          </w:tcPr>
          <w:p w14:paraId="03058013">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Probabilidades de Riscos</w:t>
            </w:r>
          </w:p>
        </w:tc>
      </w:tr>
      <w:tr w14:paraId="48F1AF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2F4920AB">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Baixa</w:t>
            </w:r>
          </w:p>
        </w:tc>
        <w:tc>
          <w:tcPr>
            <w:tcW w:w="3118" w:type="dxa"/>
            <w:shd w:val="clear" w:color="auto" w:fill="auto"/>
            <w:tcMar>
              <w:top w:w="100" w:type="dxa"/>
              <w:left w:w="100" w:type="dxa"/>
              <w:bottom w:w="100" w:type="dxa"/>
              <w:right w:w="100" w:type="dxa"/>
            </w:tcMar>
          </w:tcPr>
          <w:p w14:paraId="23771E39">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Média</w:t>
            </w:r>
          </w:p>
        </w:tc>
        <w:tc>
          <w:tcPr>
            <w:tcW w:w="3118" w:type="dxa"/>
            <w:shd w:val="clear" w:color="auto" w:fill="auto"/>
            <w:tcMar>
              <w:top w:w="100" w:type="dxa"/>
              <w:left w:w="100" w:type="dxa"/>
              <w:bottom w:w="100" w:type="dxa"/>
              <w:right w:w="100" w:type="dxa"/>
            </w:tcMar>
          </w:tcPr>
          <w:p w14:paraId="2BCF40B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b/>
                <w:sz w:val="21"/>
                <w:szCs w:val="21"/>
              </w:rPr>
            </w:pPr>
            <w:r>
              <w:rPr>
                <w:rFonts w:asciiTheme="minorHAnsi" w:hAnsiTheme="minorHAnsi" w:cstheme="minorHAnsi"/>
                <w:b/>
                <w:sz w:val="21"/>
                <w:szCs w:val="21"/>
              </w:rPr>
              <w:t>Alta</w:t>
            </w:r>
          </w:p>
        </w:tc>
      </w:tr>
      <w:tr w14:paraId="7685F5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7AE80C2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2</w:t>
            </w:r>
          </w:p>
        </w:tc>
        <w:tc>
          <w:tcPr>
            <w:tcW w:w="3118" w:type="dxa"/>
            <w:shd w:val="clear" w:color="auto" w:fill="auto"/>
            <w:tcMar>
              <w:top w:w="100" w:type="dxa"/>
              <w:left w:w="100" w:type="dxa"/>
              <w:bottom w:w="100" w:type="dxa"/>
              <w:right w:w="100" w:type="dxa"/>
            </w:tcMar>
          </w:tcPr>
          <w:p w14:paraId="3327DDA2">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1</w:t>
            </w:r>
          </w:p>
        </w:tc>
        <w:tc>
          <w:tcPr>
            <w:tcW w:w="3118" w:type="dxa"/>
            <w:shd w:val="clear" w:color="auto" w:fill="auto"/>
            <w:tcMar>
              <w:top w:w="100" w:type="dxa"/>
              <w:left w:w="100" w:type="dxa"/>
              <w:bottom w:w="100" w:type="dxa"/>
              <w:right w:w="100" w:type="dxa"/>
            </w:tcMar>
          </w:tcPr>
          <w:p w14:paraId="1B6E6E30">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r w14:paraId="05BDE2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c>
          <w:tcPr>
            <w:tcW w:w="3118" w:type="dxa"/>
            <w:shd w:val="clear" w:color="auto" w:fill="auto"/>
            <w:tcMar>
              <w:top w:w="100" w:type="dxa"/>
              <w:left w:w="100" w:type="dxa"/>
              <w:bottom w:w="100" w:type="dxa"/>
              <w:right w:w="100" w:type="dxa"/>
            </w:tcMar>
          </w:tcPr>
          <w:p w14:paraId="0C1D074A">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3</w:t>
            </w:r>
          </w:p>
        </w:tc>
        <w:tc>
          <w:tcPr>
            <w:tcW w:w="3118" w:type="dxa"/>
            <w:shd w:val="clear" w:color="auto" w:fill="auto"/>
            <w:tcMar>
              <w:top w:w="100" w:type="dxa"/>
              <w:left w:w="100" w:type="dxa"/>
              <w:bottom w:w="100" w:type="dxa"/>
              <w:right w:w="100" w:type="dxa"/>
            </w:tcMar>
          </w:tcPr>
          <w:p w14:paraId="50AD604C">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Risco 4</w:t>
            </w:r>
          </w:p>
        </w:tc>
        <w:tc>
          <w:tcPr>
            <w:tcW w:w="3118" w:type="dxa"/>
            <w:shd w:val="clear" w:color="auto" w:fill="auto"/>
            <w:tcMar>
              <w:top w:w="100" w:type="dxa"/>
              <w:left w:w="100" w:type="dxa"/>
              <w:bottom w:w="100" w:type="dxa"/>
              <w:right w:w="100" w:type="dxa"/>
            </w:tcMar>
          </w:tcPr>
          <w:p w14:paraId="26542937">
            <w:pPr>
              <w:pBdr>
                <w:top w:val="none" w:color="auto" w:sz="0" w:space="0"/>
                <w:left w:val="none" w:color="auto" w:sz="0" w:space="0"/>
                <w:bottom w:val="none" w:color="auto" w:sz="0" w:space="0"/>
                <w:right w:val="none" w:color="auto" w:sz="0" w:space="0"/>
                <w:between w:val="none" w:color="auto" w:sz="0" w:space="0"/>
              </w:pBdr>
              <w:jc w:val="center"/>
              <w:rPr>
                <w:rFonts w:asciiTheme="minorHAnsi" w:hAnsiTheme="minorHAnsi" w:cstheme="minorHAnsi"/>
                <w:sz w:val="21"/>
                <w:szCs w:val="21"/>
              </w:rPr>
            </w:pPr>
            <w:r>
              <w:rPr>
                <w:rFonts w:asciiTheme="minorHAnsi" w:hAnsiTheme="minorHAnsi" w:cstheme="minorHAnsi"/>
                <w:sz w:val="21"/>
                <w:szCs w:val="21"/>
              </w:rPr>
              <w:t>-</w:t>
            </w:r>
          </w:p>
        </w:tc>
      </w:tr>
    </w:tbl>
    <w:p w14:paraId="60998400">
      <w:pPr>
        <w:spacing w:line="360" w:lineRule="auto"/>
        <w:ind w:right="1133"/>
        <w:jc w:val="both"/>
        <w:rPr>
          <w:rFonts w:asciiTheme="minorHAnsi" w:hAnsiTheme="minorHAnsi" w:cstheme="minorHAnsi"/>
          <w:b/>
          <w:sz w:val="21"/>
          <w:szCs w:val="21"/>
        </w:rPr>
      </w:pPr>
    </w:p>
    <w:p w14:paraId="7C69D6AD">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III – TRATAMENTO</w:t>
      </w:r>
    </w:p>
    <w:p w14:paraId="035DB385">
      <w:pPr>
        <w:spacing w:line="360" w:lineRule="auto"/>
        <w:ind w:left="567"/>
        <w:jc w:val="both"/>
        <w:rPr>
          <w:rFonts w:asciiTheme="minorHAnsi" w:hAnsiTheme="minorHAnsi" w:cstheme="minorHAnsi"/>
          <w:color w:val="0070C0"/>
          <w:sz w:val="21"/>
          <w:szCs w:val="21"/>
        </w:rPr>
      </w:pPr>
    </w:p>
    <w:p w14:paraId="3CBCB4C8">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1: Correta análise dos itens a serem elencados e quantificados pelo setor de farmácia em conjunto com o setor de almoxarifado se acordo com a demanda de utilização dos itens.</w:t>
      </w:r>
    </w:p>
    <w:p w14:paraId="2E7030BA">
      <w:pPr>
        <w:spacing w:line="360" w:lineRule="auto"/>
        <w:ind w:left="567"/>
        <w:jc w:val="both"/>
        <w:rPr>
          <w:rFonts w:asciiTheme="minorHAnsi" w:hAnsiTheme="minorHAnsi" w:cstheme="minorHAnsi"/>
          <w:sz w:val="21"/>
          <w:szCs w:val="21"/>
        </w:rPr>
      </w:pPr>
    </w:p>
    <w:p w14:paraId="210A21C5">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2: Instruir o Estudo Técnico Preliminar e o Termo de Referência em estrita aderência às disposições das normativas aplicadas ao Processo Licitatório.</w:t>
      </w:r>
    </w:p>
    <w:p w14:paraId="1CBE4003">
      <w:pPr>
        <w:spacing w:line="360" w:lineRule="auto"/>
        <w:ind w:left="567"/>
        <w:jc w:val="both"/>
        <w:rPr>
          <w:rFonts w:asciiTheme="minorHAnsi" w:hAnsiTheme="minorHAnsi" w:cstheme="minorHAnsi"/>
          <w:sz w:val="21"/>
          <w:szCs w:val="21"/>
        </w:rPr>
      </w:pPr>
    </w:p>
    <w:p w14:paraId="49AA6478">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3: Capacitação dos Servidores que participam do Processo Licitatório, estabelecimento de rotinas de revisão da documentação.</w:t>
      </w:r>
    </w:p>
    <w:p w14:paraId="28DD1DF8">
      <w:pPr>
        <w:spacing w:line="360" w:lineRule="auto"/>
        <w:ind w:left="567"/>
        <w:jc w:val="both"/>
        <w:rPr>
          <w:rFonts w:asciiTheme="minorHAnsi" w:hAnsiTheme="minorHAnsi" w:cstheme="minorHAnsi"/>
          <w:sz w:val="21"/>
          <w:szCs w:val="21"/>
        </w:rPr>
      </w:pPr>
    </w:p>
    <w:p w14:paraId="45D38CC8">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Risco 4: Capacitação dos Servidores que fazem a gestão / fiscalização do contrato, conhecimento dos termos contratuais e dos serviços a serem executados, conhecimento das responsabilidades dos gestores / fiscais, e estabelecimento de rotinas para acompanhamento contratual.</w:t>
      </w:r>
    </w:p>
    <w:p w14:paraId="5FCCBEC1">
      <w:pPr>
        <w:spacing w:line="360" w:lineRule="auto"/>
        <w:ind w:right="1133"/>
        <w:jc w:val="both"/>
        <w:rPr>
          <w:rFonts w:asciiTheme="minorHAnsi" w:hAnsiTheme="minorHAnsi" w:cstheme="minorHAnsi"/>
          <w:b/>
          <w:sz w:val="21"/>
          <w:szCs w:val="21"/>
        </w:rPr>
      </w:pPr>
    </w:p>
    <w:p w14:paraId="4CBED3BF">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IV – IMPLEMENTAÇÃO</w:t>
      </w:r>
    </w:p>
    <w:p w14:paraId="4FCE13DD">
      <w:pPr>
        <w:spacing w:line="360" w:lineRule="auto"/>
        <w:ind w:right="1133"/>
        <w:jc w:val="both"/>
        <w:rPr>
          <w:rFonts w:asciiTheme="minorHAnsi" w:hAnsiTheme="minorHAnsi" w:cstheme="minorHAnsi"/>
          <w:b/>
          <w:sz w:val="21"/>
          <w:szCs w:val="21"/>
        </w:rPr>
      </w:pPr>
    </w:p>
    <w:p w14:paraId="2FDCD815">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1: A Equipe do setor de farmácia em conjunto com o setor de almoxarifado devem avaliar os itens a serem adquiridos com base na última licitação do ano anterior e ainda analisar a eventual necessidade de inclusão ou exclusão de eventuais itens de acordoco com a demanda do setor.</w:t>
      </w:r>
    </w:p>
    <w:p w14:paraId="465A6C74">
      <w:pPr>
        <w:spacing w:line="360" w:lineRule="auto"/>
        <w:ind w:left="566" w:right="5"/>
        <w:jc w:val="both"/>
        <w:rPr>
          <w:rFonts w:asciiTheme="minorHAnsi" w:hAnsiTheme="minorHAnsi" w:cstheme="minorHAnsi"/>
          <w:sz w:val="21"/>
          <w:szCs w:val="21"/>
        </w:rPr>
      </w:pPr>
    </w:p>
    <w:p w14:paraId="15FF7B48">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2: A Equipe Técnica deve instruir a documentação em estrita aderência às disposições dos normativos aplicados ao Processo de Licitação.</w:t>
      </w:r>
    </w:p>
    <w:p w14:paraId="0529242B">
      <w:pPr>
        <w:spacing w:line="360" w:lineRule="auto"/>
        <w:ind w:left="566" w:right="5"/>
        <w:jc w:val="both"/>
        <w:rPr>
          <w:rFonts w:asciiTheme="minorHAnsi" w:hAnsiTheme="minorHAnsi" w:cstheme="minorHAnsi"/>
          <w:sz w:val="21"/>
          <w:szCs w:val="21"/>
        </w:rPr>
      </w:pPr>
    </w:p>
    <w:p w14:paraId="165D4324">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3: A Equipe de Licitação deve analisar e apontar inconsistências e revisar os critérios de julgamento, prazos e sanções do Processo de Licitação.</w:t>
      </w:r>
    </w:p>
    <w:p w14:paraId="12E5746D">
      <w:pPr>
        <w:spacing w:line="360" w:lineRule="auto"/>
        <w:ind w:left="566" w:right="5"/>
        <w:jc w:val="both"/>
        <w:rPr>
          <w:rFonts w:asciiTheme="minorHAnsi" w:hAnsiTheme="minorHAnsi" w:cstheme="minorHAnsi"/>
          <w:sz w:val="21"/>
          <w:szCs w:val="21"/>
        </w:rPr>
      </w:pPr>
    </w:p>
    <w:p w14:paraId="07B043DB">
      <w:pPr>
        <w:spacing w:line="360" w:lineRule="auto"/>
        <w:ind w:left="566" w:right="5"/>
        <w:jc w:val="both"/>
        <w:rPr>
          <w:rFonts w:asciiTheme="minorHAnsi" w:hAnsiTheme="minorHAnsi" w:cstheme="minorHAnsi"/>
          <w:sz w:val="21"/>
          <w:szCs w:val="21"/>
        </w:rPr>
      </w:pPr>
      <w:r>
        <w:rPr>
          <w:rFonts w:asciiTheme="minorHAnsi" w:hAnsiTheme="minorHAnsi" w:cstheme="minorHAnsi"/>
          <w:sz w:val="21"/>
          <w:szCs w:val="21"/>
        </w:rPr>
        <w:t>Risco 4: Fiscal de Contrato e Gestor de contrato devem ter conhecimento dos termos contratuais e dos serviços a serem executados, e realizar sanções administrativas caso necessário.</w:t>
      </w:r>
    </w:p>
    <w:p w14:paraId="1027DC43">
      <w:pPr>
        <w:spacing w:line="360" w:lineRule="auto"/>
        <w:ind w:left="566" w:right="5"/>
        <w:jc w:val="both"/>
        <w:rPr>
          <w:rFonts w:asciiTheme="minorHAnsi" w:hAnsiTheme="minorHAnsi" w:cstheme="minorHAnsi"/>
          <w:sz w:val="21"/>
          <w:szCs w:val="21"/>
        </w:rPr>
      </w:pPr>
    </w:p>
    <w:p w14:paraId="6439B68D">
      <w:pPr>
        <w:spacing w:line="360" w:lineRule="auto"/>
        <w:ind w:right="1133"/>
        <w:jc w:val="both"/>
        <w:rPr>
          <w:rFonts w:asciiTheme="minorHAnsi" w:hAnsiTheme="minorHAnsi" w:cstheme="minorHAnsi"/>
          <w:b/>
          <w:sz w:val="21"/>
          <w:szCs w:val="21"/>
        </w:rPr>
      </w:pPr>
      <w:r>
        <w:rPr>
          <w:rFonts w:asciiTheme="minorHAnsi" w:hAnsiTheme="minorHAnsi" w:cstheme="minorHAnsi"/>
          <w:b/>
          <w:sz w:val="21"/>
          <w:szCs w:val="21"/>
        </w:rPr>
        <w:t>V – MONITORAMENTO</w:t>
      </w:r>
    </w:p>
    <w:p w14:paraId="151D329D">
      <w:pPr>
        <w:spacing w:line="360" w:lineRule="auto"/>
        <w:ind w:left="567"/>
        <w:jc w:val="both"/>
        <w:rPr>
          <w:rFonts w:asciiTheme="minorHAnsi" w:hAnsiTheme="minorHAnsi" w:cstheme="minorHAnsi"/>
          <w:sz w:val="21"/>
          <w:szCs w:val="21"/>
        </w:rPr>
      </w:pPr>
    </w:p>
    <w:p w14:paraId="1C2B8063">
      <w:pPr>
        <w:spacing w:line="360" w:lineRule="auto"/>
        <w:ind w:left="567"/>
        <w:jc w:val="both"/>
        <w:rPr>
          <w:rFonts w:asciiTheme="minorHAnsi" w:hAnsiTheme="minorHAnsi" w:cstheme="minorHAnsi"/>
          <w:sz w:val="21"/>
          <w:szCs w:val="21"/>
        </w:rPr>
      </w:pPr>
      <w:r>
        <w:rPr>
          <w:rFonts w:asciiTheme="minorHAnsi" w:hAnsiTheme="minorHAnsi" w:cstheme="minorHAnsi"/>
          <w:sz w:val="21"/>
          <w:szCs w:val="21"/>
        </w:rPr>
        <w:t>O Gestor e o Fiscal do contrato devem estabelecer controle periódico dos riscos informados acima, visando a verificação de avanço no tratamento dos riscos inaceitáveis para a presente contratação.</w:t>
      </w:r>
    </w:p>
    <w:p w14:paraId="4BE91727">
      <w:pPr>
        <w:spacing w:line="360" w:lineRule="auto"/>
        <w:ind w:right="-2"/>
        <w:jc w:val="both"/>
        <w:rPr>
          <w:rFonts w:asciiTheme="minorHAnsi" w:hAnsiTheme="minorHAnsi" w:cstheme="minorHAnsi"/>
          <w:b/>
          <w:sz w:val="21"/>
          <w:szCs w:val="21"/>
        </w:rPr>
      </w:pPr>
    </w:p>
    <w:tbl>
      <w:tblPr>
        <w:tblStyle w:val="4"/>
        <w:tblW w:w="8775" w:type="dxa"/>
        <w:jc w:val="center"/>
        <w:tblLayout w:type="fixed"/>
        <w:tblCellMar>
          <w:top w:w="0" w:type="dxa"/>
          <w:left w:w="108" w:type="dxa"/>
          <w:bottom w:w="0" w:type="dxa"/>
          <w:right w:w="108" w:type="dxa"/>
        </w:tblCellMar>
      </w:tblPr>
      <w:tblGrid>
        <w:gridCol w:w="8775"/>
      </w:tblGrid>
      <w:tr w14:paraId="106A1597">
        <w:tblPrEx>
          <w:tblCellMar>
            <w:top w:w="0" w:type="dxa"/>
            <w:left w:w="108" w:type="dxa"/>
            <w:bottom w:w="0" w:type="dxa"/>
            <w:right w:w="108" w:type="dxa"/>
          </w:tblCellMar>
        </w:tblPrEx>
        <w:trPr>
          <w:jc w:val="center"/>
        </w:trPr>
        <w:tc>
          <w:tcPr>
            <w:tcW w:w="8775" w:type="dxa"/>
            <w:tcBorders>
              <w:top w:val="single" w:color="000000" w:sz="6" w:space="0"/>
              <w:left w:val="single" w:color="000000" w:sz="6" w:space="0"/>
              <w:bottom w:val="nil"/>
              <w:right w:val="single" w:color="000000" w:sz="6" w:space="0"/>
            </w:tcBorders>
            <w:shd w:val="clear" w:color="auto" w:fill="EEEEEE"/>
            <w:tcMar>
              <w:top w:w="57" w:type="dxa"/>
              <w:left w:w="57" w:type="dxa"/>
              <w:bottom w:w="0" w:type="dxa"/>
              <w:right w:w="57" w:type="dxa"/>
            </w:tcMar>
          </w:tcPr>
          <w:p w14:paraId="482A0E0E">
            <w:pPr>
              <w:spacing w:line="360" w:lineRule="auto"/>
              <w:ind w:right="-2"/>
              <w:jc w:val="center"/>
              <w:rPr>
                <w:rFonts w:asciiTheme="minorHAnsi" w:hAnsiTheme="minorHAnsi" w:cstheme="minorHAnsi"/>
                <w:sz w:val="21"/>
                <w:szCs w:val="21"/>
              </w:rPr>
            </w:pPr>
            <w:r>
              <w:rPr>
                <w:rFonts w:asciiTheme="minorHAnsi" w:hAnsiTheme="minorHAnsi" w:cstheme="minorHAnsi"/>
                <w:b/>
                <w:sz w:val="21"/>
                <w:szCs w:val="21"/>
              </w:rPr>
              <w:t>AUTORIDADE COMPETENTE</w:t>
            </w:r>
          </w:p>
        </w:tc>
      </w:tr>
      <w:tr w14:paraId="643D3400">
        <w:tblPrEx>
          <w:tblCellMar>
            <w:top w:w="0" w:type="dxa"/>
            <w:left w:w="108" w:type="dxa"/>
            <w:bottom w:w="0" w:type="dxa"/>
            <w:right w:w="108" w:type="dxa"/>
          </w:tblCellMar>
        </w:tblPrEx>
        <w:trPr>
          <w:trHeight w:val="2335" w:hRule="atLeast"/>
          <w:jc w:val="center"/>
        </w:trPr>
        <w:tc>
          <w:tcPr>
            <w:tcW w:w="8775" w:type="dxa"/>
            <w:tcBorders>
              <w:top w:val="nil"/>
              <w:left w:val="single" w:color="000000" w:sz="6" w:space="0"/>
              <w:bottom w:val="single" w:color="000000" w:sz="6" w:space="0"/>
              <w:right w:val="single" w:color="000000" w:sz="6" w:space="0"/>
            </w:tcBorders>
            <w:shd w:val="clear" w:color="auto" w:fill="FFFFFF"/>
            <w:tcMar>
              <w:top w:w="0" w:type="dxa"/>
              <w:left w:w="57" w:type="dxa"/>
              <w:bottom w:w="57" w:type="dxa"/>
              <w:right w:w="57" w:type="dxa"/>
            </w:tcMar>
          </w:tcPr>
          <w:p w14:paraId="50CB07EA">
            <w:pPr>
              <w:spacing w:line="360" w:lineRule="auto"/>
              <w:ind w:right="-2"/>
              <w:jc w:val="center"/>
              <w:rPr>
                <w:rFonts w:asciiTheme="minorHAnsi" w:hAnsiTheme="minorHAnsi" w:cstheme="minorHAnsi"/>
                <w:sz w:val="21"/>
                <w:szCs w:val="21"/>
              </w:rPr>
            </w:pPr>
          </w:p>
          <w:p w14:paraId="17FB6F7B">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________________________________</w:t>
            </w:r>
          </w:p>
          <w:p w14:paraId="23F08280">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Rodrigo Eduardo de Souza</w:t>
            </w:r>
          </w:p>
          <w:p w14:paraId="5CCB208C">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Secretário Adjunto de Saúde</w:t>
            </w:r>
          </w:p>
          <w:p w14:paraId="77AC6F9A">
            <w:pPr>
              <w:spacing w:line="360" w:lineRule="auto"/>
              <w:ind w:right="-2"/>
              <w:jc w:val="center"/>
              <w:rPr>
                <w:rFonts w:asciiTheme="minorHAnsi" w:hAnsiTheme="minorHAnsi" w:cstheme="minorHAnsi"/>
                <w:sz w:val="21"/>
                <w:szCs w:val="21"/>
              </w:rPr>
            </w:pPr>
          </w:p>
          <w:p w14:paraId="2D42517F">
            <w:pPr>
              <w:spacing w:line="360" w:lineRule="auto"/>
              <w:ind w:right="-2"/>
              <w:jc w:val="center"/>
              <w:rPr>
                <w:rFonts w:asciiTheme="minorHAnsi" w:hAnsiTheme="minorHAnsi" w:cstheme="minorHAnsi"/>
                <w:sz w:val="21"/>
                <w:szCs w:val="21"/>
              </w:rPr>
            </w:pPr>
            <w:r>
              <w:rPr>
                <w:rFonts w:asciiTheme="minorHAnsi" w:hAnsiTheme="minorHAnsi" w:cstheme="minorHAnsi"/>
                <w:sz w:val="21"/>
                <w:szCs w:val="21"/>
              </w:rPr>
              <w:t>Santa Branca, 10 de julho de 2024.</w:t>
            </w:r>
          </w:p>
        </w:tc>
      </w:tr>
    </w:tbl>
    <w:p w14:paraId="1B00CD0D">
      <w:pPr>
        <w:spacing w:line="360" w:lineRule="auto"/>
        <w:jc w:val="both"/>
        <w:rPr>
          <w:b/>
          <w:color w:val="0070C0"/>
        </w:rPr>
      </w:pPr>
    </w:p>
    <w:p w14:paraId="66371BB2">
      <w:pPr>
        <w:spacing w:line="360" w:lineRule="auto"/>
        <w:ind w:right="-2"/>
        <w:jc w:val="both"/>
        <w:rPr>
          <w:rFonts w:asciiTheme="minorHAnsi" w:hAnsiTheme="minorHAnsi" w:cstheme="minorHAnsi"/>
          <w:b/>
          <w:sz w:val="21"/>
          <w:szCs w:val="21"/>
        </w:rPr>
      </w:pPr>
    </w:p>
    <w:p w14:paraId="6D1FB5B0">
      <w:pPr>
        <w:spacing w:line="360" w:lineRule="auto"/>
        <w:ind w:right="-2"/>
        <w:jc w:val="both"/>
        <w:rPr>
          <w:rFonts w:asciiTheme="minorHAnsi" w:hAnsiTheme="minorHAnsi" w:cstheme="minorHAnsi"/>
          <w:b/>
          <w:sz w:val="21"/>
          <w:szCs w:val="21"/>
        </w:rPr>
      </w:pPr>
    </w:p>
    <w:p w14:paraId="6D57EB2D">
      <w:pPr>
        <w:spacing w:line="360" w:lineRule="auto"/>
        <w:ind w:right="-2"/>
        <w:jc w:val="both"/>
        <w:rPr>
          <w:rFonts w:asciiTheme="minorHAnsi" w:hAnsiTheme="minorHAnsi" w:cstheme="minorHAnsi"/>
          <w:b/>
          <w:sz w:val="21"/>
          <w:szCs w:val="21"/>
        </w:rPr>
      </w:pPr>
    </w:p>
    <w:p w14:paraId="7223345A">
      <w:pPr>
        <w:spacing w:line="360" w:lineRule="auto"/>
        <w:ind w:right="-2"/>
        <w:jc w:val="both"/>
        <w:rPr>
          <w:rFonts w:asciiTheme="minorHAnsi" w:hAnsiTheme="minorHAnsi" w:cstheme="minorHAnsi"/>
          <w:b/>
          <w:sz w:val="21"/>
          <w:szCs w:val="21"/>
        </w:rPr>
      </w:pPr>
    </w:p>
    <w:p w14:paraId="4946C8FD">
      <w:pPr>
        <w:spacing w:line="360" w:lineRule="auto"/>
        <w:ind w:right="-2"/>
        <w:jc w:val="both"/>
        <w:rPr>
          <w:rFonts w:asciiTheme="minorHAnsi" w:hAnsiTheme="minorHAnsi" w:cstheme="minorHAnsi"/>
          <w:b/>
          <w:sz w:val="21"/>
          <w:szCs w:val="21"/>
        </w:rPr>
      </w:pPr>
    </w:p>
    <w:p w14:paraId="07F2947C">
      <w:pPr>
        <w:spacing w:line="360" w:lineRule="auto"/>
        <w:ind w:right="-2"/>
        <w:jc w:val="both"/>
        <w:rPr>
          <w:rFonts w:asciiTheme="minorHAnsi" w:hAnsiTheme="minorHAnsi" w:cstheme="minorHAnsi"/>
          <w:b/>
          <w:sz w:val="21"/>
          <w:szCs w:val="21"/>
        </w:rPr>
      </w:pPr>
    </w:p>
    <w:p w14:paraId="5D130964">
      <w:pPr>
        <w:spacing w:line="360" w:lineRule="auto"/>
        <w:ind w:right="-2"/>
        <w:jc w:val="both"/>
        <w:rPr>
          <w:rFonts w:asciiTheme="minorHAnsi" w:hAnsiTheme="minorHAnsi" w:cstheme="minorHAnsi"/>
          <w:b/>
          <w:sz w:val="21"/>
          <w:szCs w:val="21"/>
        </w:rPr>
      </w:pPr>
    </w:p>
    <w:p w14:paraId="7003AFBC">
      <w:pPr>
        <w:spacing w:line="360" w:lineRule="auto"/>
        <w:ind w:right="-2"/>
        <w:jc w:val="both"/>
        <w:rPr>
          <w:rFonts w:asciiTheme="minorHAnsi" w:hAnsiTheme="minorHAnsi" w:cstheme="minorHAnsi"/>
          <w:b/>
          <w:sz w:val="21"/>
          <w:szCs w:val="21"/>
        </w:rPr>
      </w:pPr>
    </w:p>
    <w:p w14:paraId="5080D102">
      <w:pPr>
        <w:spacing w:line="360" w:lineRule="auto"/>
        <w:ind w:right="-2"/>
        <w:jc w:val="both"/>
        <w:rPr>
          <w:rFonts w:asciiTheme="minorHAnsi" w:hAnsiTheme="minorHAnsi" w:cstheme="minorHAnsi"/>
          <w:b/>
          <w:sz w:val="21"/>
          <w:szCs w:val="21"/>
        </w:rPr>
      </w:pPr>
    </w:p>
    <w:p w14:paraId="23C47368">
      <w:pPr>
        <w:spacing w:line="360" w:lineRule="auto"/>
        <w:ind w:right="-2"/>
        <w:jc w:val="both"/>
        <w:rPr>
          <w:rFonts w:asciiTheme="minorHAnsi" w:hAnsiTheme="minorHAnsi" w:cstheme="minorHAnsi"/>
          <w:b/>
          <w:sz w:val="21"/>
          <w:szCs w:val="21"/>
        </w:rPr>
      </w:pPr>
    </w:p>
    <w:tbl>
      <w:tblPr>
        <w:tblStyle w:val="35"/>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3DF8A13F">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2855AB69">
            <w:pPr>
              <w:pStyle w:val="19"/>
              <w:jc w:val="center"/>
              <w:rPr>
                <w:rFonts w:asciiTheme="minorHAnsi" w:hAnsiTheme="minorHAnsi" w:cstheme="minorHAnsi"/>
                <w:b w:val="0"/>
                <w:bCs w:val="0"/>
                <w:sz w:val="20"/>
                <w:szCs w:val="20"/>
              </w:rPr>
            </w:pPr>
            <w:r>
              <w:rPr>
                <w:rFonts w:asciiTheme="minorHAnsi" w:hAnsiTheme="minorHAnsi" w:cstheme="minorHAnsi"/>
                <w:b/>
                <w:bCs/>
                <w:sz w:val="20"/>
                <w:szCs w:val="20"/>
              </w:rPr>
              <w:t>ANEXO III</w:t>
            </w:r>
          </w:p>
          <w:p w14:paraId="5AB07155">
            <w:pPr>
              <w:pStyle w:val="19"/>
              <w:jc w:val="center"/>
              <w:rPr>
                <w:rFonts w:asciiTheme="minorHAnsi" w:hAnsiTheme="minorHAnsi" w:cstheme="minorHAnsi"/>
                <w:b/>
                <w:bCs/>
                <w:sz w:val="20"/>
                <w:szCs w:val="20"/>
              </w:rPr>
            </w:pPr>
            <w:r>
              <w:rPr>
                <w:rFonts w:asciiTheme="minorHAnsi" w:hAnsiTheme="minorHAnsi" w:cstheme="minorHAnsi"/>
                <w:b/>
                <w:bCs/>
                <w:sz w:val="20"/>
                <w:szCs w:val="20"/>
              </w:rPr>
              <w:t>MODELO DE PLANILHA DE PROPOSTA</w:t>
            </w:r>
          </w:p>
        </w:tc>
      </w:tr>
    </w:tbl>
    <w:p w14:paraId="1C900A26">
      <w:pPr>
        <w:pStyle w:val="19"/>
        <w:jc w:val="center"/>
        <w:rPr>
          <w:rFonts w:asciiTheme="minorHAnsi" w:hAnsiTheme="minorHAnsi" w:cstheme="minorHAnsi"/>
          <w:b/>
          <w:bCs/>
          <w:sz w:val="20"/>
          <w:szCs w:val="20"/>
        </w:rPr>
      </w:pPr>
    </w:p>
    <w:p w14:paraId="0CC150A0">
      <w:pPr>
        <w:pStyle w:val="19"/>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C6899C3">
      <w:pPr>
        <w:pStyle w:val="19"/>
        <w:rPr>
          <w:rFonts w:asciiTheme="minorHAnsi" w:hAnsiTheme="minorHAnsi" w:cstheme="minorHAnsi"/>
          <w:sz w:val="20"/>
          <w:szCs w:val="20"/>
        </w:rPr>
      </w:pPr>
    </w:p>
    <w:p w14:paraId="0AC7E0D5">
      <w:pPr>
        <w:pStyle w:val="19"/>
        <w:rPr>
          <w:rFonts w:asciiTheme="minorHAnsi" w:hAnsiTheme="minorHAnsi" w:cstheme="minorHAnsi"/>
          <w:sz w:val="20"/>
          <w:szCs w:val="20"/>
        </w:rPr>
      </w:pPr>
    </w:p>
    <w:p w14:paraId="714DD4F2">
      <w:pPr>
        <w:pStyle w:val="19"/>
        <w:rPr>
          <w:rFonts w:asciiTheme="minorHAnsi" w:hAnsiTheme="minorHAnsi" w:cstheme="minorHAnsi"/>
          <w:b/>
          <w:bCs/>
          <w:color w:val="auto"/>
          <w:sz w:val="21"/>
          <w:szCs w:val="21"/>
        </w:rPr>
      </w:pPr>
      <w:r>
        <w:rPr>
          <w:rFonts w:asciiTheme="minorHAnsi" w:hAnsiTheme="minorHAnsi" w:cstheme="minorHAnsi"/>
          <w:b/>
          <w:bCs/>
          <w:color w:val="auto"/>
          <w:sz w:val="21"/>
          <w:szCs w:val="21"/>
        </w:rPr>
        <w:t>PREGÃO ELETRÔNICO – SISTEMA REGISTRO DE PREÇO Nº 22/2024 – PROCESSO Nº  3170/2024</w:t>
      </w:r>
    </w:p>
    <w:p w14:paraId="51EF2CB1">
      <w:pPr>
        <w:pStyle w:val="19"/>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OBJETO: </w:t>
      </w:r>
      <w:r>
        <w:rPr>
          <w:rFonts w:asciiTheme="minorHAnsi" w:hAnsiTheme="minorHAnsi" w:cstheme="minorHAnsi"/>
          <w:b/>
          <w:bCs/>
          <w:color w:val="auto"/>
          <w:sz w:val="21"/>
          <w:szCs w:val="21"/>
          <w:shd w:val="clear" w:color="auto" w:fill="FFFFFF"/>
        </w:rPr>
        <w:t>REGISTRO DE PREÇOS PARA AQUISIÇÃO DE ITENS DERMOCOSMÉTICOS PARA ATENDIMENTO DE DEMANDA DE PACIENTES ORIUNDOS DE ORDENS JUDICIAIS POR PERÍODO ESTIMADO DE 12 MESES.</w:t>
      </w:r>
    </w:p>
    <w:p w14:paraId="5F9267FA">
      <w:pPr>
        <w:pStyle w:val="19"/>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PRAZO DE ENTREGA: CONFORME TERMO DE REFERÊNCIA. </w:t>
      </w:r>
    </w:p>
    <w:p w14:paraId="105D0D90">
      <w:pPr>
        <w:pStyle w:val="19"/>
        <w:rPr>
          <w:rFonts w:asciiTheme="minorHAnsi" w:hAnsiTheme="minorHAnsi" w:cstheme="minorHAnsi"/>
          <w:b/>
          <w:bCs/>
          <w:color w:val="auto"/>
          <w:sz w:val="21"/>
          <w:szCs w:val="21"/>
        </w:rPr>
      </w:pPr>
      <w:r>
        <w:rPr>
          <w:rFonts w:asciiTheme="minorHAnsi" w:hAnsiTheme="minorHAnsi" w:cstheme="minorHAnsi"/>
          <w:b/>
          <w:bCs/>
          <w:color w:val="auto"/>
          <w:sz w:val="21"/>
          <w:szCs w:val="21"/>
        </w:rPr>
        <w:t xml:space="preserve">LOCAL DE ENTREGA: Almoxarifado da Saúde – Praça Rui Barbosa, 109, Centro, Santa Branca – SP, CEP 12380-000 sendo das 08h às 16h. </w:t>
      </w:r>
    </w:p>
    <w:p w14:paraId="41BB6281">
      <w:pPr>
        <w:pStyle w:val="19"/>
        <w:rPr>
          <w:rFonts w:asciiTheme="minorHAnsi" w:hAnsiTheme="minorHAnsi" w:cstheme="minorHAnsi"/>
          <w:b/>
          <w:bCs/>
          <w:sz w:val="22"/>
          <w:szCs w:val="22"/>
        </w:rPr>
      </w:pPr>
    </w:p>
    <w:p w14:paraId="667850E2">
      <w:pPr>
        <w:pStyle w:val="19"/>
        <w:rPr>
          <w:rFonts w:asciiTheme="minorHAnsi" w:hAnsiTheme="minorHAnsi" w:cstheme="minorHAnsi"/>
          <w:sz w:val="20"/>
          <w:szCs w:val="20"/>
        </w:rPr>
      </w:pPr>
    </w:p>
    <w:tbl>
      <w:tblPr>
        <w:tblStyle w:val="15"/>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43"/>
        <w:gridCol w:w="958"/>
        <w:gridCol w:w="1005"/>
        <w:gridCol w:w="1317"/>
        <w:gridCol w:w="1559"/>
        <w:gridCol w:w="1256"/>
      </w:tblGrid>
      <w:tr w14:paraId="5786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shd w:val="clear" w:color="auto" w:fill="BEBEBE" w:themeFill="background1" w:themeFillShade="BF"/>
          </w:tcPr>
          <w:p w14:paraId="60918018">
            <w:pPr>
              <w:pStyle w:val="19"/>
              <w:rPr>
                <w:rFonts w:asciiTheme="minorHAnsi" w:hAnsiTheme="minorHAnsi" w:cstheme="minorHAnsi"/>
                <w:b/>
                <w:bCs/>
                <w:sz w:val="20"/>
                <w:szCs w:val="20"/>
              </w:rPr>
            </w:pPr>
            <w:r>
              <w:rPr>
                <w:rFonts w:asciiTheme="minorHAnsi" w:hAnsiTheme="minorHAnsi" w:cstheme="minorHAnsi"/>
                <w:b/>
                <w:bCs/>
                <w:sz w:val="20"/>
                <w:szCs w:val="20"/>
              </w:rPr>
              <w:t xml:space="preserve">Item </w:t>
            </w:r>
          </w:p>
        </w:tc>
        <w:tc>
          <w:tcPr>
            <w:tcW w:w="2343" w:type="dxa"/>
            <w:shd w:val="clear" w:color="auto" w:fill="BEBEBE" w:themeFill="background1" w:themeFillShade="BF"/>
          </w:tcPr>
          <w:p w14:paraId="48EC1241">
            <w:pPr>
              <w:pStyle w:val="19"/>
              <w:rPr>
                <w:rFonts w:asciiTheme="minorHAnsi" w:hAnsiTheme="minorHAnsi" w:cstheme="minorHAnsi"/>
                <w:b/>
                <w:bCs/>
                <w:sz w:val="20"/>
                <w:szCs w:val="20"/>
              </w:rPr>
            </w:pPr>
            <w:r>
              <w:rPr>
                <w:rFonts w:asciiTheme="minorHAnsi" w:hAnsiTheme="minorHAnsi" w:cstheme="minorHAnsi"/>
                <w:b/>
                <w:bCs/>
                <w:sz w:val="20"/>
                <w:szCs w:val="20"/>
              </w:rPr>
              <w:t xml:space="preserve">Especificação do item </w:t>
            </w:r>
          </w:p>
        </w:tc>
        <w:tc>
          <w:tcPr>
            <w:tcW w:w="958" w:type="dxa"/>
            <w:shd w:val="clear" w:color="auto" w:fill="BEBEBE" w:themeFill="background1" w:themeFillShade="BF"/>
          </w:tcPr>
          <w:p w14:paraId="238512EB">
            <w:pPr>
              <w:pStyle w:val="19"/>
              <w:rPr>
                <w:rFonts w:asciiTheme="minorHAnsi" w:hAnsiTheme="minorHAnsi" w:cstheme="minorHAnsi"/>
                <w:b/>
                <w:bCs/>
                <w:sz w:val="20"/>
                <w:szCs w:val="20"/>
              </w:rPr>
            </w:pPr>
            <w:r>
              <w:rPr>
                <w:rFonts w:asciiTheme="minorHAnsi" w:hAnsiTheme="minorHAnsi" w:cstheme="minorHAnsi"/>
                <w:b/>
                <w:bCs/>
                <w:sz w:val="20"/>
                <w:szCs w:val="20"/>
              </w:rPr>
              <w:t xml:space="preserve">Marca </w:t>
            </w:r>
          </w:p>
        </w:tc>
        <w:tc>
          <w:tcPr>
            <w:tcW w:w="1005" w:type="dxa"/>
            <w:shd w:val="clear" w:color="auto" w:fill="BEBEBE" w:themeFill="background1" w:themeFillShade="BF"/>
          </w:tcPr>
          <w:p w14:paraId="433389E7">
            <w:pPr>
              <w:pStyle w:val="19"/>
              <w:rPr>
                <w:rFonts w:asciiTheme="minorHAnsi" w:hAnsiTheme="minorHAnsi" w:cstheme="minorHAnsi"/>
                <w:b/>
                <w:bCs/>
                <w:sz w:val="20"/>
                <w:szCs w:val="20"/>
              </w:rPr>
            </w:pPr>
            <w:r>
              <w:rPr>
                <w:rFonts w:asciiTheme="minorHAnsi" w:hAnsiTheme="minorHAnsi" w:cstheme="minorHAnsi"/>
                <w:b/>
                <w:bCs/>
                <w:sz w:val="20"/>
                <w:szCs w:val="20"/>
              </w:rPr>
              <w:t xml:space="preserve">Unidade </w:t>
            </w:r>
          </w:p>
        </w:tc>
        <w:tc>
          <w:tcPr>
            <w:tcW w:w="1317" w:type="dxa"/>
            <w:shd w:val="clear" w:color="auto" w:fill="BEBEBE" w:themeFill="background1" w:themeFillShade="BF"/>
          </w:tcPr>
          <w:p w14:paraId="2B3E362A">
            <w:pPr>
              <w:pStyle w:val="19"/>
              <w:rPr>
                <w:rFonts w:asciiTheme="minorHAnsi" w:hAnsiTheme="minorHAnsi" w:cstheme="minorHAnsi"/>
                <w:b/>
                <w:bCs/>
                <w:sz w:val="20"/>
                <w:szCs w:val="20"/>
              </w:rPr>
            </w:pPr>
            <w:r>
              <w:rPr>
                <w:rFonts w:asciiTheme="minorHAnsi" w:hAnsiTheme="minorHAnsi" w:cstheme="minorHAnsi"/>
                <w:b/>
                <w:bCs/>
                <w:sz w:val="20"/>
                <w:szCs w:val="20"/>
              </w:rPr>
              <w:t xml:space="preserve">Quantidade </w:t>
            </w:r>
          </w:p>
        </w:tc>
        <w:tc>
          <w:tcPr>
            <w:tcW w:w="1559" w:type="dxa"/>
            <w:shd w:val="clear" w:color="auto" w:fill="BEBEBE" w:themeFill="background1" w:themeFillShade="BF"/>
          </w:tcPr>
          <w:p w14:paraId="0CB0BB88">
            <w:pPr>
              <w:pStyle w:val="19"/>
              <w:rPr>
                <w:rFonts w:asciiTheme="minorHAnsi" w:hAnsiTheme="minorHAnsi" w:cstheme="minorHAnsi"/>
                <w:b/>
                <w:bCs/>
                <w:sz w:val="20"/>
                <w:szCs w:val="20"/>
              </w:rPr>
            </w:pPr>
            <w:r>
              <w:rPr>
                <w:rFonts w:asciiTheme="minorHAnsi" w:hAnsiTheme="minorHAnsi" w:cstheme="minorHAnsi"/>
                <w:b/>
                <w:bCs/>
                <w:sz w:val="20"/>
                <w:szCs w:val="20"/>
              </w:rPr>
              <w:t xml:space="preserve">Valor unitário </w:t>
            </w:r>
          </w:p>
        </w:tc>
        <w:tc>
          <w:tcPr>
            <w:tcW w:w="1256" w:type="dxa"/>
            <w:shd w:val="clear" w:color="auto" w:fill="BEBEBE" w:themeFill="background1" w:themeFillShade="BF"/>
          </w:tcPr>
          <w:p w14:paraId="731714D0">
            <w:pPr>
              <w:pStyle w:val="19"/>
              <w:rPr>
                <w:rFonts w:asciiTheme="minorHAnsi" w:hAnsiTheme="minorHAnsi" w:cstheme="minorHAnsi"/>
                <w:b/>
                <w:bCs/>
                <w:sz w:val="20"/>
                <w:szCs w:val="20"/>
              </w:rPr>
            </w:pPr>
            <w:r>
              <w:rPr>
                <w:rFonts w:asciiTheme="minorHAnsi" w:hAnsiTheme="minorHAnsi" w:cstheme="minorHAnsi"/>
                <w:b/>
                <w:bCs/>
                <w:sz w:val="20"/>
                <w:szCs w:val="20"/>
              </w:rPr>
              <w:t xml:space="preserve">Valor total </w:t>
            </w:r>
          </w:p>
        </w:tc>
      </w:tr>
      <w:tr w14:paraId="66B1B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F486264">
            <w:pPr>
              <w:pStyle w:val="19"/>
              <w:rPr>
                <w:rFonts w:asciiTheme="minorHAnsi" w:hAnsiTheme="minorHAnsi" w:cstheme="minorHAnsi"/>
                <w:sz w:val="20"/>
                <w:szCs w:val="20"/>
              </w:rPr>
            </w:pPr>
            <w:r>
              <w:rPr>
                <w:rFonts w:asciiTheme="minorHAnsi" w:hAnsiTheme="minorHAnsi" w:cstheme="minorHAnsi"/>
                <w:sz w:val="20"/>
                <w:szCs w:val="20"/>
              </w:rPr>
              <w:t>01</w:t>
            </w:r>
          </w:p>
        </w:tc>
        <w:tc>
          <w:tcPr>
            <w:tcW w:w="2343" w:type="dxa"/>
          </w:tcPr>
          <w:p w14:paraId="56F37470">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54C6CBEC">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6989F167">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6BFEDFFF">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BE422D6">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A19467A">
            <w:pPr>
              <w:pStyle w:val="19"/>
              <w:rPr>
                <w:rFonts w:asciiTheme="minorHAnsi" w:hAnsiTheme="minorHAnsi" w:cstheme="minorHAnsi"/>
                <w:b/>
                <w:bCs/>
                <w:sz w:val="20"/>
                <w:szCs w:val="20"/>
              </w:rPr>
            </w:pPr>
            <w:r>
              <w:rPr>
                <w:rFonts w:asciiTheme="minorHAnsi" w:hAnsiTheme="minorHAnsi" w:cstheme="minorHAnsi"/>
                <w:b/>
                <w:bCs/>
                <w:sz w:val="20"/>
                <w:szCs w:val="20"/>
              </w:rPr>
              <w:t>*****</w:t>
            </w:r>
          </w:p>
        </w:tc>
      </w:tr>
      <w:tr w14:paraId="097F4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AEF70B2">
            <w:pPr>
              <w:pStyle w:val="19"/>
              <w:rPr>
                <w:rFonts w:asciiTheme="minorHAnsi" w:hAnsiTheme="minorHAnsi" w:cstheme="minorHAnsi"/>
                <w:sz w:val="20"/>
                <w:szCs w:val="20"/>
              </w:rPr>
            </w:pPr>
            <w:r>
              <w:rPr>
                <w:rFonts w:asciiTheme="minorHAnsi" w:hAnsiTheme="minorHAnsi" w:cstheme="minorHAnsi"/>
                <w:sz w:val="20"/>
                <w:szCs w:val="20"/>
              </w:rPr>
              <w:t>02</w:t>
            </w:r>
          </w:p>
        </w:tc>
        <w:tc>
          <w:tcPr>
            <w:tcW w:w="2343" w:type="dxa"/>
          </w:tcPr>
          <w:p w14:paraId="0EC32054">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6EBBEAD0">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3A2C2586">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4AA8582D">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374B8FAA">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68D33403">
            <w:pPr>
              <w:pStyle w:val="19"/>
              <w:rPr>
                <w:rFonts w:asciiTheme="minorHAnsi" w:hAnsiTheme="minorHAnsi" w:cstheme="minorHAnsi"/>
                <w:b/>
                <w:bCs/>
                <w:sz w:val="20"/>
                <w:szCs w:val="20"/>
              </w:rPr>
            </w:pPr>
            <w:r>
              <w:rPr>
                <w:rFonts w:asciiTheme="minorHAnsi" w:hAnsiTheme="minorHAnsi" w:cstheme="minorHAnsi"/>
                <w:b/>
                <w:bCs/>
                <w:sz w:val="20"/>
                <w:szCs w:val="20"/>
              </w:rPr>
              <w:t>*****</w:t>
            </w:r>
          </w:p>
        </w:tc>
      </w:tr>
      <w:tr w14:paraId="239A1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17ACC195">
            <w:pPr>
              <w:pStyle w:val="19"/>
              <w:rPr>
                <w:rFonts w:asciiTheme="minorHAnsi" w:hAnsiTheme="minorHAnsi" w:cstheme="minorHAnsi"/>
                <w:sz w:val="20"/>
                <w:szCs w:val="20"/>
              </w:rPr>
            </w:pPr>
            <w:r>
              <w:rPr>
                <w:rFonts w:asciiTheme="minorHAnsi" w:hAnsiTheme="minorHAnsi" w:cstheme="minorHAnsi"/>
                <w:sz w:val="20"/>
                <w:szCs w:val="20"/>
              </w:rPr>
              <w:t>03</w:t>
            </w:r>
          </w:p>
        </w:tc>
        <w:tc>
          <w:tcPr>
            <w:tcW w:w="2343" w:type="dxa"/>
          </w:tcPr>
          <w:p w14:paraId="598B3ED4">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4DF632B7">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9047F4D">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3C94B199">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2F6E018A">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A3DE57F">
            <w:pPr>
              <w:pStyle w:val="19"/>
              <w:rPr>
                <w:rFonts w:asciiTheme="minorHAnsi" w:hAnsiTheme="minorHAnsi" w:cstheme="minorHAnsi"/>
                <w:b/>
                <w:bCs/>
                <w:sz w:val="20"/>
                <w:szCs w:val="20"/>
              </w:rPr>
            </w:pPr>
            <w:r>
              <w:rPr>
                <w:rFonts w:asciiTheme="minorHAnsi" w:hAnsiTheme="minorHAnsi" w:cstheme="minorHAnsi"/>
                <w:b/>
                <w:bCs/>
                <w:sz w:val="20"/>
                <w:szCs w:val="20"/>
              </w:rPr>
              <w:t>*****</w:t>
            </w:r>
          </w:p>
        </w:tc>
      </w:tr>
      <w:tr w14:paraId="1374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64916DBB">
            <w:pPr>
              <w:pStyle w:val="19"/>
              <w:rPr>
                <w:rFonts w:asciiTheme="minorHAnsi" w:hAnsiTheme="minorHAnsi" w:cstheme="minorHAnsi"/>
                <w:sz w:val="20"/>
                <w:szCs w:val="20"/>
              </w:rPr>
            </w:pPr>
            <w:r>
              <w:rPr>
                <w:rFonts w:asciiTheme="minorHAnsi" w:hAnsiTheme="minorHAnsi" w:cstheme="minorHAnsi"/>
                <w:sz w:val="20"/>
                <w:szCs w:val="20"/>
              </w:rPr>
              <w:t>04</w:t>
            </w:r>
          </w:p>
        </w:tc>
        <w:tc>
          <w:tcPr>
            <w:tcW w:w="2343" w:type="dxa"/>
          </w:tcPr>
          <w:p w14:paraId="3A2B8895">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33239A51">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7E3D543">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7A79623F">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1DBB1548">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2D2C3184">
            <w:pPr>
              <w:pStyle w:val="19"/>
              <w:rPr>
                <w:rFonts w:asciiTheme="minorHAnsi" w:hAnsiTheme="minorHAnsi" w:cstheme="minorHAnsi"/>
                <w:b/>
                <w:bCs/>
                <w:sz w:val="20"/>
                <w:szCs w:val="20"/>
              </w:rPr>
            </w:pPr>
            <w:r>
              <w:rPr>
                <w:rFonts w:asciiTheme="minorHAnsi" w:hAnsiTheme="minorHAnsi" w:cstheme="minorHAnsi"/>
                <w:b/>
                <w:bCs/>
                <w:sz w:val="20"/>
                <w:szCs w:val="20"/>
              </w:rPr>
              <w:t>*****</w:t>
            </w:r>
          </w:p>
        </w:tc>
      </w:tr>
      <w:tr w14:paraId="2F41B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9" w:type="dxa"/>
          </w:tcPr>
          <w:p w14:paraId="35950BC8">
            <w:pPr>
              <w:pStyle w:val="19"/>
              <w:rPr>
                <w:rFonts w:asciiTheme="minorHAnsi" w:hAnsiTheme="minorHAnsi" w:cstheme="minorHAnsi"/>
                <w:sz w:val="20"/>
                <w:szCs w:val="20"/>
              </w:rPr>
            </w:pPr>
            <w:r>
              <w:rPr>
                <w:rFonts w:asciiTheme="minorHAnsi" w:hAnsiTheme="minorHAnsi" w:cstheme="minorHAnsi"/>
                <w:sz w:val="20"/>
                <w:szCs w:val="20"/>
              </w:rPr>
              <w:t>05</w:t>
            </w:r>
          </w:p>
        </w:tc>
        <w:tc>
          <w:tcPr>
            <w:tcW w:w="2343" w:type="dxa"/>
          </w:tcPr>
          <w:p w14:paraId="31F1D2FF">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958" w:type="dxa"/>
          </w:tcPr>
          <w:p w14:paraId="25384439">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005" w:type="dxa"/>
          </w:tcPr>
          <w:p w14:paraId="7A9E1266">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317" w:type="dxa"/>
          </w:tcPr>
          <w:p w14:paraId="1D34CF23">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559" w:type="dxa"/>
          </w:tcPr>
          <w:p w14:paraId="0DFB43C4">
            <w:pPr>
              <w:pStyle w:val="19"/>
              <w:rPr>
                <w:rFonts w:asciiTheme="minorHAnsi" w:hAnsiTheme="minorHAnsi" w:cstheme="minorHAnsi"/>
                <w:b/>
                <w:bCs/>
                <w:sz w:val="20"/>
                <w:szCs w:val="20"/>
              </w:rPr>
            </w:pPr>
            <w:r>
              <w:rPr>
                <w:rFonts w:asciiTheme="minorHAnsi" w:hAnsiTheme="minorHAnsi" w:cstheme="minorHAnsi"/>
                <w:b/>
                <w:bCs/>
                <w:sz w:val="20"/>
                <w:szCs w:val="20"/>
              </w:rPr>
              <w:t>*****</w:t>
            </w:r>
          </w:p>
        </w:tc>
        <w:tc>
          <w:tcPr>
            <w:tcW w:w="1256" w:type="dxa"/>
          </w:tcPr>
          <w:p w14:paraId="7B6365B4">
            <w:pPr>
              <w:pStyle w:val="19"/>
              <w:rPr>
                <w:rFonts w:asciiTheme="minorHAnsi" w:hAnsiTheme="minorHAnsi" w:cstheme="minorHAnsi"/>
                <w:b/>
                <w:bCs/>
                <w:sz w:val="20"/>
                <w:szCs w:val="20"/>
              </w:rPr>
            </w:pPr>
            <w:r>
              <w:rPr>
                <w:rFonts w:asciiTheme="minorHAnsi" w:hAnsiTheme="minorHAnsi" w:cstheme="minorHAnsi"/>
                <w:b/>
                <w:bCs/>
                <w:sz w:val="20"/>
                <w:szCs w:val="20"/>
              </w:rPr>
              <w:t>*****</w:t>
            </w:r>
          </w:p>
        </w:tc>
      </w:tr>
    </w:tbl>
    <w:p w14:paraId="66078A1D">
      <w:pPr>
        <w:pStyle w:val="19"/>
        <w:rPr>
          <w:rFonts w:asciiTheme="minorHAnsi" w:hAnsiTheme="minorHAnsi" w:cstheme="minorHAnsi"/>
          <w:sz w:val="20"/>
          <w:szCs w:val="20"/>
        </w:rPr>
      </w:pPr>
    </w:p>
    <w:p w14:paraId="20BBF6BD">
      <w:pPr>
        <w:pStyle w:val="19"/>
        <w:jc w:val="both"/>
        <w:rPr>
          <w:rFonts w:asciiTheme="minorHAnsi" w:hAnsiTheme="minorHAnsi" w:cstheme="minorHAnsi"/>
          <w:sz w:val="20"/>
          <w:szCs w:val="20"/>
        </w:rPr>
      </w:pPr>
      <w:r>
        <w:rPr>
          <w:rFonts w:asciiTheme="minorHAnsi" w:hAnsiTheme="minorHAnsi" w:cstheme="minorHAnsi"/>
          <w:sz w:val="20"/>
          <w:szCs w:val="20"/>
        </w:rPr>
        <w:t>Declaro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4D84451">
      <w:pPr>
        <w:pStyle w:val="19"/>
        <w:rPr>
          <w:rFonts w:asciiTheme="minorHAnsi" w:hAnsiTheme="minorHAnsi" w:cstheme="minorHAnsi"/>
          <w:sz w:val="20"/>
          <w:szCs w:val="20"/>
        </w:rPr>
      </w:pPr>
    </w:p>
    <w:p w14:paraId="68FA3A91">
      <w:pPr>
        <w:pStyle w:val="19"/>
        <w:rPr>
          <w:rFonts w:asciiTheme="minorHAnsi" w:hAnsiTheme="minorHAnsi" w:cstheme="minorHAnsi"/>
          <w:sz w:val="20"/>
          <w:szCs w:val="20"/>
        </w:rPr>
      </w:pPr>
      <w:r>
        <w:rPr>
          <w:rFonts w:asciiTheme="minorHAnsi" w:hAnsiTheme="minorHAnsi" w:cstheme="minorHAnsi"/>
          <w:b/>
          <w:bCs/>
          <w:sz w:val="20"/>
          <w:szCs w:val="20"/>
        </w:rPr>
        <w:t>DADOS DO PROPONENTE:</w:t>
      </w:r>
    </w:p>
    <w:p w14:paraId="0CEE2E35">
      <w:pPr>
        <w:pStyle w:val="19"/>
        <w:rPr>
          <w:rFonts w:asciiTheme="minorHAnsi" w:hAnsiTheme="minorHAnsi" w:cstheme="minorHAnsi"/>
          <w:sz w:val="20"/>
          <w:szCs w:val="20"/>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06B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C8DA121">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Nome: </w:t>
            </w:r>
          </w:p>
        </w:tc>
      </w:tr>
      <w:tr w14:paraId="0FE79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ECA3F34">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Razão Social </w:t>
            </w:r>
          </w:p>
        </w:tc>
      </w:tr>
      <w:tr w14:paraId="0D85A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1E29BF4">
            <w:pPr>
              <w:pStyle w:val="19"/>
              <w:rPr>
                <w:rFonts w:asciiTheme="minorHAnsi" w:hAnsiTheme="minorHAnsi" w:cstheme="minorHAnsi"/>
                <w:color w:val="auto"/>
                <w:sz w:val="20"/>
                <w:szCs w:val="20"/>
              </w:rPr>
            </w:pPr>
            <w:r>
              <w:rPr>
                <w:rFonts w:asciiTheme="minorHAnsi" w:hAnsiTheme="minorHAnsi" w:cstheme="minorHAnsi"/>
                <w:color w:val="auto"/>
                <w:sz w:val="20"/>
                <w:szCs w:val="20"/>
              </w:rPr>
              <w:t>CNPJ:</w:t>
            </w:r>
          </w:p>
        </w:tc>
      </w:tr>
      <w:tr w14:paraId="38C18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42BBC6AC">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Endereço completo: </w:t>
            </w:r>
          </w:p>
        </w:tc>
      </w:tr>
      <w:tr w14:paraId="388C1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341A60C">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Telefone: </w:t>
            </w:r>
          </w:p>
        </w:tc>
      </w:tr>
      <w:tr w14:paraId="3963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70C464FD">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E-mail: </w:t>
            </w:r>
          </w:p>
        </w:tc>
      </w:tr>
      <w:tr w14:paraId="2FE3D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2ED1562E">
            <w:pPr>
              <w:pStyle w:val="19"/>
              <w:rPr>
                <w:rFonts w:asciiTheme="minorHAnsi" w:hAnsiTheme="minorHAnsi" w:cstheme="minorHAnsi"/>
                <w:color w:val="auto"/>
                <w:sz w:val="20"/>
                <w:szCs w:val="20"/>
              </w:rPr>
            </w:pPr>
            <w:r>
              <w:rPr>
                <w:rFonts w:asciiTheme="minorHAnsi" w:hAnsiTheme="minorHAnsi" w:cstheme="minorHAnsi"/>
                <w:color w:val="auto"/>
                <w:sz w:val="20"/>
                <w:szCs w:val="20"/>
              </w:rPr>
              <w:t xml:space="preserve">Validade da proposta: 60 dias. </w:t>
            </w:r>
          </w:p>
        </w:tc>
      </w:tr>
    </w:tbl>
    <w:p w14:paraId="54A7B635">
      <w:pPr>
        <w:pStyle w:val="19"/>
        <w:rPr>
          <w:rFonts w:asciiTheme="minorHAnsi" w:hAnsiTheme="minorHAnsi" w:cstheme="minorHAnsi"/>
          <w:sz w:val="20"/>
          <w:szCs w:val="20"/>
        </w:rPr>
      </w:pPr>
    </w:p>
    <w:p w14:paraId="1A1417AC">
      <w:pPr>
        <w:pStyle w:val="19"/>
        <w:rPr>
          <w:rFonts w:asciiTheme="minorHAnsi" w:hAnsiTheme="minorHAnsi" w:cstheme="minorHAnsi"/>
          <w:sz w:val="20"/>
          <w:szCs w:val="20"/>
        </w:rPr>
      </w:pPr>
    </w:p>
    <w:p w14:paraId="6B994543">
      <w:pPr>
        <w:pStyle w:val="19"/>
        <w:rPr>
          <w:rFonts w:asciiTheme="minorHAnsi" w:hAnsiTheme="minorHAnsi" w:cstheme="minorHAnsi"/>
          <w:sz w:val="20"/>
          <w:szCs w:val="20"/>
        </w:rPr>
      </w:pPr>
    </w:p>
    <w:p w14:paraId="7A110E96">
      <w:pPr>
        <w:pStyle w:val="19"/>
        <w:jc w:val="center"/>
        <w:rPr>
          <w:rFonts w:asciiTheme="minorHAnsi" w:hAnsiTheme="minorHAnsi" w:cstheme="minorHAnsi"/>
          <w:sz w:val="20"/>
          <w:szCs w:val="20"/>
        </w:rPr>
      </w:pPr>
      <w:r>
        <w:rPr>
          <w:rFonts w:asciiTheme="minorHAnsi" w:hAnsiTheme="minorHAnsi" w:cstheme="minorHAnsi"/>
          <w:sz w:val="20"/>
          <w:szCs w:val="20"/>
        </w:rPr>
        <w:t>( Local e data).</w:t>
      </w:r>
    </w:p>
    <w:p w14:paraId="4AD0E2F2">
      <w:pPr>
        <w:pStyle w:val="19"/>
        <w:jc w:val="center"/>
        <w:rPr>
          <w:rFonts w:asciiTheme="minorHAnsi" w:hAnsiTheme="minorHAnsi" w:cstheme="minorHAnsi"/>
          <w:sz w:val="20"/>
          <w:szCs w:val="20"/>
        </w:rPr>
      </w:pPr>
    </w:p>
    <w:p w14:paraId="597B352A">
      <w:pPr>
        <w:pStyle w:val="19"/>
        <w:jc w:val="center"/>
        <w:rPr>
          <w:rFonts w:asciiTheme="minorHAnsi" w:hAnsiTheme="minorHAnsi" w:cstheme="minorHAnsi"/>
          <w:sz w:val="20"/>
          <w:szCs w:val="20"/>
        </w:rPr>
      </w:pPr>
    </w:p>
    <w:p w14:paraId="2D2383F6">
      <w:pPr>
        <w:pStyle w:val="19"/>
        <w:jc w:val="center"/>
        <w:rPr>
          <w:rFonts w:asciiTheme="minorHAnsi" w:hAnsiTheme="minorHAnsi" w:cstheme="minorHAnsi"/>
          <w:sz w:val="20"/>
          <w:szCs w:val="20"/>
        </w:rPr>
      </w:pPr>
    </w:p>
    <w:p w14:paraId="3FDEFBD8">
      <w:pPr>
        <w:pStyle w:val="19"/>
        <w:jc w:val="center"/>
        <w:rPr>
          <w:rFonts w:asciiTheme="minorHAnsi" w:hAnsiTheme="minorHAnsi" w:cstheme="minorHAnsi"/>
          <w:sz w:val="20"/>
          <w:szCs w:val="20"/>
        </w:rPr>
      </w:pPr>
      <w:r>
        <w:rPr>
          <w:rFonts w:asciiTheme="minorHAnsi" w:hAnsiTheme="minorHAnsi" w:cstheme="minorHAnsi"/>
          <w:sz w:val="20"/>
          <w:szCs w:val="20"/>
        </w:rPr>
        <w:t>__________________________________</w:t>
      </w:r>
    </w:p>
    <w:p w14:paraId="25197C18">
      <w:pPr>
        <w:pStyle w:val="19"/>
        <w:jc w:val="center"/>
        <w:rPr>
          <w:rFonts w:asciiTheme="minorHAnsi" w:hAnsiTheme="minorHAnsi" w:cstheme="minorHAnsi"/>
          <w:sz w:val="20"/>
          <w:szCs w:val="20"/>
        </w:rPr>
      </w:pPr>
      <w:r>
        <w:rPr>
          <w:rFonts w:asciiTheme="minorHAnsi" w:hAnsiTheme="minorHAnsi" w:cstheme="minorHAnsi"/>
          <w:sz w:val="20"/>
          <w:szCs w:val="20"/>
        </w:rPr>
        <w:t>(Nome/assinatura do representante legal)</w:t>
      </w:r>
    </w:p>
    <w:p w14:paraId="53C1A636">
      <w:pPr>
        <w:pStyle w:val="19"/>
        <w:rPr>
          <w:rFonts w:asciiTheme="minorHAnsi" w:hAnsiTheme="minorHAnsi" w:cstheme="minorHAnsi"/>
          <w:sz w:val="20"/>
          <w:szCs w:val="20"/>
        </w:rPr>
      </w:pPr>
    </w:p>
    <w:p w14:paraId="226F794C">
      <w:pPr>
        <w:pStyle w:val="19"/>
        <w:rPr>
          <w:rFonts w:asciiTheme="minorHAnsi" w:hAnsiTheme="minorHAnsi" w:cstheme="minorHAnsi"/>
          <w:sz w:val="20"/>
          <w:szCs w:val="20"/>
        </w:rPr>
      </w:pPr>
    </w:p>
    <w:p w14:paraId="277C46F8">
      <w:pPr>
        <w:pStyle w:val="19"/>
        <w:rPr>
          <w:rFonts w:asciiTheme="minorHAnsi" w:hAnsiTheme="minorHAnsi" w:cstheme="minorHAnsi"/>
          <w:sz w:val="20"/>
          <w:szCs w:val="20"/>
        </w:rPr>
      </w:pPr>
    </w:p>
    <w:p w14:paraId="625C7783">
      <w:pPr>
        <w:pStyle w:val="19"/>
        <w:rPr>
          <w:sz w:val="20"/>
          <w:szCs w:val="20"/>
        </w:rPr>
      </w:pPr>
    </w:p>
    <w:p w14:paraId="135AC0B3">
      <w:pPr>
        <w:pStyle w:val="19"/>
        <w:rPr>
          <w:sz w:val="20"/>
          <w:szCs w:val="20"/>
        </w:rPr>
      </w:pPr>
    </w:p>
    <w:p w14:paraId="4A3DBF11">
      <w:pPr>
        <w:pStyle w:val="19"/>
        <w:rPr>
          <w:sz w:val="20"/>
          <w:szCs w:val="20"/>
        </w:rPr>
      </w:pPr>
    </w:p>
    <w:p w14:paraId="153E6B06">
      <w:pPr>
        <w:pStyle w:val="19"/>
        <w:rPr>
          <w:sz w:val="20"/>
          <w:szCs w:val="20"/>
        </w:rPr>
      </w:pPr>
    </w:p>
    <w:tbl>
      <w:tblPr>
        <w:tblStyle w:val="36"/>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342EDFF">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7159F7B8">
            <w:pPr>
              <w:pStyle w:val="19"/>
              <w:jc w:val="center"/>
              <w:rPr>
                <w:rFonts w:asciiTheme="minorHAnsi" w:hAnsiTheme="minorHAnsi" w:cstheme="minorHAnsi"/>
                <w:b w:val="0"/>
                <w:bCs w:val="0"/>
                <w:sz w:val="20"/>
                <w:szCs w:val="20"/>
              </w:rPr>
            </w:pPr>
            <w:r>
              <w:rPr>
                <w:rFonts w:asciiTheme="minorHAnsi" w:hAnsiTheme="minorHAnsi" w:cstheme="minorHAnsi"/>
                <w:b/>
                <w:bCs/>
                <w:sz w:val="20"/>
                <w:szCs w:val="20"/>
              </w:rPr>
              <w:t>ANEXO IV</w:t>
            </w:r>
          </w:p>
          <w:p w14:paraId="22A0F0CF">
            <w:pPr>
              <w:pStyle w:val="19"/>
              <w:jc w:val="center"/>
              <w:rPr>
                <w:rFonts w:asciiTheme="minorHAnsi" w:hAnsiTheme="minorHAnsi" w:cstheme="minorHAnsi"/>
                <w:b/>
                <w:bCs/>
                <w:sz w:val="20"/>
                <w:szCs w:val="20"/>
              </w:rPr>
            </w:pPr>
            <w:r>
              <w:rPr>
                <w:rFonts w:asciiTheme="minorHAnsi" w:hAnsiTheme="minorHAnsi" w:cstheme="minorHAnsi"/>
                <w:b/>
                <w:bCs/>
                <w:sz w:val="20"/>
                <w:szCs w:val="20"/>
              </w:rPr>
              <w:t>DECLARAÇÃO GERAL</w:t>
            </w:r>
          </w:p>
        </w:tc>
      </w:tr>
    </w:tbl>
    <w:p w14:paraId="5A223595">
      <w:pPr>
        <w:pStyle w:val="19"/>
        <w:rPr>
          <w:rFonts w:asciiTheme="minorHAnsi" w:hAnsiTheme="minorHAnsi" w:cstheme="minorHAnsi"/>
          <w:sz w:val="20"/>
          <w:szCs w:val="20"/>
        </w:rPr>
      </w:pPr>
    </w:p>
    <w:p w14:paraId="539AD3E6">
      <w:pPr>
        <w:pStyle w:val="19"/>
        <w:jc w:val="center"/>
        <w:rPr>
          <w:rFonts w:asciiTheme="minorHAnsi" w:hAnsiTheme="minorHAnsi" w:cstheme="minorHAnsi"/>
          <w:sz w:val="20"/>
          <w:szCs w:val="20"/>
        </w:rPr>
      </w:pPr>
      <w:r>
        <w:rPr>
          <w:rFonts w:asciiTheme="minorHAnsi" w:hAnsiTheme="minorHAnsi" w:cstheme="minorHAnsi"/>
          <w:b/>
          <w:bCs/>
          <w:sz w:val="20"/>
          <w:szCs w:val="20"/>
        </w:rPr>
        <w:t>(PAPEL TIMBRADO DA EMPRESA)</w:t>
      </w:r>
    </w:p>
    <w:p w14:paraId="75C00C79">
      <w:pPr>
        <w:pStyle w:val="19"/>
        <w:rPr>
          <w:rFonts w:asciiTheme="minorHAnsi" w:hAnsiTheme="minorHAnsi" w:cstheme="minorHAnsi"/>
          <w:sz w:val="20"/>
          <w:szCs w:val="20"/>
        </w:rPr>
      </w:pPr>
    </w:p>
    <w:p w14:paraId="55AFFEED">
      <w:pPr>
        <w:pStyle w:val="19"/>
        <w:rPr>
          <w:rFonts w:asciiTheme="minorHAnsi" w:hAnsiTheme="minorHAnsi" w:cstheme="minorHAnsi"/>
          <w:color w:val="auto"/>
          <w:sz w:val="21"/>
          <w:szCs w:val="21"/>
        </w:rPr>
      </w:pPr>
      <w:r>
        <w:rPr>
          <w:rFonts w:asciiTheme="minorHAnsi" w:hAnsiTheme="minorHAnsi" w:cstheme="minorHAnsi"/>
          <w:b/>
          <w:bCs/>
          <w:color w:val="auto"/>
          <w:sz w:val="21"/>
          <w:szCs w:val="21"/>
        </w:rPr>
        <w:t xml:space="preserve">PREGÃO ELETRÔNICO Nº 22/2024 – PROCESSO Nº  </w:t>
      </w:r>
      <w:r>
        <w:rPr>
          <w:rFonts w:asciiTheme="minorHAnsi" w:hAnsiTheme="minorHAnsi" w:cstheme="minorHAnsi"/>
          <w:b/>
          <w:color w:val="auto"/>
          <w:sz w:val="21"/>
          <w:szCs w:val="21"/>
        </w:rPr>
        <w:t xml:space="preserve">3170/2024. </w:t>
      </w:r>
    </w:p>
    <w:p w14:paraId="7733F7FE">
      <w:pPr>
        <w:pStyle w:val="19"/>
        <w:jc w:val="both"/>
        <w:rPr>
          <w:rFonts w:asciiTheme="minorHAnsi" w:hAnsiTheme="minorHAnsi" w:cstheme="minorHAnsi"/>
          <w:b/>
          <w:bCs/>
          <w:color w:val="auto"/>
          <w:sz w:val="21"/>
          <w:szCs w:val="21"/>
        </w:rPr>
      </w:pPr>
      <w:r>
        <w:rPr>
          <w:rFonts w:asciiTheme="minorHAnsi" w:hAnsiTheme="minorHAnsi" w:cstheme="minorHAnsi"/>
          <w:b/>
          <w:bCs/>
          <w:color w:val="auto"/>
          <w:sz w:val="21"/>
          <w:szCs w:val="21"/>
        </w:rPr>
        <w:t>OBJETO</w:t>
      </w:r>
      <w:r>
        <w:rPr>
          <w:rFonts w:asciiTheme="minorHAnsi" w:hAnsiTheme="minorHAnsi" w:cstheme="minorHAnsi"/>
          <w:color w:val="auto"/>
          <w:sz w:val="21"/>
          <w:szCs w:val="21"/>
        </w:rPr>
        <w:t xml:space="preserve">: </w:t>
      </w:r>
      <w:r>
        <w:rPr>
          <w:rFonts w:asciiTheme="minorHAnsi" w:hAnsiTheme="minorHAnsi" w:cstheme="minorHAnsi"/>
          <w:b/>
          <w:bCs/>
          <w:color w:val="auto"/>
          <w:sz w:val="21"/>
          <w:szCs w:val="21"/>
          <w:shd w:val="clear" w:color="auto" w:fill="FFFFFF"/>
        </w:rPr>
        <w:t>REGISTRO DE PREÇOS PARA AQUISIÇÃO DE ITENS DERMOCOSMÉTICOS PARA ATENDIMENTO DE DEMANDA DE PACIENTES ORIUNDOS DE ORDENS JUDICIAIS POR PERÍODO ESTIMADO DE 12 MESES.</w:t>
      </w:r>
    </w:p>
    <w:p w14:paraId="5BD3A822">
      <w:pPr>
        <w:pStyle w:val="19"/>
        <w:rPr>
          <w:rFonts w:asciiTheme="minorHAnsi" w:hAnsiTheme="minorHAnsi" w:cstheme="minorHAnsi"/>
          <w:sz w:val="22"/>
          <w:szCs w:val="22"/>
        </w:rPr>
      </w:pPr>
    </w:p>
    <w:p w14:paraId="4E7F9E30">
      <w:pPr>
        <w:pStyle w:val="19"/>
        <w:rPr>
          <w:rFonts w:asciiTheme="minorHAnsi" w:hAnsiTheme="minorHAnsi" w:cstheme="minorHAnsi"/>
          <w:sz w:val="20"/>
          <w:szCs w:val="20"/>
        </w:rPr>
      </w:pPr>
    </w:p>
    <w:p w14:paraId="2841D24D">
      <w:pPr>
        <w:pStyle w:val="19"/>
        <w:jc w:val="both"/>
        <w:rPr>
          <w:rFonts w:asciiTheme="minorHAnsi" w:hAnsiTheme="minorHAnsi" w:cstheme="minorHAnsi"/>
          <w:sz w:val="20"/>
          <w:szCs w:val="20"/>
        </w:rPr>
      </w:pPr>
      <w:r>
        <w:rPr>
          <w:rFonts w:asciiTheme="minorHAnsi" w:hAnsiTheme="minorHAnsi" w:cstheme="minorHAnsi"/>
          <w:sz w:val="20"/>
          <w:szCs w:val="20"/>
        </w:rPr>
        <w:t xml:space="preserve">A __________________________inscrita no CNPJ sob nº ________________________, por intermédio de seu representante legal o(a) Sr(a).______________________, portador(a) da Carteira de Identidade nº______________ e do CPF nº _____________________ </w:t>
      </w:r>
      <w:r>
        <w:rPr>
          <w:rFonts w:asciiTheme="minorHAnsi" w:hAnsiTheme="minorHAnsi" w:cstheme="minorHAnsi"/>
          <w:b/>
          <w:bCs/>
          <w:sz w:val="20"/>
          <w:szCs w:val="20"/>
        </w:rPr>
        <w:t>DECLARA</w:t>
      </w:r>
      <w:r>
        <w:rPr>
          <w:rFonts w:asciiTheme="minorHAnsi" w:hAnsiTheme="minorHAnsi" w:cstheme="minorHAnsi"/>
          <w:sz w:val="20"/>
          <w:szCs w:val="20"/>
        </w:rPr>
        <w:t>:</w:t>
      </w:r>
    </w:p>
    <w:p w14:paraId="575AE3DB">
      <w:pPr>
        <w:pStyle w:val="19"/>
        <w:jc w:val="both"/>
        <w:rPr>
          <w:rFonts w:asciiTheme="minorHAnsi" w:hAnsiTheme="minorHAnsi" w:cstheme="minorHAnsi"/>
        </w:rPr>
      </w:pPr>
    </w:p>
    <w:p w14:paraId="54E41D3A">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tomou conhecimento de todas as informações e condições locais para o cumprimento das obrigações do objeto da licitação; </w:t>
      </w:r>
    </w:p>
    <w:p w14:paraId="4E421DA6">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Para fins do disposto no inciso VI do art. 68 da Lei Federal nº 14.133/2021, que não emprega menor de dezoito anos em trabalho noturno, perigoso ou insalubre e não emprega menor de dezesseis anos, salvo, a partir de 14 anos, na condição de aprendiz; </w:t>
      </w:r>
    </w:p>
    <w:p w14:paraId="59785281">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até a presente data, inexistem fatos impeditivos para a sua habilitação no presente processo licitatório, inclusive condenação judicial na proibição de contratar com o Poder Público ou receber benefícios ou incentivos fiscais ou creditícios, transitada em julgada ou não desafiada por recurso com efeito suspensivo, por ato de improbidade administrativa, estando ciente da obrigatoriedade de declarar ocorrências posteriores; </w:t>
      </w:r>
    </w:p>
    <w:p w14:paraId="7801F999">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se encontra declarada inidônea, nem suspensa ou impedida de licitar e contratar com a Administração Pública; </w:t>
      </w:r>
    </w:p>
    <w:p w14:paraId="7ED16182">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suas propostas econômicas compreendem a integralidade dos custos para atendimento dos direitos trabalhistas assegurados na Constituição Federal de 1988, leis trabalhistas, nas normas infralegais, nas convenções coletivas de trabalho e nos termos de ajustamento de condutas vigentes na data de entrega das propostas, sob pena de desclassificação; </w:t>
      </w:r>
    </w:p>
    <w:p w14:paraId="4196AD0A">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cumpre as exigências de reserva de cargos para pessoa com deficiência e para reabilitado da Previdência Social; </w:t>
      </w:r>
    </w:p>
    <w:p w14:paraId="4C79395D">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não possui, em sua cadeia produtiva, empregados executando trabalho degradante ou forçado, observando o disposto nos incisos II e IV do art. 1º e no inciso III do art. 5º da Constituição Federal de 1988; </w:t>
      </w:r>
    </w:p>
    <w:p w14:paraId="619A91BB">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nos 5 (cinco) anos anteriores à divulgação do edital, não foi condenado judicialmente, com trânsito em julgado, por exploração de trabalho infantil, por submissão de trabalhadores a condições análogas às de escravo ou por contratação de adolescentes nos casos vedados pela legislação trabalhista; </w:t>
      </w:r>
    </w:p>
    <w:p w14:paraId="01D590D3">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na composição societária não existe participação de dirigente e/ou empregados da entidade promotora da licitação; </w:t>
      </w:r>
    </w:p>
    <w:p w14:paraId="7921929D">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O e-mail: ___________________________, como sendo o oficial da licitante para recebimento de comunicações, convocações e notificações. </w:t>
      </w:r>
    </w:p>
    <w:p w14:paraId="18029870">
      <w:pPr>
        <w:pStyle w:val="19"/>
        <w:numPr>
          <w:ilvl w:val="0"/>
          <w:numId w:val="38"/>
        </w:numPr>
        <w:ind w:left="360" w:hanging="360"/>
        <w:jc w:val="both"/>
        <w:rPr>
          <w:rFonts w:asciiTheme="minorHAnsi" w:hAnsiTheme="minorHAnsi" w:cstheme="minorHAnsi"/>
          <w:sz w:val="20"/>
          <w:szCs w:val="20"/>
        </w:rPr>
      </w:pPr>
      <w:r>
        <w:rPr>
          <w:rFonts w:asciiTheme="minorHAnsi" w:hAnsiTheme="minorHAnsi" w:cstheme="minorHAnsi"/>
          <w:sz w:val="20"/>
          <w:szCs w:val="20"/>
        </w:rPr>
        <w:t xml:space="preserve">Que caso vencedora os dados do representante legal da licitante que deverão constar na minuta da ata de registro de preços para formalização são: Nome:_____________________________, CPF: _____________, RG:_______________________ </w:t>
      </w:r>
    </w:p>
    <w:p w14:paraId="1C4C45B2">
      <w:pPr>
        <w:pStyle w:val="19"/>
        <w:jc w:val="both"/>
        <w:rPr>
          <w:rFonts w:asciiTheme="minorHAnsi" w:hAnsiTheme="minorHAnsi" w:cstheme="minorHAnsi"/>
          <w:sz w:val="20"/>
          <w:szCs w:val="20"/>
        </w:rPr>
      </w:pPr>
    </w:p>
    <w:p w14:paraId="064F1DF8">
      <w:pPr>
        <w:pStyle w:val="19"/>
        <w:jc w:val="both"/>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3FFB3786">
      <w:pPr>
        <w:pStyle w:val="19"/>
        <w:rPr>
          <w:rFonts w:asciiTheme="minorHAnsi" w:hAnsiTheme="minorHAnsi" w:cstheme="minorHAnsi"/>
          <w:sz w:val="20"/>
          <w:szCs w:val="20"/>
        </w:rPr>
      </w:pPr>
    </w:p>
    <w:p w14:paraId="3D87C4CD">
      <w:pPr>
        <w:pStyle w:val="19"/>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172A5AA5">
      <w:pPr>
        <w:pStyle w:val="19"/>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7F80D73C">
      <w:pPr>
        <w:pStyle w:val="19"/>
        <w:rPr>
          <w:rFonts w:asciiTheme="minorHAnsi" w:hAnsiTheme="minorHAnsi" w:cstheme="minorHAnsi"/>
          <w:sz w:val="20"/>
          <w:szCs w:val="20"/>
        </w:rPr>
      </w:pPr>
    </w:p>
    <w:p w14:paraId="763E286D">
      <w:pPr>
        <w:pStyle w:val="19"/>
        <w:rPr>
          <w:rFonts w:asciiTheme="minorHAnsi" w:hAnsiTheme="minorHAnsi" w:cstheme="minorHAnsi"/>
          <w:sz w:val="20"/>
          <w:szCs w:val="20"/>
        </w:rPr>
      </w:pPr>
    </w:p>
    <w:tbl>
      <w:tblPr>
        <w:tblStyle w:val="35"/>
        <w:tblW w:w="9067" w:type="dxa"/>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9067"/>
      </w:tblGrid>
      <w:tr w14:paraId="743CBCDC">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c>
          <w:tcPr>
            <w:tcW w:w="9067" w:type="dxa"/>
            <w:tc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p w14:paraId="01202913">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w:t>
            </w:r>
          </w:p>
          <w:p w14:paraId="49D4653D">
            <w:pPr>
              <w:tabs>
                <w:tab w:val="left" w:pos="480"/>
              </w:tabs>
              <w:jc w:val="center"/>
              <w:rPr>
                <w:rFonts w:asciiTheme="minorHAnsi" w:hAnsiTheme="minorHAnsi" w:cstheme="minorHAnsi"/>
                <w:b/>
                <w:bCs/>
                <w:color w:val="FFFFFF" w:themeColor="background1"/>
                <w:sz w:val="22"/>
                <w:szCs w:val="22"/>
                <w:lang w:eastAsia="en-US"/>
                <w14:textFill>
                  <w14:solidFill>
                    <w14:schemeClr w14:val="bg1"/>
                  </w14:solidFill>
                </w14:textFill>
              </w:rPr>
            </w:pPr>
            <w:r>
              <w:rPr>
                <w:rFonts w:asciiTheme="minorHAnsi" w:hAnsiTheme="minorHAnsi" w:cstheme="minorHAnsi"/>
                <w:b/>
                <w:bCs/>
                <w:color w:val="auto"/>
                <w:sz w:val="22"/>
                <w:szCs w:val="22"/>
                <w:lang w:eastAsia="en-US"/>
              </w:rPr>
              <w:t>Declaração de Empresa de Pequeno Porte</w:t>
            </w:r>
          </w:p>
        </w:tc>
      </w:tr>
    </w:tbl>
    <w:p w14:paraId="59263836">
      <w:pPr>
        <w:pStyle w:val="19"/>
        <w:rPr>
          <w:sz w:val="20"/>
          <w:szCs w:val="20"/>
        </w:rPr>
      </w:pPr>
    </w:p>
    <w:p w14:paraId="2A4745DC">
      <w:pPr>
        <w:pStyle w:val="14"/>
        <w:ind w:left="0"/>
        <w:rPr>
          <w:rFonts w:ascii="Calibri" w:hAnsi="Calibri" w:cs="Calibri"/>
          <w:b/>
          <w:bCs/>
          <w:iCs/>
          <w:sz w:val="22"/>
          <w:szCs w:val="22"/>
        </w:rPr>
      </w:pPr>
      <w:r>
        <w:rPr>
          <w:rFonts w:ascii="Calibri" w:hAnsi="Calibri" w:cs="Calibri"/>
          <w:b/>
          <w:bCs/>
          <w:iCs/>
          <w:sz w:val="22"/>
          <w:szCs w:val="22"/>
        </w:rPr>
        <w:t>Local e Data</w:t>
      </w:r>
    </w:p>
    <w:p w14:paraId="0B4FE563">
      <w:pPr>
        <w:pStyle w:val="14"/>
        <w:ind w:left="0"/>
        <w:rPr>
          <w:rFonts w:ascii="Calibri" w:hAnsi="Calibri" w:cs="Calibri"/>
          <w:b/>
          <w:bCs/>
          <w:iCs/>
          <w:sz w:val="22"/>
          <w:szCs w:val="22"/>
        </w:rPr>
      </w:pPr>
      <w:r>
        <w:rPr>
          <w:rFonts w:ascii="Calibri" w:hAnsi="Calibri" w:cs="Calibri"/>
          <w:b/>
          <w:bCs/>
          <w:iCs/>
          <w:sz w:val="22"/>
          <w:szCs w:val="22"/>
        </w:rPr>
        <w:t>À Prefeitura Municipal de SANTA BRANCA</w:t>
      </w:r>
    </w:p>
    <w:p w14:paraId="131FBFFD">
      <w:pPr>
        <w:pStyle w:val="19"/>
        <w:jc w:val="both"/>
        <w:rPr>
          <w:rFonts w:asciiTheme="minorHAnsi" w:hAnsiTheme="minorHAnsi" w:cstheme="minorHAnsi"/>
          <w:color w:val="auto"/>
          <w:sz w:val="22"/>
          <w:szCs w:val="22"/>
        </w:rPr>
      </w:pPr>
      <w:r>
        <w:rPr>
          <w:rFonts w:asciiTheme="minorHAnsi" w:hAnsiTheme="minorHAnsi" w:cstheme="minorHAnsi"/>
          <w:b/>
          <w:bCs/>
          <w:color w:val="auto"/>
          <w:sz w:val="22"/>
          <w:szCs w:val="22"/>
        </w:rPr>
        <w:t>PREGÃO ELETRÔNICO Nº 22/2024 – PROCESSO Nº  3170/2024</w:t>
      </w:r>
      <w:r>
        <w:rPr>
          <w:rFonts w:asciiTheme="minorHAnsi" w:hAnsiTheme="minorHAnsi" w:cstheme="minorHAnsi"/>
          <w:b/>
          <w:color w:val="auto"/>
          <w:sz w:val="22"/>
          <w:szCs w:val="22"/>
        </w:rPr>
        <w:t xml:space="preserve">. </w:t>
      </w:r>
    </w:p>
    <w:p w14:paraId="44150927">
      <w:pPr>
        <w:pStyle w:val="19"/>
        <w:jc w:val="both"/>
        <w:rPr>
          <w:rFonts w:asciiTheme="minorHAnsi" w:hAnsiTheme="minorHAnsi" w:cstheme="minorHAnsi"/>
          <w:color w:val="auto"/>
          <w:sz w:val="22"/>
          <w:szCs w:val="22"/>
        </w:rPr>
      </w:pPr>
      <w:r>
        <w:rPr>
          <w:rFonts w:asciiTheme="minorHAnsi" w:hAnsiTheme="minorHAnsi" w:cstheme="minorHAnsi"/>
          <w:b/>
          <w:bCs/>
          <w:color w:val="auto"/>
          <w:sz w:val="22"/>
          <w:szCs w:val="22"/>
        </w:rPr>
        <w:t>OBJETO</w:t>
      </w:r>
      <w:r>
        <w:rPr>
          <w:rFonts w:asciiTheme="minorHAnsi" w:hAnsiTheme="minorHAnsi" w:cstheme="minorHAnsi"/>
          <w:color w:val="auto"/>
          <w:sz w:val="22"/>
          <w:szCs w:val="22"/>
        </w:rPr>
        <w:t xml:space="preserve">: </w:t>
      </w:r>
      <w:r>
        <w:rPr>
          <w:rFonts w:asciiTheme="minorHAnsi" w:hAnsiTheme="minorHAnsi" w:cstheme="minorHAnsi"/>
          <w:b/>
          <w:bCs/>
          <w:color w:val="auto"/>
          <w:sz w:val="22"/>
          <w:szCs w:val="22"/>
          <w:shd w:val="clear" w:color="auto" w:fill="FFFFFF"/>
        </w:rPr>
        <w:t>REGISTRO DE PREÇOS PARA AQUISIÇÃO DE ITENS DERMOCOSMÉTICOS PARA ATENDIMENTO DE DEMANDA DE PACIENTES ORIUNDOS DE ORDENS JUDICIAIS POR PERÍODO ESTIMADO DE 12 MESES.</w:t>
      </w:r>
    </w:p>
    <w:p w14:paraId="760CF881">
      <w:pPr>
        <w:widowControl w:val="0"/>
        <w:rPr>
          <w:rFonts w:ascii="Calibri" w:hAnsi="Calibri" w:cs="Calibri"/>
          <w:b/>
          <w:caps/>
          <w:sz w:val="21"/>
          <w:szCs w:val="21"/>
        </w:rPr>
      </w:pPr>
    </w:p>
    <w:p w14:paraId="6AA656CF">
      <w:pPr>
        <w:widowControl w:val="0"/>
        <w:rPr>
          <w:rFonts w:ascii="Calibri" w:hAnsi="Calibri" w:cs="Calibri"/>
          <w:b/>
          <w:bCs/>
          <w:sz w:val="21"/>
          <w:szCs w:val="21"/>
        </w:rPr>
      </w:pPr>
      <w:r>
        <w:rPr>
          <w:rFonts w:ascii="Calibri" w:hAnsi="Calibri" w:cs="Calibri"/>
          <w:b/>
          <w:bCs/>
          <w:sz w:val="21"/>
          <w:szCs w:val="21"/>
        </w:rPr>
        <w:t>Nome da Proponente:</w:t>
      </w:r>
    </w:p>
    <w:p w14:paraId="0A5D3D69">
      <w:pPr>
        <w:widowControl w:val="0"/>
        <w:rPr>
          <w:rFonts w:ascii="Calibri" w:hAnsi="Calibri" w:cs="Calibri"/>
          <w:b/>
          <w:bCs/>
          <w:sz w:val="21"/>
          <w:szCs w:val="21"/>
        </w:rPr>
      </w:pPr>
      <w:r>
        <w:rPr>
          <w:rFonts w:ascii="Calibri" w:hAnsi="Calibri" w:cs="Calibri"/>
          <w:b/>
          <w:bCs/>
          <w:sz w:val="21"/>
          <w:szCs w:val="21"/>
        </w:rPr>
        <w:t>Número do CNPJ:</w:t>
      </w:r>
    </w:p>
    <w:p w14:paraId="3609A270">
      <w:pPr>
        <w:widowControl w:val="0"/>
        <w:rPr>
          <w:rFonts w:ascii="Calibri" w:hAnsi="Calibri" w:cs="Calibri"/>
          <w:b/>
          <w:bCs/>
          <w:sz w:val="21"/>
          <w:szCs w:val="21"/>
        </w:rPr>
      </w:pPr>
      <w:r>
        <w:rPr>
          <w:rFonts w:ascii="Calibri" w:hAnsi="Calibri" w:cs="Calibri"/>
          <w:b/>
          <w:bCs/>
          <w:sz w:val="21"/>
          <w:szCs w:val="21"/>
        </w:rPr>
        <w:t>Endereço Completo:</w:t>
      </w:r>
    </w:p>
    <w:p w14:paraId="2AA96C7E">
      <w:pPr>
        <w:pStyle w:val="9"/>
        <w:widowControl w:val="0"/>
        <w:rPr>
          <w:rFonts w:ascii="Calibri" w:hAnsi="Calibri" w:cs="Calibri"/>
          <w:b/>
          <w:bCs/>
          <w:sz w:val="21"/>
          <w:szCs w:val="21"/>
        </w:rPr>
      </w:pPr>
      <w:r>
        <w:rPr>
          <w:rFonts w:ascii="Calibri" w:hAnsi="Calibri" w:cs="Calibri"/>
          <w:b/>
          <w:bCs/>
          <w:sz w:val="21"/>
          <w:szCs w:val="21"/>
        </w:rPr>
        <w:t>Telefone:</w:t>
      </w:r>
    </w:p>
    <w:p w14:paraId="40B3F464">
      <w:pPr>
        <w:widowControl w:val="0"/>
        <w:jc w:val="both"/>
        <w:rPr>
          <w:rFonts w:ascii="Calibri" w:hAnsi="Calibri" w:cs="Calibri"/>
          <w:b/>
          <w:bCs/>
          <w:sz w:val="21"/>
          <w:szCs w:val="21"/>
        </w:rPr>
      </w:pPr>
      <w:r>
        <w:rPr>
          <w:rFonts w:ascii="Calibri" w:hAnsi="Calibri" w:cs="Calibri"/>
          <w:b/>
          <w:bCs/>
          <w:sz w:val="21"/>
          <w:szCs w:val="21"/>
        </w:rPr>
        <w:t>E-mail:</w:t>
      </w:r>
    </w:p>
    <w:p w14:paraId="52B37944">
      <w:pPr>
        <w:widowControl w:val="0"/>
        <w:rPr>
          <w:rFonts w:ascii="Calibri" w:hAnsi="Calibri" w:cs="Calibri"/>
          <w:bCs/>
          <w:sz w:val="21"/>
          <w:szCs w:val="21"/>
        </w:rPr>
      </w:pPr>
    </w:p>
    <w:p w14:paraId="4A4016D8">
      <w:pPr>
        <w:widowControl w:val="0"/>
        <w:rPr>
          <w:rFonts w:ascii="Calibri" w:hAnsi="Calibri" w:cs="Calibri"/>
          <w:bCs/>
          <w:sz w:val="21"/>
          <w:szCs w:val="21"/>
        </w:rPr>
      </w:pPr>
    </w:p>
    <w:p w14:paraId="17B940F3">
      <w:pPr>
        <w:pStyle w:val="14"/>
        <w:ind w:left="0"/>
        <w:jc w:val="both"/>
        <w:rPr>
          <w:rFonts w:ascii="Calibri" w:hAnsi="Calibri" w:cs="Calibri"/>
          <w:b/>
          <w:iCs/>
          <w:sz w:val="21"/>
          <w:szCs w:val="21"/>
        </w:rPr>
      </w:pPr>
      <w:r>
        <w:rPr>
          <w:rFonts w:ascii="Calibri" w:hAnsi="Calibri" w:cs="Calibri"/>
          <w:b/>
          <w:iCs/>
          <w:sz w:val="21"/>
          <w:szCs w:val="21"/>
        </w:rPr>
        <w:t>Prezados Senhores:</w:t>
      </w:r>
    </w:p>
    <w:p w14:paraId="38FD7402">
      <w:pPr>
        <w:widowControl w:val="0"/>
        <w:rPr>
          <w:rFonts w:ascii="Calibri" w:hAnsi="Calibri" w:cs="Calibri"/>
          <w:sz w:val="21"/>
          <w:szCs w:val="21"/>
        </w:rPr>
      </w:pPr>
    </w:p>
    <w:p w14:paraId="6E58405F">
      <w:pPr>
        <w:widowControl w:val="0"/>
        <w:tabs>
          <w:tab w:val="left" w:pos="142"/>
        </w:tabs>
        <w:ind w:firstLine="2268"/>
        <w:jc w:val="both"/>
        <w:rPr>
          <w:rFonts w:ascii="Calibri" w:hAnsi="Calibri" w:cs="Calibri"/>
          <w:sz w:val="21"/>
          <w:szCs w:val="21"/>
        </w:rPr>
      </w:pPr>
      <w:r>
        <w:rPr>
          <w:rFonts w:ascii="Calibri" w:hAnsi="Calibri" w:cs="Calibri"/>
          <w:bCs/>
          <w:sz w:val="21"/>
          <w:szCs w:val="21"/>
        </w:rPr>
        <w:t>Pela presente, a empresa acima descrita, através de seu Representante Legal, o(a) Sr.(a) _______________________, portador do R.G. nº _______________,</w:t>
      </w:r>
      <w:r>
        <w:rPr>
          <w:rFonts w:ascii="Calibri" w:hAnsi="Calibri" w:cs="Calibri"/>
          <w:sz w:val="21"/>
          <w:szCs w:val="21"/>
        </w:rPr>
        <w:t xml:space="preserve"> declara, sob as penas da lei, que se enquadra na condição de microempresa ou empresa de pequeno porte, nos termos do Art. 3º da Lei Complementar nº 123/2006 e não está inserida nas excludentes hipóteses do § 4º daquele Artigo, para fins do exercício dos benefícios previstos na mencionada lei.</w:t>
      </w:r>
    </w:p>
    <w:p w14:paraId="4AAA7FF0">
      <w:pPr>
        <w:pStyle w:val="14"/>
        <w:widowControl w:val="0"/>
        <w:ind w:left="0"/>
        <w:rPr>
          <w:rFonts w:ascii="Calibri" w:hAnsi="Calibri" w:cs="Calibri"/>
          <w:b/>
          <w:iCs/>
          <w:sz w:val="21"/>
          <w:szCs w:val="21"/>
        </w:rPr>
      </w:pPr>
    </w:p>
    <w:p w14:paraId="09FAE4BF">
      <w:pPr>
        <w:pStyle w:val="14"/>
        <w:widowControl w:val="0"/>
        <w:ind w:left="0"/>
        <w:rPr>
          <w:rFonts w:ascii="Calibri" w:hAnsi="Calibri" w:cs="Calibri"/>
          <w:b/>
          <w:iCs/>
          <w:sz w:val="21"/>
          <w:szCs w:val="21"/>
        </w:rPr>
      </w:pPr>
    </w:p>
    <w:p w14:paraId="79261C98">
      <w:pPr>
        <w:pStyle w:val="14"/>
        <w:widowControl w:val="0"/>
        <w:ind w:left="0"/>
        <w:rPr>
          <w:rFonts w:ascii="Calibri" w:hAnsi="Calibri" w:cs="Calibri"/>
          <w:b/>
          <w:iCs/>
          <w:sz w:val="21"/>
          <w:szCs w:val="21"/>
        </w:rPr>
      </w:pPr>
    </w:p>
    <w:p w14:paraId="4623EFAD">
      <w:pPr>
        <w:pStyle w:val="19"/>
        <w:jc w:val="center"/>
        <w:rPr>
          <w:rFonts w:asciiTheme="minorHAnsi" w:hAnsiTheme="minorHAnsi" w:cstheme="minorHAnsi"/>
          <w:sz w:val="20"/>
          <w:szCs w:val="20"/>
        </w:rPr>
      </w:pPr>
      <w:r>
        <w:rPr>
          <w:rFonts w:asciiTheme="minorHAnsi" w:hAnsiTheme="minorHAnsi" w:cstheme="minorHAnsi"/>
          <w:sz w:val="20"/>
          <w:szCs w:val="20"/>
        </w:rPr>
        <w:t>(LOCAL DO ESTABELECIMENTO), __________ de ____________________ de 202__.</w:t>
      </w:r>
    </w:p>
    <w:p w14:paraId="6BAE8E72">
      <w:pPr>
        <w:pStyle w:val="19"/>
        <w:rPr>
          <w:rFonts w:asciiTheme="minorHAnsi" w:hAnsiTheme="minorHAnsi" w:cstheme="minorHAnsi"/>
          <w:sz w:val="20"/>
          <w:szCs w:val="20"/>
        </w:rPr>
      </w:pPr>
    </w:p>
    <w:p w14:paraId="229B9A03">
      <w:pPr>
        <w:pStyle w:val="19"/>
        <w:rPr>
          <w:rFonts w:asciiTheme="minorHAnsi" w:hAnsiTheme="minorHAnsi" w:cstheme="minorHAnsi"/>
          <w:sz w:val="20"/>
          <w:szCs w:val="20"/>
        </w:rPr>
      </w:pPr>
    </w:p>
    <w:p w14:paraId="46701C76">
      <w:pPr>
        <w:pStyle w:val="19"/>
        <w:rPr>
          <w:rFonts w:asciiTheme="minorHAnsi" w:hAnsiTheme="minorHAnsi" w:cstheme="minorHAnsi"/>
          <w:sz w:val="20"/>
          <w:szCs w:val="20"/>
        </w:rPr>
      </w:pPr>
    </w:p>
    <w:p w14:paraId="5600BD9F">
      <w:pPr>
        <w:pStyle w:val="19"/>
        <w:rPr>
          <w:rFonts w:asciiTheme="minorHAnsi" w:hAnsiTheme="minorHAnsi" w:cstheme="minorHAnsi"/>
          <w:sz w:val="20"/>
          <w:szCs w:val="20"/>
        </w:rPr>
      </w:pPr>
    </w:p>
    <w:p w14:paraId="75776608">
      <w:pPr>
        <w:pStyle w:val="19"/>
        <w:rPr>
          <w:rFonts w:asciiTheme="minorHAnsi" w:hAnsiTheme="minorHAnsi" w:cstheme="minorHAnsi"/>
          <w:sz w:val="20"/>
          <w:szCs w:val="20"/>
        </w:rPr>
      </w:pPr>
    </w:p>
    <w:p w14:paraId="009248FB">
      <w:pPr>
        <w:pStyle w:val="19"/>
        <w:jc w:val="center"/>
        <w:rPr>
          <w:rFonts w:asciiTheme="minorHAnsi" w:hAnsiTheme="minorHAnsi" w:cstheme="minorHAnsi"/>
          <w:sz w:val="20"/>
          <w:szCs w:val="20"/>
        </w:rPr>
      </w:pPr>
      <w:r>
        <w:rPr>
          <w:rFonts w:asciiTheme="minorHAnsi" w:hAnsiTheme="minorHAnsi" w:cstheme="minorHAnsi"/>
          <w:sz w:val="20"/>
          <w:szCs w:val="20"/>
        </w:rPr>
        <w:t>___________________________________________________</w:t>
      </w:r>
    </w:p>
    <w:p w14:paraId="07067345">
      <w:pPr>
        <w:pStyle w:val="19"/>
        <w:jc w:val="center"/>
        <w:rPr>
          <w:rFonts w:asciiTheme="minorHAnsi" w:hAnsiTheme="minorHAnsi" w:cstheme="minorHAnsi"/>
          <w:sz w:val="20"/>
          <w:szCs w:val="20"/>
        </w:rPr>
      </w:pPr>
      <w:r>
        <w:rPr>
          <w:rFonts w:asciiTheme="minorHAnsi" w:hAnsiTheme="minorHAnsi" w:cstheme="minorHAnsi"/>
          <w:sz w:val="20"/>
          <w:szCs w:val="20"/>
        </w:rPr>
        <w:t>(nome completo, cargo ou função e assinatura do representante legal/procurador)</w:t>
      </w:r>
    </w:p>
    <w:p w14:paraId="1D80C662">
      <w:pPr>
        <w:pStyle w:val="14"/>
        <w:widowControl w:val="0"/>
        <w:ind w:left="0"/>
        <w:rPr>
          <w:rFonts w:ascii="Calibri" w:hAnsi="Calibri" w:cs="Calibri"/>
          <w:b/>
          <w:i/>
          <w:sz w:val="21"/>
          <w:szCs w:val="21"/>
        </w:rPr>
      </w:pPr>
    </w:p>
    <w:p w14:paraId="704751F0">
      <w:pPr>
        <w:pStyle w:val="19"/>
        <w:rPr>
          <w:sz w:val="20"/>
          <w:szCs w:val="20"/>
        </w:rPr>
      </w:pPr>
    </w:p>
    <w:p w14:paraId="7B1F4C72">
      <w:pPr>
        <w:pStyle w:val="19"/>
        <w:rPr>
          <w:sz w:val="20"/>
          <w:szCs w:val="20"/>
        </w:rPr>
      </w:pPr>
    </w:p>
    <w:p w14:paraId="7AC4BB5B">
      <w:pPr>
        <w:pStyle w:val="19"/>
        <w:rPr>
          <w:sz w:val="20"/>
          <w:szCs w:val="20"/>
        </w:rPr>
      </w:pPr>
    </w:p>
    <w:p w14:paraId="68547B55">
      <w:pPr>
        <w:pStyle w:val="19"/>
        <w:rPr>
          <w:sz w:val="20"/>
          <w:szCs w:val="20"/>
        </w:rPr>
      </w:pPr>
    </w:p>
    <w:p w14:paraId="0C0C4DAA">
      <w:pPr>
        <w:pStyle w:val="19"/>
        <w:rPr>
          <w:sz w:val="20"/>
          <w:szCs w:val="20"/>
        </w:rPr>
      </w:pPr>
    </w:p>
    <w:p w14:paraId="4F0C27CE">
      <w:pPr>
        <w:pStyle w:val="19"/>
        <w:rPr>
          <w:sz w:val="20"/>
          <w:szCs w:val="20"/>
        </w:rPr>
      </w:pPr>
    </w:p>
    <w:p w14:paraId="205FFAC1">
      <w:pPr>
        <w:pStyle w:val="19"/>
        <w:rPr>
          <w:sz w:val="20"/>
          <w:szCs w:val="20"/>
        </w:rPr>
      </w:pPr>
    </w:p>
    <w:p w14:paraId="1D238DB1">
      <w:pPr>
        <w:pStyle w:val="19"/>
        <w:rPr>
          <w:sz w:val="20"/>
          <w:szCs w:val="20"/>
        </w:rPr>
      </w:pPr>
    </w:p>
    <w:p w14:paraId="212070EA">
      <w:pPr>
        <w:pStyle w:val="19"/>
        <w:rPr>
          <w:sz w:val="20"/>
          <w:szCs w:val="20"/>
        </w:rPr>
      </w:pPr>
    </w:p>
    <w:p w14:paraId="59AE3042">
      <w:pPr>
        <w:pStyle w:val="19"/>
        <w:rPr>
          <w:sz w:val="20"/>
          <w:szCs w:val="20"/>
        </w:rPr>
      </w:pPr>
    </w:p>
    <w:p w14:paraId="03CEE965">
      <w:pPr>
        <w:pStyle w:val="19"/>
        <w:rPr>
          <w:sz w:val="20"/>
          <w:szCs w:val="20"/>
        </w:rPr>
      </w:pPr>
    </w:p>
    <w:tbl>
      <w:tblPr>
        <w:tblStyle w:val="36"/>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14F88F49">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CellMar>
            <w:top w:w="0" w:type="dxa"/>
            <w:left w:w="108" w:type="dxa"/>
            <w:bottom w:w="0" w:type="dxa"/>
            <w:right w:w="108" w:type="dxa"/>
          </w:tblCellMar>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F92D6AC">
            <w:pPr>
              <w:tabs>
                <w:tab w:val="left" w:pos="480"/>
              </w:tabs>
              <w:jc w:val="center"/>
              <w:rPr>
                <w:rFonts w:asciiTheme="minorHAnsi" w:hAnsiTheme="minorHAnsi" w:cstheme="minorHAnsi"/>
                <w:b/>
                <w:bCs/>
                <w:color w:val="auto"/>
                <w:sz w:val="22"/>
                <w:szCs w:val="22"/>
                <w:lang w:eastAsia="en-US"/>
              </w:rPr>
            </w:pPr>
            <w:r>
              <w:rPr>
                <w:rFonts w:asciiTheme="minorHAnsi" w:hAnsiTheme="minorHAnsi" w:cstheme="minorHAnsi"/>
                <w:b/>
                <w:bCs/>
                <w:color w:val="auto"/>
                <w:sz w:val="22"/>
                <w:szCs w:val="22"/>
                <w:lang w:eastAsia="en-US"/>
              </w:rPr>
              <w:t>ANEXO VI</w:t>
            </w:r>
          </w:p>
          <w:p w14:paraId="07564DEF">
            <w:pPr>
              <w:tabs>
                <w:tab w:val="left" w:pos="480"/>
              </w:tabs>
              <w:jc w:val="center"/>
              <w:rPr>
                <w:b/>
                <w:bCs/>
                <w:color w:val="auto"/>
                <w:lang w:eastAsia="en-US"/>
              </w:rPr>
            </w:pPr>
            <w:r>
              <w:rPr>
                <w:rFonts w:asciiTheme="minorHAnsi" w:hAnsiTheme="minorHAnsi" w:cstheme="minorHAnsi"/>
                <w:b/>
                <w:bCs/>
                <w:color w:val="auto"/>
                <w:sz w:val="22"/>
                <w:szCs w:val="22"/>
              </w:rPr>
              <w:t>MINUTA DE ATA DE REGISTRO DE PREÇOS</w:t>
            </w:r>
          </w:p>
        </w:tc>
      </w:tr>
    </w:tbl>
    <w:p w14:paraId="140FEBFD">
      <w:pPr>
        <w:rPr>
          <w:rFonts w:asciiTheme="minorHAnsi" w:hAnsiTheme="minorHAnsi" w:cstheme="minorHAnsi"/>
          <w:b/>
          <w:bCs/>
          <w:sz w:val="22"/>
          <w:szCs w:val="22"/>
        </w:rPr>
      </w:pPr>
    </w:p>
    <w:p w14:paraId="41DD0A79">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ATA DE REGISTRO DE PREÇO Nº _____/2024</w:t>
      </w:r>
    </w:p>
    <w:p w14:paraId="57E79B53">
      <w:pPr>
        <w:autoSpaceDE w:val="0"/>
        <w:autoSpaceDN w:val="0"/>
        <w:adjustRightInd w:val="0"/>
        <w:jc w:val="center"/>
        <w:rPr>
          <w:rFonts w:asciiTheme="minorHAnsi" w:hAnsiTheme="minorHAnsi" w:cstheme="minorHAnsi"/>
          <w:b/>
          <w:sz w:val="22"/>
          <w:szCs w:val="22"/>
        </w:rPr>
      </w:pPr>
      <w:r>
        <w:rPr>
          <w:rFonts w:asciiTheme="minorHAnsi" w:hAnsiTheme="minorHAnsi" w:cstheme="minorHAnsi"/>
          <w:b/>
          <w:sz w:val="22"/>
          <w:szCs w:val="22"/>
        </w:rPr>
        <w:t>PREGÃO ELETRÔNICO – SISTEMA REGISTRO DE PREÇO Nº 22/2024 - PROCESSO Nº 3170/2024</w:t>
      </w:r>
    </w:p>
    <w:p w14:paraId="6B3E910C">
      <w:pPr>
        <w:autoSpaceDE w:val="0"/>
        <w:autoSpaceDN w:val="0"/>
        <w:adjustRightInd w:val="0"/>
        <w:jc w:val="center"/>
        <w:rPr>
          <w:rFonts w:asciiTheme="minorHAnsi" w:hAnsiTheme="minorHAnsi" w:cstheme="minorHAnsi"/>
          <w:b/>
          <w:sz w:val="22"/>
          <w:szCs w:val="22"/>
        </w:rPr>
      </w:pPr>
    </w:p>
    <w:p w14:paraId="710C5884">
      <w:pPr>
        <w:tabs>
          <w:tab w:val="left" w:pos="480"/>
        </w:tabs>
        <w:jc w:val="both"/>
        <w:rPr>
          <w:rFonts w:asciiTheme="minorHAnsi" w:hAnsiTheme="minorHAnsi" w:cstheme="minorHAnsi"/>
          <w:b/>
          <w:bCs/>
          <w:sz w:val="22"/>
          <w:szCs w:val="22"/>
        </w:rPr>
      </w:pPr>
      <w:r>
        <w:rPr>
          <w:rFonts w:asciiTheme="minorHAnsi" w:hAnsiTheme="minorHAnsi" w:cstheme="minorHAnsi"/>
          <w:b/>
          <w:bCs/>
          <w:sz w:val="22"/>
          <w:szCs w:val="22"/>
        </w:rPr>
        <w:t xml:space="preserve">OBJETO:  </w:t>
      </w:r>
      <w:r>
        <w:rPr>
          <w:rFonts w:asciiTheme="minorHAnsi" w:hAnsiTheme="minorHAnsi" w:cstheme="minorHAnsi"/>
          <w:b/>
          <w:bCs/>
          <w:sz w:val="22"/>
          <w:szCs w:val="22"/>
          <w:shd w:val="clear" w:color="auto" w:fill="FFFFFF"/>
        </w:rPr>
        <w:t>REGISTRO DE PREÇOS PARA AQUISIÇÃO DE ITENS DERMOCOSMÉTICOS PARA ATENDIMENTO DE DEMANDA DE PACIENTES ORIUNDOS DE ORDENS JUDICIAIS POR PERÍODO ESTIMADO DE 12 MESES.</w:t>
      </w:r>
    </w:p>
    <w:p w14:paraId="3536BB87">
      <w:pPr>
        <w:jc w:val="both"/>
        <w:rPr>
          <w:rFonts w:asciiTheme="minorHAnsi" w:hAnsiTheme="minorHAnsi" w:cstheme="minorHAnsi"/>
          <w:b/>
          <w:bCs/>
          <w:sz w:val="22"/>
          <w:szCs w:val="22"/>
        </w:rPr>
      </w:pPr>
    </w:p>
    <w:p w14:paraId="15243BEA">
      <w:pPr>
        <w:jc w:val="both"/>
        <w:rPr>
          <w:rFonts w:asciiTheme="minorHAnsi" w:hAnsiTheme="minorHAnsi" w:cstheme="minorHAnsi"/>
          <w:sz w:val="22"/>
          <w:szCs w:val="22"/>
        </w:rPr>
      </w:pPr>
      <w:r>
        <w:rPr>
          <w:rFonts w:asciiTheme="minorHAnsi" w:hAnsiTheme="minorHAnsi" w:cstheme="minorHAnsi"/>
          <w:sz w:val="22"/>
          <w:szCs w:val="22"/>
        </w:rPr>
        <w:t xml:space="preserve">O MUNICÍPIO DE SANTA BRANCA, inscrito no CNPJ/MF sob nº 46.694.121/0001-81 com sede na Rua Prudente de Moraes, n° 93, Centro, Santa Branca - SP, CEP: 12380-000 por intermédio da Secretaria Municipal de ____________________, doravante designado(a) “ÓRGÃO GERENCIADOR”, neste ato representada pelo(a) Senhor(a) ____________________________________, CPF nº ________________, e de outro lado a empresa _____________________, inscrita no CNPJ sob nº ___________, sediada na Rua ______________, telefone ___________, e-mail _______________, </w:t>
      </w:r>
      <w:r>
        <w:rPr>
          <w:rFonts w:eastAsia="Arial" w:asciiTheme="minorHAnsi" w:hAnsiTheme="minorHAnsi" w:cstheme="minorHAnsi"/>
          <w:sz w:val="22"/>
          <w:szCs w:val="22"/>
        </w:rPr>
        <w:t xml:space="preserve">neste ato representado(a) por ______ (nome e função na Detentora da Ata), CPF nº ____ e RG nº ____, </w:t>
      </w:r>
      <w:r>
        <w:rPr>
          <w:rFonts w:asciiTheme="minorHAnsi" w:hAnsiTheme="minorHAnsi" w:cstheme="minorHAnsi"/>
          <w:sz w:val="22"/>
          <w:szCs w:val="22"/>
        </w:rPr>
        <w:t xml:space="preserve"> doravante designado(a) “DETENTOR(A)”, em face do resultado obtido no Pregão Eletrônico indicado em epígrafe, devidamente homologado pela autoridade competente, resolve celebrar a presente ATA DE REGISTRO DE PREÇOS com fundamento na Lei Federal nº. 14.133 de 1º de abril de 2021, com suas alterações posteriores, do Decreto Municipal nº.411/2023 e demais instrumentos legais aplicáveis, procedendo ao registro de preço do primeiro colocado e das demais FORNECEDORES que concordaram em fornecer o objeto do certame por igual valor, obedecida a ordem crescente das respectivas propostas, nos seguintes termos.</w:t>
      </w:r>
    </w:p>
    <w:p w14:paraId="47E45CE9">
      <w:pPr>
        <w:jc w:val="both"/>
        <w:rPr>
          <w:rFonts w:asciiTheme="minorHAnsi" w:hAnsiTheme="minorHAnsi" w:cstheme="minorHAnsi"/>
          <w:sz w:val="22"/>
          <w:szCs w:val="22"/>
        </w:rPr>
      </w:pPr>
    </w:p>
    <w:p w14:paraId="43B25539">
      <w:pPr>
        <w:pStyle w:val="21"/>
        <w:numPr>
          <w:ilvl w:val="0"/>
          <w:numId w:val="1"/>
        </w:numPr>
        <w:jc w:val="both"/>
        <w:rPr>
          <w:rFonts w:asciiTheme="minorHAnsi" w:hAnsiTheme="minorHAnsi" w:cstheme="minorHAnsi"/>
          <w:b/>
          <w:bCs/>
          <w:sz w:val="22"/>
          <w:szCs w:val="22"/>
        </w:rPr>
      </w:pPr>
      <w:r>
        <w:rPr>
          <w:rFonts w:asciiTheme="minorHAnsi" w:hAnsiTheme="minorHAnsi" w:cstheme="minorHAnsi"/>
          <w:b/>
          <w:bCs/>
          <w:sz w:val="22"/>
          <w:szCs w:val="22"/>
        </w:rPr>
        <w:t xml:space="preserve"> OBJETO</w:t>
      </w:r>
    </w:p>
    <w:p w14:paraId="20DAB65D">
      <w:pPr>
        <w:pStyle w:val="19"/>
        <w:rPr>
          <w:rFonts w:asciiTheme="minorHAnsi" w:hAnsiTheme="minorHAnsi" w:cstheme="minorHAnsi"/>
          <w:sz w:val="22"/>
          <w:szCs w:val="22"/>
        </w:rPr>
      </w:pPr>
    </w:p>
    <w:p w14:paraId="0192D798">
      <w:pPr>
        <w:pStyle w:val="19"/>
        <w:numPr>
          <w:ilvl w:val="1"/>
          <w:numId w:val="39"/>
        </w:numPr>
        <w:spacing w:after="159"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1.1. A presente Ata tem por objeto o registro de preços para eventual contratação, pelos ÓRGÃOS PARTICIPANTES, </w:t>
      </w:r>
      <w:r>
        <w:rPr>
          <w:rFonts w:asciiTheme="minorHAnsi" w:hAnsiTheme="minorHAnsi" w:cstheme="minorHAnsi"/>
          <w:b/>
          <w:bCs/>
          <w:color w:val="auto"/>
          <w:sz w:val="22"/>
          <w:szCs w:val="22"/>
        </w:rPr>
        <w:t xml:space="preserve">para </w:t>
      </w:r>
      <w:r>
        <w:rPr>
          <w:rFonts w:asciiTheme="minorHAnsi" w:hAnsiTheme="minorHAnsi" w:cstheme="minorHAnsi"/>
          <w:b/>
          <w:bCs/>
          <w:sz w:val="22"/>
          <w:szCs w:val="22"/>
          <w:shd w:val="clear" w:color="auto" w:fill="FFFFFF"/>
        </w:rPr>
        <w:t>AQUISIÇÃO DE ITENS DERMOCOSMÉTICOS PARA ATENDIMENTO DE DEMANDA DE PACIENTES ORIUNDOS DE ORDENS JUDICIAIS POR PERÍODO ESTIMADO DE 12 MESES</w:t>
      </w:r>
      <w:r>
        <w:rPr>
          <w:rFonts w:asciiTheme="minorHAnsi" w:hAnsiTheme="minorHAnsi" w:cstheme="minorHAnsi"/>
          <w:color w:val="auto"/>
          <w:sz w:val="22"/>
          <w:szCs w:val="22"/>
        </w:rPr>
        <w:t xml:space="preserve">, conforme o detalhamento e as especificações técnicas constantes do Termo de Referência, e demais documentos constantes do processo administrativo em epígrafe. </w:t>
      </w:r>
    </w:p>
    <w:p w14:paraId="4A83EDA8">
      <w:pPr>
        <w:pStyle w:val="19"/>
        <w:numPr>
          <w:ilvl w:val="1"/>
          <w:numId w:val="39"/>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1.2. Deverão ser respeitadas todas as especificações técnicas e as demais condições de fornecimento contidas no Edital de Licitação, Termo de Referência que figurou como Anexo do Edital que precedeu esta Ata e que dela fica fazendo parte integrante, independentemente de transcrição. </w:t>
      </w:r>
    </w:p>
    <w:p w14:paraId="01CC0DAD">
      <w:pPr>
        <w:pStyle w:val="19"/>
        <w:numPr>
          <w:ilvl w:val="1"/>
          <w:numId w:val="39"/>
        </w:numPr>
        <w:spacing w:line="276" w:lineRule="auto"/>
        <w:jc w:val="both"/>
        <w:rPr>
          <w:rFonts w:asciiTheme="minorHAnsi" w:hAnsiTheme="minorHAnsi" w:cstheme="minorHAnsi"/>
          <w:sz w:val="22"/>
          <w:szCs w:val="22"/>
        </w:rPr>
      </w:pPr>
    </w:p>
    <w:p w14:paraId="396ED185">
      <w:pPr>
        <w:pStyle w:val="24"/>
        <w:numPr>
          <w:ilvl w:val="0"/>
          <w:numId w:val="1"/>
        </w:numPr>
        <w:spacing w:line="276" w:lineRule="auto"/>
        <w:rPr>
          <w:rFonts w:asciiTheme="minorHAnsi" w:hAnsiTheme="minorHAnsi" w:cstheme="minorHAnsi"/>
          <w:sz w:val="22"/>
          <w:szCs w:val="22"/>
        </w:rPr>
      </w:pPr>
      <w:r>
        <w:rPr>
          <w:rFonts w:asciiTheme="minorHAnsi" w:hAnsiTheme="minorHAnsi" w:cstheme="minorHAnsi"/>
          <w:sz w:val="22"/>
          <w:szCs w:val="22"/>
        </w:rPr>
        <w:t>ÓRGÃO GERENCIADOR E ÓRGÃOS PARTICIPANTES</w:t>
      </w:r>
    </w:p>
    <w:p w14:paraId="60AE00F3">
      <w:pPr>
        <w:spacing w:line="276" w:lineRule="auto"/>
        <w:rPr>
          <w:rFonts w:asciiTheme="minorHAnsi" w:hAnsiTheme="minorHAnsi" w:cstheme="minorHAnsi"/>
          <w:sz w:val="22"/>
          <w:szCs w:val="22"/>
        </w:rPr>
      </w:pPr>
    </w:p>
    <w:p w14:paraId="50BA8912">
      <w:pPr>
        <w:pStyle w:val="24"/>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 xml:space="preserve">O órgão gerenciador será a </w:t>
      </w:r>
      <w:r>
        <w:rPr>
          <w:rFonts w:asciiTheme="minorHAnsi" w:hAnsiTheme="minorHAnsi" w:cstheme="minorHAnsi"/>
          <w:sz w:val="22"/>
          <w:szCs w:val="22"/>
        </w:rPr>
        <w:t xml:space="preserve">SECRETARIA MUNICIPAL DE SAÚDE. </w:t>
      </w:r>
    </w:p>
    <w:p w14:paraId="156EBE03">
      <w:pPr>
        <w:pStyle w:val="24"/>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Figura(m)como ÓRGÃO(S) PARTICIPANTE(S) da presente Ata de Registro de Preços:</w:t>
      </w:r>
    </w:p>
    <w:p w14:paraId="0AF9CF27">
      <w:pPr>
        <w:pStyle w:val="24"/>
        <w:numPr>
          <w:ilvl w:val="0"/>
          <w:numId w:val="40"/>
        </w:numPr>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SECRETARIA MUNICIPAL DE SAÚDE,</w:t>
      </w:r>
      <w:r>
        <w:rPr>
          <w:rFonts w:asciiTheme="minorHAnsi" w:hAnsiTheme="minorHAnsi" w:cstheme="minorHAnsi"/>
          <w:sz w:val="22"/>
          <w:szCs w:val="22"/>
        </w:rPr>
        <w:t xml:space="preserve">  </w:t>
      </w:r>
      <w:r>
        <w:rPr>
          <w:rFonts w:asciiTheme="minorHAnsi" w:hAnsiTheme="minorHAnsi" w:cstheme="minorHAnsi"/>
          <w:b w:val="0"/>
          <w:bCs w:val="0"/>
          <w:sz w:val="22"/>
          <w:szCs w:val="22"/>
        </w:rPr>
        <w:t>localizado na Rua João Pessoa nº 338, Centro, Santa Branca - SP. Telefone: (12) 3972-1414,</w:t>
      </w:r>
      <w:r>
        <w:rPr>
          <w:rFonts w:asciiTheme="minorHAnsi" w:hAnsiTheme="minorHAnsi" w:cstheme="minorHAnsi"/>
          <w:sz w:val="22"/>
          <w:szCs w:val="22"/>
        </w:rPr>
        <w:t xml:space="preserve"> </w:t>
      </w:r>
      <w:r>
        <w:rPr>
          <w:rFonts w:asciiTheme="minorHAnsi" w:hAnsiTheme="minorHAnsi" w:cstheme="minorHAnsi"/>
          <w:b w:val="0"/>
          <w:bCs w:val="0"/>
          <w:sz w:val="22"/>
          <w:szCs w:val="22"/>
        </w:rPr>
        <w:t xml:space="preserve">e-mail: </w:t>
      </w:r>
      <w:r>
        <w:fldChar w:fldCharType="begin"/>
      </w:r>
      <w:r>
        <w:instrText xml:space="preserve"> HYPERLINK "mailto:saude@santabranca.sp.gov.br" </w:instrText>
      </w:r>
      <w:r>
        <w:fldChar w:fldCharType="separate"/>
      </w:r>
      <w:r>
        <w:rPr>
          <w:rStyle w:val="6"/>
          <w:rFonts w:asciiTheme="minorHAnsi" w:hAnsiTheme="minorHAnsi" w:cstheme="minorHAnsi"/>
          <w:b w:val="0"/>
          <w:bCs w:val="0"/>
          <w:color w:val="auto"/>
          <w:sz w:val="22"/>
          <w:szCs w:val="22"/>
          <w:u w:val="none"/>
        </w:rPr>
        <w:t>saude@santabranca.sp.gov.br</w:t>
      </w:r>
      <w:r>
        <w:rPr>
          <w:rStyle w:val="6"/>
          <w:rFonts w:asciiTheme="minorHAnsi" w:hAnsiTheme="minorHAnsi" w:cstheme="minorHAnsi"/>
          <w:b w:val="0"/>
          <w:bCs w:val="0"/>
          <w:color w:val="auto"/>
          <w:sz w:val="22"/>
          <w:szCs w:val="22"/>
          <w:u w:val="none"/>
        </w:rPr>
        <w:fldChar w:fldCharType="end"/>
      </w:r>
      <w:r>
        <w:rPr>
          <w:rFonts w:asciiTheme="minorHAnsi" w:hAnsiTheme="minorHAnsi" w:cstheme="minorHAnsi"/>
          <w:b w:val="0"/>
          <w:bCs w:val="0"/>
          <w:sz w:val="22"/>
          <w:szCs w:val="22"/>
        </w:rPr>
        <w:t xml:space="preserve"> e </w:t>
      </w:r>
      <w:r>
        <w:fldChar w:fldCharType="begin"/>
      </w:r>
      <w:r>
        <w:instrText xml:space="preserve"> HYPERLINK "mailto:suprimentos.saude@santabranca.sp.gov.br" </w:instrText>
      </w:r>
      <w:r>
        <w:fldChar w:fldCharType="separate"/>
      </w:r>
      <w:r>
        <w:rPr>
          <w:rStyle w:val="6"/>
          <w:rFonts w:asciiTheme="minorHAnsi" w:hAnsiTheme="minorHAnsi" w:cstheme="minorHAnsi"/>
          <w:b w:val="0"/>
          <w:bCs w:val="0"/>
          <w:color w:val="auto"/>
          <w:sz w:val="22"/>
          <w:szCs w:val="22"/>
          <w:u w:val="none"/>
        </w:rPr>
        <w:t>suprimentos.saude@santabranca.sp.gov.br</w:t>
      </w:r>
      <w:r>
        <w:rPr>
          <w:rStyle w:val="6"/>
          <w:rFonts w:asciiTheme="minorHAnsi" w:hAnsiTheme="minorHAnsi" w:cstheme="minorHAnsi"/>
          <w:b w:val="0"/>
          <w:bCs w:val="0"/>
          <w:color w:val="auto"/>
          <w:sz w:val="22"/>
          <w:szCs w:val="22"/>
          <w:u w:val="none"/>
        </w:rPr>
        <w:fldChar w:fldCharType="end"/>
      </w:r>
      <w:r>
        <w:rPr>
          <w:rFonts w:asciiTheme="minorHAnsi" w:hAnsiTheme="minorHAnsi" w:cstheme="minorHAnsi"/>
          <w:sz w:val="22"/>
          <w:szCs w:val="22"/>
        </w:rPr>
        <w:t xml:space="preserve">   </w:t>
      </w:r>
    </w:p>
    <w:p w14:paraId="48B104E6">
      <w:pPr>
        <w:pStyle w:val="19"/>
        <w:numPr>
          <w:ilvl w:val="1"/>
          <w:numId w:val="39"/>
        </w:numPr>
        <w:rPr>
          <w:rFonts w:asciiTheme="minorHAnsi" w:hAnsiTheme="minorHAnsi" w:cstheme="minorHAnsi"/>
          <w:sz w:val="22"/>
          <w:szCs w:val="22"/>
        </w:rPr>
      </w:pPr>
    </w:p>
    <w:p w14:paraId="52491024">
      <w:pPr>
        <w:pStyle w:val="21"/>
        <w:numPr>
          <w:ilvl w:val="0"/>
          <w:numId w:val="1"/>
        </w:numPr>
        <w:rPr>
          <w:rFonts w:asciiTheme="minorHAnsi" w:hAnsiTheme="minorHAnsi" w:cstheme="minorHAnsi"/>
          <w:b/>
          <w:bCs/>
          <w:sz w:val="22"/>
          <w:szCs w:val="22"/>
        </w:rPr>
      </w:pPr>
      <w:r>
        <w:rPr>
          <w:rFonts w:asciiTheme="minorHAnsi" w:hAnsiTheme="minorHAnsi" w:cstheme="minorHAnsi"/>
          <w:b/>
          <w:bCs/>
          <w:sz w:val="22"/>
          <w:szCs w:val="22"/>
        </w:rPr>
        <w:t>DOS PREÇOS, ESPECIFICAÇÕES  E QUANTITATIVOS</w:t>
      </w:r>
    </w:p>
    <w:p w14:paraId="4D1927E9">
      <w:pPr>
        <w:pStyle w:val="21"/>
        <w:rPr>
          <w:rFonts w:asciiTheme="minorHAnsi" w:hAnsiTheme="minorHAnsi" w:cstheme="minorHAnsi"/>
          <w:b/>
          <w:bCs/>
          <w:sz w:val="22"/>
          <w:szCs w:val="22"/>
        </w:rPr>
      </w:pPr>
    </w:p>
    <w:p w14:paraId="2199C5E6">
      <w:pPr>
        <w:numPr>
          <w:ilvl w:val="1"/>
          <w:numId w:val="41"/>
        </w:numPr>
        <w:autoSpaceDE w:val="0"/>
        <w:autoSpaceDN w:val="0"/>
        <w:adjustRightInd w:val="0"/>
        <w:rPr>
          <w:rFonts w:asciiTheme="minorHAnsi" w:hAnsiTheme="minorHAnsi" w:eastAsiaTheme="minorHAnsi" w:cstheme="minorHAnsi"/>
          <w:sz w:val="22"/>
          <w:szCs w:val="22"/>
          <w:lang w:eastAsia="en-US"/>
          <w14:ligatures w14:val="standardContextual"/>
        </w:rPr>
      </w:pPr>
      <w:r>
        <w:rPr>
          <w:rFonts w:asciiTheme="minorHAnsi" w:hAnsiTheme="minorHAnsi" w:eastAsiaTheme="minorHAnsi" w:cstheme="minorHAnsi"/>
          <w:color w:val="000000"/>
          <w:sz w:val="22"/>
          <w:szCs w:val="22"/>
          <w:lang w:eastAsia="en-US"/>
          <w14:ligatures w14:val="standardContextual"/>
        </w:rPr>
        <w:t>3.</w:t>
      </w:r>
      <w:r>
        <w:rPr>
          <w:rFonts w:asciiTheme="minorHAnsi" w:hAnsiTheme="minorHAnsi" w:eastAsiaTheme="minorHAnsi" w:cstheme="minorHAnsi"/>
          <w:sz w:val="22"/>
          <w:szCs w:val="22"/>
          <w:lang w:eastAsia="en-US"/>
          <w14:ligatures w14:val="standardContextual"/>
        </w:rPr>
        <w:t xml:space="preserve">1. Os preços unitários que vigorarão nesta Ata de Registro de Preços são os seguintes: </w:t>
      </w:r>
    </w:p>
    <w:tbl>
      <w:tblPr>
        <w:tblStyle w:val="1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8"/>
        <w:gridCol w:w="1137"/>
        <w:gridCol w:w="884"/>
        <w:gridCol w:w="1741"/>
        <w:gridCol w:w="850"/>
        <w:gridCol w:w="1701"/>
        <w:gridCol w:w="1985"/>
      </w:tblGrid>
      <w:tr w14:paraId="40BF5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vAlign w:val="center"/>
          </w:tcPr>
          <w:p w14:paraId="05689349">
            <w:pPr>
              <w:pStyle w:val="21"/>
              <w:ind w:left="0"/>
              <w:jc w:val="center"/>
              <w:rPr>
                <w:rFonts w:asciiTheme="minorHAnsi" w:hAnsiTheme="minorHAnsi" w:cstheme="minorHAnsi"/>
                <w:sz w:val="16"/>
                <w:szCs w:val="16"/>
              </w:rPr>
            </w:pPr>
            <w:r>
              <w:rPr>
                <w:rFonts w:asciiTheme="minorHAnsi" w:hAnsiTheme="minorHAnsi" w:cstheme="minorHAnsi"/>
                <w:sz w:val="16"/>
                <w:szCs w:val="16"/>
              </w:rPr>
              <w:t>ITEM</w:t>
            </w:r>
          </w:p>
        </w:tc>
        <w:tc>
          <w:tcPr>
            <w:tcW w:w="1137" w:type="dxa"/>
            <w:vAlign w:val="center"/>
          </w:tcPr>
          <w:p w14:paraId="17E708AD">
            <w:pPr>
              <w:pStyle w:val="21"/>
              <w:ind w:left="0"/>
              <w:jc w:val="center"/>
              <w:rPr>
                <w:rFonts w:asciiTheme="minorHAnsi" w:hAnsiTheme="minorHAnsi" w:cstheme="minorHAnsi"/>
                <w:sz w:val="16"/>
                <w:szCs w:val="16"/>
              </w:rPr>
            </w:pPr>
            <w:r>
              <w:rPr>
                <w:rFonts w:asciiTheme="minorHAnsi" w:hAnsiTheme="minorHAnsi" w:cstheme="minorHAnsi"/>
                <w:sz w:val="16"/>
                <w:szCs w:val="16"/>
              </w:rPr>
              <w:t>DESCRIÇÃO</w:t>
            </w:r>
          </w:p>
        </w:tc>
        <w:tc>
          <w:tcPr>
            <w:tcW w:w="884" w:type="dxa"/>
            <w:vAlign w:val="center"/>
          </w:tcPr>
          <w:p w14:paraId="15448E52">
            <w:pPr>
              <w:pStyle w:val="21"/>
              <w:ind w:left="0"/>
              <w:jc w:val="center"/>
              <w:rPr>
                <w:rFonts w:asciiTheme="minorHAnsi" w:hAnsiTheme="minorHAnsi" w:cstheme="minorHAnsi"/>
                <w:sz w:val="16"/>
                <w:szCs w:val="16"/>
              </w:rPr>
            </w:pPr>
            <w:r>
              <w:rPr>
                <w:rFonts w:asciiTheme="minorHAnsi" w:hAnsiTheme="minorHAnsi" w:cstheme="minorHAnsi"/>
                <w:sz w:val="16"/>
                <w:szCs w:val="16"/>
              </w:rPr>
              <w:t>UNIDADE</w:t>
            </w:r>
          </w:p>
        </w:tc>
        <w:tc>
          <w:tcPr>
            <w:tcW w:w="1741" w:type="dxa"/>
            <w:vAlign w:val="center"/>
          </w:tcPr>
          <w:p w14:paraId="02149F7B">
            <w:pPr>
              <w:pStyle w:val="21"/>
              <w:ind w:left="0"/>
              <w:jc w:val="center"/>
              <w:rPr>
                <w:rFonts w:asciiTheme="minorHAnsi" w:hAnsiTheme="minorHAnsi" w:cstheme="minorHAnsi"/>
                <w:sz w:val="16"/>
                <w:szCs w:val="16"/>
              </w:rPr>
            </w:pPr>
            <w:r>
              <w:rPr>
                <w:rFonts w:asciiTheme="minorHAnsi" w:hAnsiTheme="minorHAnsi" w:cstheme="minorHAnsi"/>
                <w:sz w:val="16"/>
                <w:szCs w:val="16"/>
              </w:rPr>
              <w:t>QUANTIDADE MÁXIMA</w:t>
            </w:r>
          </w:p>
        </w:tc>
        <w:tc>
          <w:tcPr>
            <w:tcW w:w="850" w:type="dxa"/>
            <w:vAlign w:val="center"/>
          </w:tcPr>
          <w:p w14:paraId="6C36F44B">
            <w:pPr>
              <w:pStyle w:val="21"/>
              <w:ind w:left="0"/>
              <w:jc w:val="center"/>
              <w:rPr>
                <w:rFonts w:asciiTheme="minorHAnsi" w:hAnsiTheme="minorHAnsi" w:cstheme="minorHAnsi"/>
                <w:sz w:val="16"/>
                <w:szCs w:val="16"/>
              </w:rPr>
            </w:pPr>
            <w:r>
              <w:rPr>
                <w:rFonts w:asciiTheme="minorHAnsi" w:hAnsiTheme="minorHAnsi" w:cstheme="minorHAnsi"/>
                <w:sz w:val="16"/>
                <w:szCs w:val="16"/>
              </w:rPr>
              <w:t xml:space="preserve">MARCA </w:t>
            </w:r>
          </w:p>
        </w:tc>
        <w:tc>
          <w:tcPr>
            <w:tcW w:w="1701" w:type="dxa"/>
            <w:vAlign w:val="center"/>
          </w:tcPr>
          <w:p w14:paraId="1346CD73">
            <w:pPr>
              <w:pStyle w:val="19"/>
              <w:jc w:val="center"/>
              <w:rPr>
                <w:rFonts w:asciiTheme="minorHAnsi" w:hAnsiTheme="minorHAnsi" w:cstheme="minorHAnsi"/>
                <w:color w:val="auto"/>
                <w:sz w:val="16"/>
                <w:szCs w:val="16"/>
              </w:rPr>
            </w:pPr>
            <w:r>
              <w:rPr>
                <w:rFonts w:asciiTheme="minorHAnsi" w:hAnsiTheme="minorHAnsi" w:cstheme="minorHAnsi"/>
                <w:color w:val="auto"/>
                <w:sz w:val="16"/>
                <w:szCs w:val="16"/>
              </w:rPr>
              <w:t>VALOR UNITÁRIO R$</w:t>
            </w:r>
          </w:p>
        </w:tc>
        <w:tc>
          <w:tcPr>
            <w:tcW w:w="1985" w:type="dxa"/>
            <w:vAlign w:val="center"/>
          </w:tcPr>
          <w:p w14:paraId="1E44640F">
            <w:pPr>
              <w:pStyle w:val="19"/>
              <w:jc w:val="center"/>
              <w:rPr>
                <w:rFonts w:asciiTheme="minorHAnsi" w:hAnsiTheme="minorHAnsi" w:cstheme="minorHAnsi"/>
                <w:color w:val="auto"/>
                <w:sz w:val="16"/>
                <w:szCs w:val="16"/>
              </w:rPr>
            </w:pPr>
            <w:r>
              <w:rPr>
                <w:rFonts w:asciiTheme="minorHAnsi" w:hAnsiTheme="minorHAnsi" w:cstheme="minorHAnsi"/>
                <w:color w:val="auto"/>
                <w:sz w:val="16"/>
                <w:szCs w:val="16"/>
              </w:rPr>
              <w:t>VALOR TOTAL DO ITEM R$</w:t>
            </w:r>
          </w:p>
        </w:tc>
      </w:tr>
      <w:tr w14:paraId="5FE21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89A3B09">
            <w:pPr>
              <w:pStyle w:val="21"/>
              <w:ind w:left="0"/>
              <w:rPr>
                <w:rFonts w:asciiTheme="minorHAnsi" w:hAnsiTheme="minorHAnsi" w:cstheme="minorHAnsi"/>
                <w:sz w:val="18"/>
                <w:szCs w:val="18"/>
              </w:rPr>
            </w:pPr>
            <w:r>
              <w:rPr>
                <w:rFonts w:asciiTheme="minorHAnsi" w:hAnsiTheme="minorHAnsi" w:cstheme="minorHAnsi"/>
                <w:sz w:val="18"/>
                <w:szCs w:val="18"/>
              </w:rPr>
              <w:t>01</w:t>
            </w:r>
          </w:p>
        </w:tc>
        <w:tc>
          <w:tcPr>
            <w:tcW w:w="1137" w:type="dxa"/>
          </w:tcPr>
          <w:p w14:paraId="1FD78184">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2990761A">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260F926C">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70FDF2">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0FCAF60C">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784DE89F">
            <w:pPr>
              <w:pStyle w:val="21"/>
              <w:ind w:left="0"/>
              <w:rPr>
                <w:rFonts w:asciiTheme="minorHAnsi" w:hAnsiTheme="minorHAnsi" w:cstheme="minorHAnsi"/>
                <w:sz w:val="18"/>
                <w:szCs w:val="18"/>
              </w:rPr>
            </w:pPr>
            <w:r>
              <w:rPr>
                <w:rFonts w:asciiTheme="minorHAnsi" w:hAnsiTheme="minorHAnsi" w:cstheme="minorHAnsi"/>
                <w:sz w:val="18"/>
                <w:szCs w:val="18"/>
              </w:rPr>
              <w:t>*****</w:t>
            </w:r>
          </w:p>
        </w:tc>
      </w:tr>
      <w:tr w14:paraId="45D7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0004484F">
            <w:pPr>
              <w:pStyle w:val="21"/>
              <w:ind w:left="0"/>
              <w:rPr>
                <w:rFonts w:asciiTheme="minorHAnsi" w:hAnsiTheme="minorHAnsi" w:cstheme="minorHAnsi"/>
                <w:sz w:val="18"/>
                <w:szCs w:val="18"/>
              </w:rPr>
            </w:pPr>
            <w:r>
              <w:rPr>
                <w:rFonts w:asciiTheme="minorHAnsi" w:hAnsiTheme="minorHAnsi" w:cstheme="minorHAnsi"/>
                <w:sz w:val="18"/>
                <w:szCs w:val="18"/>
              </w:rPr>
              <w:t>02</w:t>
            </w:r>
          </w:p>
        </w:tc>
        <w:tc>
          <w:tcPr>
            <w:tcW w:w="1137" w:type="dxa"/>
          </w:tcPr>
          <w:p w14:paraId="3F569DB8">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78ED7D53">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49EDCCEB">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42DB1F46">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6B4B9A57">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4E6CFA9C">
            <w:pPr>
              <w:pStyle w:val="21"/>
              <w:ind w:left="0"/>
              <w:rPr>
                <w:rFonts w:asciiTheme="minorHAnsi" w:hAnsiTheme="minorHAnsi" w:cstheme="minorHAnsi"/>
                <w:sz w:val="18"/>
                <w:szCs w:val="18"/>
              </w:rPr>
            </w:pPr>
            <w:r>
              <w:rPr>
                <w:rFonts w:asciiTheme="minorHAnsi" w:hAnsiTheme="minorHAnsi" w:cstheme="minorHAnsi"/>
                <w:sz w:val="18"/>
                <w:szCs w:val="18"/>
              </w:rPr>
              <w:t>*****</w:t>
            </w:r>
          </w:p>
        </w:tc>
      </w:tr>
      <w:tr w14:paraId="4D9D4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655B5705">
            <w:pPr>
              <w:pStyle w:val="21"/>
              <w:ind w:left="0"/>
              <w:rPr>
                <w:rFonts w:asciiTheme="minorHAnsi" w:hAnsiTheme="minorHAnsi" w:cstheme="minorHAnsi"/>
                <w:sz w:val="18"/>
                <w:szCs w:val="18"/>
              </w:rPr>
            </w:pPr>
            <w:r>
              <w:rPr>
                <w:rFonts w:asciiTheme="minorHAnsi" w:hAnsiTheme="minorHAnsi" w:cstheme="minorHAnsi"/>
                <w:sz w:val="18"/>
                <w:szCs w:val="18"/>
              </w:rPr>
              <w:t>03</w:t>
            </w:r>
          </w:p>
        </w:tc>
        <w:tc>
          <w:tcPr>
            <w:tcW w:w="1137" w:type="dxa"/>
          </w:tcPr>
          <w:p w14:paraId="7C264549">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633D05FE">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371BC082">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3EB50FE5">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432FA7C5">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64419C5">
            <w:pPr>
              <w:pStyle w:val="21"/>
              <w:ind w:left="0"/>
              <w:rPr>
                <w:rFonts w:asciiTheme="minorHAnsi" w:hAnsiTheme="minorHAnsi" w:cstheme="minorHAnsi"/>
                <w:sz w:val="18"/>
                <w:szCs w:val="18"/>
              </w:rPr>
            </w:pPr>
            <w:r>
              <w:rPr>
                <w:rFonts w:asciiTheme="minorHAnsi" w:hAnsiTheme="minorHAnsi" w:cstheme="minorHAnsi"/>
                <w:sz w:val="18"/>
                <w:szCs w:val="18"/>
              </w:rPr>
              <w:t>*****</w:t>
            </w:r>
          </w:p>
        </w:tc>
      </w:tr>
      <w:tr w14:paraId="1302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8" w:type="dxa"/>
          </w:tcPr>
          <w:p w14:paraId="26EA4C1E">
            <w:pPr>
              <w:pStyle w:val="21"/>
              <w:ind w:left="0"/>
              <w:rPr>
                <w:rFonts w:asciiTheme="minorHAnsi" w:hAnsiTheme="minorHAnsi" w:cstheme="minorHAnsi"/>
                <w:sz w:val="18"/>
                <w:szCs w:val="18"/>
              </w:rPr>
            </w:pPr>
            <w:r>
              <w:rPr>
                <w:rFonts w:asciiTheme="minorHAnsi" w:hAnsiTheme="minorHAnsi" w:cstheme="minorHAnsi"/>
                <w:sz w:val="18"/>
                <w:szCs w:val="18"/>
              </w:rPr>
              <w:t>04</w:t>
            </w:r>
          </w:p>
        </w:tc>
        <w:tc>
          <w:tcPr>
            <w:tcW w:w="1137" w:type="dxa"/>
          </w:tcPr>
          <w:p w14:paraId="0576E934">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84" w:type="dxa"/>
          </w:tcPr>
          <w:p w14:paraId="3DDD1C40">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41" w:type="dxa"/>
          </w:tcPr>
          <w:p w14:paraId="66918B1B">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850" w:type="dxa"/>
          </w:tcPr>
          <w:p w14:paraId="78926C10">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701" w:type="dxa"/>
          </w:tcPr>
          <w:p w14:paraId="2448992D">
            <w:pPr>
              <w:pStyle w:val="21"/>
              <w:ind w:left="0"/>
              <w:rPr>
                <w:rFonts w:asciiTheme="minorHAnsi" w:hAnsiTheme="minorHAnsi" w:cstheme="minorHAnsi"/>
                <w:sz w:val="18"/>
                <w:szCs w:val="18"/>
              </w:rPr>
            </w:pPr>
            <w:r>
              <w:rPr>
                <w:rFonts w:asciiTheme="minorHAnsi" w:hAnsiTheme="minorHAnsi" w:cstheme="minorHAnsi"/>
                <w:sz w:val="18"/>
                <w:szCs w:val="18"/>
              </w:rPr>
              <w:t>*****</w:t>
            </w:r>
          </w:p>
        </w:tc>
        <w:tc>
          <w:tcPr>
            <w:tcW w:w="1985" w:type="dxa"/>
          </w:tcPr>
          <w:p w14:paraId="10291477">
            <w:pPr>
              <w:pStyle w:val="21"/>
              <w:ind w:left="0"/>
              <w:rPr>
                <w:rFonts w:asciiTheme="minorHAnsi" w:hAnsiTheme="minorHAnsi" w:cstheme="minorHAnsi"/>
                <w:sz w:val="18"/>
                <w:szCs w:val="18"/>
              </w:rPr>
            </w:pPr>
            <w:r>
              <w:rPr>
                <w:rFonts w:asciiTheme="minorHAnsi" w:hAnsiTheme="minorHAnsi" w:cstheme="minorHAnsi"/>
                <w:sz w:val="18"/>
                <w:szCs w:val="18"/>
              </w:rPr>
              <w:t>*****</w:t>
            </w:r>
          </w:p>
        </w:tc>
      </w:tr>
      <w:tr w14:paraId="205C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6" w:type="dxa"/>
            <w:gridSpan w:val="7"/>
          </w:tcPr>
          <w:p w14:paraId="59EE2707">
            <w:pPr>
              <w:pStyle w:val="21"/>
              <w:ind w:left="0"/>
              <w:rPr>
                <w:rFonts w:asciiTheme="minorHAnsi" w:hAnsiTheme="minorHAnsi" w:cstheme="minorHAnsi"/>
                <w:sz w:val="18"/>
                <w:szCs w:val="18"/>
              </w:rPr>
            </w:pPr>
            <w:r>
              <w:rPr>
                <w:rFonts w:asciiTheme="minorHAnsi" w:hAnsiTheme="minorHAnsi" w:cstheme="minorHAnsi"/>
                <w:sz w:val="18"/>
                <w:szCs w:val="18"/>
              </w:rPr>
              <w:t>VALOR TOTAL DA ATA  R$ *****</w:t>
            </w:r>
          </w:p>
        </w:tc>
      </w:tr>
    </w:tbl>
    <w:p w14:paraId="28249512">
      <w:pPr>
        <w:pStyle w:val="19"/>
        <w:numPr>
          <w:ilvl w:val="1"/>
          <w:numId w:val="42"/>
        </w:numPr>
        <w:rPr>
          <w:rFonts w:asciiTheme="minorHAnsi" w:hAnsiTheme="minorHAnsi" w:cstheme="minorHAnsi"/>
          <w:sz w:val="21"/>
          <w:szCs w:val="21"/>
        </w:rPr>
      </w:pPr>
    </w:p>
    <w:p w14:paraId="11A2158C">
      <w:pPr>
        <w:pStyle w:val="19"/>
        <w:numPr>
          <w:ilvl w:val="1"/>
          <w:numId w:val="42"/>
        </w:numPr>
        <w:spacing w:after="159" w:line="276" w:lineRule="auto"/>
        <w:rPr>
          <w:rFonts w:asciiTheme="minorHAnsi" w:hAnsiTheme="minorHAnsi" w:cstheme="minorHAnsi"/>
          <w:sz w:val="22"/>
          <w:szCs w:val="22"/>
        </w:rPr>
      </w:pPr>
      <w:r>
        <w:rPr>
          <w:rFonts w:asciiTheme="minorHAnsi" w:hAnsiTheme="minorHAnsi" w:cstheme="minorHAnsi"/>
          <w:sz w:val="22"/>
          <w:szCs w:val="22"/>
        </w:rPr>
        <w:t xml:space="preserve">3.2. Não será admitida a adesão à ata de registro de preços decorrente desta licitação. </w:t>
      </w:r>
    </w:p>
    <w:p w14:paraId="12215568">
      <w:pPr>
        <w:pStyle w:val="19"/>
        <w:numPr>
          <w:ilvl w:val="1"/>
          <w:numId w:val="42"/>
        </w:numPr>
        <w:spacing w:line="276" w:lineRule="auto"/>
        <w:rPr>
          <w:rFonts w:asciiTheme="minorHAnsi" w:hAnsiTheme="minorHAnsi" w:cstheme="minorHAnsi"/>
          <w:sz w:val="22"/>
          <w:szCs w:val="22"/>
        </w:rPr>
      </w:pPr>
      <w:r>
        <w:rPr>
          <w:rFonts w:asciiTheme="minorHAnsi" w:hAnsiTheme="minorHAnsi" w:cstheme="minorHAnsi"/>
          <w:sz w:val="22"/>
          <w:szCs w:val="22"/>
        </w:rPr>
        <w:t xml:space="preserve">3.3. É vedado efetuar acréscimos nos quantitativos fixados na ata de registro de preços. </w:t>
      </w:r>
    </w:p>
    <w:p w14:paraId="296C855F">
      <w:pPr>
        <w:pStyle w:val="19"/>
        <w:spacing w:line="276" w:lineRule="auto"/>
        <w:rPr>
          <w:rFonts w:asciiTheme="minorHAnsi" w:hAnsiTheme="minorHAnsi" w:cstheme="minorHAnsi"/>
          <w:sz w:val="22"/>
          <w:szCs w:val="22"/>
        </w:rPr>
      </w:pPr>
    </w:p>
    <w:p w14:paraId="1EF22746">
      <w:pPr>
        <w:pStyle w:val="19"/>
        <w:spacing w:line="276" w:lineRule="auto"/>
        <w:rPr>
          <w:rFonts w:asciiTheme="minorHAnsi" w:hAnsiTheme="minorHAnsi" w:cstheme="minorHAnsi"/>
          <w:sz w:val="22"/>
          <w:szCs w:val="22"/>
        </w:rPr>
      </w:pPr>
      <w:r>
        <w:rPr>
          <w:rFonts w:asciiTheme="minorHAnsi" w:hAnsiTheme="minorHAnsi" w:cstheme="minorHAnsi"/>
          <w:sz w:val="22"/>
          <w:szCs w:val="22"/>
        </w:rPr>
        <w:t xml:space="preserve">3.4. A listagem do cadastro de reserva referente ao presente registro de preço consta como anexo a esta ata. </w:t>
      </w:r>
    </w:p>
    <w:p w14:paraId="6A0AECAE">
      <w:pPr>
        <w:pStyle w:val="19"/>
        <w:numPr>
          <w:ilvl w:val="1"/>
          <w:numId w:val="42"/>
        </w:numPr>
        <w:spacing w:line="276" w:lineRule="auto"/>
        <w:rPr>
          <w:rFonts w:asciiTheme="minorHAnsi" w:hAnsiTheme="minorHAnsi" w:cstheme="minorHAnsi"/>
          <w:sz w:val="22"/>
          <w:szCs w:val="22"/>
        </w:rPr>
      </w:pPr>
    </w:p>
    <w:p w14:paraId="157678A9">
      <w:pPr>
        <w:pStyle w:val="19"/>
        <w:numPr>
          <w:ilvl w:val="0"/>
          <w:numId w:val="1"/>
        </w:numPr>
        <w:spacing w:line="276" w:lineRule="auto"/>
        <w:rPr>
          <w:rFonts w:asciiTheme="minorHAnsi" w:hAnsiTheme="minorHAnsi" w:cstheme="minorHAnsi"/>
          <w:sz w:val="22"/>
          <w:szCs w:val="22"/>
        </w:rPr>
      </w:pPr>
      <w:r>
        <w:rPr>
          <w:rFonts w:asciiTheme="minorHAnsi" w:hAnsiTheme="minorHAnsi" w:cstheme="minorHAnsi"/>
          <w:b/>
          <w:bCs/>
          <w:sz w:val="22"/>
          <w:szCs w:val="22"/>
        </w:rPr>
        <w:t xml:space="preserve">VALIDADE DO REGISTRO DE PREÇOS E PRORROGAÇÃO. </w:t>
      </w:r>
    </w:p>
    <w:p w14:paraId="2DBD2CCF">
      <w:pPr>
        <w:pStyle w:val="21"/>
        <w:spacing w:line="276" w:lineRule="auto"/>
        <w:rPr>
          <w:rFonts w:asciiTheme="minorHAnsi" w:hAnsiTheme="minorHAnsi" w:cstheme="minorHAnsi"/>
          <w:sz w:val="22"/>
          <w:szCs w:val="22"/>
        </w:rPr>
      </w:pPr>
    </w:p>
    <w:p w14:paraId="0A56822D">
      <w:pPr>
        <w:pStyle w:val="37"/>
        <w:tabs>
          <w:tab w:val="clear" w:pos="0"/>
        </w:tabs>
        <w:spacing w:before="0" w:after="0"/>
        <w:rPr>
          <w:rStyle w:val="6"/>
          <w:rFonts w:asciiTheme="minorHAnsi" w:hAnsiTheme="minorHAnsi" w:cstheme="minorHAnsi"/>
          <w:i w:val="0"/>
          <w:iCs w:val="0"/>
          <w:color w:val="auto"/>
          <w:sz w:val="22"/>
          <w:szCs w:val="22"/>
          <w:u w:val="none"/>
        </w:rPr>
      </w:pPr>
      <w:r>
        <w:rPr>
          <w:rFonts w:asciiTheme="minorHAnsi" w:hAnsiTheme="minorHAnsi" w:cstheme="minorHAnsi"/>
          <w:i w:val="0"/>
          <w:iCs w:val="0"/>
          <w:color w:val="auto"/>
          <w:sz w:val="22"/>
          <w:szCs w:val="22"/>
        </w:rPr>
        <w:t xml:space="preserve">4.1. A validade da Ata de Registro de Preços será de </w:t>
      </w:r>
      <w:r>
        <w:rPr>
          <w:rFonts w:asciiTheme="minorHAnsi" w:hAnsiTheme="minorHAnsi" w:cstheme="minorHAnsi"/>
          <w:b/>
          <w:bCs/>
          <w:i w:val="0"/>
          <w:iCs w:val="0"/>
          <w:color w:val="auto"/>
          <w:sz w:val="22"/>
          <w:szCs w:val="22"/>
        </w:rPr>
        <w:t>1 (um) ano</w:t>
      </w:r>
      <w:r>
        <w:rPr>
          <w:rFonts w:asciiTheme="minorHAnsi" w:hAnsiTheme="minorHAnsi" w:cstheme="minorHAnsi"/>
          <w:i w:val="0"/>
          <w:iCs w:val="0"/>
          <w:color w:val="auto"/>
          <w:sz w:val="22"/>
          <w:szCs w:val="22"/>
        </w:rPr>
        <w:t xml:space="preserve">, contados da sua assinatura, podendo ser prorrogada por igual período, mediante a anuência do fornecedor, desde que comprovado o preço vantajoso, após realização de pesquisa de preços, na forma do </w:t>
      </w:r>
      <w:r>
        <w:fldChar w:fldCharType="begin"/>
      </w:r>
      <w:r>
        <w:instrText xml:space="preserve"> HYPERLINK "http://www.planalto.gov.br/ccivil_03/_ato2019-2022/2021/lei/L14133.htm" \l "art106" </w:instrText>
      </w:r>
      <w:r>
        <w:fldChar w:fldCharType="separate"/>
      </w:r>
      <w:r>
        <w:rPr>
          <w:rStyle w:val="6"/>
          <w:rFonts w:asciiTheme="minorHAnsi" w:hAnsiTheme="minorHAnsi" w:cstheme="minorHAnsi"/>
          <w:i w:val="0"/>
          <w:iCs w:val="0"/>
          <w:color w:val="auto"/>
          <w:sz w:val="22"/>
          <w:szCs w:val="22"/>
          <w:u w:val="none"/>
        </w:rPr>
        <w:t>artigo 84  da Lei Federal n° 14.133, de 2021</w:t>
      </w:r>
      <w:r>
        <w:rPr>
          <w:rStyle w:val="6"/>
          <w:rFonts w:asciiTheme="minorHAnsi" w:hAnsiTheme="minorHAnsi" w:cstheme="minorHAnsi"/>
          <w:i w:val="0"/>
          <w:iCs w:val="0"/>
          <w:color w:val="auto"/>
          <w:sz w:val="22"/>
          <w:szCs w:val="22"/>
          <w:u w:val="none"/>
        </w:rPr>
        <w:fldChar w:fldCharType="end"/>
      </w:r>
      <w:r>
        <w:rPr>
          <w:rStyle w:val="6"/>
          <w:rFonts w:asciiTheme="minorHAnsi" w:hAnsiTheme="minorHAnsi" w:cstheme="minorHAnsi"/>
          <w:i w:val="0"/>
          <w:iCs w:val="0"/>
          <w:color w:val="auto"/>
          <w:sz w:val="22"/>
          <w:szCs w:val="22"/>
          <w:u w:val="none"/>
        </w:rPr>
        <w:t xml:space="preserve"> e artigo 7º do Decreto Municipal nº 411/2023.</w:t>
      </w:r>
    </w:p>
    <w:p w14:paraId="28F356EB">
      <w:pPr>
        <w:pStyle w:val="19"/>
        <w:numPr>
          <w:ilvl w:val="1"/>
          <w:numId w:val="43"/>
        </w:numPr>
        <w:spacing w:line="276" w:lineRule="auto"/>
        <w:jc w:val="both"/>
        <w:rPr>
          <w:rFonts w:asciiTheme="minorHAnsi" w:hAnsiTheme="minorHAnsi" w:cstheme="minorHAnsi"/>
          <w:color w:val="auto"/>
          <w:sz w:val="22"/>
          <w:szCs w:val="22"/>
        </w:rPr>
      </w:pPr>
    </w:p>
    <w:p w14:paraId="45A53EDE">
      <w:pPr>
        <w:pStyle w:val="19"/>
        <w:numPr>
          <w:ilvl w:val="2"/>
          <w:numId w:val="1"/>
        </w:numPr>
        <w:spacing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No caso de prorrogação do prazo de vigência da ata de registro de preços na forma prevista no subitem anterior, os quantitativos fixados na licitação serão renovados para o novo período de vigência </w:t>
      </w:r>
      <w:r>
        <w:rPr>
          <w:rStyle w:val="6"/>
          <w:rFonts w:asciiTheme="minorHAnsi" w:hAnsiTheme="minorHAnsi" w:cstheme="minorHAnsi"/>
          <w:color w:val="auto"/>
          <w:sz w:val="22"/>
          <w:szCs w:val="22"/>
          <w:u w:val="none"/>
        </w:rPr>
        <w:t>artigo 7º § 1º do Decreto Municipal nº 411/2023</w:t>
      </w:r>
      <w:r>
        <w:rPr>
          <w:rFonts w:asciiTheme="minorHAnsi" w:hAnsiTheme="minorHAnsi" w:cstheme="minorHAnsi"/>
          <w:color w:val="auto"/>
          <w:sz w:val="22"/>
          <w:szCs w:val="22"/>
        </w:rPr>
        <w:t>.</w:t>
      </w:r>
    </w:p>
    <w:p w14:paraId="5CF28DA4">
      <w:pPr>
        <w:pStyle w:val="19"/>
        <w:spacing w:line="276" w:lineRule="auto"/>
        <w:ind w:left="1080"/>
        <w:rPr>
          <w:rFonts w:asciiTheme="minorHAnsi" w:hAnsiTheme="minorHAnsi" w:cstheme="minorHAnsi"/>
          <w:color w:val="auto"/>
          <w:sz w:val="22"/>
          <w:szCs w:val="22"/>
        </w:rPr>
      </w:pPr>
    </w:p>
    <w:p w14:paraId="5D4C5B4A">
      <w:pPr>
        <w:pStyle w:val="24"/>
        <w:numPr>
          <w:ilvl w:val="0"/>
          <w:numId w:val="1"/>
        </w:numPr>
        <w:spacing w:line="276" w:lineRule="auto"/>
        <w:rPr>
          <w:rFonts w:asciiTheme="minorHAnsi" w:hAnsiTheme="minorHAnsi" w:cstheme="minorHAnsi"/>
          <w:sz w:val="22"/>
          <w:szCs w:val="22"/>
        </w:rPr>
      </w:pPr>
      <w:r>
        <w:rPr>
          <w:rFonts w:asciiTheme="minorHAnsi" w:hAnsiTheme="minorHAnsi" w:cstheme="minorHAnsi"/>
          <w:sz w:val="22"/>
          <w:szCs w:val="22"/>
        </w:rPr>
        <w:t xml:space="preserve"> MODELOS DE EXECUÇÃO E GESTÃO DA ATA DE REGISTRO DE PREÇOS</w:t>
      </w:r>
    </w:p>
    <w:p w14:paraId="48F50E88">
      <w:pPr>
        <w:spacing w:line="276" w:lineRule="auto"/>
        <w:rPr>
          <w:rFonts w:asciiTheme="minorHAnsi" w:hAnsiTheme="minorHAnsi" w:cstheme="minorHAnsi"/>
          <w:sz w:val="22"/>
          <w:szCs w:val="22"/>
        </w:rPr>
      </w:pPr>
    </w:p>
    <w:p w14:paraId="1DB1274A">
      <w:pPr>
        <w:pStyle w:val="24"/>
        <w:spacing w:line="276" w:lineRule="auto"/>
        <w:rPr>
          <w:rFonts w:asciiTheme="minorHAnsi" w:hAnsiTheme="minorHAnsi" w:cstheme="minorHAnsi"/>
          <w:b w:val="0"/>
          <w:bCs w:val="0"/>
          <w:sz w:val="22"/>
          <w:szCs w:val="22"/>
        </w:rPr>
      </w:pPr>
      <w:r>
        <w:rPr>
          <w:rFonts w:asciiTheme="minorHAnsi" w:hAnsiTheme="minorHAnsi" w:cstheme="minorHAnsi"/>
          <w:b w:val="0"/>
          <w:bCs w:val="0"/>
          <w:sz w:val="22"/>
          <w:szCs w:val="22"/>
        </w:rPr>
        <w:t>O controle e o gerenciamento das atas de registro de preços, sua execução, assim como os prazos e condições de conclusão, entrega, observação e recebimento do objeto constam no Termo de Referência, anexo a esta Ata de Registro de Preços.</w:t>
      </w:r>
    </w:p>
    <w:p w14:paraId="2AD6D1F0">
      <w:pPr>
        <w:spacing w:line="276" w:lineRule="auto"/>
        <w:jc w:val="both"/>
        <w:rPr>
          <w:rFonts w:asciiTheme="minorHAnsi" w:hAnsiTheme="minorHAnsi" w:cstheme="minorHAnsi"/>
          <w:sz w:val="22"/>
          <w:szCs w:val="22"/>
        </w:rPr>
      </w:pPr>
    </w:p>
    <w:p w14:paraId="223A3BF1">
      <w:pPr>
        <w:pStyle w:val="24"/>
        <w:numPr>
          <w:ilvl w:val="0"/>
          <w:numId w:val="0"/>
        </w:numPr>
        <w:spacing w:line="276" w:lineRule="auto"/>
        <w:ind w:left="714" w:hanging="430"/>
        <w:rPr>
          <w:rFonts w:asciiTheme="minorHAnsi" w:hAnsiTheme="minorHAnsi" w:cstheme="minorHAnsi"/>
          <w:sz w:val="22"/>
          <w:szCs w:val="22"/>
        </w:rPr>
      </w:pPr>
      <w:r>
        <w:rPr>
          <w:rFonts w:asciiTheme="minorHAnsi" w:hAnsiTheme="minorHAnsi" w:cstheme="minorHAnsi"/>
          <w:sz w:val="22"/>
          <w:szCs w:val="22"/>
        </w:rPr>
        <w:t xml:space="preserve">6.  DO PREÇO E PAGAMENTO </w:t>
      </w:r>
    </w:p>
    <w:p w14:paraId="0823C5F7">
      <w:pPr>
        <w:spacing w:line="276" w:lineRule="auto"/>
        <w:rPr>
          <w:rFonts w:asciiTheme="minorHAnsi" w:hAnsiTheme="minorHAnsi" w:cstheme="minorHAnsi"/>
          <w:sz w:val="22"/>
          <w:szCs w:val="22"/>
        </w:rPr>
      </w:pPr>
    </w:p>
    <w:p w14:paraId="239DE07D">
      <w:pPr>
        <w:pStyle w:val="40"/>
        <w:spacing w:line="276" w:lineRule="auto"/>
        <w:jc w:val="both"/>
        <w:rPr>
          <w:rFonts w:asciiTheme="minorHAnsi" w:hAnsiTheme="minorHAnsi" w:cstheme="minorHAnsi"/>
          <w:bCs/>
          <w:szCs w:val="22"/>
        </w:rPr>
      </w:pPr>
      <w:r>
        <w:rPr>
          <w:rFonts w:asciiTheme="minorHAnsi" w:hAnsiTheme="minorHAnsi" w:cstheme="minorHAnsi"/>
          <w:bCs/>
          <w:szCs w:val="22"/>
        </w:rPr>
        <w:t xml:space="preserve">6.1. O valor total estimado para esta Ata de Registro de Preços é de </w:t>
      </w:r>
      <w:r>
        <w:rPr>
          <w:rFonts w:asciiTheme="minorHAnsi" w:hAnsiTheme="minorHAnsi" w:cstheme="minorHAnsi"/>
          <w:b/>
          <w:szCs w:val="22"/>
        </w:rPr>
        <w:t>R$___________,</w:t>
      </w:r>
      <w:r>
        <w:rPr>
          <w:rFonts w:asciiTheme="minorHAnsi" w:hAnsiTheme="minorHAnsi" w:cstheme="minorHAnsi"/>
          <w:bCs/>
          <w:szCs w:val="22"/>
        </w:rPr>
        <w:t xml:space="preserve"> conforme proposta atualizada pela DETENTORA(S) vinculada a esta Ata.</w:t>
      </w:r>
    </w:p>
    <w:p w14:paraId="7AB9E0F1">
      <w:pPr>
        <w:pStyle w:val="40"/>
        <w:spacing w:line="276" w:lineRule="auto"/>
        <w:ind w:left="516"/>
        <w:jc w:val="both"/>
        <w:rPr>
          <w:rFonts w:asciiTheme="minorHAnsi" w:hAnsiTheme="minorHAnsi" w:cstheme="minorHAnsi"/>
          <w:bCs/>
          <w:szCs w:val="22"/>
        </w:rPr>
      </w:pPr>
      <w:r>
        <w:rPr>
          <w:rFonts w:asciiTheme="minorHAnsi" w:hAnsiTheme="minorHAnsi" w:cstheme="minorHAnsi"/>
          <w:bCs/>
          <w:szCs w:val="22"/>
        </w:rPr>
        <w:t>6.1.1. As formas de pagamentos devidos a DENTENTORA(S) dependerão dos quantitativos efetivamente fornecidos.</w:t>
      </w:r>
    </w:p>
    <w:p w14:paraId="47F76CF8">
      <w:pPr>
        <w:pStyle w:val="40"/>
        <w:spacing w:line="276" w:lineRule="auto"/>
        <w:jc w:val="both"/>
        <w:rPr>
          <w:rFonts w:asciiTheme="minorHAnsi" w:hAnsiTheme="minorHAnsi" w:cstheme="minorHAnsi"/>
          <w:bCs/>
          <w:szCs w:val="22"/>
        </w:rPr>
      </w:pPr>
    </w:p>
    <w:p w14:paraId="3D4BEDFA">
      <w:pPr>
        <w:pStyle w:val="25"/>
        <w:numPr>
          <w:ilvl w:val="0"/>
          <w:numId w:val="0"/>
        </w:numPr>
        <w:spacing w:before="0" w:after="0"/>
        <w:rPr>
          <w:rFonts w:asciiTheme="minorHAnsi" w:hAnsiTheme="minorHAnsi" w:cstheme="minorHAnsi"/>
          <w:bCs/>
          <w:sz w:val="22"/>
          <w:szCs w:val="22"/>
        </w:rPr>
      </w:pPr>
      <w:r>
        <w:rPr>
          <w:rFonts w:asciiTheme="minorHAnsi" w:hAnsiTheme="minorHAnsi" w:cstheme="minorHAnsi"/>
          <w:bCs/>
          <w:sz w:val="22"/>
          <w:szCs w:val="22"/>
        </w:rPr>
        <w:t>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de eventual contratação decorrente desta Ata de Registro de Preços.</w:t>
      </w:r>
    </w:p>
    <w:p w14:paraId="7262726A">
      <w:pPr>
        <w:pStyle w:val="25"/>
        <w:numPr>
          <w:ilvl w:val="0"/>
          <w:numId w:val="0"/>
        </w:numPr>
        <w:spacing w:before="0" w:after="0"/>
        <w:rPr>
          <w:rFonts w:asciiTheme="minorHAnsi" w:hAnsiTheme="minorHAnsi" w:cstheme="minorHAnsi"/>
          <w:bCs/>
          <w:sz w:val="22"/>
          <w:szCs w:val="22"/>
        </w:rPr>
      </w:pPr>
    </w:p>
    <w:p w14:paraId="73A3622F">
      <w:pPr>
        <w:pStyle w:val="25"/>
        <w:numPr>
          <w:ilvl w:val="0"/>
          <w:numId w:val="0"/>
        </w:numPr>
        <w:spacing w:before="0" w:after="0"/>
        <w:rPr>
          <w:rFonts w:asciiTheme="minorHAnsi" w:hAnsiTheme="minorHAnsi" w:cstheme="minorHAnsi"/>
          <w:bCs/>
          <w:sz w:val="22"/>
          <w:szCs w:val="22"/>
        </w:rPr>
      </w:pPr>
      <w:r>
        <w:rPr>
          <w:rFonts w:asciiTheme="minorHAnsi" w:hAnsiTheme="minorHAnsi" w:cstheme="minorHAnsi"/>
          <w:bCs/>
          <w:sz w:val="22"/>
          <w:szCs w:val="22"/>
          <w:lang w:eastAsia="en-US"/>
        </w:rPr>
        <w:t xml:space="preserve">6.3. </w:t>
      </w:r>
      <w:r>
        <w:rPr>
          <w:rFonts w:asciiTheme="minorHAnsi" w:hAnsiTheme="minorHAnsi" w:cstheme="minorHAnsi"/>
          <w:bCs/>
          <w:sz w:val="22"/>
          <w:szCs w:val="22"/>
        </w:rPr>
        <w:t xml:space="preserve">O prazo para pagamento </w:t>
      </w:r>
      <w:r>
        <w:rPr>
          <w:rFonts w:asciiTheme="minorHAnsi" w:hAnsiTheme="minorHAnsi" w:cstheme="minorHAnsi"/>
          <w:bCs/>
          <w:color w:val="auto"/>
          <w:sz w:val="22"/>
          <w:szCs w:val="22"/>
          <w:lang w:eastAsia="en-US"/>
        </w:rPr>
        <w:t>a DENTENTORA</w:t>
      </w:r>
      <w:r>
        <w:rPr>
          <w:rFonts w:asciiTheme="minorHAnsi" w:hAnsiTheme="minorHAnsi" w:cstheme="minorHAnsi"/>
          <w:bCs/>
          <w:sz w:val="22"/>
          <w:szCs w:val="22"/>
        </w:rPr>
        <w:t xml:space="preserve"> e demais condições a ele referentes encontram-se definidos no Termo de Referência, anexo a esta Ata de Registro de Preços.</w:t>
      </w:r>
    </w:p>
    <w:p w14:paraId="2B85B1A8">
      <w:pPr>
        <w:pStyle w:val="25"/>
        <w:numPr>
          <w:ilvl w:val="0"/>
          <w:numId w:val="0"/>
        </w:numPr>
        <w:spacing w:before="0" w:after="0"/>
        <w:rPr>
          <w:rFonts w:asciiTheme="minorHAnsi" w:hAnsiTheme="minorHAnsi" w:cstheme="minorHAnsi"/>
          <w:sz w:val="22"/>
          <w:szCs w:val="22"/>
        </w:rPr>
      </w:pPr>
    </w:p>
    <w:p w14:paraId="2F4EA8C3">
      <w:pPr>
        <w:pStyle w:val="24"/>
        <w:numPr>
          <w:ilvl w:val="0"/>
          <w:numId w:val="0"/>
        </w:numPr>
        <w:spacing w:line="276" w:lineRule="auto"/>
        <w:ind w:left="714"/>
        <w:rPr>
          <w:rFonts w:asciiTheme="minorHAnsi" w:hAnsiTheme="minorHAnsi" w:cstheme="minorHAnsi"/>
          <w:sz w:val="22"/>
          <w:szCs w:val="22"/>
        </w:rPr>
      </w:pPr>
      <w:r>
        <w:rPr>
          <w:rFonts w:asciiTheme="minorHAnsi" w:hAnsiTheme="minorHAnsi" w:eastAsiaTheme="minorHAnsi" w:cstheme="minorHAnsi"/>
          <w:sz w:val="22"/>
          <w:szCs w:val="22"/>
          <w:lang w:eastAsia="en-US"/>
        </w:rPr>
        <w:t xml:space="preserve">7.  </w:t>
      </w:r>
      <w:r>
        <w:rPr>
          <w:rFonts w:asciiTheme="minorHAnsi" w:hAnsiTheme="minorHAnsi" w:cstheme="minorHAnsi"/>
          <w:sz w:val="22"/>
          <w:szCs w:val="22"/>
        </w:rPr>
        <w:t>DO REAJUSTE E REEQUILIBRIO ECONÔMICO-FINANCEIRO</w:t>
      </w:r>
    </w:p>
    <w:p w14:paraId="2E8E8585">
      <w:pPr>
        <w:spacing w:line="276" w:lineRule="auto"/>
        <w:rPr>
          <w:rFonts w:asciiTheme="minorHAnsi" w:hAnsiTheme="minorHAnsi" w:cstheme="minorHAnsi"/>
          <w:sz w:val="22"/>
          <w:szCs w:val="22"/>
        </w:rPr>
      </w:pPr>
    </w:p>
    <w:p w14:paraId="57CEF56A">
      <w:pPr>
        <w:pStyle w:val="40"/>
        <w:spacing w:line="276" w:lineRule="auto"/>
        <w:jc w:val="both"/>
        <w:rPr>
          <w:rFonts w:asciiTheme="minorHAnsi" w:hAnsiTheme="minorHAnsi" w:cstheme="minorHAnsi"/>
          <w:bCs/>
          <w:color w:val="FF0000"/>
          <w:szCs w:val="22"/>
        </w:rPr>
      </w:pPr>
      <w:r>
        <w:rPr>
          <w:rFonts w:asciiTheme="minorHAnsi" w:hAnsiTheme="minorHAnsi" w:cstheme="minorHAnsi"/>
          <w:bCs/>
          <w:szCs w:val="22"/>
        </w:rPr>
        <w:t>7.1.</w:t>
      </w:r>
      <w:r>
        <w:rPr>
          <w:rFonts w:asciiTheme="minorHAnsi" w:hAnsiTheme="minorHAnsi" w:cstheme="minorHAnsi"/>
          <w:bCs/>
          <w:szCs w:val="22"/>
        </w:rPr>
        <w:tab/>
      </w:r>
      <w:r>
        <w:rPr>
          <w:rFonts w:asciiTheme="minorHAnsi" w:hAnsiTheme="minorHAnsi" w:cstheme="minorHAnsi"/>
          <w:bCs/>
          <w:szCs w:val="22"/>
        </w:rPr>
        <w:t>Os preços inicialmente registrados são fixos e irreajustáveis no prazo de um ano contado da data do orçamento estimado, em __/__/__ (DD/MM/AAAA).</w:t>
      </w:r>
    </w:p>
    <w:p w14:paraId="28736505">
      <w:pPr>
        <w:pStyle w:val="40"/>
        <w:spacing w:line="276" w:lineRule="auto"/>
        <w:jc w:val="both"/>
        <w:rPr>
          <w:rFonts w:asciiTheme="minorHAnsi" w:hAnsiTheme="minorHAnsi" w:cstheme="minorHAnsi"/>
          <w:bCs/>
          <w:szCs w:val="22"/>
        </w:rPr>
      </w:pPr>
    </w:p>
    <w:p w14:paraId="39A9C18B">
      <w:pPr>
        <w:pStyle w:val="40"/>
        <w:spacing w:line="276" w:lineRule="auto"/>
        <w:jc w:val="both"/>
        <w:rPr>
          <w:rFonts w:asciiTheme="minorHAnsi" w:hAnsiTheme="minorHAnsi" w:cstheme="minorHAnsi"/>
          <w:bCs/>
          <w:szCs w:val="22"/>
        </w:rPr>
      </w:pPr>
      <w:r>
        <w:rPr>
          <w:rFonts w:asciiTheme="minorHAnsi" w:hAnsiTheme="minorHAnsi" w:cstheme="minorHAnsi"/>
          <w:bCs/>
          <w:szCs w:val="22"/>
        </w:rPr>
        <w:t>7.2.</w:t>
      </w:r>
      <w:r>
        <w:rPr>
          <w:rFonts w:asciiTheme="minorHAnsi" w:hAnsiTheme="minorHAnsi" w:cstheme="minorHAnsi"/>
          <w:bCs/>
          <w:szCs w:val="22"/>
        </w:rPr>
        <w:tab/>
      </w:r>
      <w:r>
        <w:rPr>
          <w:rFonts w:asciiTheme="minorHAnsi" w:hAnsiTheme="minorHAnsi" w:cstheme="minorHAnsi"/>
          <w:bCs/>
          <w:szCs w:val="22"/>
        </w:rPr>
        <w:t>Após o interregno de um ano, e independentemente de pedido da(s) DETERNTORA(S), os preços iniciais serão reajustados, mediante a aplicação, pela Gestora desta Ata, do índice IPCA, exclusivamente para as obrigações iniciadas e concluídas após a ocorrência da anualidade.</w:t>
      </w:r>
    </w:p>
    <w:p w14:paraId="48EF19B8">
      <w:pPr>
        <w:spacing w:line="276" w:lineRule="auto"/>
        <w:rPr>
          <w:rFonts w:asciiTheme="minorHAnsi" w:hAnsiTheme="minorHAnsi" w:eastAsiaTheme="minorHAnsi" w:cstheme="minorHAnsi"/>
          <w:bCs/>
          <w:sz w:val="22"/>
          <w:szCs w:val="22"/>
          <w:lang w:eastAsia="en-US"/>
        </w:rPr>
      </w:pPr>
    </w:p>
    <w:p w14:paraId="25EDD2D2">
      <w:pPr>
        <w:pStyle w:val="40"/>
        <w:spacing w:line="276" w:lineRule="auto"/>
        <w:jc w:val="both"/>
        <w:rPr>
          <w:rFonts w:asciiTheme="minorHAnsi" w:hAnsiTheme="minorHAnsi" w:cstheme="minorHAnsi"/>
          <w:bCs/>
          <w:szCs w:val="22"/>
        </w:rPr>
      </w:pPr>
      <w:r>
        <w:rPr>
          <w:rFonts w:asciiTheme="minorHAnsi" w:hAnsiTheme="minorHAnsi" w:cstheme="minorHAnsi"/>
          <w:bCs/>
          <w:szCs w:val="22"/>
        </w:rPr>
        <w:t>7.3.</w:t>
      </w:r>
      <w:r>
        <w:rPr>
          <w:rFonts w:asciiTheme="minorHAnsi" w:hAnsiTheme="minorHAnsi" w:cstheme="minorHAnsi"/>
          <w:bCs/>
          <w:szCs w:val="22"/>
        </w:rPr>
        <w:tab/>
      </w:r>
      <w:r>
        <w:rPr>
          <w:rFonts w:asciiTheme="minorHAnsi" w:hAnsiTheme="minorHAnsi" w:cstheme="minorHAnsi"/>
          <w:bCs/>
          <w:szCs w:val="22"/>
        </w:rPr>
        <w:t>Nos reajustes subsequentes ao primeiro, o interregno mínimo de um ano será contado a partir dos efeitos financeiros do último reajuste.</w:t>
      </w:r>
    </w:p>
    <w:p w14:paraId="2FBD99BB">
      <w:pPr>
        <w:pStyle w:val="40"/>
        <w:spacing w:line="276" w:lineRule="auto"/>
        <w:jc w:val="both"/>
        <w:rPr>
          <w:rFonts w:asciiTheme="minorHAnsi" w:hAnsiTheme="minorHAnsi" w:cstheme="minorHAnsi"/>
          <w:szCs w:val="22"/>
        </w:rPr>
      </w:pPr>
    </w:p>
    <w:p w14:paraId="17BF73CD">
      <w:pPr>
        <w:pStyle w:val="40"/>
        <w:spacing w:line="276" w:lineRule="auto"/>
        <w:jc w:val="both"/>
        <w:rPr>
          <w:rFonts w:asciiTheme="minorHAnsi" w:hAnsiTheme="minorHAnsi" w:cstheme="minorHAnsi"/>
          <w:szCs w:val="22"/>
        </w:rPr>
      </w:pPr>
      <w:r>
        <w:rPr>
          <w:rFonts w:asciiTheme="minorHAnsi" w:hAnsiTheme="minorHAnsi" w:cstheme="minorHAnsi"/>
          <w:szCs w:val="22"/>
        </w:rPr>
        <w:t>7.4.</w:t>
      </w:r>
      <w:r>
        <w:rPr>
          <w:rFonts w:asciiTheme="minorHAnsi" w:hAnsiTheme="minorHAnsi" w:cstheme="minorHAnsi"/>
          <w:szCs w:val="22"/>
        </w:rPr>
        <w:tab/>
      </w:r>
      <w:r>
        <w:rPr>
          <w:rFonts w:asciiTheme="minorHAnsi" w:hAnsiTheme="minorHAnsi" w:cstheme="minorHAnsi"/>
          <w:szCs w:val="22"/>
        </w:rPr>
        <w:t xml:space="preserve">No caso de atraso ou não divulgação do(s) índice(s) de reajustamento, a Gestora desta Ata pagará à(s) DETENTORA(S) a importância calculada pela última variação conhecida, liquidando a diferença correspondente tão logo seja(m) divulgado(s) o(s) índice(s) definitivo(s). </w:t>
      </w:r>
    </w:p>
    <w:p w14:paraId="26CA4349">
      <w:pPr>
        <w:pStyle w:val="40"/>
        <w:spacing w:line="276" w:lineRule="auto"/>
        <w:jc w:val="both"/>
        <w:rPr>
          <w:rFonts w:asciiTheme="minorHAnsi" w:hAnsiTheme="minorHAnsi" w:cstheme="minorHAnsi"/>
          <w:szCs w:val="22"/>
        </w:rPr>
      </w:pPr>
    </w:p>
    <w:p w14:paraId="388409C2">
      <w:pPr>
        <w:pStyle w:val="40"/>
        <w:spacing w:line="276" w:lineRule="auto"/>
        <w:jc w:val="both"/>
        <w:rPr>
          <w:rFonts w:asciiTheme="minorHAnsi" w:hAnsiTheme="minorHAnsi" w:cstheme="minorHAnsi"/>
          <w:szCs w:val="22"/>
        </w:rPr>
      </w:pPr>
      <w:r>
        <w:rPr>
          <w:rFonts w:asciiTheme="minorHAnsi" w:hAnsiTheme="minorHAnsi" w:cstheme="minorHAnsi"/>
          <w:szCs w:val="22"/>
        </w:rPr>
        <w:t>7.5.</w:t>
      </w:r>
      <w:r>
        <w:rPr>
          <w:rFonts w:asciiTheme="minorHAnsi" w:hAnsiTheme="minorHAnsi" w:cstheme="minorHAnsi"/>
          <w:szCs w:val="22"/>
        </w:rPr>
        <w:tab/>
      </w:r>
      <w:r>
        <w:rPr>
          <w:rFonts w:asciiTheme="minorHAnsi" w:hAnsiTheme="minorHAnsi" w:cstheme="minorHAnsi"/>
          <w:szCs w:val="22"/>
        </w:rPr>
        <w:t>Nas aferições finais, o(s) índice(s) utilizado(s) para reajuste será(ão), obrigatoriamente, o(s) definitivo(s).</w:t>
      </w:r>
    </w:p>
    <w:p w14:paraId="3C7720D5">
      <w:pPr>
        <w:pStyle w:val="40"/>
        <w:spacing w:line="276" w:lineRule="auto"/>
        <w:jc w:val="both"/>
        <w:rPr>
          <w:rFonts w:asciiTheme="minorHAnsi" w:hAnsiTheme="minorHAnsi" w:cstheme="minorHAnsi"/>
          <w:szCs w:val="22"/>
        </w:rPr>
      </w:pPr>
    </w:p>
    <w:p w14:paraId="41335E8D">
      <w:pPr>
        <w:pStyle w:val="40"/>
        <w:spacing w:line="276" w:lineRule="auto"/>
        <w:jc w:val="both"/>
        <w:rPr>
          <w:rFonts w:asciiTheme="minorHAnsi" w:hAnsiTheme="minorHAnsi" w:cstheme="minorHAnsi"/>
          <w:szCs w:val="22"/>
        </w:rPr>
      </w:pPr>
      <w:r>
        <w:rPr>
          <w:rFonts w:asciiTheme="minorHAnsi" w:hAnsiTheme="minorHAnsi" w:cstheme="minorHAnsi"/>
          <w:szCs w:val="22"/>
        </w:rPr>
        <w:t>7.6.</w:t>
      </w:r>
      <w:r>
        <w:rPr>
          <w:rFonts w:asciiTheme="minorHAnsi" w:hAnsiTheme="minorHAnsi" w:cstheme="minorHAnsi"/>
          <w:szCs w:val="22"/>
        </w:rPr>
        <w:tab/>
      </w:r>
      <w:r>
        <w:rPr>
          <w:rFonts w:asciiTheme="minorHAnsi" w:hAnsiTheme="minorHAnsi" w:cstheme="minorHAnsi"/>
          <w:szCs w:val="22"/>
        </w:rPr>
        <w:t>Caso o(s) índice(s) estabelecido(s) para reajustamento venha(m) a ser extinto(s) ou de qualquer forma não possa(m) mais ser utilizado(s), será(ão) adotado(s), em substituição, o(s) que vier(em) a ser determinado(s) pela legislação então em vigor.</w:t>
      </w:r>
    </w:p>
    <w:p w14:paraId="6ABF1286">
      <w:pPr>
        <w:pStyle w:val="40"/>
        <w:spacing w:line="276" w:lineRule="auto"/>
        <w:jc w:val="both"/>
        <w:rPr>
          <w:rFonts w:asciiTheme="minorHAnsi" w:hAnsiTheme="minorHAnsi" w:cstheme="minorHAnsi"/>
          <w:szCs w:val="22"/>
        </w:rPr>
      </w:pPr>
    </w:p>
    <w:p w14:paraId="3F368D93">
      <w:pPr>
        <w:pStyle w:val="40"/>
        <w:spacing w:line="276" w:lineRule="auto"/>
        <w:jc w:val="both"/>
        <w:rPr>
          <w:rFonts w:asciiTheme="minorHAnsi" w:hAnsiTheme="minorHAnsi" w:cstheme="minorHAnsi"/>
          <w:szCs w:val="22"/>
        </w:rPr>
      </w:pPr>
      <w:r>
        <w:rPr>
          <w:rFonts w:asciiTheme="minorHAnsi" w:hAnsiTheme="minorHAnsi" w:cstheme="minorHAnsi"/>
          <w:szCs w:val="22"/>
        </w:rPr>
        <w:t>7.7.</w:t>
      </w:r>
      <w:r>
        <w:rPr>
          <w:rFonts w:asciiTheme="minorHAnsi" w:hAnsiTheme="minorHAnsi" w:cstheme="minorHAnsi"/>
          <w:szCs w:val="22"/>
        </w:rPr>
        <w:tab/>
      </w:r>
      <w:r>
        <w:rPr>
          <w:rFonts w:asciiTheme="minorHAnsi" w:hAnsiTheme="minorHAnsi" w:cstheme="minorHAnsi"/>
          <w:szCs w:val="22"/>
        </w:rPr>
        <w:t>Na ausência de previsão legal quanto ao índice substituto, as partes elegerão novo índice oficial, para reajustamento do preço do valor remanescente, por meio de termo aditivo.</w:t>
      </w:r>
    </w:p>
    <w:p w14:paraId="2AE213A6">
      <w:pPr>
        <w:pStyle w:val="40"/>
        <w:spacing w:line="276" w:lineRule="auto"/>
        <w:jc w:val="both"/>
        <w:rPr>
          <w:rFonts w:asciiTheme="minorHAnsi" w:hAnsiTheme="minorHAnsi" w:cstheme="minorHAnsi"/>
          <w:szCs w:val="22"/>
        </w:rPr>
      </w:pPr>
    </w:p>
    <w:p w14:paraId="3E189994">
      <w:pPr>
        <w:pStyle w:val="40"/>
        <w:spacing w:line="276" w:lineRule="auto"/>
        <w:jc w:val="both"/>
        <w:rPr>
          <w:rFonts w:asciiTheme="minorHAnsi" w:hAnsiTheme="minorHAnsi" w:cstheme="minorHAnsi"/>
          <w:szCs w:val="22"/>
        </w:rPr>
      </w:pPr>
      <w:r>
        <w:rPr>
          <w:rFonts w:asciiTheme="minorHAnsi" w:hAnsiTheme="minorHAnsi" w:cstheme="minorHAnsi"/>
          <w:szCs w:val="22"/>
        </w:rPr>
        <w:t>7.8.</w:t>
      </w:r>
      <w:r>
        <w:rPr>
          <w:rFonts w:asciiTheme="minorHAnsi" w:hAnsiTheme="minorHAnsi" w:cstheme="minorHAnsi"/>
          <w:szCs w:val="22"/>
        </w:rPr>
        <w:tab/>
      </w:r>
      <w:r>
        <w:rPr>
          <w:rFonts w:asciiTheme="minorHAnsi" w:hAnsiTheme="minorHAnsi" w:cstheme="minorHAnsi"/>
          <w:szCs w:val="22"/>
        </w:rPr>
        <w:t>Nos termos da alínea “d”, do inciso II, do Art. 124, da lei Federal 14.133/2021, e do Art. 11, do Decreto Municipal n.º 411/2023, parte final, os preços registrados poderão ser objeto de revisão, em decorrência de fato superveniente que eleve o custo do objeto registrado.</w:t>
      </w:r>
    </w:p>
    <w:p w14:paraId="50C8872D">
      <w:pPr>
        <w:pStyle w:val="40"/>
        <w:spacing w:line="276" w:lineRule="auto"/>
        <w:jc w:val="both"/>
        <w:rPr>
          <w:rFonts w:asciiTheme="minorHAnsi" w:hAnsiTheme="minorHAnsi" w:cstheme="minorHAnsi"/>
          <w:szCs w:val="22"/>
        </w:rPr>
      </w:pPr>
    </w:p>
    <w:p w14:paraId="37F69CF8">
      <w:pPr>
        <w:pStyle w:val="40"/>
        <w:spacing w:line="276" w:lineRule="auto"/>
        <w:ind w:left="426"/>
        <w:jc w:val="both"/>
        <w:rPr>
          <w:rFonts w:asciiTheme="minorHAnsi" w:hAnsiTheme="minorHAnsi" w:cstheme="minorHAnsi"/>
          <w:szCs w:val="22"/>
        </w:rPr>
      </w:pPr>
      <w:r>
        <w:rPr>
          <w:rFonts w:asciiTheme="minorHAnsi" w:hAnsiTheme="minorHAnsi" w:cstheme="minorHAnsi"/>
          <w:szCs w:val="22"/>
        </w:rPr>
        <w:t>7.8.1. Para apresentação e instrução do pedido de revisão, a(s) empresa(s) DENTENTORA(S) da presente Ata deverá(ão) observar as disposições contidas no Art. 13 do Decreto Municipal n.º 411/2023.</w:t>
      </w:r>
    </w:p>
    <w:p w14:paraId="0AF0A4D9">
      <w:pPr>
        <w:pStyle w:val="40"/>
        <w:spacing w:line="276" w:lineRule="auto"/>
        <w:jc w:val="both"/>
        <w:rPr>
          <w:rFonts w:asciiTheme="minorHAnsi" w:hAnsiTheme="minorHAnsi" w:cstheme="minorHAnsi"/>
          <w:szCs w:val="22"/>
        </w:rPr>
      </w:pPr>
    </w:p>
    <w:p w14:paraId="4CF0C8A3">
      <w:pPr>
        <w:pStyle w:val="40"/>
        <w:spacing w:line="276" w:lineRule="auto"/>
        <w:jc w:val="both"/>
        <w:rPr>
          <w:rFonts w:asciiTheme="minorHAnsi" w:hAnsiTheme="minorHAnsi" w:cstheme="minorHAnsi"/>
          <w:szCs w:val="22"/>
        </w:rPr>
      </w:pPr>
      <w:r>
        <w:rPr>
          <w:rFonts w:asciiTheme="minorHAnsi" w:hAnsiTheme="minorHAnsi" w:cstheme="minorHAnsi"/>
          <w:szCs w:val="22"/>
        </w:rPr>
        <w:t>7.9. Nos termos do Art. 17 do decreto Municipal n.º 411/2023, poderão ocorrer alterações nos contratos decorrentes desta Ata de Registro de Preços, observadas as disposições dos Artigos 124 a 136 da Lei Federal nº 14.133/2021.</w:t>
      </w:r>
    </w:p>
    <w:p w14:paraId="7945D129">
      <w:pPr>
        <w:pStyle w:val="40"/>
        <w:spacing w:line="276" w:lineRule="auto"/>
        <w:jc w:val="both"/>
        <w:rPr>
          <w:rFonts w:asciiTheme="minorHAnsi" w:hAnsiTheme="minorHAnsi" w:cstheme="minorHAnsi"/>
          <w:color w:val="FF0000"/>
          <w:szCs w:val="22"/>
        </w:rPr>
      </w:pPr>
    </w:p>
    <w:p w14:paraId="3A20CEE5">
      <w:pPr>
        <w:pStyle w:val="21"/>
        <w:numPr>
          <w:ilvl w:val="0"/>
          <w:numId w:val="12"/>
        </w:numPr>
        <w:spacing w:line="276" w:lineRule="auto"/>
        <w:rPr>
          <w:rFonts w:asciiTheme="minorHAnsi" w:hAnsiTheme="minorHAnsi" w:eastAsiaTheme="minorHAnsi" w:cstheme="minorHAnsi"/>
          <w:sz w:val="22"/>
          <w:szCs w:val="22"/>
          <w:lang w:eastAsia="en-US"/>
        </w:rPr>
      </w:pPr>
      <w:r>
        <w:rPr>
          <w:rFonts w:asciiTheme="minorHAnsi" w:hAnsiTheme="minorHAnsi" w:cstheme="minorHAnsi"/>
          <w:b/>
          <w:sz w:val="22"/>
          <w:szCs w:val="22"/>
        </w:rPr>
        <w:t>DA OBRIGAÇÃO DE FORNECIMENTO</w:t>
      </w:r>
    </w:p>
    <w:p w14:paraId="69609AD5">
      <w:pPr>
        <w:spacing w:line="276" w:lineRule="auto"/>
        <w:rPr>
          <w:rFonts w:asciiTheme="minorHAnsi" w:hAnsiTheme="minorHAnsi" w:eastAsiaTheme="minorHAnsi" w:cstheme="minorHAnsi"/>
          <w:sz w:val="22"/>
          <w:szCs w:val="22"/>
          <w:lang w:eastAsia="en-US"/>
        </w:rPr>
      </w:pPr>
    </w:p>
    <w:p w14:paraId="26ACCA30">
      <w:pPr>
        <w:pStyle w:val="40"/>
        <w:spacing w:line="276" w:lineRule="auto"/>
        <w:jc w:val="both"/>
        <w:rPr>
          <w:rFonts w:asciiTheme="minorHAnsi" w:hAnsiTheme="minorHAnsi" w:cstheme="minorHAnsi"/>
          <w:bCs/>
          <w:szCs w:val="22"/>
        </w:rPr>
      </w:pPr>
      <w:r>
        <w:rPr>
          <w:rFonts w:asciiTheme="minorHAnsi" w:hAnsiTheme="minorHAnsi" w:cstheme="minorHAnsi"/>
          <w:bCs/>
          <w:szCs w:val="22"/>
        </w:rPr>
        <w:t>8.1. Durante o prazo de validade desta Ata de Registro de Preços e do preço registrado na Ata de Registro de Preços, a (s) DETENTORA(S) estará (ão) obrigada (s) a fornecer ao MUNICÍPIO, sempre que este lhe exigir, na quantidade pretendida e dentro das especificações referidas na Autorização de Fornecimento (AF), os produtos objeto do presente, conforme Ata de Registro de Preços.</w:t>
      </w:r>
    </w:p>
    <w:p w14:paraId="4DD569FB">
      <w:pPr>
        <w:pStyle w:val="40"/>
        <w:spacing w:line="276" w:lineRule="auto"/>
        <w:jc w:val="both"/>
        <w:rPr>
          <w:rFonts w:asciiTheme="minorHAnsi" w:hAnsiTheme="minorHAnsi" w:cstheme="minorHAnsi"/>
          <w:bCs/>
          <w:szCs w:val="22"/>
        </w:rPr>
      </w:pPr>
    </w:p>
    <w:p w14:paraId="0F4F9429">
      <w:pPr>
        <w:pStyle w:val="40"/>
        <w:spacing w:line="276" w:lineRule="auto"/>
        <w:ind w:left="284"/>
        <w:jc w:val="both"/>
        <w:rPr>
          <w:rFonts w:asciiTheme="minorHAnsi" w:hAnsiTheme="minorHAnsi" w:cstheme="minorHAnsi"/>
          <w:bCs/>
          <w:szCs w:val="22"/>
        </w:rPr>
      </w:pPr>
      <w:r>
        <w:rPr>
          <w:rFonts w:asciiTheme="minorHAnsi" w:hAnsiTheme="minorHAnsi" w:cstheme="minorHAnsi"/>
          <w:bCs/>
          <w:szCs w:val="22"/>
        </w:rPr>
        <w:t>8.1.1. A(S) DETENTORA(S) estará(ão) obrigada(s) a atender a todas as Autorizações de Fornecimento expedidas durante a vigência da presente Ata de Registro de Preço, mesmo que a respectiva entrega esteja prevista para data posterior a de seu termo final.</w:t>
      </w:r>
    </w:p>
    <w:p w14:paraId="78E8BC3C">
      <w:pPr>
        <w:pStyle w:val="40"/>
        <w:spacing w:line="276" w:lineRule="auto"/>
        <w:ind w:left="284"/>
        <w:jc w:val="both"/>
        <w:rPr>
          <w:rFonts w:asciiTheme="minorHAnsi" w:hAnsiTheme="minorHAnsi" w:cstheme="minorHAnsi"/>
          <w:bCs/>
          <w:szCs w:val="22"/>
        </w:rPr>
      </w:pPr>
    </w:p>
    <w:p w14:paraId="7AF3916D">
      <w:pPr>
        <w:pStyle w:val="40"/>
        <w:spacing w:line="276" w:lineRule="auto"/>
        <w:jc w:val="both"/>
        <w:rPr>
          <w:rFonts w:asciiTheme="minorHAnsi" w:hAnsiTheme="minorHAnsi" w:cstheme="minorHAnsi"/>
          <w:bCs/>
          <w:szCs w:val="22"/>
        </w:rPr>
      </w:pPr>
      <w:r>
        <w:rPr>
          <w:rFonts w:asciiTheme="minorHAnsi" w:hAnsiTheme="minorHAnsi" w:cstheme="minorHAnsi"/>
          <w:bCs/>
          <w:szCs w:val="22"/>
        </w:rPr>
        <w:t>8.2. O MUNICÍPIO não estará obrigado a adquirir da(s) DETENTORA(S) uma quantidade mínima dos produtos objeto da presente Ata de Registro de Preços, ficando a seu exclusivo critério a definição da quantidade, do momento e da forma de fornecimento, desde que respeitado o disposto nas cláusulas antecedentes.</w:t>
      </w:r>
    </w:p>
    <w:p w14:paraId="6D1F0D10">
      <w:pPr>
        <w:pStyle w:val="40"/>
        <w:spacing w:line="276" w:lineRule="auto"/>
        <w:jc w:val="both"/>
        <w:rPr>
          <w:rFonts w:asciiTheme="minorHAnsi" w:hAnsiTheme="minorHAnsi" w:cstheme="minorHAnsi"/>
          <w:bCs/>
          <w:szCs w:val="22"/>
        </w:rPr>
      </w:pPr>
    </w:p>
    <w:p w14:paraId="5B45126D">
      <w:pPr>
        <w:pStyle w:val="40"/>
        <w:spacing w:line="276" w:lineRule="auto"/>
        <w:jc w:val="both"/>
        <w:rPr>
          <w:rFonts w:asciiTheme="minorHAnsi" w:hAnsiTheme="minorHAnsi" w:cstheme="minorHAnsi"/>
          <w:bCs/>
          <w:szCs w:val="22"/>
        </w:rPr>
      </w:pPr>
      <w:r>
        <w:rPr>
          <w:rFonts w:asciiTheme="minorHAnsi" w:hAnsiTheme="minorHAnsi" w:cstheme="minorHAnsi"/>
          <w:bCs/>
          <w:szCs w:val="22"/>
        </w:rPr>
        <w:t>8.3. A existência de preços registrados implicará compromisso de fornecimento nas condições estabelecidas, mas não obrigará o MUNICÍPIO a contratar, facultada a realização de licitação específica para a contratação pretendida, dede que devidamente motivada, assegurada preferência ao fornecedor registrado em igualdade de condições, conforme art. 6º do Decreto Municipal n.º 411/2023.</w:t>
      </w:r>
    </w:p>
    <w:p w14:paraId="731924FC">
      <w:pPr>
        <w:spacing w:line="276" w:lineRule="auto"/>
        <w:rPr>
          <w:rFonts w:asciiTheme="minorHAnsi" w:hAnsiTheme="minorHAnsi" w:eastAsiaTheme="minorHAnsi" w:cstheme="minorHAnsi"/>
          <w:bCs/>
          <w:sz w:val="22"/>
          <w:szCs w:val="22"/>
          <w:lang w:eastAsia="en-US"/>
        </w:rPr>
      </w:pPr>
    </w:p>
    <w:p w14:paraId="7B64A5F5">
      <w:pPr>
        <w:pStyle w:val="21"/>
        <w:numPr>
          <w:ilvl w:val="0"/>
          <w:numId w:val="12"/>
        </w:numPr>
        <w:spacing w:line="276" w:lineRule="auto"/>
        <w:rPr>
          <w:rFonts w:asciiTheme="minorHAnsi" w:hAnsiTheme="minorHAnsi" w:eastAsiaTheme="minorHAnsi" w:cstheme="minorHAnsi"/>
          <w:sz w:val="22"/>
          <w:szCs w:val="22"/>
          <w:lang w:eastAsia="en-US"/>
        </w:rPr>
      </w:pPr>
      <w:r>
        <w:rPr>
          <w:rFonts w:asciiTheme="minorHAnsi" w:hAnsiTheme="minorHAnsi" w:cstheme="minorHAnsi"/>
          <w:b/>
          <w:sz w:val="22"/>
          <w:szCs w:val="22"/>
        </w:rPr>
        <w:t>DAS CONDIÇÕES DE FORNECIMENTO</w:t>
      </w:r>
    </w:p>
    <w:p w14:paraId="18010D37">
      <w:pPr>
        <w:spacing w:line="276" w:lineRule="auto"/>
        <w:rPr>
          <w:rFonts w:asciiTheme="minorHAnsi" w:hAnsiTheme="minorHAnsi" w:eastAsiaTheme="minorHAnsi" w:cstheme="minorHAnsi"/>
          <w:sz w:val="22"/>
          <w:szCs w:val="22"/>
          <w:lang w:eastAsia="en-US"/>
        </w:rPr>
      </w:pPr>
    </w:p>
    <w:p w14:paraId="37A2AEAB">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9.1. Sempre que necessitar, ao longo de todo período de validade da presente Ata de Registro de Preços, a Prefeitura enviará através de e-mail a respectiva Autorização de Fornecimento que deverá ser confirmado seu recebimento pela DETENTORA(S) no prazo de 24 (vinte e quatro) horas.</w:t>
      </w:r>
    </w:p>
    <w:p w14:paraId="7713A637">
      <w:pPr>
        <w:pStyle w:val="40"/>
        <w:spacing w:line="276" w:lineRule="auto"/>
        <w:jc w:val="both"/>
        <w:rPr>
          <w:rFonts w:asciiTheme="minorHAnsi" w:hAnsiTheme="minorHAnsi" w:cstheme="minorHAnsi"/>
          <w:bCs/>
          <w:szCs w:val="22"/>
        </w:rPr>
      </w:pPr>
    </w:p>
    <w:p w14:paraId="47DC92DA">
      <w:pPr>
        <w:pStyle w:val="40"/>
        <w:spacing w:line="276" w:lineRule="auto"/>
        <w:jc w:val="both"/>
        <w:rPr>
          <w:rFonts w:asciiTheme="minorHAnsi" w:hAnsiTheme="minorHAnsi" w:cstheme="minorHAnsi"/>
          <w:bCs/>
          <w:szCs w:val="22"/>
        </w:rPr>
      </w:pPr>
      <w:r>
        <w:rPr>
          <w:rFonts w:asciiTheme="minorHAnsi" w:hAnsiTheme="minorHAnsi" w:cstheme="minorHAnsi"/>
          <w:bCs/>
          <w:szCs w:val="22"/>
        </w:rPr>
        <w:t>9.2. A autorização de fornecimento, que será considerada como o contrato de fornecimento acessório da presente Ata de Registro de Preços, estipulará:</w:t>
      </w:r>
    </w:p>
    <w:p w14:paraId="73FA8D3C">
      <w:pPr>
        <w:pStyle w:val="40"/>
        <w:spacing w:line="276" w:lineRule="auto"/>
        <w:jc w:val="both"/>
        <w:rPr>
          <w:rFonts w:asciiTheme="minorHAnsi" w:hAnsiTheme="minorHAnsi" w:cstheme="minorHAnsi"/>
          <w:bCs/>
          <w:szCs w:val="22"/>
        </w:rPr>
      </w:pPr>
    </w:p>
    <w:p w14:paraId="6E09210B">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a) a quantidade do produto a ser fornecida pela(s) DETENTORA(S) no momento, respeitado o disposto nesta Ata de Registro de Preços e demais documentos que a integram;</w:t>
      </w:r>
    </w:p>
    <w:p w14:paraId="6F4592B6">
      <w:pPr>
        <w:pStyle w:val="40"/>
        <w:spacing w:line="276" w:lineRule="auto"/>
        <w:ind w:left="567"/>
        <w:jc w:val="both"/>
        <w:rPr>
          <w:rFonts w:asciiTheme="minorHAnsi" w:hAnsiTheme="minorHAnsi" w:cstheme="minorHAnsi"/>
          <w:bCs/>
          <w:szCs w:val="22"/>
        </w:rPr>
      </w:pPr>
    </w:p>
    <w:p w14:paraId="5B1A49B9">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b) a forma do fornecimento da quantidade no momento desejada, se parcelada em dias diferentes ou se integral;</w:t>
      </w:r>
    </w:p>
    <w:p w14:paraId="1A8B36EB">
      <w:pPr>
        <w:pStyle w:val="40"/>
        <w:spacing w:line="276" w:lineRule="auto"/>
        <w:ind w:left="567"/>
        <w:jc w:val="both"/>
        <w:rPr>
          <w:rFonts w:asciiTheme="minorHAnsi" w:hAnsiTheme="minorHAnsi" w:cstheme="minorHAnsi"/>
          <w:bCs/>
          <w:szCs w:val="22"/>
          <w:highlight w:val="green"/>
        </w:rPr>
      </w:pPr>
    </w:p>
    <w:p w14:paraId="69C6A0BF">
      <w:pPr>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 xml:space="preserve">c) o prazo máximo de entrega dos produtos que será de </w:t>
      </w:r>
      <w:r>
        <w:rPr>
          <w:rFonts w:asciiTheme="minorHAnsi" w:hAnsiTheme="minorHAnsi" w:cstheme="minorHAnsi"/>
          <w:b/>
          <w:sz w:val="22"/>
          <w:szCs w:val="22"/>
        </w:rPr>
        <w:t>10 (dez) dias</w:t>
      </w:r>
      <w:r>
        <w:rPr>
          <w:rFonts w:asciiTheme="minorHAnsi" w:hAnsiTheme="minorHAnsi" w:cstheme="minorHAnsi"/>
          <w:bCs/>
          <w:sz w:val="22"/>
          <w:szCs w:val="22"/>
        </w:rPr>
        <w:t xml:space="preserve">, após o recebimento da Autorização de Fornecimento (A.F.). </w:t>
      </w:r>
    </w:p>
    <w:p w14:paraId="0411B541">
      <w:pPr>
        <w:pStyle w:val="40"/>
        <w:spacing w:line="276" w:lineRule="auto"/>
        <w:ind w:left="567"/>
        <w:jc w:val="both"/>
        <w:rPr>
          <w:rFonts w:asciiTheme="minorHAnsi" w:hAnsiTheme="minorHAnsi" w:cstheme="minorHAnsi"/>
          <w:b/>
          <w:szCs w:val="22"/>
        </w:rPr>
      </w:pPr>
    </w:p>
    <w:p w14:paraId="36632760">
      <w:pPr>
        <w:pStyle w:val="40"/>
        <w:spacing w:line="276" w:lineRule="auto"/>
        <w:jc w:val="both"/>
        <w:rPr>
          <w:rFonts w:asciiTheme="minorHAnsi" w:hAnsiTheme="minorHAnsi" w:cstheme="minorHAnsi"/>
          <w:bCs/>
          <w:szCs w:val="22"/>
        </w:rPr>
      </w:pPr>
      <w:r>
        <w:rPr>
          <w:rFonts w:asciiTheme="minorHAnsi" w:hAnsiTheme="minorHAnsi" w:cstheme="minorHAnsi"/>
          <w:bCs/>
          <w:szCs w:val="22"/>
        </w:rPr>
        <w:t>9.3. Respeitados os limites estabelecidos no Termo de Referência e demais anexos que integram esta Ata de Registro de Preços, será facultado ao MUNICÍPIO convocar a(s) DETENTORA(S) para assinar tantas autorizações de fornecimento quanto forem necessárias para o atendimento de suas necessidades.</w:t>
      </w:r>
    </w:p>
    <w:p w14:paraId="14EA6086">
      <w:pPr>
        <w:pStyle w:val="40"/>
        <w:spacing w:line="276" w:lineRule="auto"/>
        <w:jc w:val="both"/>
        <w:rPr>
          <w:rFonts w:asciiTheme="minorHAnsi" w:hAnsiTheme="minorHAnsi" w:cstheme="minorHAnsi"/>
          <w:bCs/>
          <w:szCs w:val="22"/>
        </w:rPr>
      </w:pPr>
    </w:p>
    <w:p w14:paraId="7E85B590">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9.4. O não atendimento injustificado pela(s) Detentora(s) no prazo estipulado para a confirmação do recebimento da Autorização de Fornecimento será considerada como fato qualificador da inexecução total do objeto constante na respectiva Autorização de Fornecimento, para os fins previstos na legislação em vigor e no presente compromisso de fornecimento.</w:t>
      </w:r>
    </w:p>
    <w:p w14:paraId="1C02EF4A">
      <w:pPr>
        <w:spacing w:line="276" w:lineRule="auto"/>
        <w:rPr>
          <w:rFonts w:asciiTheme="minorHAnsi" w:hAnsiTheme="minorHAnsi" w:eastAsiaTheme="minorHAnsi" w:cstheme="minorHAnsi"/>
          <w:sz w:val="22"/>
          <w:szCs w:val="22"/>
          <w:lang w:eastAsia="en-US"/>
        </w:rPr>
      </w:pPr>
    </w:p>
    <w:p w14:paraId="346B19C9">
      <w:pPr>
        <w:pStyle w:val="21"/>
        <w:numPr>
          <w:ilvl w:val="0"/>
          <w:numId w:val="12"/>
        </w:numPr>
        <w:spacing w:line="276" w:lineRule="auto"/>
        <w:rPr>
          <w:rFonts w:asciiTheme="minorHAnsi" w:hAnsiTheme="minorHAnsi" w:eastAsiaTheme="minorHAnsi" w:cstheme="minorHAnsi"/>
          <w:sz w:val="22"/>
          <w:szCs w:val="22"/>
          <w:lang w:eastAsia="en-US"/>
        </w:rPr>
      </w:pPr>
      <w:r>
        <w:rPr>
          <w:rFonts w:asciiTheme="minorHAnsi" w:hAnsiTheme="minorHAnsi" w:cstheme="minorHAnsi"/>
          <w:b/>
          <w:sz w:val="22"/>
          <w:szCs w:val="22"/>
        </w:rPr>
        <w:t>DA DOTAÇÃO ORÇAMENTÁRIA</w:t>
      </w:r>
    </w:p>
    <w:p w14:paraId="0FE9142B">
      <w:pPr>
        <w:pStyle w:val="21"/>
        <w:spacing w:line="276" w:lineRule="auto"/>
        <w:ind w:left="540"/>
        <w:rPr>
          <w:rFonts w:asciiTheme="minorHAnsi" w:hAnsiTheme="minorHAnsi" w:eastAsiaTheme="minorHAnsi" w:cstheme="minorHAnsi"/>
          <w:sz w:val="22"/>
          <w:szCs w:val="22"/>
          <w:lang w:eastAsia="en-US"/>
        </w:rPr>
      </w:pPr>
    </w:p>
    <w:p w14:paraId="666C8D30">
      <w:pPr>
        <w:pStyle w:val="41"/>
        <w:spacing w:line="276" w:lineRule="auto"/>
        <w:ind w:firstLine="0"/>
        <w:rPr>
          <w:rFonts w:asciiTheme="minorHAnsi" w:hAnsiTheme="minorHAnsi" w:cstheme="minorHAnsi"/>
          <w:sz w:val="22"/>
          <w:szCs w:val="22"/>
        </w:rPr>
      </w:pPr>
      <w:r>
        <w:rPr>
          <w:rFonts w:asciiTheme="minorHAnsi" w:hAnsiTheme="minorHAnsi" w:cstheme="minorHAnsi"/>
          <w:bCs/>
          <w:sz w:val="22"/>
          <w:szCs w:val="22"/>
        </w:rPr>
        <w:t>10.1.</w:t>
      </w:r>
      <w:r>
        <w:rPr>
          <w:rFonts w:asciiTheme="minorHAnsi" w:hAnsiTheme="minorHAnsi" w:cstheme="minorHAnsi"/>
          <w:b/>
          <w:sz w:val="22"/>
          <w:szCs w:val="22"/>
        </w:rPr>
        <w:t xml:space="preserve"> </w:t>
      </w:r>
      <w:r>
        <w:rPr>
          <w:rFonts w:asciiTheme="minorHAnsi" w:hAnsiTheme="minorHAnsi" w:cstheme="minorHAnsi"/>
          <w:sz w:val="22"/>
          <w:szCs w:val="22"/>
        </w:rPr>
        <w:t>A(s) dotação(ões) orçamentária(s) que dará(ão) suporte às despesas decorrentes  desta Ata de Registro de Preços será(ão):</w:t>
      </w:r>
    </w:p>
    <w:p w14:paraId="58399738">
      <w:pPr>
        <w:spacing w:line="276" w:lineRule="auto"/>
        <w:rPr>
          <w:rFonts w:asciiTheme="minorHAnsi" w:hAnsiTheme="minorHAnsi" w:eastAsiaTheme="minorHAnsi" w:cstheme="minorHAnsi"/>
          <w:sz w:val="22"/>
          <w:szCs w:val="22"/>
          <w:lang w:eastAsia="en-US"/>
        </w:rPr>
      </w:pPr>
    </w:p>
    <w:p w14:paraId="5B768697">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02.06.01.10.301.0007.2029.3.3.90.32.00 – Ficha 203;</w:t>
      </w:r>
    </w:p>
    <w:p w14:paraId="6D162E63">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02.06.01.10.301.0007.2029.3.3.90.32.00 – Ficha 507;</w:t>
      </w:r>
    </w:p>
    <w:p w14:paraId="06FE7C83">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02.06.01.10.301.0007.2029.3.3.90.32.00 – Ficha 508;</w:t>
      </w:r>
    </w:p>
    <w:p w14:paraId="6BFB5A78">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232;</w:t>
      </w:r>
    </w:p>
    <w:p w14:paraId="24CAA63B">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203;</w:t>
      </w:r>
    </w:p>
    <w:p w14:paraId="0D57E9FF">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233;</w:t>
      </w:r>
    </w:p>
    <w:p w14:paraId="00B896D6">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234;</w:t>
      </w:r>
    </w:p>
    <w:p w14:paraId="447F2FE3">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531;</w:t>
      </w:r>
    </w:p>
    <w:p w14:paraId="5E5CEE62">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530;</w:t>
      </w:r>
    </w:p>
    <w:p w14:paraId="2E31FF84">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533;</w:t>
      </w:r>
    </w:p>
    <w:p w14:paraId="4F244398">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02.06.01.10.301.0007.2029.3.3.90.30.00 – Ficha 532;</w:t>
      </w:r>
    </w:p>
    <w:p w14:paraId="3D41F37D">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02.06.01.10.301.0007.2029.3.3.90.32.00 – Ficha 235;</w:t>
      </w:r>
    </w:p>
    <w:p w14:paraId="2626D103">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02.06.01.10.301.0007.2029.3.3.90.32.00 – Ficha 236;</w:t>
      </w:r>
    </w:p>
    <w:p w14:paraId="3A2D2852">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02.06.01.10.301.0007.2029.3.3.90.39.00 – Ficha 237;</w:t>
      </w:r>
    </w:p>
    <w:p w14:paraId="7170AF86">
      <w:pPr>
        <w:numPr>
          <w:ilvl w:val="0"/>
          <w:numId w:val="34"/>
        </w:numPr>
        <w:tabs>
          <w:tab w:val="left" w:pos="567"/>
        </w:tabs>
        <w:suppressAutoHyphens/>
        <w:spacing w:before="120" w:after="120"/>
        <w:ind w:hanging="360"/>
        <w:jc w:val="both"/>
        <w:rPr>
          <w:rFonts w:asciiTheme="minorHAnsi" w:hAnsiTheme="minorHAnsi" w:cstheme="minorHAnsi"/>
          <w:sz w:val="22"/>
          <w:szCs w:val="22"/>
        </w:rPr>
      </w:pPr>
      <w:r>
        <w:rPr>
          <w:rFonts w:asciiTheme="minorHAnsi" w:hAnsiTheme="minorHAnsi" w:cstheme="minorHAnsi"/>
          <w:sz w:val="22"/>
          <w:szCs w:val="22"/>
        </w:rPr>
        <w:t xml:space="preserve">02.06.01.10.301.0007.2029.3.3.90.91.00 – Ficha 238. </w:t>
      </w:r>
    </w:p>
    <w:p w14:paraId="4D2E5CCD">
      <w:pPr>
        <w:spacing w:line="276" w:lineRule="auto"/>
        <w:rPr>
          <w:rFonts w:asciiTheme="minorHAnsi" w:hAnsiTheme="minorHAnsi" w:eastAsiaTheme="minorHAnsi" w:cstheme="minorHAnsi"/>
          <w:color w:val="FF0000"/>
          <w:sz w:val="22"/>
          <w:szCs w:val="22"/>
          <w:lang w:eastAsia="en-US"/>
        </w:rPr>
      </w:pPr>
    </w:p>
    <w:p w14:paraId="56CF7EA6">
      <w:pPr>
        <w:pStyle w:val="40"/>
        <w:numPr>
          <w:ilvl w:val="0"/>
          <w:numId w:val="12"/>
        </w:numPr>
        <w:spacing w:line="276" w:lineRule="auto"/>
        <w:jc w:val="both"/>
        <w:rPr>
          <w:rFonts w:asciiTheme="minorHAnsi" w:hAnsiTheme="minorHAnsi" w:cstheme="minorHAnsi"/>
          <w:b/>
          <w:szCs w:val="22"/>
        </w:rPr>
      </w:pPr>
      <w:r>
        <w:rPr>
          <w:rFonts w:asciiTheme="minorHAnsi" w:hAnsiTheme="minorHAnsi" w:cstheme="minorHAnsi"/>
          <w:b/>
          <w:szCs w:val="22"/>
        </w:rPr>
        <w:t>DA ENTREGA DO(S) PRODUTO(S)</w:t>
      </w:r>
    </w:p>
    <w:p w14:paraId="671689D0">
      <w:pPr>
        <w:pStyle w:val="21"/>
        <w:spacing w:line="276" w:lineRule="auto"/>
        <w:ind w:left="540"/>
        <w:rPr>
          <w:rFonts w:asciiTheme="minorHAnsi" w:hAnsiTheme="minorHAnsi" w:eastAsiaTheme="minorHAnsi" w:cstheme="minorHAnsi"/>
          <w:sz w:val="22"/>
          <w:szCs w:val="22"/>
          <w:lang w:eastAsia="en-US"/>
        </w:rPr>
      </w:pPr>
    </w:p>
    <w:p w14:paraId="5F943890">
      <w:pPr>
        <w:pStyle w:val="40"/>
        <w:spacing w:line="276" w:lineRule="auto"/>
        <w:jc w:val="both"/>
        <w:rPr>
          <w:rFonts w:asciiTheme="minorHAnsi" w:hAnsiTheme="minorHAnsi" w:cstheme="minorHAnsi"/>
          <w:bCs/>
          <w:szCs w:val="22"/>
        </w:rPr>
      </w:pPr>
      <w:r>
        <w:rPr>
          <w:rFonts w:asciiTheme="minorHAnsi" w:hAnsiTheme="minorHAnsi" w:cstheme="minorHAnsi"/>
          <w:bCs/>
          <w:szCs w:val="22"/>
        </w:rPr>
        <w:t>11.1. Aperfeiçoada a autorização de fornecimento na forma prevista na cláusula 8.2 desta Ata de Registro de Preços, estará(ão) a(s) DETENTORA(S) obrigada(s) a fornecer os produtos nela estipulados, no prazo e na(s) quantidade(s) prevista(s).</w:t>
      </w:r>
    </w:p>
    <w:p w14:paraId="544AE3F9">
      <w:pPr>
        <w:pStyle w:val="40"/>
        <w:spacing w:line="276" w:lineRule="auto"/>
        <w:jc w:val="both"/>
        <w:rPr>
          <w:rFonts w:asciiTheme="minorHAnsi" w:hAnsiTheme="minorHAnsi" w:cstheme="minorHAnsi"/>
          <w:bCs/>
          <w:szCs w:val="22"/>
        </w:rPr>
      </w:pPr>
    </w:p>
    <w:p w14:paraId="5818A45E">
      <w:pPr>
        <w:pStyle w:val="40"/>
        <w:spacing w:line="276" w:lineRule="auto"/>
        <w:jc w:val="both"/>
        <w:rPr>
          <w:rFonts w:asciiTheme="minorHAnsi" w:hAnsiTheme="minorHAnsi" w:cstheme="minorHAnsi"/>
          <w:bCs/>
          <w:szCs w:val="22"/>
        </w:rPr>
      </w:pPr>
      <w:r>
        <w:rPr>
          <w:rFonts w:asciiTheme="minorHAnsi" w:hAnsiTheme="minorHAnsi" w:cstheme="minorHAnsi"/>
          <w:bCs/>
          <w:szCs w:val="22"/>
        </w:rPr>
        <w:t>11.2. Não será admitida a entrega de produtos pela(s) DETENTORA(S), nem o seu recebimento, sem que previamente tenha sido aperfeiçoada a respectiva autorização de fornecimento.</w:t>
      </w:r>
    </w:p>
    <w:p w14:paraId="44668CFB">
      <w:pPr>
        <w:pStyle w:val="40"/>
        <w:spacing w:line="276" w:lineRule="auto"/>
        <w:jc w:val="both"/>
        <w:rPr>
          <w:rFonts w:asciiTheme="minorHAnsi" w:hAnsiTheme="minorHAnsi" w:cstheme="minorHAnsi"/>
          <w:bCs/>
          <w:szCs w:val="22"/>
        </w:rPr>
      </w:pPr>
    </w:p>
    <w:p w14:paraId="2D3B4310">
      <w:pPr>
        <w:pStyle w:val="40"/>
        <w:spacing w:line="276" w:lineRule="auto"/>
        <w:jc w:val="both"/>
        <w:rPr>
          <w:rFonts w:asciiTheme="minorHAnsi" w:hAnsiTheme="minorHAnsi" w:cstheme="minorHAnsi"/>
          <w:bCs/>
          <w:szCs w:val="22"/>
        </w:rPr>
      </w:pPr>
      <w:r>
        <w:rPr>
          <w:rFonts w:asciiTheme="minorHAnsi" w:hAnsiTheme="minorHAnsi" w:cstheme="minorHAnsi"/>
          <w:bCs/>
          <w:szCs w:val="22"/>
        </w:rPr>
        <w:t>11.3. Os produtos, objeto da presente Ata de Registro de Preços, deverão ser entregues pela(s) DETENTORA(S) nos termos e prazos constantes da Autorização de Fornecimento.</w:t>
      </w:r>
    </w:p>
    <w:p w14:paraId="51FC8557">
      <w:pPr>
        <w:pStyle w:val="21"/>
        <w:spacing w:line="276" w:lineRule="auto"/>
        <w:ind w:left="540"/>
        <w:rPr>
          <w:rFonts w:asciiTheme="minorHAnsi" w:hAnsiTheme="minorHAnsi" w:eastAsiaTheme="minorHAnsi" w:cstheme="minorHAnsi"/>
          <w:sz w:val="22"/>
          <w:szCs w:val="22"/>
          <w:lang w:eastAsia="en-US"/>
        </w:rPr>
      </w:pPr>
    </w:p>
    <w:p w14:paraId="002EE2FB">
      <w:pPr>
        <w:pStyle w:val="21"/>
        <w:numPr>
          <w:ilvl w:val="0"/>
          <w:numId w:val="12"/>
        </w:numPr>
        <w:spacing w:line="276" w:lineRule="auto"/>
        <w:jc w:val="both"/>
        <w:rPr>
          <w:rFonts w:asciiTheme="minorHAnsi" w:hAnsiTheme="minorHAnsi" w:eastAsiaTheme="minorHAnsi" w:cstheme="minorHAnsi"/>
          <w:sz w:val="22"/>
          <w:szCs w:val="22"/>
          <w:lang w:eastAsia="en-US"/>
        </w:rPr>
      </w:pPr>
      <w:r>
        <w:rPr>
          <w:rFonts w:asciiTheme="minorHAnsi" w:hAnsiTheme="minorHAnsi" w:cstheme="minorHAnsi"/>
          <w:b/>
          <w:sz w:val="22"/>
          <w:szCs w:val="22"/>
        </w:rPr>
        <w:t>DO RECEBIMENTO DO OBJETO CONTRATADO EM DECORRÊNCIA DESTA ATA DE REGISTRO DE PREÇOS</w:t>
      </w:r>
    </w:p>
    <w:p w14:paraId="1BC56E8D">
      <w:pPr>
        <w:spacing w:line="276" w:lineRule="auto"/>
        <w:rPr>
          <w:rFonts w:asciiTheme="minorHAnsi" w:hAnsiTheme="minorHAnsi" w:eastAsiaTheme="minorHAnsi" w:cstheme="minorHAnsi"/>
          <w:sz w:val="22"/>
          <w:szCs w:val="22"/>
          <w:lang w:eastAsia="en-US"/>
        </w:rPr>
      </w:pPr>
    </w:p>
    <w:p w14:paraId="20108007">
      <w:pPr>
        <w:pStyle w:val="40"/>
        <w:spacing w:line="276" w:lineRule="auto"/>
        <w:jc w:val="both"/>
        <w:rPr>
          <w:rFonts w:asciiTheme="minorHAnsi" w:hAnsiTheme="minorHAnsi" w:cstheme="minorHAnsi"/>
          <w:bCs/>
          <w:szCs w:val="22"/>
        </w:rPr>
      </w:pPr>
      <w:r>
        <w:rPr>
          <w:rFonts w:asciiTheme="minorHAnsi" w:hAnsiTheme="minorHAnsi" w:cstheme="minorHAnsi"/>
          <w:bCs/>
          <w:szCs w:val="22"/>
        </w:rPr>
        <w:t>12.1. O(s) objeto(s) da presente Ata de Registro de Preços será(ão) recebido(s) na forma estabelecida nas cláusulas subsequentes, observadas demais disposições do Art. 140 da Lei Federal nº 14.133/2021.</w:t>
      </w:r>
    </w:p>
    <w:p w14:paraId="340C45B7">
      <w:pPr>
        <w:pStyle w:val="40"/>
        <w:spacing w:line="276" w:lineRule="auto"/>
        <w:jc w:val="both"/>
        <w:rPr>
          <w:rFonts w:asciiTheme="minorHAnsi" w:hAnsiTheme="minorHAnsi" w:cstheme="minorHAnsi"/>
          <w:bCs/>
          <w:szCs w:val="22"/>
        </w:rPr>
      </w:pPr>
    </w:p>
    <w:p w14:paraId="55DB47A9">
      <w:pPr>
        <w:pStyle w:val="40"/>
        <w:spacing w:line="276" w:lineRule="auto"/>
        <w:jc w:val="both"/>
        <w:rPr>
          <w:rFonts w:asciiTheme="minorHAnsi" w:hAnsiTheme="minorHAnsi" w:cstheme="minorHAnsi"/>
          <w:bCs/>
          <w:szCs w:val="22"/>
        </w:rPr>
      </w:pPr>
      <w:r>
        <w:rPr>
          <w:rFonts w:asciiTheme="minorHAnsi" w:hAnsiTheme="minorHAnsi" w:cstheme="minorHAnsi"/>
          <w:bCs/>
          <w:szCs w:val="22"/>
        </w:rPr>
        <w:t>12.2. O(s) objeto(s) será(ão) recebido(s):</w:t>
      </w:r>
    </w:p>
    <w:p w14:paraId="5858F17D">
      <w:pPr>
        <w:pStyle w:val="40"/>
        <w:spacing w:line="276" w:lineRule="auto"/>
        <w:jc w:val="both"/>
        <w:rPr>
          <w:rFonts w:asciiTheme="minorHAnsi" w:hAnsiTheme="minorHAnsi" w:cstheme="minorHAnsi"/>
          <w:bCs/>
          <w:szCs w:val="22"/>
        </w:rPr>
      </w:pPr>
    </w:p>
    <w:p w14:paraId="6735331B">
      <w:pPr>
        <w:pStyle w:val="40"/>
        <w:numPr>
          <w:ilvl w:val="0"/>
          <w:numId w:val="44"/>
        </w:numPr>
        <w:spacing w:line="276" w:lineRule="auto"/>
        <w:jc w:val="both"/>
        <w:rPr>
          <w:rFonts w:asciiTheme="minorHAnsi" w:hAnsiTheme="minorHAnsi" w:cstheme="minorHAnsi"/>
          <w:bCs/>
          <w:szCs w:val="22"/>
        </w:rPr>
      </w:pPr>
      <w:r>
        <w:rPr>
          <w:rFonts w:asciiTheme="minorHAnsi" w:hAnsiTheme="minorHAnsi" w:cstheme="minorHAnsi"/>
          <w:bCs/>
          <w:szCs w:val="22"/>
        </w:rPr>
        <w:t>provisoriamente, de forma sumária, pelo responsável por seu acompanhamento e fiscalização, com verificação posterior da conformidade do material com as exigências desta Ata.</w:t>
      </w:r>
    </w:p>
    <w:p w14:paraId="7EF685D2">
      <w:pPr>
        <w:pStyle w:val="40"/>
        <w:spacing w:line="276" w:lineRule="auto"/>
        <w:ind w:left="786"/>
        <w:jc w:val="both"/>
        <w:rPr>
          <w:rFonts w:asciiTheme="minorHAnsi" w:hAnsiTheme="minorHAnsi" w:cstheme="minorHAnsi"/>
          <w:bCs/>
          <w:szCs w:val="22"/>
        </w:rPr>
      </w:pPr>
    </w:p>
    <w:p w14:paraId="5278C286">
      <w:pPr>
        <w:pStyle w:val="40"/>
        <w:tabs>
          <w:tab w:val="left" w:pos="851"/>
        </w:tabs>
        <w:spacing w:line="276" w:lineRule="auto"/>
        <w:ind w:left="426"/>
        <w:jc w:val="both"/>
        <w:rPr>
          <w:rFonts w:asciiTheme="minorHAnsi" w:hAnsiTheme="minorHAnsi" w:cstheme="minorHAnsi"/>
          <w:bCs/>
          <w:szCs w:val="22"/>
        </w:rPr>
      </w:pPr>
      <w:r>
        <w:rPr>
          <w:rFonts w:asciiTheme="minorHAnsi" w:hAnsiTheme="minorHAnsi" w:cstheme="minorHAnsi"/>
          <w:bCs/>
          <w:szCs w:val="22"/>
        </w:rPr>
        <w:t xml:space="preserve">b) definitivamente, por servidor ou comissão designada pela autoridade competente, mediante termo detalhado que comprove o atendimento das exigências desta Ata. </w:t>
      </w:r>
    </w:p>
    <w:p w14:paraId="7DCB649E">
      <w:pPr>
        <w:pStyle w:val="40"/>
        <w:spacing w:line="276" w:lineRule="auto"/>
        <w:jc w:val="both"/>
        <w:rPr>
          <w:rFonts w:asciiTheme="minorHAnsi" w:hAnsiTheme="minorHAnsi" w:cstheme="minorHAnsi"/>
          <w:bCs/>
          <w:szCs w:val="22"/>
        </w:rPr>
      </w:pPr>
    </w:p>
    <w:p w14:paraId="7EE00EB6">
      <w:pPr>
        <w:pStyle w:val="40"/>
        <w:spacing w:line="276" w:lineRule="auto"/>
        <w:jc w:val="both"/>
        <w:rPr>
          <w:rFonts w:asciiTheme="minorHAnsi" w:hAnsiTheme="minorHAnsi" w:cstheme="minorHAnsi"/>
          <w:bCs/>
          <w:szCs w:val="22"/>
        </w:rPr>
      </w:pPr>
      <w:r>
        <w:rPr>
          <w:rFonts w:asciiTheme="minorHAnsi" w:hAnsiTheme="minorHAnsi" w:cstheme="minorHAnsi"/>
          <w:bCs/>
          <w:szCs w:val="22"/>
        </w:rPr>
        <w:t>12.3. O custo com as inspeções, testes e quaisquer outras provas exigidas, nos termos das normas técnicas existentes, indispensáveis para a comprovação da boa execução da Ata de Registro de Preços correrão por conta da(s) DETENTORA(S).</w:t>
      </w:r>
    </w:p>
    <w:p w14:paraId="74A14C22">
      <w:pPr>
        <w:pStyle w:val="40"/>
        <w:spacing w:line="276" w:lineRule="auto"/>
        <w:jc w:val="both"/>
        <w:rPr>
          <w:rFonts w:asciiTheme="minorHAnsi" w:hAnsiTheme="minorHAnsi" w:cstheme="minorHAnsi"/>
          <w:bCs/>
          <w:szCs w:val="22"/>
        </w:rPr>
      </w:pPr>
    </w:p>
    <w:p w14:paraId="6AF2A378">
      <w:pPr>
        <w:pStyle w:val="40"/>
        <w:spacing w:line="276" w:lineRule="auto"/>
        <w:jc w:val="both"/>
        <w:rPr>
          <w:rFonts w:asciiTheme="minorHAnsi" w:hAnsiTheme="minorHAnsi" w:cstheme="minorHAnsi"/>
          <w:bCs/>
          <w:szCs w:val="22"/>
        </w:rPr>
      </w:pPr>
      <w:r>
        <w:rPr>
          <w:rFonts w:asciiTheme="minorHAnsi" w:hAnsiTheme="minorHAnsi" w:cstheme="minorHAnsi"/>
          <w:bCs/>
          <w:szCs w:val="22"/>
        </w:rPr>
        <w:t>12.4. Estando os materiais fornecidos em desacordo com as especificações e condições detalhadas no Edital de Pregão ou com o disposto na presente Ata de Registro de Preços, a(s) DETENTORA(S) deverá(ão) retirar do local onde se encontrarem armazenados, sob pena de configuração da inexecução das obrigações assumidas no presente ajuste, bem como a sua correção no prazo de 03 (três) dias a contar da notificação.</w:t>
      </w:r>
    </w:p>
    <w:p w14:paraId="79761AD1">
      <w:pPr>
        <w:pStyle w:val="40"/>
        <w:spacing w:line="276" w:lineRule="auto"/>
        <w:jc w:val="both"/>
        <w:rPr>
          <w:rFonts w:asciiTheme="minorHAnsi" w:hAnsiTheme="minorHAnsi" w:cstheme="minorHAnsi"/>
          <w:bCs/>
          <w:szCs w:val="22"/>
        </w:rPr>
      </w:pPr>
    </w:p>
    <w:p w14:paraId="2892BAAE">
      <w:pPr>
        <w:spacing w:line="276" w:lineRule="auto"/>
        <w:rPr>
          <w:rFonts w:asciiTheme="minorHAnsi" w:hAnsiTheme="minorHAnsi" w:cstheme="minorHAnsi"/>
          <w:bCs/>
          <w:sz w:val="22"/>
          <w:szCs w:val="22"/>
        </w:rPr>
      </w:pPr>
      <w:r>
        <w:rPr>
          <w:rFonts w:asciiTheme="minorHAnsi" w:hAnsiTheme="minorHAnsi" w:cstheme="minorHAnsi"/>
          <w:bCs/>
          <w:sz w:val="22"/>
          <w:szCs w:val="22"/>
        </w:rPr>
        <w:t>12.5. Ultrapassado o prazo previsto na cláusula antecedente sem que a(s) DETENTORA(S) tenha(m) retirados os produtos do local em que se encontram armazenados, serão tomadas as providências para a aplicação das penalidades cabíveis, podendo ainda o MUNICÍPIO devolvê-los ao local de origem mediante remessa, com frete a ser custeado pela(s) DETENTORA(S).</w:t>
      </w:r>
    </w:p>
    <w:p w14:paraId="431269CE">
      <w:pPr>
        <w:spacing w:line="276" w:lineRule="auto"/>
        <w:jc w:val="both"/>
        <w:rPr>
          <w:rFonts w:asciiTheme="minorHAnsi" w:hAnsiTheme="minorHAnsi" w:eastAsiaTheme="minorHAnsi" w:cstheme="minorHAnsi"/>
          <w:sz w:val="22"/>
          <w:szCs w:val="22"/>
          <w:lang w:eastAsia="en-US"/>
        </w:rPr>
      </w:pPr>
    </w:p>
    <w:p w14:paraId="5122E955">
      <w:pPr>
        <w:pStyle w:val="21"/>
        <w:numPr>
          <w:ilvl w:val="0"/>
          <w:numId w:val="12"/>
        </w:numPr>
        <w:spacing w:line="276" w:lineRule="auto"/>
        <w:jc w:val="both"/>
        <w:rPr>
          <w:rFonts w:asciiTheme="minorHAnsi" w:hAnsiTheme="minorHAnsi" w:eastAsiaTheme="minorHAnsi" w:cstheme="minorHAnsi"/>
          <w:sz w:val="22"/>
          <w:szCs w:val="22"/>
          <w:lang w:eastAsia="en-US"/>
        </w:rPr>
      </w:pPr>
      <w:r>
        <w:rPr>
          <w:rFonts w:asciiTheme="minorHAnsi" w:hAnsiTheme="minorHAnsi" w:cstheme="minorHAnsi"/>
          <w:b/>
          <w:sz w:val="22"/>
          <w:szCs w:val="22"/>
        </w:rPr>
        <w:t>DOS DIREITOS DO MUNICÍPIO E DAS OBRIGAÇÕES DA(S) DETENTORA(S).</w:t>
      </w:r>
    </w:p>
    <w:p w14:paraId="1D473E04">
      <w:pPr>
        <w:spacing w:line="276" w:lineRule="auto"/>
        <w:rPr>
          <w:rFonts w:asciiTheme="minorHAnsi" w:hAnsiTheme="minorHAnsi" w:eastAsiaTheme="minorHAnsi" w:cstheme="minorHAnsi"/>
          <w:sz w:val="22"/>
          <w:szCs w:val="22"/>
          <w:lang w:eastAsia="en-US"/>
        </w:rPr>
      </w:pPr>
    </w:p>
    <w:p w14:paraId="6ECFED88">
      <w:pPr>
        <w:pStyle w:val="40"/>
        <w:spacing w:line="276" w:lineRule="auto"/>
        <w:jc w:val="both"/>
        <w:rPr>
          <w:rFonts w:asciiTheme="minorHAnsi" w:hAnsiTheme="minorHAnsi" w:cstheme="minorHAnsi"/>
          <w:bCs/>
          <w:szCs w:val="22"/>
        </w:rPr>
      </w:pPr>
      <w:r>
        <w:rPr>
          <w:rFonts w:asciiTheme="minorHAnsi" w:hAnsiTheme="minorHAnsi" w:cstheme="minorHAnsi"/>
          <w:bCs/>
          <w:szCs w:val="22"/>
        </w:rPr>
        <w:t>13.1. Serão considerados como direito da Administração na presente Ata de Registro de Preços, além de outros decorrentes da legislação em vigor:</w:t>
      </w:r>
    </w:p>
    <w:p w14:paraId="39D867CD">
      <w:pPr>
        <w:pStyle w:val="40"/>
        <w:spacing w:line="276" w:lineRule="auto"/>
        <w:jc w:val="both"/>
        <w:rPr>
          <w:rFonts w:asciiTheme="minorHAnsi" w:hAnsiTheme="minorHAnsi" w:cstheme="minorHAnsi"/>
          <w:bCs/>
          <w:szCs w:val="22"/>
        </w:rPr>
      </w:pPr>
    </w:p>
    <w:p w14:paraId="3E1304CE">
      <w:pPr>
        <w:pStyle w:val="40"/>
        <w:numPr>
          <w:ilvl w:val="0"/>
          <w:numId w:val="45"/>
        </w:numPr>
        <w:tabs>
          <w:tab w:val="left" w:pos="851"/>
        </w:tabs>
        <w:spacing w:line="276" w:lineRule="auto"/>
        <w:ind w:left="567" w:firstLine="0"/>
        <w:jc w:val="both"/>
        <w:rPr>
          <w:rFonts w:asciiTheme="minorHAnsi" w:hAnsiTheme="minorHAnsi" w:cstheme="minorHAnsi"/>
          <w:bCs/>
          <w:szCs w:val="22"/>
        </w:rPr>
      </w:pPr>
      <w:r>
        <w:rPr>
          <w:rFonts w:asciiTheme="minorHAnsi" w:hAnsiTheme="minorHAnsi" w:cstheme="minorHAnsi"/>
          <w:bCs/>
          <w:szCs w:val="22"/>
        </w:rPr>
        <w:t xml:space="preserve"> o direito de definir a forma de fornecimento desejada em cada aquisição e de receber os produtos dentro do prazo máximo de entrega previsto em cada autorização de fornecimento firmado pelas partes;</w:t>
      </w:r>
    </w:p>
    <w:p w14:paraId="7AAC2ACC">
      <w:pPr>
        <w:pStyle w:val="40"/>
        <w:spacing w:line="276" w:lineRule="auto"/>
        <w:ind w:left="567"/>
        <w:jc w:val="both"/>
        <w:rPr>
          <w:rFonts w:asciiTheme="minorHAnsi" w:hAnsiTheme="minorHAnsi" w:cstheme="minorHAnsi"/>
          <w:bCs/>
          <w:szCs w:val="22"/>
        </w:rPr>
      </w:pPr>
    </w:p>
    <w:p w14:paraId="39F2DDC1">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b) o direito de cancelar administrativamente a Ata de Registro de Preços sempre que o preço registrado for superior ao praticado no mercado, bem como nos demais casos previstos no Decreto Municipal nº 411/2023, observada a forma nele estabelecida.</w:t>
      </w:r>
    </w:p>
    <w:p w14:paraId="35320284">
      <w:pPr>
        <w:pStyle w:val="40"/>
        <w:spacing w:line="276" w:lineRule="auto"/>
        <w:jc w:val="both"/>
        <w:rPr>
          <w:rFonts w:asciiTheme="minorHAnsi" w:hAnsiTheme="minorHAnsi" w:cstheme="minorHAnsi"/>
          <w:bCs/>
          <w:szCs w:val="22"/>
        </w:rPr>
      </w:pPr>
    </w:p>
    <w:p w14:paraId="5A974DC7">
      <w:pPr>
        <w:pStyle w:val="40"/>
        <w:spacing w:line="276" w:lineRule="auto"/>
        <w:jc w:val="both"/>
        <w:rPr>
          <w:rFonts w:asciiTheme="minorHAnsi" w:hAnsiTheme="minorHAnsi" w:cstheme="minorHAnsi"/>
          <w:bCs/>
          <w:szCs w:val="22"/>
        </w:rPr>
      </w:pPr>
      <w:r>
        <w:rPr>
          <w:rFonts w:asciiTheme="minorHAnsi" w:hAnsiTheme="minorHAnsi" w:cstheme="minorHAnsi"/>
          <w:bCs/>
          <w:szCs w:val="22"/>
        </w:rPr>
        <w:t>13.2. A(s) DETENTORA(S) obriga(m)-se a manter, durante a execução da presente Ata de Registro de Preços, todas as condições de habilitação e qualificação exigidas no Pregão que lhes são pertinentes.</w:t>
      </w:r>
    </w:p>
    <w:p w14:paraId="798FC499">
      <w:pPr>
        <w:pStyle w:val="40"/>
        <w:spacing w:line="276" w:lineRule="auto"/>
        <w:jc w:val="both"/>
        <w:rPr>
          <w:rFonts w:asciiTheme="minorHAnsi" w:hAnsiTheme="minorHAnsi" w:cstheme="minorHAnsi"/>
          <w:bCs/>
          <w:szCs w:val="22"/>
        </w:rPr>
      </w:pPr>
    </w:p>
    <w:p w14:paraId="1B7624B6">
      <w:pPr>
        <w:spacing w:line="276" w:lineRule="auto"/>
        <w:ind w:left="142"/>
        <w:jc w:val="both"/>
        <w:rPr>
          <w:rStyle w:val="42"/>
          <w:rFonts w:eastAsia="Arial Unicode MS" w:asciiTheme="minorHAnsi" w:hAnsiTheme="minorHAnsi" w:cstheme="minorHAnsi"/>
          <w:b w:val="0"/>
          <w:bCs/>
          <w:szCs w:val="22"/>
          <w:highlight w:val="yellow"/>
        </w:rPr>
      </w:pPr>
      <w:r>
        <w:rPr>
          <w:rFonts w:asciiTheme="minorHAnsi" w:hAnsiTheme="minorHAnsi" w:cstheme="minorHAnsi"/>
          <w:bCs/>
          <w:sz w:val="22"/>
          <w:szCs w:val="22"/>
        </w:rPr>
        <w:t>13.2.1 O</w:t>
      </w:r>
      <w:r>
        <w:rPr>
          <w:rStyle w:val="42"/>
          <w:rFonts w:eastAsia="Arial Unicode MS" w:asciiTheme="minorHAnsi" w:hAnsiTheme="minorHAnsi" w:cstheme="minorHAnsi"/>
          <w:b w:val="0"/>
          <w:bCs/>
          <w:szCs w:val="22"/>
          <w:u w:val="none"/>
        </w:rPr>
        <w:t>bedecer às normas e rotinas do MUNICÍPIO, em especial as que disserem respeito à proteção de dados pessoais, à segurança, à guarda, à manutenção e à integridade das informações coletadas, custodiadas, produzidas, recebidas, classificadas, utilizadas, acessadas, reproduzidas, transmitidas, distribuídas, processadas, arquivadas, eliminadas ou avaliadas durante a execução do objeto a que se refere a Cláusula Primeira desta Ata de Registro de Preços, observando as normas legais e regulamentares aplicáveis.</w:t>
      </w:r>
    </w:p>
    <w:p w14:paraId="1E6B08CD">
      <w:pPr>
        <w:spacing w:line="276" w:lineRule="auto"/>
        <w:ind w:left="142"/>
        <w:jc w:val="both"/>
        <w:rPr>
          <w:rStyle w:val="42"/>
          <w:rFonts w:eastAsia="Arial Unicode MS" w:asciiTheme="minorHAnsi" w:hAnsiTheme="minorHAnsi" w:cstheme="minorHAnsi"/>
          <w:b w:val="0"/>
          <w:bCs/>
          <w:szCs w:val="22"/>
          <w:highlight w:val="yellow"/>
        </w:rPr>
      </w:pPr>
    </w:p>
    <w:p w14:paraId="0B3D5A2C">
      <w:pPr>
        <w:spacing w:line="276" w:lineRule="auto"/>
        <w:ind w:left="142"/>
        <w:jc w:val="both"/>
        <w:rPr>
          <w:rStyle w:val="42"/>
          <w:rFonts w:eastAsia="Arial Unicode MS" w:asciiTheme="minorHAnsi" w:hAnsiTheme="minorHAnsi" w:cstheme="minorHAnsi"/>
          <w:b w:val="0"/>
          <w:bCs/>
          <w:szCs w:val="22"/>
        </w:rPr>
      </w:pPr>
      <w:r>
        <w:rPr>
          <w:rStyle w:val="42"/>
          <w:rFonts w:eastAsia="Arial Unicode MS" w:asciiTheme="minorHAnsi" w:hAnsiTheme="minorHAnsi" w:cstheme="minorHAnsi"/>
          <w:b w:val="0"/>
          <w:bCs/>
          <w:szCs w:val="22"/>
          <w:u w:val="none"/>
        </w:rPr>
        <w:t>13.2.2 Guardar sigilo em relação às informações ou documentos de qualquer natureza de que venha a tomar conhecimento, respondendo, administrativa, civil e criminalmente por sua indevida divulgação e incorreta ou inadequada utilização.</w:t>
      </w:r>
    </w:p>
    <w:p w14:paraId="15E0DECC">
      <w:pPr>
        <w:spacing w:line="276" w:lineRule="auto"/>
        <w:rPr>
          <w:rFonts w:asciiTheme="minorHAnsi" w:hAnsiTheme="minorHAnsi" w:eastAsiaTheme="minorHAnsi" w:cstheme="minorHAnsi"/>
          <w:sz w:val="22"/>
          <w:szCs w:val="22"/>
          <w:lang w:eastAsia="en-US"/>
        </w:rPr>
      </w:pPr>
    </w:p>
    <w:p w14:paraId="68D95C0A">
      <w:pPr>
        <w:pStyle w:val="40"/>
        <w:numPr>
          <w:ilvl w:val="0"/>
          <w:numId w:val="12"/>
        </w:numPr>
        <w:spacing w:line="276" w:lineRule="auto"/>
        <w:jc w:val="both"/>
        <w:rPr>
          <w:rFonts w:asciiTheme="minorHAnsi" w:hAnsiTheme="minorHAnsi" w:cstheme="minorHAnsi"/>
          <w:b/>
          <w:szCs w:val="22"/>
        </w:rPr>
      </w:pPr>
      <w:r>
        <w:rPr>
          <w:rFonts w:asciiTheme="minorHAnsi" w:hAnsiTheme="minorHAnsi" w:cstheme="minorHAnsi"/>
          <w:b/>
          <w:szCs w:val="22"/>
        </w:rPr>
        <w:t>DOS DIREITOS DA(S) DETENTORA(S) E DAS OBRIGAÇÕES DO MUNICÍPIO.</w:t>
      </w:r>
    </w:p>
    <w:p w14:paraId="54F2C242">
      <w:pPr>
        <w:pStyle w:val="21"/>
        <w:spacing w:line="276" w:lineRule="auto"/>
        <w:ind w:left="540"/>
        <w:rPr>
          <w:rFonts w:asciiTheme="minorHAnsi" w:hAnsiTheme="minorHAnsi" w:eastAsiaTheme="minorHAnsi" w:cstheme="minorHAnsi"/>
          <w:sz w:val="22"/>
          <w:szCs w:val="22"/>
          <w:lang w:eastAsia="en-US"/>
        </w:rPr>
      </w:pPr>
    </w:p>
    <w:p w14:paraId="50008646">
      <w:pPr>
        <w:pStyle w:val="40"/>
        <w:spacing w:line="276" w:lineRule="auto"/>
        <w:jc w:val="both"/>
        <w:rPr>
          <w:rFonts w:asciiTheme="minorHAnsi" w:hAnsiTheme="minorHAnsi" w:cstheme="minorHAnsi"/>
          <w:bCs/>
          <w:szCs w:val="22"/>
        </w:rPr>
      </w:pPr>
      <w:r>
        <w:rPr>
          <w:rFonts w:asciiTheme="minorHAnsi" w:hAnsiTheme="minorHAnsi" w:cstheme="minorHAnsi"/>
          <w:bCs/>
          <w:szCs w:val="22"/>
        </w:rPr>
        <w:t>14.1. São direitos da(s) DETENTORA(S) na presente Ata de Registro de Preços, além de outros decorrentes da legislação em vigor:</w:t>
      </w:r>
    </w:p>
    <w:p w14:paraId="3F2C0618">
      <w:pPr>
        <w:pStyle w:val="40"/>
        <w:spacing w:line="276" w:lineRule="auto"/>
        <w:rPr>
          <w:rFonts w:asciiTheme="minorHAnsi" w:hAnsiTheme="minorHAnsi" w:cstheme="minorHAnsi"/>
          <w:bCs/>
          <w:szCs w:val="22"/>
        </w:rPr>
      </w:pPr>
    </w:p>
    <w:p w14:paraId="16F29852">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a) o direito de fornecer os produtos objeto da Ata de Registro de Preços, desde que não obtenha a Administração, por meio de procedimento licitatório específico, melhores condições de preço;</w:t>
      </w:r>
    </w:p>
    <w:p w14:paraId="73CA2DD8">
      <w:pPr>
        <w:pStyle w:val="40"/>
        <w:spacing w:line="276" w:lineRule="auto"/>
        <w:ind w:left="567"/>
        <w:jc w:val="both"/>
        <w:rPr>
          <w:rFonts w:asciiTheme="minorHAnsi" w:hAnsiTheme="minorHAnsi" w:cstheme="minorHAnsi"/>
          <w:bCs/>
          <w:szCs w:val="22"/>
        </w:rPr>
      </w:pPr>
    </w:p>
    <w:p w14:paraId="2E4DB02E">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b) o direito de receber no prazo devido o pagamento pelos produtos regularmente fornecidos, no valor constante da ata de registro de preços, respeitado o disposto no Decreto Municipal nº 411/2023, e demais documentos que integram a presente Ata de Registro de Preços.</w:t>
      </w:r>
    </w:p>
    <w:p w14:paraId="756CA029">
      <w:pPr>
        <w:pStyle w:val="40"/>
        <w:spacing w:line="276" w:lineRule="auto"/>
        <w:ind w:left="567"/>
        <w:jc w:val="both"/>
        <w:rPr>
          <w:rFonts w:asciiTheme="minorHAnsi" w:hAnsiTheme="minorHAnsi" w:cstheme="minorHAnsi"/>
          <w:bCs/>
          <w:szCs w:val="22"/>
        </w:rPr>
      </w:pPr>
    </w:p>
    <w:p w14:paraId="634941B9">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c) o direito de solicitar o cancelamento da presente Ata de Registro de Preços nos casos previstos na legislação de regência, e em especial no Decreto Municipal nº 411/2023.</w:t>
      </w:r>
    </w:p>
    <w:p w14:paraId="0C6B47BA">
      <w:pPr>
        <w:pStyle w:val="40"/>
        <w:spacing w:line="276" w:lineRule="auto"/>
        <w:ind w:left="567"/>
        <w:jc w:val="both"/>
        <w:rPr>
          <w:rFonts w:asciiTheme="minorHAnsi" w:hAnsiTheme="minorHAnsi" w:cstheme="minorHAnsi"/>
          <w:bCs/>
          <w:szCs w:val="22"/>
        </w:rPr>
      </w:pPr>
    </w:p>
    <w:p w14:paraId="0AAB652B">
      <w:pPr>
        <w:pStyle w:val="40"/>
        <w:spacing w:line="276" w:lineRule="auto"/>
        <w:ind w:left="567"/>
        <w:jc w:val="both"/>
        <w:rPr>
          <w:rFonts w:asciiTheme="minorHAnsi" w:hAnsiTheme="minorHAnsi" w:cstheme="minorHAnsi"/>
          <w:bCs/>
          <w:szCs w:val="22"/>
        </w:rPr>
      </w:pPr>
      <w:r>
        <w:rPr>
          <w:rFonts w:asciiTheme="minorHAnsi" w:hAnsiTheme="minorHAnsi" w:cstheme="minorHAnsi"/>
          <w:bCs/>
          <w:szCs w:val="22"/>
        </w:rPr>
        <w:t>d) o direito de manter a vigência da presente Ata de Registro de Preços, sempre que concordar com a adequação do preço registrado ao valor praticado no mercado.</w:t>
      </w:r>
    </w:p>
    <w:p w14:paraId="45D20D0C">
      <w:pPr>
        <w:pStyle w:val="21"/>
        <w:spacing w:line="276" w:lineRule="auto"/>
        <w:ind w:left="540"/>
        <w:rPr>
          <w:rFonts w:asciiTheme="minorHAnsi" w:hAnsiTheme="minorHAnsi" w:eastAsiaTheme="minorHAnsi" w:cstheme="minorHAnsi"/>
          <w:sz w:val="22"/>
          <w:szCs w:val="22"/>
          <w:lang w:eastAsia="en-US"/>
        </w:rPr>
      </w:pPr>
    </w:p>
    <w:p w14:paraId="690F1D5D">
      <w:pPr>
        <w:pStyle w:val="40"/>
        <w:spacing w:line="276" w:lineRule="auto"/>
        <w:jc w:val="both"/>
        <w:rPr>
          <w:rFonts w:asciiTheme="minorHAnsi" w:hAnsiTheme="minorHAnsi" w:cstheme="minorHAnsi"/>
          <w:szCs w:val="22"/>
        </w:rPr>
      </w:pPr>
      <w:r>
        <w:rPr>
          <w:rFonts w:asciiTheme="minorHAnsi" w:hAnsiTheme="minorHAnsi" w:cstheme="minorHAnsi"/>
          <w:bCs/>
          <w:szCs w:val="22"/>
        </w:rPr>
        <w:t>14.2.</w:t>
      </w:r>
      <w:r>
        <w:rPr>
          <w:rFonts w:asciiTheme="minorHAnsi" w:hAnsiTheme="minorHAnsi" w:cstheme="minorHAnsi"/>
          <w:szCs w:val="22"/>
        </w:rPr>
        <w:t xml:space="preserve"> São obrigações do MUNICIPIO:</w:t>
      </w:r>
    </w:p>
    <w:p w14:paraId="03E661EA">
      <w:pPr>
        <w:pStyle w:val="40"/>
        <w:spacing w:line="276" w:lineRule="auto"/>
        <w:jc w:val="both"/>
        <w:rPr>
          <w:rFonts w:asciiTheme="minorHAnsi" w:hAnsiTheme="minorHAnsi" w:cstheme="minorHAnsi"/>
          <w:b/>
          <w:szCs w:val="22"/>
        </w:rPr>
      </w:pPr>
    </w:p>
    <w:p w14:paraId="3846FB6A">
      <w:pPr>
        <w:spacing w:line="276" w:lineRule="auto"/>
        <w:jc w:val="both"/>
        <w:rPr>
          <w:rStyle w:val="42"/>
          <w:rFonts w:eastAsia="Arial Unicode MS" w:asciiTheme="minorHAnsi" w:hAnsiTheme="minorHAnsi" w:cstheme="minorHAnsi"/>
          <w:b w:val="0"/>
          <w:szCs w:val="22"/>
        </w:rPr>
      </w:pPr>
      <w:r>
        <w:rPr>
          <w:rFonts w:asciiTheme="minorHAnsi" w:hAnsiTheme="minorHAnsi" w:cstheme="minorHAnsi"/>
          <w:bCs/>
          <w:sz w:val="22"/>
          <w:szCs w:val="22"/>
        </w:rPr>
        <w:t>a)</w:t>
      </w:r>
      <w:r>
        <w:rPr>
          <w:rFonts w:asciiTheme="minorHAnsi" w:hAnsiTheme="minorHAnsi" w:cstheme="minorHAnsi"/>
          <w:b/>
          <w:sz w:val="22"/>
          <w:szCs w:val="22"/>
        </w:rPr>
        <w:t xml:space="preserve"> </w:t>
      </w:r>
      <w:r>
        <w:rPr>
          <w:rStyle w:val="42"/>
          <w:rFonts w:eastAsia="Arial Unicode MS" w:asciiTheme="minorHAnsi" w:hAnsiTheme="minorHAnsi" w:cstheme="minorHAnsi"/>
          <w:b w:val="0"/>
          <w:szCs w:val="22"/>
          <w:u w:val="none"/>
        </w:rPr>
        <w:t>observar, no tratamento de dados pessoais de profissionais, empregados, prepostos, administradores e/ou sócios da DETENTORA, a que tenha acesso durante a execução do objeto a que se refere a Cláusula Primeira desta Ata de Registro de Preços, as normas legais e regulamentares aplicáveis, em especial, a Lei Federal nº 13.709, de 14 de agosto de 2018, com suas alterações subsequentes.</w:t>
      </w:r>
    </w:p>
    <w:p w14:paraId="6582E16E">
      <w:pPr>
        <w:pStyle w:val="21"/>
        <w:spacing w:line="276" w:lineRule="auto"/>
        <w:ind w:left="540"/>
        <w:rPr>
          <w:rFonts w:asciiTheme="minorHAnsi" w:hAnsiTheme="minorHAnsi" w:eastAsiaTheme="minorHAnsi" w:cstheme="minorHAnsi"/>
          <w:sz w:val="22"/>
          <w:szCs w:val="22"/>
          <w:lang w:eastAsia="en-US"/>
        </w:rPr>
      </w:pPr>
    </w:p>
    <w:p w14:paraId="5C8F66A7">
      <w:pPr>
        <w:pStyle w:val="21"/>
        <w:numPr>
          <w:ilvl w:val="0"/>
          <w:numId w:val="12"/>
        </w:numPr>
        <w:spacing w:line="276" w:lineRule="auto"/>
        <w:rPr>
          <w:rFonts w:asciiTheme="minorHAnsi" w:hAnsiTheme="minorHAnsi" w:eastAsiaTheme="minorHAnsi" w:cstheme="minorHAnsi"/>
          <w:sz w:val="22"/>
          <w:szCs w:val="22"/>
          <w:lang w:eastAsia="en-US"/>
        </w:rPr>
      </w:pPr>
      <w:r>
        <w:rPr>
          <w:rFonts w:asciiTheme="minorHAnsi" w:hAnsiTheme="minorHAnsi" w:cstheme="minorHAnsi"/>
          <w:b/>
          <w:sz w:val="22"/>
          <w:szCs w:val="22"/>
        </w:rPr>
        <w:t>DAS INFRAÇÕES ADMINISTRATIVAS E SANÇÕES</w:t>
      </w:r>
    </w:p>
    <w:p w14:paraId="5C2CF127">
      <w:pPr>
        <w:pStyle w:val="21"/>
        <w:spacing w:line="276" w:lineRule="auto"/>
        <w:ind w:left="825"/>
        <w:rPr>
          <w:rFonts w:asciiTheme="minorHAnsi" w:hAnsiTheme="minorHAnsi" w:eastAsiaTheme="minorHAnsi" w:cstheme="minorHAnsi"/>
          <w:sz w:val="22"/>
          <w:szCs w:val="22"/>
          <w:lang w:eastAsia="en-US"/>
        </w:rPr>
      </w:pPr>
    </w:p>
    <w:p w14:paraId="76795A85">
      <w:pPr>
        <w:pStyle w:val="40"/>
        <w:spacing w:line="276" w:lineRule="auto"/>
        <w:jc w:val="both"/>
        <w:rPr>
          <w:rFonts w:asciiTheme="minorHAnsi" w:hAnsiTheme="minorHAnsi" w:cstheme="minorHAnsi"/>
          <w:bCs/>
          <w:szCs w:val="22"/>
        </w:rPr>
      </w:pPr>
      <w:r>
        <w:rPr>
          <w:rFonts w:asciiTheme="minorHAnsi" w:hAnsiTheme="minorHAnsi" w:cstheme="minorHAnsi"/>
          <w:bCs/>
          <w:szCs w:val="22"/>
        </w:rPr>
        <w:t xml:space="preserve">15.1. </w:t>
      </w:r>
      <w:r>
        <w:rPr>
          <w:rFonts w:eastAsia="Times New Roman" w:asciiTheme="minorHAnsi" w:hAnsiTheme="minorHAnsi" w:cstheme="minorHAnsi"/>
          <w:bCs/>
          <w:kern w:val="0"/>
          <w:szCs w:val="22"/>
          <w:lang w:bidi="ar-SA"/>
        </w:rPr>
        <w:t>Pela inexecução total ou parcial das obrigações o MUNICÍPIO poderá, garantida a prévia defesa e observando-se as cláusulas pertinentes desta Ata de Registro de Preços, sem prejuízo das responsabilidades civil e penal, aplicar as seguintes penalidades:</w:t>
      </w:r>
    </w:p>
    <w:p w14:paraId="19A99CB9">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a) Advertência;</w:t>
      </w:r>
    </w:p>
    <w:p w14:paraId="0D653BA1">
      <w:pPr>
        <w:pStyle w:val="19"/>
        <w:ind w:firstLine="567"/>
        <w:rPr>
          <w:rFonts w:asciiTheme="minorHAnsi" w:hAnsiTheme="minorHAnsi" w:cstheme="minorHAnsi"/>
          <w:sz w:val="22"/>
          <w:szCs w:val="22"/>
        </w:rPr>
      </w:pPr>
      <w:r>
        <w:rPr>
          <w:rFonts w:asciiTheme="minorHAnsi" w:hAnsiTheme="minorHAnsi" w:cstheme="minorHAnsi"/>
          <w:bCs/>
          <w:sz w:val="22"/>
          <w:szCs w:val="22"/>
        </w:rPr>
        <w:t xml:space="preserve">b) </w:t>
      </w:r>
      <w:r>
        <w:rPr>
          <w:rFonts w:asciiTheme="minorHAnsi" w:hAnsiTheme="minorHAnsi" w:cstheme="minorHAnsi"/>
          <w:sz w:val="22"/>
          <w:szCs w:val="22"/>
        </w:rPr>
        <w:t xml:space="preserve">Impedimento de licitar e contratar; </w:t>
      </w:r>
    </w:p>
    <w:p w14:paraId="11014BC1">
      <w:pPr>
        <w:pStyle w:val="19"/>
        <w:ind w:firstLine="567"/>
        <w:rPr>
          <w:rFonts w:asciiTheme="minorHAnsi" w:hAnsiTheme="minorHAnsi" w:cstheme="minorHAnsi"/>
          <w:sz w:val="22"/>
          <w:szCs w:val="22"/>
        </w:rPr>
      </w:pPr>
      <w:r>
        <w:rPr>
          <w:rFonts w:asciiTheme="minorHAnsi" w:hAnsiTheme="minorHAnsi" w:cstheme="minorHAnsi"/>
          <w:sz w:val="22"/>
          <w:szCs w:val="22"/>
        </w:rPr>
        <w:t xml:space="preserve">c) Declaração de inidoneidade para licitar ou contratar. </w:t>
      </w:r>
    </w:p>
    <w:p w14:paraId="3BBCDD2B">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d) Multa:</w:t>
      </w:r>
    </w:p>
    <w:p w14:paraId="577D9223">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 xml:space="preserve">d.1) moratória aplicada por dia de atraso injustificado no percentual de 1 %  ( um por cento) por dia de atraso, tendo como valor de referência o valor adjudicado, da Autorização de Fornecimento/Serviço, nota de empenho ou outro instrumento hábil, contabilizado até o máximo de 30 (trinta) dias, após o qual será considerado inexecução parcial sujeito à aplicação das demais penalidades descritas nesta seção; </w:t>
      </w:r>
    </w:p>
    <w:p w14:paraId="075C288D">
      <w:pPr>
        <w:pStyle w:val="21"/>
        <w:spacing w:before="240"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d.2) de 30 % (trinta por cento) pela inexecução total, calculada sobre o valor total contratado ou, sendo o caso de Ata de Registro de Preços, sobre o valor da AF (Autorização de Fornecimento) ou AS (Autorização de Serviço);</w:t>
      </w:r>
    </w:p>
    <w:p w14:paraId="26A19B9F">
      <w:pPr>
        <w:pStyle w:val="21"/>
        <w:spacing w:before="240"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d.3) de  10 (dez por cento) pela inexecução parcial calculada sobre o montante não cumprido do contrato.</w:t>
      </w:r>
    </w:p>
    <w:p w14:paraId="20DBE8AC">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e) Impedimento de licitar e de contratar com a Prefeitura de Santa Branca por período a ser definido na oportunidade, de acordo com a natureza e a gravidade da falta, quando não se justificar a imposição de penalidade mais grave, respeitando o limite legal de até 03 anos (três) anos, nos termos do § 4º, do Art. 156, da Lei Federal nº 14.133/2021.</w:t>
      </w:r>
    </w:p>
    <w:p w14:paraId="2F79D405">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f) Declaração de inidoneidade para licitar ou contratar com a Administração Pública enquanto perdurarem os motivos determinantes da punição ou até que seja promovida sua reabilitação perante o Município, sendo fixado um período de mínimo 03 (três) anos e no máximo 06 (seis) anos, nos termos do § 5º, do Art. 156, da Lei Federal nº 14.133/2021.</w:t>
      </w:r>
    </w:p>
    <w:p w14:paraId="7F7F39DD">
      <w:pPr>
        <w:pStyle w:val="21"/>
        <w:spacing w:line="276" w:lineRule="auto"/>
        <w:ind w:left="540"/>
        <w:jc w:val="both"/>
        <w:rPr>
          <w:rFonts w:asciiTheme="minorHAnsi" w:hAnsiTheme="minorHAnsi" w:cstheme="minorHAnsi"/>
          <w:bCs/>
          <w:sz w:val="22"/>
          <w:szCs w:val="22"/>
        </w:rPr>
      </w:pPr>
    </w:p>
    <w:p w14:paraId="557424AC">
      <w:pPr>
        <w:tabs>
          <w:tab w:val="left" w:pos="1134"/>
        </w:tabs>
        <w:spacing w:line="276" w:lineRule="auto"/>
        <w:jc w:val="both"/>
        <w:rPr>
          <w:rFonts w:asciiTheme="minorHAnsi" w:hAnsiTheme="minorHAnsi" w:cstheme="minorHAnsi"/>
          <w:sz w:val="22"/>
          <w:szCs w:val="22"/>
        </w:rPr>
      </w:pPr>
      <w:r>
        <w:rPr>
          <w:rFonts w:asciiTheme="minorHAnsi" w:hAnsiTheme="minorHAnsi" w:cstheme="minorHAnsi"/>
          <w:bCs/>
          <w:sz w:val="22"/>
          <w:szCs w:val="22"/>
        </w:rPr>
        <w:t>15.2. Será</w:t>
      </w:r>
      <w:r>
        <w:rPr>
          <w:rFonts w:asciiTheme="minorHAnsi" w:hAnsiTheme="minorHAnsi" w:cstheme="minorHAnsi"/>
          <w:sz w:val="22"/>
          <w:szCs w:val="22"/>
        </w:rPr>
        <w:t xml:space="preserve"> impedido de licitar e contratar aquele que, a juízo da autoridade competente, pelo prazo de até 03 (três) anos:</w:t>
      </w:r>
    </w:p>
    <w:p w14:paraId="66F62233">
      <w:pPr>
        <w:spacing w:line="276" w:lineRule="auto"/>
        <w:ind w:left="567"/>
        <w:jc w:val="both"/>
        <w:rPr>
          <w:rFonts w:asciiTheme="minorHAnsi" w:hAnsiTheme="minorHAnsi" w:cstheme="minorHAnsi"/>
          <w:bCs/>
          <w:sz w:val="22"/>
          <w:szCs w:val="22"/>
        </w:rPr>
      </w:pPr>
      <w:r>
        <w:rPr>
          <w:rFonts w:asciiTheme="minorHAnsi" w:hAnsiTheme="minorHAnsi" w:cstheme="minorHAnsi"/>
          <w:bCs/>
          <w:sz w:val="22"/>
          <w:szCs w:val="22"/>
        </w:rPr>
        <w:t>1) der causa à inexecução parcial do contrato a ser firmado em decorrência desta Ata de Registro de Preços, ou documento que o substitua, que cause danos à Administração, ao funcionamento dos serviços públicos ou ao interesse coletivo;</w:t>
      </w:r>
    </w:p>
    <w:p w14:paraId="6E3E5EE5">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2) der causa à inexecução total do contrato a ser firmado em decorrência desta Ata de Registro de preços, ou documento que o substitua;</w:t>
      </w:r>
    </w:p>
    <w:p w14:paraId="69CB79CA">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3) não manter a proposta, salvo em decorrência de fato superveniente devidamente justificado;</w:t>
      </w:r>
    </w:p>
    <w:p w14:paraId="73E5F88B">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4) não celebrar o contrato ou não entregar a documentação exigida para a contratação, quando convocado dentro do prazo de validade de sua proposta;</w:t>
      </w:r>
    </w:p>
    <w:p w14:paraId="4B01A73D">
      <w:pPr>
        <w:pStyle w:val="21"/>
        <w:spacing w:line="276" w:lineRule="auto"/>
        <w:ind w:left="540"/>
        <w:jc w:val="both"/>
        <w:rPr>
          <w:rFonts w:asciiTheme="minorHAnsi" w:hAnsiTheme="minorHAnsi" w:cstheme="minorHAnsi"/>
          <w:bCs/>
          <w:sz w:val="22"/>
          <w:szCs w:val="22"/>
        </w:rPr>
      </w:pPr>
      <w:r>
        <w:rPr>
          <w:rFonts w:asciiTheme="minorHAnsi" w:hAnsiTheme="minorHAnsi" w:cstheme="minorHAnsi"/>
          <w:bCs/>
          <w:sz w:val="22"/>
          <w:szCs w:val="22"/>
        </w:rPr>
        <w:t xml:space="preserve">5) ensejar o retardamento da execução ou da entrega do objeto da licitação sem motivo justificado. </w:t>
      </w:r>
    </w:p>
    <w:p w14:paraId="7DFDD93B">
      <w:pPr>
        <w:pStyle w:val="40"/>
        <w:tabs>
          <w:tab w:val="left" w:pos="1134"/>
        </w:tabs>
        <w:spacing w:line="276" w:lineRule="auto"/>
        <w:ind w:left="540"/>
        <w:jc w:val="both"/>
        <w:rPr>
          <w:rFonts w:asciiTheme="minorHAnsi" w:hAnsiTheme="minorHAnsi" w:cstheme="minorHAnsi"/>
          <w:bCs/>
          <w:szCs w:val="22"/>
        </w:rPr>
      </w:pPr>
    </w:p>
    <w:p w14:paraId="6081914A">
      <w:pPr>
        <w:pStyle w:val="19"/>
        <w:jc w:val="both"/>
        <w:rPr>
          <w:rFonts w:asciiTheme="minorHAnsi" w:hAnsiTheme="minorHAnsi" w:cstheme="minorHAnsi"/>
          <w:sz w:val="22"/>
          <w:szCs w:val="22"/>
        </w:rPr>
      </w:pPr>
      <w:r>
        <w:rPr>
          <w:rFonts w:asciiTheme="minorHAnsi" w:hAnsiTheme="minorHAnsi" w:cstheme="minorHAnsi"/>
          <w:bCs/>
          <w:sz w:val="22"/>
          <w:szCs w:val="22"/>
        </w:rPr>
        <w:t xml:space="preserve">15.3. </w:t>
      </w:r>
      <w:r>
        <w:rPr>
          <w:rFonts w:asciiTheme="minorHAnsi" w:hAnsiTheme="minorHAnsi" w:cstheme="minorHAnsi"/>
          <w:sz w:val="22"/>
          <w:szCs w:val="22"/>
        </w:rPr>
        <w:t xml:space="preserve">Para aplicação das sanções de multa será facultada a defesa do interessado no prazo de 15 (quinze) dias úteis, contado da data de sua intimação, nos termos do art. 157 da Lei Federal nº  14.133/2021. </w:t>
      </w:r>
    </w:p>
    <w:p w14:paraId="65BB44BE">
      <w:pPr>
        <w:pStyle w:val="19"/>
        <w:jc w:val="both"/>
        <w:rPr>
          <w:rFonts w:asciiTheme="minorHAnsi" w:hAnsiTheme="minorHAnsi" w:cstheme="minorHAnsi"/>
          <w:sz w:val="22"/>
          <w:szCs w:val="22"/>
        </w:rPr>
      </w:pPr>
    </w:p>
    <w:p w14:paraId="4461C337">
      <w:pPr>
        <w:pStyle w:val="19"/>
        <w:jc w:val="both"/>
        <w:rPr>
          <w:rFonts w:asciiTheme="minorHAnsi" w:hAnsiTheme="minorHAnsi" w:cstheme="minorHAnsi"/>
          <w:sz w:val="22"/>
          <w:szCs w:val="22"/>
        </w:rPr>
      </w:pPr>
      <w:r>
        <w:rPr>
          <w:rFonts w:asciiTheme="minorHAnsi" w:hAnsiTheme="minorHAnsi" w:cstheme="minorHAnsi"/>
          <w:sz w:val="22"/>
          <w:szCs w:val="22"/>
        </w:rPr>
        <w:t xml:space="preserve">15.4. Para aplicação das sanções de impedimento de licitar e contratar e declaração de inidoneidade para licitar ou contratar requererá a instauração de processo de responsabilização, nos termos do art. 158 da Lei Federal 14.133/2021. </w:t>
      </w:r>
    </w:p>
    <w:p w14:paraId="382DC85C">
      <w:pPr>
        <w:pStyle w:val="19"/>
        <w:jc w:val="both"/>
        <w:rPr>
          <w:rFonts w:asciiTheme="minorHAnsi" w:hAnsiTheme="minorHAnsi" w:cstheme="minorHAnsi"/>
          <w:sz w:val="22"/>
          <w:szCs w:val="22"/>
        </w:rPr>
      </w:pPr>
    </w:p>
    <w:p w14:paraId="3B8380B5">
      <w:pPr>
        <w:pStyle w:val="19"/>
        <w:rPr>
          <w:rFonts w:asciiTheme="minorHAnsi" w:hAnsiTheme="minorHAnsi" w:cstheme="minorHAnsi"/>
          <w:sz w:val="22"/>
          <w:szCs w:val="22"/>
        </w:rPr>
      </w:pPr>
      <w:r>
        <w:rPr>
          <w:rFonts w:asciiTheme="minorHAnsi" w:hAnsiTheme="minorHAnsi" w:cstheme="minorHAnsi"/>
          <w:sz w:val="22"/>
          <w:szCs w:val="22"/>
        </w:rPr>
        <w:t xml:space="preserve">15.5. Das decisões de aplicação de penalidade, caberá recurso nos termos dos artigos 166 e 167 da Lei Federal nº 14.133/21, observados os prazos nele fixados. </w:t>
      </w:r>
    </w:p>
    <w:p w14:paraId="6E7172D9">
      <w:pPr>
        <w:pStyle w:val="40"/>
        <w:tabs>
          <w:tab w:val="left" w:pos="1134"/>
        </w:tabs>
        <w:spacing w:line="276" w:lineRule="auto"/>
        <w:jc w:val="both"/>
        <w:rPr>
          <w:rFonts w:asciiTheme="minorHAnsi" w:hAnsiTheme="minorHAnsi" w:cstheme="minorHAnsi"/>
          <w:b/>
          <w:szCs w:val="22"/>
        </w:rPr>
      </w:pPr>
    </w:p>
    <w:p w14:paraId="7F8187B6">
      <w:pPr>
        <w:pStyle w:val="40"/>
        <w:numPr>
          <w:ilvl w:val="0"/>
          <w:numId w:val="12"/>
        </w:numPr>
        <w:tabs>
          <w:tab w:val="left" w:pos="1134"/>
        </w:tabs>
        <w:spacing w:line="276" w:lineRule="auto"/>
        <w:jc w:val="both"/>
        <w:rPr>
          <w:rFonts w:asciiTheme="minorHAnsi" w:hAnsiTheme="minorHAnsi" w:cstheme="minorHAnsi"/>
          <w:b/>
          <w:szCs w:val="22"/>
        </w:rPr>
      </w:pPr>
      <w:r>
        <w:rPr>
          <w:rFonts w:asciiTheme="minorHAnsi" w:hAnsiTheme="minorHAnsi" w:cstheme="minorHAnsi"/>
          <w:b/>
          <w:szCs w:val="22"/>
        </w:rPr>
        <w:t>DA ANTICORRUPÇÃO</w:t>
      </w:r>
    </w:p>
    <w:p w14:paraId="2B087BC9">
      <w:pPr>
        <w:spacing w:line="276" w:lineRule="auto"/>
        <w:rPr>
          <w:rFonts w:asciiTheme="minorHAnsi" w:hAnsiTheme="minorHAnsi" w:eastAsiaTheme="minorHAnsi" w:cstheme="minorHAnsi"/>
          <w:sz w:val="22"/>
          <w:szCs w:val="22"/>
          <w:lang w:eastAsia="en-US"/>
        </w:rPr>
      </w:pPr>
    </w:p>
    <w:p w14:paraId="1C248F64">
      <w:pPr>
        <w:spacing w:line="276" w:lineRule="auto"/>
        <w:jc w:val="both"/>
        <w:rPr>
          <w:rFonts w:asciiTheme="minorHAnsi" w:hAnsiTheme="minorHAnsi" w:cstheme="minorHAnsi"/>
          <w:sz w:val="22"/>
          <w:szCs w:val="22"/>
        </w:rPr>
      </w:pPr>
      <w:r>
        <w:rPr>
          <w:rFonts w:asciiTheme="minorHAnsi" w:hAnsiTheme="minorHAnsi" w:cstheme="minorHAnsi"/>
          <w:sz w:val="22"/>
          <w:szCs w:val="22"/>
        </w:rPr>
        <w:t>16.1. Na execução da presente Ata de Registro de Preços é vedado à Administração Municipal Direta e Indireta e à Detentora e/ou o empregado seu, e/ou o preposto seu, e/ou o gestor seu:</w:t>
      </w:r>
    </w:p>
    <w:p w14:paraId="5858E08C">
      <w:pPr>
        <w:pStyle w:val="21"/>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a) Prometer, oferecer ou dar, direta ou indiretamente, vantagem indevida a agente público ou a quem quer que seja, ou a terceira pessoa a ele relacionada;</w:t>
      </w:r>
    </w:p>
    <w:p w14:paraId="64AB5032">
      <w:pPr>
        <w:pStyle w:val="21"/>
        <w:tabs>
          <w:tab w:val="left" w:pos="426"/>
        </w:tabs>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b) Criar, de modo fraudulento ou irregular, pessoa jurídica para celebrar a presente Ata de Registro de Preços;</w:t>
      </w:r>
    </w:p>
    <w:p w14:paraId="1B30793D">
      <w:pPr>
        <w:pStyle w:val="21"/>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 Obter vantagem ou benefício indevido, de modo fraudulento, de modificações ou prorrogações da presente Ata de Registro de Preços, sem autorização em lei, no ato convocatório da licitação pública ou nos respectivos instrumentos contratuais; </w:t>
      </w:r>
    </w:p>
    <w:p w14:paraId="2DA7E24B">
      <w:pPr>
        <w:pStyle w:val="21"/>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d) Manipular ou fraudar o equilíbrio econômico-financeiro da presente Ata de Registro de Preços; ou</w:t>
      </w:r>
    </w:p>
    <w:p w14:paraId="1CA11584">
      <w:pPr>
        <w:pStyle w:val="21"/>
        <w:tabs>
          <w:tab w:val="left" w:pos="284"/>
        </w:tabs>
        <w:spacing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e) De qualquer maneira fraudar a presente Ata de Registro de Preços, assim como realizar quaisquer ações ou omissões que constituam prática ilegal ou de corrupção, nos termos da Lei nº 12.846/2013, regulamentada pelo Decreto nº 11.129/2022, bem como quaisquer outras leis regulamentos aplicáveis ainda que não citadas expressamente no presente edital e futura Ata de Registro de preços. </w:t>
      </w:r>
    </w:p>
    <w:p w14:paraId="474A93E6">
      <w:pPr>
        <w:pStyle w:val="21"/>
        <w:tabs>
          <w:tab w:val="left" w:pos="284"/>
        </w:tabs>
        <w:spacing w:line="276" w:lineRule="auto"/>
        <w:ind w:left="567"/>
        <w:jc w:val="both"/>
        <w:rPr>
          <w:rFonts w:asciiTheme="minorHAnsi" w:hAnsiTheme="minorHAnsi" w:cstheme="minorHAnsi"/>
          <w:sz w:val="22"/>
          <w:szCs w:val="22"/>
        </w:rPr>
      </w:pPr>
    </w:p>
    <w:p w14:paraId="1597F6BD">
      <w:pPr>
        <w:pStyle w:val="40"/>
        <w:numPr>
          <w:ilvl w:val="0"/>
          <w:numId w:val="12"/>
        </w:numPr>
        <w:spacing w:line="276" w:lineRule="auto"/>
        <w:ind w:hanging="174"/>
        <w:jc w:val="both"/>
        <w:rPr>
          <w:rFonts w:asciiTheme="minorHAnsi" w:hAnsiTheme="minorHAnsi" w:cstheme="minorHAnsi"/>
          <w:b/>
          <w:szCs w:val="22"/>
        </w:rPr>
      </w:pPr>
      <w:r>
        <w:rPr>
          <w:rFonts w:asciiTheme="minorHAnsi" w:hAnsiTheme="minorHAnsi" w:cstheme="minorHAnsi"/>
          <w:b/>
          <w:szCs w:val="22"/>
        </w:rPr>
        <w:t xml:space="preserve">  DO CANCELAMENTO DA ATA DE REGISTRO DE PREÇOS</w:t>
      </w:r>
    </w:p>
    <w:p w14:paraId="03EFA89F">
      <w:pPr>
        <w:pStyle w:val="21"/>
        <w:numPr>
          <w:ilvl w:val="1"/>
          <w:numId w:val="12"/>
        </w:numPr>
        <w:tabs>
          <w:tab w:val="left" w:pos="851"/>
        </w:tabs>
        <w:spacing w:line="276" w:lineRule="auto"/>
        <w:ind w:left="0" w:firstLine="0"/>
        <w:jc w:val="both"/>
        <w:rPr>
          <w:rFonts w:asciiTheme="minorHAnsi" w:hAnsiTheme="minorHAnsi" w:eastAsiaTheme="minorHAnsi" w:cstheme="minorHAnsi"/>
          <w:sz w:val="22"/>
          <w:szCs w:val="22"/>
          <w:lang w:eastAsia="en-US"/>
        </w:rPr>
      </w:pPr>
      <w:r>
        <w:rPr>
          <w:rFonts w:asciiTheme="minorHAnsi" w:hAnsiTheme="minorHAnsi" w:cstheme="minorHAnsi"/>
          <w:sz w:val="22"/>
          <w:szCs w:val="22"/>
        </w:rPr>
        <w:t>A presente Ata de Registro de Preços poderá ser cancelada nos termos e condições estabelecidas no Decreto Municipal n.º 411/2023.</w:t>
      </w:r>
    </w:p>
    <w:p w14:paraId="41F8845B">
      <w:pPr>
        <w:pStyle w:val="21"/>
        <w:spacing w:line="276" w:lineRule="auto"/>
        <w:ind w:left="540"/>
        <w:rPr>
          <w:rFonts w:asciiTheme="minorHAnsi" w:hAnsiTheme="minorHAnsi" w:cstheme="minorHAnsi"/>
          <w:sz w:val="22"/>
          <w:szCs w:val="22"/>
        </w:rPr>
      </w:pPr>
    </w:p>
    <w:p w14:paraId="2D39C87E">
      <w:pPr>
        <w:pStyle w:val="21"/>
        <w:numPr>
          <w:ilvl w:val="0"/>
          <w:numId w:val="12"/>
        </w:numPr>
        <w:spacing w:line="276" w:lineRule="auto"/>
        <w:ind w:hanging="174"/>
        <w:jc w:val="both"/>
        <w:rPr>
          <w:rFonts w:asciiTheme="minorHAnsi" w:hAnsiTheme="minorHAnsi" w:cstheme="minorHAnsi"/>
          <w:b/>
          <w:sz w:val="22"/>
          <w:szCs w:val="22"/>
        </w:rPr>
      </w:pPr>
      <w:r>
        <w:rPr>
          <w:rFonts w:asciiTheme="minorHAnsi" w:hAnsiTheme="minorHAnsi" w:cstheme="minorHAnsi"/>
          <w:b/>
          <w:sz w:val="22"/>
          <w:szCs w:val="22"/>
        </w:rPr>
        <w:t xml:space="preserve">  DA PROTEÇÃO DE DADOS PESSOAIS</w:t>
      </w:r>
    </w:p>
    <w:p w14:paraId="650C150A">
      <w:pPr>
        <w:pStyle w:val="21"/>
        <w:spacing w:line="276" w:lineRule="auto"/>
        <w:ind w:left="540"/>
        <w:jc w:val="both"/>
        <w:rPr>
          <w:rFonts w:asciiTheme="minorHAnsi" w:hAnsiTheme="minorHAnsi" w:cstheme="minorHAnsi"/>
          <w:b/>
          <w:sz w:val="22"/>
          <w:szCs w:val="22"/>
        </w:rPr>
      </w:pPr>
    </w:p>
    <w:p w14:paraId="1CCD5EC8">
      <w:pPr>
        <w:shd w:val="clear" w:color="auto" w:fill="FFFFFF"/>
        <w:spacing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18.1. A </w:t>
      </w:r>
      <w:r>
        <w:rPr>
          <w:rFonts w:asciiTheme="minorHAnsi" w:hAnsiTheme="minorHAnsi" w:cstheme="minorHAnsi"/>
          <w:bCs/>
          <w:sz w:val="22"/>
          <w:szCs w:val="22"/>
        </w:rPr>
        <w:t>DETENTORA</w:t>
      </w:r>
      <w:r>
        <w:rPr>
          <w:rFonts w:asciiTheme="minorHAnsi" w:hAnsiTheme="minorHAnsi" w:cstheme="minorHAnsi"/>
          <w:bCs/>
          <w:color w:val="000000"/>
          <w:sz w:val="22"/>
          <w:szCs w:val="22"/>
        </w:rPr>
        <w:t xml:space="preserve"> deve cumprir a </w:t>
      </w:r>
      <w:r>
        <w:rPr>
          <w:rFonts w:asciiTheme="minorHAnsi" w:hAnsiTheme="minorHAnsi" w:cstheme="minorHAnsi"/>
          <w:bCs/>
          <w:sz w:val="22"/>
          <w:szCs w:val="22"/>
        </w:rPr>
        <w:t xml:space="preserve">Lei Federal nº 13.709/2018 </w:t>
      </w:r>
      <w:r>
        <w:rPr>
          <w:rFonts w:asciiTheme="minorHAnsi" w:hAnsiTheme="minorHAnsi" w:cstheme="minorHAnsi"/>
          <w:bCs/>
          <w:color w:val="000000"/>
          <w:sz w:val="22"/>
          <w:szCs w:val="22"/>
        </w:rPr>
        <w:t>no âmbito da execução do objeto contratado em decorrência desta Ata de Registro de Preços e observar as instruções por escrito do MUNICIPIO no tratamento de dados pessoais.</w:t>
      </w:r>
    </w:p>
    <w:p w14:paraId="0DB9E80D">
      <w:pPr>
        <w:shd w:val="clear" w:color="auto" w:fill="FFFFFF"/>
        <w:spacing w:line="276" w:lineRule="auto"/>
        <w:jc w:val="both"/>
        <w:rPr>
          <w:rFonts w:asciiTheme="minorHAnsi" w:hAnsiTheme="minorHAnsi" w:cstheme="minorHAnsi"/>
          <w:bCs/>
          <w:color w:val="000000"/>
          <w:sz w:val="22"/>
          <w:szCs w:val="22"/>
        </w:rPr>
      </w:pPr>
    </w:p>
    <w:p w14:paraId="3007FE32">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18.2. A DETENTORA deve assegurar que o acesso a dados pessoais seja limitado aos empregados, prepostos ou colaboradores que necessitem conhecer/acessar os dados pertinentes, na medida em que sejam estritamente necessários para as finalidades deste Contrato, e cumprir a legislação aplicável, assegurando que todos esses indivíduos estejam sujeitos a compromissos de confidencialidade ou obrigações profissionais de confidencialidade;</w:t>
      </w:r>
    </w:p>
    <w:p w14:paraId="3DAFA097">
      <w:pPr>
        <w:shd w:val="clear" w:color="auto" w:fill="FFFFFF"/>
        <w:spacing w:line="276" w:lineRule="auto"/>
        <w:jc w:val="both"/>
        <w:rPr>
          <w:rFonts w:asciiTheme="minorHAnsi" w:hAnsiTheme="minorHAnsi" w:cstheme="minorHAnsi"/>
          <w:bCs/>
          <w:sz w:val="22"/>
          <w:szCs w:val="22"/>
        </w:rPr>
      </w:pPr>
    </w:p>
    <w:p w14:paraId="15B08994">
      <w:pPr>
        <w:shd w:val="clear" w:color="auto" w:fill="FFFFFF"/>
        <w:spacing w:line="276" w:lineRule="auto"/>
        <w:jc w:val="both"/>
        <w:rPr>
          <w:rFonts w:asciiTheme="minorHAnsi" w:hAnsiTheme="minorHAnsi" w:cstheme="minorHAnsi"/>
          <w:bCs/>
          <w:sz w:val="22"/>
          <w:szCs w:val="22"/>
        </w:rPr>
      </w:pPr>
      <w:r>
        <w:rPr>
          <w:rFonts w:asciiTheme="minorHAnsi" w:hAnsiTheme="minorHAnsi" w:cstheme="minorHAnsi"/>
          <w:bCs/>
          <w:sz w:val="22"/>
          <w:szCs w:val="22"/>
        </w:rPr>
        <w:t xml:space="preserve">18.3. Considerando a natureza dos dados tratados, as características específicas do tratamento e o estado atual da tecnologia, assim como os princípios previstos no </w:t>
      </w:r>
      <w:r>
        <w:rPr>
          <w:rFonts w:asciiTheme="minorHAnsi" w:hAnsiTheme="minorHAnsi" w:cstheme="minorHAnsi"/>
          <w:bCs/>
          <w:i/>
          <w:iCs/>
          <w:sz w:val="22"/>
          <w:szCs w:val="22"/>
        </w:rPr>
        <w:t>caput</w:t>
      </w:r>
      <w:r>
        <w:rPr>
          <w:rFonts w:asciiTheme="minorHAnsi" w:hAnsiTheme="minorHAnsi" w:cstheme="minorHAnsi"/>
          <w:bCs/>
          <w:sz w:val="22"/>
          <w:szCs w:val="22"/>
        </w:rPr>
        <w:t xml:space="preserve"> do art. 6º da Lei Federal nº 13.709/2018, a DETENTORA deve adotar, em relação aos dados pessoais,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309A9DED">
      <w:pPr>
        <w:shd w:val="clear" w:color="auto" w:fill="FFFFFF"/>
        <w:spacing w:line="276" w:lineRule="auto"/>
        <w:jc w:val="both"/>
        <w:rPr>
          <w:rFonts w:asciiTheme="minorHAnsi" w:hAnsiTheme="minorHAnsi" w:cstheme="minorHAnsi"/>
          <w:bCs/>
          <w:sz w:val="22"/>
          <w:szCs w:val="22"/>
        </w:rPr>
      </w:pPr>
    </w:p>
    <w:p w14:paraId="36A9588D">
      <w:pPr>
        <w:shd w:val="clear" w:color="auto" w:fill="FFFFFF"/>
        <w:spacing w:line="276" w:lineRule="auto"/>
        <w:jc w:val="both"/>
        <w:rPr>
          <w:rFonts w:asciiTheme="minorHAnsi" w:hAnsiTheme="minorHAnsi" w:cstheme="minorHAnsi"/>
          <w:bCs/>
          <w:color w:val="000000"/>
          <w:sz w:val="22"/>
          <w:szCs w:val="22"/>
        </w:rPr>
      </w:pPr>
      <w:r>
        <w:rPr>
          <w:rFonts w:asciiTheme="minorHAnsi" w:hAnsiTheme="minorHAnsi" w:cstheme="minorHAnsi"/>
          <w:bCs/>
          <w:sz w:val="22"/>
          <w:szCs w:val="22"/>
        </w:rPr>
        <w:t>18.4. Considerando a natureza do tratamento, a DETENTORA deve, enquanto operadora de dados pessoais, implementar medidas técnicas e organizacionais apropriadas para o cumprimento das obrigações do MUNICÍPIO previstas na Lei Federal nº 13.709/2018</w:t>
      </w:r>
      <w:r>
        <w:rPr>
          <w:rFonts w:asciiTheme="minorHAnsi" w:hAnsiTheme="minorHAnsi" w:cstheme="minorHAnsi"/>
          <w:bCs/>
          <w:color w:val="000000"/>
          <w:sz w:val="22"/>
          <w:szCs w:val="22"/>
        </w:rPr>
        <w:t>.</w:t>
      </w:r>
    </w:p>
    <w:p w14:paraId="19B6EFB1">
      <w:pPr>
        <w:shd w:val="clear" w:color="auto" w:fill="FFFFFF"/>
        <w:spacing w:line="276" w:lineRule="auto"/>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18.5. A DETENTORA deve:</w:t>
      </w:r>
    </w:p>
    <w:p w14:paraId="1A16244F">
      <w:pPr>
        <w:shd w:val="clear" w:color="auto" w:fill="FFFFFF"/>
        <w:spacing w:line="276" w:lineRule="auto"/>
        <w:jc w:val="both"/>
        <w:rPr>
          <w:rFonts w:asciiTheme="minorHAnsi" w:hAnsiTheme="minorHAnsi" w:cstheme="minorHAnsi"/>
          <w:bCs/>
          <w:color w:val="000000"/>
          <w:sz w:val="22"/>
          <w:szCs w:val="22"/>
        </w:rPr>
      </w:pPr>
    </w:p>
    <w:p w14:paraId="5E7B975B">
      <w:pPr>
        <w:shd w:val="clear" w:color="auto" w:fill="FFFFFF"/>
        <w:spacing w:line="276" w:lineRule="auto"/>
        <w:jc w:val="both"/>
        <w:rPr>
          <w:rFonts w:asciiTheme="minorHAnsi" w:hAnsiTheme="minorHAnsi" w:cstheme="minorHAnsi"/>
          <w:bCs/>
          <w:sz w:val="22"/>
          <w:szCs w:val="22"/>
        </w:rPr>
      </w:pPr>
      <w:r>
        <w:rPr>
          <w:rFonts w:asciiTheme="minorHAnsi" w:hAnsiTheme="minorHAnsi" w:cstheme="minorHAnsi"/>
          <w:bCs/>
          <w:sz w:val="22"/>
          <w:szCs w:val="22"/>
        </w:rPr>
        <w:t>I – Imediatamente notificar o MUNICÍPIO ao receber requerimento de um titular de dados, na forma prevista no artigo 18 da Lei Federal nº 13.709/2018; e</w:t>
      </w:r>
    </w:p>
    <w:p w14:paraId="466A61CA">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II – Quando for o caso, auxiliar o MUNICÍPIO na elaboração da resposta ao requerimento a que se refere o inciso I deste parágrafo;</w:t>
      </w:r>
    </w:p>
    <w:p w14:paraId="56FAF63F">
      <w:pPr>
        <w:shd w:val="clear" w:color="auto" w:fill="FFFFFF"/>
        <w:spacing w:line="276" w:lineRule="auto"/>
        <w:jc w:val="both"/>
        <w:rPr>
          <w:rFonts w:asciiTheme="minorHAnsi" w:hAnsiTheme="minorHAnsi" w:cstheme="minorHAnsi"/>
          <w:bCs/>
          <w:sz w:val="22"/>
          <w:szCs w:val="22"/>
        </w:rPr>
      </w:pPr>
    </w:p>
    <w:p w14:paraId="1120F808">
      <w:pPr>
        <w:shd w:val="clear" w:color="auto" w:fill="FFFFFF"/>
        <w:spacing w:line="276" w:lineRule="auto"/>
        <w:jc w:val="both"/>
        <w:rPr>
          <w:rFonts w:asciiTheme="minorHAnsi" w:hAnsiTheme="minorHAnsi" w:cstheme="minorHAnsi"/>
          <w:bCs/>
          <w:sz w:val="22"/>
          <w:szCs w:val="22"/>
        </w:rPr>
      </w:pPr>
      <w:r>
        <w:rPr>
          <w:rFonts w:asciiTheme="minorHAnsi" w:hAnsiTheme="minorHAnsi" w:cstheme="minorHAnsi"/>
          <w:bCs/>
          <w:sz w:val="22"/>
          <w:szCs w:val="22"/>
        </w:rPr>
        <w:t>18.6. A DETENTORA deve notificar ao MUNICÍPIO, imediatamente, a ocorrência de incidente de segurança relacionado a dados pessoais, fornecendo informações suficientes para que o MUNICÍPIO cumpra quaisquer obrigações de comunicar à autoridade nacional e aos titulares dos dados a ocorrência do incidente de segurança sujeita à Lei Federal nº 13.709/2018.</w:t>
      </w:r>
    </w:p>
    <w:p w14:paraId="38D7FDEF">
      <w:pPr>
        <w:shd w:val="clear" w:color="auto" w:fill="FFFFFF"/>
        <w:spacing w:line="276" w:lineRule="auto"/>
        <w:jc w:val="both"/>
        <w:rPr>
          <w:rFonts w:asciiTheme="minorHAnsi" w:hAnsiTheme="minorHAnsi" w:cstheme="minorHAnsi"/>
          <w:bCs/>
          <w:color w:val="000000"/>
          <w:sz w:val="22"/>
          <w:szCs w:val="22"/>
        </w:rPr>
      </w:pPr>
    </w:p>
    <w:p w14:paraId="5135880C">
      <w:pPr>
        <w:shd w:val="clear" w:color="auto" w:fill="FFFFFF"/>
        <w:spacing w:line="276" w:lineRule="auto"/>
        <w:jc w:val="both"/>
        <w:rPr>
          <w:rFonts w:asciiTheme="minorHAnsi" w:hAnsiTheme="minorHAnsi" w:cstheme="minorHAnsi"/>
          <w:bCs/>
          <w:color w:val="1F497D"/>
          <w:sz w:val="22"/>
          <w:szCs w:val="22"/>
        </w:rPr>
      </w:pPr>
      <w:r>
        <w:rPr>
          <w:rFonts w:asciiTheme="minorHAnsi" w:hAnsiTheme="minorHAnsi" w:cstheme="minorHAnsi"/>
          <w:bCs/>
          <w:sz w:val="22"/>
          <w:szCs w:val="22"/>
        </w:rPr>
        <w:t>18.7. A DETENTORA deve adotar as medidas cabíveis para auxiliar na investigação, mitigação e reparação de cada um dos incidentes de segurança</w:t>
      </w:r>
      <w:r>
        <w:rPr>
          <w:rFonts w:asciiTheme="minorHAnsi" w:hAnsiTheme="minorHAnsi" w:cstheme="minorHAnsi"/>
          <w:bCs/>
          <w:color w:val="1F497D"/>
          <w:sz w:val="22"/>
          <w:szCs w:val="22"/>
        </w:rPr>
        <w:t>.</w:t>
      </w:r>
    </w:p>
    <w:p w14:paraId="0DB1267B">
      <w:pPr>
        <w:shd w:val="clear" w:color="auto" w:fill="FFFFFF"/>
        <w:spacing w:line="276" w:lineRule="auto"/>
        <w:jc w:val="both"/>
        <w:rPr>
          <w:rFonts w:asciiTheme="minorHAnsi" w:hAnsiTheme="minorHAnsi" w:cstheme="minorHAnsi"/>
          <w:bCs/>
          <w:color w:val="000000"/>
          <w:sz w:val="22"/>
          <w:szCs w:val="22"/>
        </w:rPr>
      </w:pPr>
    </w:p>
    <w:p w14:paraId="601DE24C">
      <w:pPr>
        <w:shd w:val="clear" w:color="auto" w:fill="FFFFFF"/>
        <w:spacing w:line="276" w:lineRule="auto"/>
        <w:jc w:val="both"/>
        <w:rPr>
          <w:rFonts w:asciiTheme="minorHAnsi" w:hAnsiTheme="minorHAnsi" w:cstheme="minorHAnsi"/>
          <w:bCs/>
          <w:sz w:val="22"/>
          <w:szCs w:val="22"/>
        </w:rPr>
      </w:pPr>
      <w:r>
        <w:rPr>
          <w:rFonts w:asciiTheme="minorHAnsi" w:hAnsiTheme="minorHAnsi" w:cstheme="minorHAnsi"/>
          <w:bCs/>
          <w:sz w:val="22"/>
          <w:szCs w:val="22"/>
        </w:rPr>
        <w:t>18.8. A DETENTORA deve auxiliar o MUNICÍPIO na elaboração de relatórios de impacto à proteção de dados pessoais, observado o disposto no artigo 38 da Lei Federal nº 13.709/2018, no âmbito da execução deste Contrato.</w:t>
      </w:r>
    </w:p>
    <w:p w14:paraId="757F5E7D">
      <w:pPr>
        <w:shd w:val="clear" w:color="auto" w:fill="FFFFFF"/>
        <w:spacing w:line="276" w:lineRule="auto"/>
        <w:jc w:val="both"/>
        <w:rPr>
          <w:rFonts w:asciiTheme="minorHAnsi" w:hAnsiTheme="minorHAnsi" w:cstheme="minorHAnsi"/>
          <w:bCs/>
          <w:color w:val="000000"/>
          <w:sz w:val="22"/>
          <w:szCs w:val="22"/>
        </w:rPr>
      </w:pPr>
    </w:p>
    <w:p w14:paraId="3258DC4B">
      <w:pPr>
        <w:spacing w:line="276" w:lineRule="auto"/>
        <w:jc w:val="both"/>
        <w:rPr>
          <w:rFonts w:asciiTheme="minorHAnsi" w:hAnsiTheme="minorHAnsi" w:cstheme="minorHAnsi"/>
          <w:bCs/>
          <w:color w:val="1F497D"/>
          <w:sz w:val="22"/>
          <w:szCs w:val="22"/>
        </w:rPr>
      </w:pPr>
      <w:r>
        <w:rPr>
          <w:rFonts w:asciiTheme="minorHAnsi" w:hAnsiTheme="minorHAnsi" w:cstheme="minorHAnsi"/>
          <w:bCs/>
          <w:sz w:val="22"/>
          <w:szCs w:val="22"/>
        </w:rPr>
        <w:t>18.9. Na ocasião do encerramento desta Ata de Registro de Preços, a DETENTORA deve, imediatamente, ou, mediante justificativa, em até 10 (dez) dias úteis da data de seu encerramento, devolver todos os dados pessoais ao MUNICÍPIO ou eliminá-los, conforme decisão do MUNICÍPIO, inclusive eventuais cópias de dados pessoais tratados no âmbito desta Ata de Registro de Preços, certificando por escrito, ao MUNICÍPIO, o cumprimento desta obrigação</w:t>
      </w:r>
      <w:r>
        <w:rPr>
          <w:rFonts w:asciiTheme="minorHAnsi" w:hAnsiTheme="minorHAnsi" w:cstheme="minorHAnsi"/>
          <w:bCs/>
          <w:color w:val="1F497D"/>
          <w:sz w:val="22"/>
          <w:szCs w:val="22"/>
        </w:rPr>
        <w:t>.</w:t>
      </w:r>
    </w:p>
    <w:p w14:paraId="1607FEE4">
      <w:pPr>
        <w:spacing w:line="276" w:lineRule="auto"/>
        <w:jc w:val="both"/>
        <w:rPr>
          <w:rFonts w:asciiTheme="minorHAnsi" w:hAnsiTheme="minorHAnsi" w:cstheme="minorHAnsi"/>
          <w:bCs/>
          <w:sz w:val="22"/>
          <w:szCs w:val="22"/>
        </w:rPr>
      </w:pPr>
    </w:p>
    <w:p w14:paraId="4BCA3BE8">
      <w:pPr>
        <w:shd w:val="clear" w:color="auto" w:fill="FFFFFF"/>
        <w:spacing w:line="276" w:lineRule="auto"/>
        <w:jc w:val="both"/>
        <w:rPr>
          <w:rFonts w:asciiTheme="minorHAnsi" w:hAnsiTheme="minorHAnsi" w:cstheme="minorHAnsi"/>
          <w:bCs/>
          <w:color w:val="1F497D"/>
          <w:sz w:val="22"/>
          <w:szCs w:val="22"/>
        </w:rPr>
      </w:pPr>
      <w:r>
        <w:rPr>
          <w:rFonts w:asciiTheme="minorHAnsi" w:hAnsiTheme="minorHAnsi" w:cstheme="minorHAnsi"/>
          <w:bCs/>
          <w:sz w:val="22"/>
          <w:szCs w:val="22"/>
        </w:rPr>
        <w:t>18.10. A DETENTORA deve colocar à disposição do MUNICÍPIO, conforme solicitado, toda informação necessária para demonstrar o cumprimento do disposto nesta cláusula, e deve permitir auditorias e contribuir com elas, incluindo inspeções, pelo MUNICÍPIO ou auditor por ele indicado, em relação ao tratamento de dados pessoais</w:t>
      </w:r>
      <w:r>
        <w:rPr>
          <w:rFonts w:asciiTheme="minorHAnsi" w:hAnsiTheme="minorHAnsi" w:cstheme="minorHAnsi"/>
          <w:bCs/>
          <w:color w:val="1F497D"/>
          <w:sz w:val="22"/>
          <w:szCs w:val="22"/>
        </w:rPr>
        <w:t>.</w:t>
      </w:r>
    </w:p>
    <w:p w14:paraId="28690D46">
      <w:pPr>
        <w:shd w:val="clear" w:color="auto" w:fill="FFFFFF"/>
        <w:spacing w:line="276" w:lineRule="auto"/>
        <w:jc w:val="both"/>
        <w:rPr>
          <w:rFonts w:asciiTheme="minorHAnsi" w:hAnsiTheme="minorHAnsi" w:cstheme="minorHAnsi"/>
          <w:bCs/>
          <w:color w:val="000000"/>
          <w:sz w:val="22"/>
          <w:szCs w:val="22"/>
        </w:rPr>
      </w:pPr>
    </w:p>
    <w:p w14:paraId="612EEFAC">
      <w:pPr>
        <w:shd w:val="clear" w:color="auto" w:fill="FFFFFF"/>
        <w:spacing w:line="276" w:lineRule="auto"/>
        <w:jc w:val="both"/>
        <w:rPr>
          <w:rFonts w:asciiTheme="minorHAnsi" w:hAnsiTheme="minorHAnsi" w:cstheme="minorHAnsi"/>
          <w:bCs/>
          <w:sz w:val="22"/>
          <w:szCs w:val="22"/>
        </w:rPr>
      </w:pPr>
      <w:r>
        <w:rPr>
          <w:rFonts w:asciiTheme="minorHAnsi" w:hAnsiTheme="minorHAnsi" w:cstheme="minorHAnsi"/>
          <w:bCs/>
          <w:sz w:val="22"/>
          <w:szCs w:val="22"/>
        </w:rPr>
        <w:t>18.11. Todas as notificações e comunicações realizadas nos termos desta cláusula devem se dar por escrito e ser entregues pessoalmente, encaminhadas pelo correio ou por e-mail para os endereços físicos ou eletrônicos informados em documento escrito emitido por ambas as partes por ocasião da assinatura desta Ata de Registro de Preços, ou outro endereço informado em notificação posterior.</w:t>
      </w:r>
    </w:p>
    <w:p w14:paraId="60AD90FE">
      <w:pPr>
        <w:shd w:val="clear" w:color="auto" w:fill="FFFFFF"/>
        <w:spacing w:line="276" w:lineRule="auto"/>
        <w:jc w:val="both"/>
        <w:rPr>
          <w:rFonts w:asciiTheme="minorHAnsi" w:hAnsiTheme="minorHAnsi" w:cstheme="minorHAnsi"/>
          <w:bCs/>
          <w:color w:val="000000"/>
          <w:sz w:val="22"/>
          <w:szCs w:val="22"/>
        </w:rPr>
      </w:pPr>
    </w:p>
    <w:p w14:paraId="7DA0559C">
      <w:pPr>
        <w:shd w:val="clear" w:color="auto" w:fill="FFFFFF"/>
        <w:spacing w:line="276" w:lineRule="auto"/>
        <w:jc w:val="both"/>
        <w:rPr>
          <w:rFonts w:asciiTheme="minorHAnsi" w:hAnsiTheme="minorHAnsi" w:cstheme="minorHAnsi"/>
          <w:bCs/>
          <w:color w:val="000000"/>
          <w:sz w:val="22"/>
          <w:szCs w:val="22"/>
        </w:rPr>
      </w:pPr>
      <w:r>
        <w:rPr>
          <w:rFonts w:asciiTheme="minorHAnsi" w:hAnsiTheme="minorHAnsi" w:cstheme="minorHAnsi"/>
          <w:bCs/>
          <w:sz w:val="22"/>
          <w:szCs w:val="22"/>
        </w:rPr>
        <w:t>18.12. A DETENTORA responderá por quaisquer danos, perdas ou prejuízos causados ao MUNICÍPIO ou a terceiros decorrentes do descumprimento da Lei Federal nº 13.709/2018 ou de instruções do MUNICÍPIO relacionadas a esta Ata de Registro de Preços, não excluindo ou reduzindo essa responsabilidade a fiscalização do MUNICÍPIO em seu acompanhamento</w:t>
      </w:r>
      <w:r>
        <w:rPr>
          <w:rFonts w:asciiTheme="minorHAnsi" w:hAnsiTheme="minorHAnsi" w:cstheme="minorHAnsi"/>
          <w:bCs/>
          <w:color w:val="000000"/>
          <w:sz w:val="22"/>
          <w:szCs w:val="22"/>
        </w:rPr>
        <w:t>.</w:t>
      </w:r>
    </w:p>
    <w:p w14:paraId="0B012CBF">
      <w:pPr>
        <w:spacing w:line="276" w:lineRule="auto"/>
        <w:jc w:val="both"/>
        <w:rPr>
          <w:rFonts w:asciiTheme="minorHAnsi" w:hAnsiTheme="minorHAnsi" w:cstheme="minorHAnsi"/>
          <w:bCs/>
          <w:sz w:val="22"/>
          <w:szCs w:val="22"/>
        </w:rPr>
      </w:pPr>
    </w:p>
    <w:p w14:paraId="471E6497">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18.13. Caso o objeto de eventual contratação decorrente desta Ata de Registro de Preços envolva o tratamento de dados pessoais com fundamento no consentimento do titular de que trata o inciso I do artigo 7º da Lei nº 13.709/2018, deverão ser observadas pela DETENTORA ao longo de toda a vigência do contrato todas as obrigações específicas vinculadas a essa hipótese legal de tratamento de dados pessoais, conforme instruções por escrito do MUNICÍPIO;</w:t>
      </w:r>
    </w:p>
    <w:p w14:paraId="7405E073">
      <w:pPr>
        <w:spacing w:line="276" w:lineRule="auto"/>
        <w:jc w:val="both"/>
        <w:rPr>
          <w:rFonts w:asciiTheme="minorHAnsi" w:hAnsiTheme="minorHAnsi" w:cstheme="minorHAnsi"/>
          <w:bCs/>
          <w:sz w:val="22"/>
          <w:szCs w:val="22"/>
        </w:rPr>
      </w:pPr>
    </w:p>
    <w:p w14:paraId="208095B0">
      <w:pPr>
        <w:shd w:val="clear" w:color="auto" w:fill="FFFFFF"/>
        <w:spacing w:line="276" w:lineRule="auto"/>
        <w:jc w:val="both"/>
        <w:rPr>
          <w:rFonts w:asciiTheme="minorHAnsi" w:hAnsiTheme="minorHAnsi" w:cstheme="minorHAnsi"/>
          <w:bCs/>
          <w:color w:val="000000"/>
          <w:sz w:val="22"/>
          <w:szCs w:val="22"/>
        </w:rPr>
      </w:pPr>
      <w:r>
        <w:rPr>
          <w:rFonts w:asciiTheme="minorHAnsi" w:hAnsiTheme="minorHAnsi" w:cstheme="minorHAnsi"/>
          <w:bCs/>
          <w:sz w:val="22"/>
          <w:szCs w:val="22"/>
        </w:rPr>
        <w:t>18</w:t>
      </w:r>
      <w:r>
        <w:rPr>
          <w:rFonts w:asciiTheme="minorHAnsi" w:hAnsiTheme="minorHAnsi" w:cstheme="minorHAnsi"/>
          <w:bCs/>
          <w:color w:val="000000"/>
          <w:sz w:val="22"/>
          <w:szCs w:val="22"/>
        </w:rPr>
        <w:t xml:space="preserve">.14. É vedada a transferência de dados pessoais, pela </w:t>
      </w:r>
      <w:r>
        <w:rPr>
          <w:rFonts w:asciiTheme="minorHAnsi" w:hAnsiTheme="minorHAnsi" w:cstheme="minorHAnsi"/>
          <w:bCs/>
          <w:sz w:val="22"/>
          <w:szCs w:val="22"/>
        </w:rPr>
        <w:t>DETENTORA</w:t>
      </w:r>
      <w:r>
        <w:rPr>
          <w:rFonts w:asciiTheme="minorHAnsi" w:hAnsiTheme="minorHAnsi" w:cstheme="minorHAnsi"/>
          <w:bCs/>
          <w:color w:val="000000"/>
          <w:sz w:val="22"/>
          <w:szCs w:val="22"/>
        </w:rPr>
        <w:t xml:space="preserve">, para fora do território do Brasil sem o prévio consentimento, por escrito, do MUNICÍPIO, e demonstração da observância, pela </w:t>
      </w:r>
      <w:r>
        <w:rPr>
          <w:rFonts w:asciiTheme="minorHAnsi" w:hAnsiTheme="minorHAnsi" w:cstheme="minorHAnsi"/>
          <w:bCs/>
          <w:sz w:val="22"/>
          <w:szCs w:val="22"/>
        </w:rPr>
        <w:t>DETENTORA</w:t>
      </w:r>
      <w:r>
        <w:rPr>
          <w:rFonts w:asciiTheme="minorHAnsi" w:hAnsiTheme="minorHAnsi" w:cstheme="minorHAnsi"/>
          <w:bCs/>
          <w:color w:val="000000"/>
          <w:sz w:val="22"/>
          <w:szCs w:val="22"/>
        </w:rPr>
        <w:t xml:space="preserve">, da adequada proteção desses dados, cabendo à </w:t>
      </w:r>
      <w:r>
        <w:rPr>
          <w:rFonts w:asciiTheme="minorHAnsi" w:hAnsiTheme="minorHAnsi" w:cstheme="minorHAnsi"/>
          <w:bCs/>
          <w:sz w:val="22"/>
          <w:szCs w:val="22"/>
        </w:rPr>
        <w:t>DETENTORA</w:t>
      </w:r>
      <w:r>
        <w:rPr>
          <w:rFonts w:asciiTheme="minorHAnsi" w:hAnsiTheme="minorHAnsi" w:cstheme="minorHAnsi"/>
          <w:bCs/>
          <w:color w:val="000000"/>
          <w:sz w:val="22"/>
          <w:szCs w:val="22"/>
        </w:rPr>
        <w:t xml:space="preserve"> o cumprimento de toda legislação de proteção de dados ou de privacidade de outro(s) país(es) que for aplicável.</w:t>
      </w:r>
    </w:p>
    <w:p w14:paraId="7FFB48CA">
      <w:pPr>
        <w:shd w:val="clear" w:color="auto" w:fill="FFFFFF"/>
        <w:spacing w:line="276" w:lineRule="auto"/>
        <w:jc w:val="both"/>
        <w:rPr>
          <w:rFonts w:asciiTheme="minorHAnsi" w:hAnsiTheme="minorHAnsi" w:cstheme="minorHAnsi"/>
          <w:color w:val="000000"/>
          <w:sz w:val="22"/>
          <w:szCs w:val="22"/>
        </w:rPr>
      </w:pPr>
    </w:p>
    <w:p w14:paraId="111848C7">
      <w:pPr>
        <w:pStyle w:val="40"/>
        <w:numPr>
          <w:ilvl w:val="0"/>
          <w:numId w:val="12"/>
        </w:numPr>
        <w:spacing w:line="276" w:lineRule="auto"/>
        <w:ind w:left="709" w:hanging="425"/>
        <w:jc w:val="both"/>
        <w:rPr>
          <w:rFonts w:asciiTheme="minorHAnsi" w:hAnsiTheme="minorHAnsi" w:cstheme="minorHAnsi"/>
          <w:b/>
          <w:szCs w:val="22"/>
        </w:rPr>
      </w:pPr>
      <w:r>
        <w:rPr>
          <w:rFonts w:asciiTheme="minorHAnsi" w:hAnsiTheme="minorHAnsi" w:cstheme="minorHAnsi"/>
          <w:b/>
          <w:szCs w:val="22"/>
        </w:rPr>
        <w:t>DO REGIME JURÍDICO E DAS REGRAS DISCIPLINADORAS DA ATA DE REGISTRO DE PREÇOS</w:t>
      </w:r>
    </w:p>
    <w:p w14:paraId="123D28AC">
      <w:pPr>
        <w:pStyle w:val="40"/>
        <w:spacing w:line="276" w:lineRule="auto"/>
        <w:ind w:left="709"/>
        <w:jc w:val="both"/>
        <w:rPr>
          <w:rFonts w:asciiTheme="minorHAnsi" w:hAnsiTheme="minorHAnsi" w:cstheme="minorHAnsi"/>
          <w:b/>
          <w:szCs w:val="22"/>
        </w:rPr>
      </w:pPr>
    </w:p>
    <w:p w14:paraId="0C14B1D7">
      <w:pPr>
        <w:pStyle w:val="40"/>
        <w:numPr>
          <w:ilvl w:val="1"/>
          <w:numId w:val="46"/>
        </w:numPr>
        <w:spacing w:line="276" w:lineRule="auto"/>
        <w:ind w:left="0" w:firstLine="0"/>
        <w:jc w:val="both"/>
        <w:rPr>
          <w:rFonts w:asciiTheme="minorHAnsi" w:hAnsiTheme="minorHAnsi" w:cstheme="minorHAnsi"/>
          <w:b/>
          <w:szCs w:val="22"/>
        </w:rPr>
      </w:pPr>
      <w:r>
        <w:rPr>
          <w:rFonts w:asciiTheme="minorHAnsi" w:hAnsiTheme="minorHAnsi" w:cstheme="minorHAnsi"/>
          <w:szCs w:val="22"/>
        </w:rPr>
        <w:t>A presente Ata de Registro de Preços e as autorizações de fornecimento que com base nele forem aperfeiçoados pelas partes serão regidos pelos preceitos de direito público, aplicando-se, supletivamente, os princípios da teoria geral dos contratos e as disposições de direito privado.</w:t>
      </w:r>
    </w:p>
    <w:p w14:paraId="61986EB1">
      <w:pPr>
        <w:pStyle w:val="40"/>
        <w:spacing w:line="276" w:lineRule="auto"/>
        <w:jc w:val="both"/>
        <w:rPr>
          <w:rFonts w:asciiTheme="minorHAnsi" w:hAnsiTheme="minorHAnsi" w:cstheme="minorHAnsi"/>
          <w:b/>
          <w:szCs w:val="22"/>
        </w:rPr>
      </w:pPr>
    </w:p>
    <w:p w14:paraId="7969DB06">
      <w:pPr>
        <w:pStyle w:val="40"/>
        <w:numPr>
          <w:ilvl w:val="1"/>
          <w:numId w:val="46"/>
        </w:numPr>
        <w:spacing w:line="276" w:lineRule="auto"/>
        <w:ind w:left="0" w:firstLine="0"/>
        <w:jc w:val="both"/>
        <w:rPr>
          <w:rFonts w:asciiTheme="minorHAnsi" w:hAnsiTheme="minorHAnsi" w:cstheme="minorHAnsi"/>
          <w:szCs w:val="22"/>
        </w:rPr>
      </w:pPr>
      <w:r>
        <w:rPr>
          <w:rFonts w:asciiTheme="minorHAnsi" w:hAnsiTheme="minorHAnsi" w:cstheme="minorHAnsi"/>
          <w:szCs w:val="22"/>
        </w:rPr>
        <w:t>A DETENTORA deverá adotar medidas, precauções e cuidados necessários, de modo a evitar eventuais danos causados diretamente ao MUNICÍPIO ou a terceiros, seja por ato ou omissão de seus empregados, prepostos ou assemelhados, decorrentes de sua culpa ou dolo na execução do contrato.</w:t>
      </w:r>
    </w:p>
    <w:p w14:paraId="2532AD29">
      <w:pPr>
        <w:pStyle w:val="40"/>
        <w:numPr>
          <w:ilvl w:val="1"/>
          <w:numId w:val="46"/>
        </w:numPr>
        <w:spacing w:line="276" w:lineRule="auto"/>
        <w:ind w:left="0" w:firstLine="0"/>
        <w:jc w:val="both"/>
        <w:rPr>
          <w:rFonts w:asciiTheme="minorHAnsi" w:hAnsiTheme="minorHAnsi" w:cstheme="minorHAnsi"/>
          <w:szCs w:val="22"/>
        </w:rPr>
      </w:pPr>
      <w:r>
        <w:rPr>
          <w:rFonts w:asciiTheme="minorHAnsi" w:hAnsiTheme="minorHAnsi" w:cstheme="minorHAnsi"/>
          <w:szCs w:val="22"/>
        </w:rPr>
        <w:t>Para todas as questões pertinentes à presente Ata de Registro de Preços, o foro será o da Comarca do Município de Santa Branca, com renúncia de qualquer outro, por mais privilegiado que seja.</w:t>
      </w:r>
    </w:p>
    <w:p w14:paraId="2A4FECB4">
      <w:pPr>
        <w:pStyle w:val="40"/>
        <w:spacing w:line="276" w:lineRule="auto"/>
        <w:jc w:val="both"/>
        <w:rPr>
          <w:rFonts w:asciiTheme="minorHAnsi" w:hAnsiTheme="minorHAnsi" w:cstheme="minorHAnsi"/>
          <w:szCs w:val="22"/>
        </w:rPr>
      </w:pPr>
      <w:r>
        <w:rPr>
          <w:rFonts w:asciiTheme="minorHAnsi" w:hAnsiTheme="minorHAnsi" w:cstheme="minorHAnsi"/>
          <w:bCs/>
          <w:szCs w:val="22"/>
        </w:rPr>
        <w:t xml:space="preserve"> 19.4.</w:t>
      </w:r>
      <w:r>
        <w:rPr>
          <w:rFonts w:asciiTheme="minorHAnsi" w:hAnsiTheme="minorHAnsi" w:cstheme="minorHAnsi"/>
          <w:b/>
          <w:szCs w:val="22"/>
        </w:rPr>
        <w:t xml:space="preserve"> </w:t>
      </w:r>
      <w:r>
        <w:rPr>
          <w:rFonts w:asciiTheme="minorHAnsi" w:hAnsiTheme="minorHAnsi" w:cstheme="minorHAnsi"/>
          <w:szCs w:val="22"/>
        </w:rPr>
        <w:t xml:space="preserve">O presente instrumento foi lavrado em decorrência de </w:t>
      </w:r>
      <w:r>
        <w:rPr>
          <w:rFonts w:asciiTheme="minorHAnsi" w:hAnsiTheme="minorHAnsi" w:cstheme="minorHAnsi"/>
          <w:b/>
          <w:szCs w:val="22"/>
        </w:rPr>
        <w:t>Pregão Eletrônico nº 22/2024</w:t>
      </w:r>
      <w:r>
        <w:rPr>
          <w:rFonts w:asciiTheme="minorHAnsi" w:hAnsiTheme="minorHAnsi" w:cstheme="minorHAnsi"/>
          <w:szCs w:val="22"/>
        </w:rPr>
        <w:t>, regendo-se pelas normas da Lei Federal nº 14.133/2021, com suas alterações posteriores, e do Decreto Municipal n.º 411/2023, às quais também se sujeitam as partes que o celebram.</w:t>
      </w:r>
    </w:p>
    <w:p w14:paraId="57388989">
      <w:pPr>
        <w:pStyle w:val="40"/>
        <w:spacing w:line="276" w:lineRule="auto"/>
        <w:jc w:val="both"/>
        <w:rPr>
          <w:rFonts w:asciiTheme="minorHAnsi" w:hAnsiTheme="minorHAnsi" w:cstheme="minorHAnsi"/>
          <w:szCs w:val="22"/>
        </w:rPr>
      </w:pPr>
      <w:r>
        <w:rPr>
          <w:rFonts w:asciiTheme="minorHAnsi" w:hAnsiTheme="minorHAnsi" w:cstheme="minorHAnsi"/>
          <w:szCs w:val="22"/>
        </w:rPr>
        <w:t>Para firmeza e validade do pactuado, a presente Ata de Registro de Preço foi lavrada em 02 (duas) vias de igual teor, que, depois de lida e achada em ordem, vai assinada pelas partes e testemunhas.</w:t>
      </w:r>
    </w:p>
    <w:p w14:paraId="58C45238">
      <w:pPr>
        <w:pStyle w:val="40"/>
        <w:spacing w:line="276" w:lineRule="auto"/>
        <w:jc w:val="both"/>
        <w:rPr>
          <w:rFonts w:asciiTheme="minorHAnsi" w:hAnsiTheme="minorHAnsi" w:cstheme="minorHAnsi"/>
          <w:sz w:val="21"/>
          <w:szCs w:val="21"/>
        </w:rPr>
      </w:pPr>
    </w:p>
    <w:p w14:paraId="25859759">
      <w:pPr>
        <w:pStyle w:val="40"/>
        <w:spacing w:line="276" w:lineRule="auto"/>
        <w:jc w:val="right"/>
        <w:rPr>
          <w:rFonts w:asciiTheme="minorHAnsi" w:hAnsiTheme="minorHAnsi" w:cstheme="minorHAnsi"/>
          <w:szCs w:val="22"/>
        </w:rPr>
      </w:pPr>
    </w:p>
    <w:p w14:paraId="08E57EBF">
      <w:pPr>
        <w:pStyle w:val="40"/>
        <w:spacing w:line="276" w:lineRule="auto"/>
        <w:jc w:val="right"/>
        <w:rPr>
          <w:rFonts w:asciiTheme="minorHAnsi" w:hAnsiTheme="minorHAnsi" w:cstheme="minorHAnsi"/>
          <w:szCs w:val="22"/>
        </w:rPr>
      </w:pPr>
      <w:r>
        <w:rPr>
          <w:rFonts w:asciiTheme="minorHAnsi" w:hAnsiTheme="minorHAnsi" w:cstheme="minorHAnsi"/>
          <w:szCs w:val="22"/>
        </w:rPr>
        <w:t xml:space="preserve">Santa Branca ____ de ________________ de 2024 </w:t>
      </w:r>
    </w:p>
    <w:p w14:paraId="1166BE97">
      <w:pPr>
        <w:jc w:val="both"/>
        <w:rPr>
          <w:rFonts w:asciiTheme="minorHAnsi" w:hAnsiTheme="minorHAnsi" w:cstheme="minorHAnsi"/>
          <w:b/>
          <w:bCs/>
          <w:sz w:val="22"/>
          <w:szCs w:val="22"/>
        </w:rPr>
      </w:pPr>
    </w:p>
    <w:p w14:paraId="08FFB789">
      <w:pPr>
        <w:jc w:val="both"/>
        <w:rPr>
          <w:rFonts w:asciiTheme="minorHAnsi" w:hAnsiTheme="minorHAnsi" w:cstheme="minorHAnsi"/>
          <w:b/>
          <w:bCs/>
          <w:sz w:val="22"/>
          <w:szCs w:val="22"/>
        </w:rPr>
      </w:pPr>
      <w:r>
        <w:rPr>
          <w:rFonts w:asciiTheme="minorHAnsi" w:hAnsiTheme="minorHAnsi" w:cstheme="minorHAnsi"/>
          <w:b/>
          <w:bCs/>
          <w:sz w:val="22"/>
          <w:szCs w:val="22"/>
        </w:rPr>
        <w:t>PELO MUNICÍPIO E PELO ÓRGÃO GERENCIADOR:</w:t>
      </w:r>
    </w:p>
    <w:p w14:paraId="2572B4BB">
      <w:pPr>
        <w:pStyle w:val="40"/>
        <w:spacing w:line="276" w:lineRule="auto"/>
        <w:jc w:val="both"/>
        <w:rPr>
          <w:rFonts w:asciiTheme="minorHAnsi" w:hAnsiTheme="minorHAnsi" w:cstheme="minorHAnsi"/>
          <w:sz w:val="21"/>
          <w:szCs w:val="21"/>
        </w:rPr>
      </w:pPr>
    </w:p>
    <w:p w14:paraId="25FA8003">
      <w:pPr>
        <w:rPr>
          <w:rFonts w:asciiTheme="minorHAnsi" w:hAnsiTheme="minorHAnsi" w:eastAsiaTheme="minorHAnsi" w:cstheme="minorHAnsi"/>
          <w:sz w:val="21"/>
          <w:szCs w:val="21"/>
          <w:lang w:eastAsia="en-US"/>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47"/>
        <w:gridCol w:w="4247"/>
      </w:tblGrid>
      <w:tr w14:paraId="5ACAE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247" w:type="dxa"/>
          </w:tcPr>
          <w:p w14:paraId="14CF81D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c>
          <w:tcPr>
            <w:tcW w:w="4247" w:type="dxa"/>
          </w:tcPr>
          <w:p w14:paraId="77B44BB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4A06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34C9ED05">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Adriano Marchesani Levorin</w:t>
            </w:r>
          </w:p>
        </w:tc>
        <w:tc>
          <w:tcPr>
            <w:tcW w:w="4247" w:type="dxa"/>
          </w:tcPr>
          <w:p w14:paraId="41969CB4">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Representante legal</w:t>
            </w:r>
          </w:p>
        </w:tc>
      </w:tr>
      <w:tr w14:paraId="21274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73CDA8D0">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Prefeito Municipal</w:t>
            </w:r>
          </w:p>
        </w:tc>
        <w:tc>
          <w:tcPr>
            <w:tcW w:w="4247" w:type="dxa"/>
          </w:tcPr>
          <w:p w14:paraId="33D22D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Empresa</w:t>
            </w:r>
          </w:p>
        </w:tc>
      </w:tr>
      <w:tr w14:paraId="2B45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47" w:type="dxa"/>
          </w:tcPr>
          <w:p w14:paraId="6C182A4F">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Contratante</w:t>
            </w:r>
          </w:p>
        </w:tc>
        <w:tc>
          <w:tcPr>
            <w:tcW w:w="4247" w:type="dxa"/>
          </w:tcPr>
          <w:p w14:paraId="761C005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Detentora</w:t>
            </w:r>
          </w:p>
        </w:tc>
      </w:tr>
    </w:tbl>
    <w:p w14:paraId="1251581A">
      <w:pPr>
        <w:rPr>
          <w:rFonts w:asciiTheme="minorHAnsi" w:hAnsiTheme="minorHAnsi" w:eastAsiaTheme="minorHAnsi" w:cstheme="minorHAnsi"/>
          <w:sz w:val="21"/>
          <w:szCs w:val="21"/>
          <w:lang w:eastAsia="en-US"/>
        </w:rPr>
      </w:pPr>
    </w:p>
    <w:p w14:paraId="7B639C49">
      <w:pPr>
        <w:rPr>
          <w:rFonts w:asciiTheme="minorHAnsi" w:hAnsiTheme="minorHAnsi" w:eastAsiaTheme="minorHAnsi" w:cstheme="minorHAnsi"/>
          <w:sz w:val="21"/>
          <w:szCs w:val="21"/>
          <w:lang w:eastAsia="en-US"/>
        </w:rPr>
      </w:pPr>
    </w:p>
    <w:p w14:paraId="4DF66CE2">
      <w:pPr>
        <w:rPr>
          <w:rFonts w:asciiTheme="minorHAnsi" w:hAnsiTheme="minorHAnsi" w:eastAsiaTheme="minorHAnsi" w:cstheme="minorHAnsi"/>
          <w:sz w:val="21"/>
          <w:szCs w:val="21"/>
          <w:lang w:eastAsia="en-US"/>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494"/>
      </w:tblGrid>
      <w:tr w14:paraId="715B5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8494" w:type="dxa"/>
          </w:tcPr>
          <w:p w14:paraId="63272FA2">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_________________________________</w:t>
            </w:r>
          </w:p>
        </w:tc>
      </w:tr>
      <w:tr w14:paraId="32B5E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585E3F79">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Rodrigo Eduardo de Souza  </w:t>
            </w:r>
          </w:p>
        </w:tc>
      </w:tr>
      <w:tr w14:paraId="68F9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079B397D">
            <w:pPr>
              <w:jc w:val="cente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Secretário Adjunto da Saúde </w:t>
            </w:r>
          </w:p>
        </w:tc>
      </w:tr>
      <w:tr w14:paraId="561D4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494" w:type="dxa"/>
          </w:tcPr>
          <w:p w14:paraId="3B7D6F22">
            <w:pPr>
              <w:pStyle w:val="40"/>
              <w:spacing w:line="276" w:lineRule="auto"/>
              <w:jc w:val="center"/>
              <w:rPr>
                <w:rFonts w:asciiTheme="minorHAnsi" w:hAnsiTheme="minorHAnsi" w:cstheme="minorHAnsi"/>
                <w:sz w:val="21"/>
                <w:szCs w:val="21"/>
              </w:rPr>
            </w:pPr>
          </w:p>
        </w:tc>
      </w:tr>
    </w:tbl>
    <w:p w14:paraId="1EF8B4D5">
      <w:pPr>
        <w:rPr>
          <w:rFonts w:asciiTheme="minorHAnsi" w:hAnsiTheme="minorHAnsi" w:eastAsiaTheme="minorHAnsi" w:cstheme="minorHAnsi"/>
          <w:sz w:val="21"/>
          <w:szCs w:val="21"/>
          <w:lang w:eastAsia="en-US"/>
        </w:rPr>
      </w:pPr>
    </w:p>
    <w:p w14:paraId="6E9E4701">
      <w:pPr>
        <w:rPr>
          <w:rFonts w:asciiTheme="minorHAnsi" w:hAnsiTheme="minorHAnsi" w:eastAsiaTheme="minorHAnsi" w:cstheme="minorHAnsi"/>
          <w:sz w:val="21"/>
          <w:szCs w:val="21"/>
          <w:lang w:eastAsia="en-US"/>
        </w:rPr>
      </w:pPr>
      <w:r>
        <w:rPr>
          <w:rFonts w:asciiTheme="minorHAnsi" w:hAnsiTheme="minorHAnsi" w:eastAsiaTheme="minorHAnsi" w:cstheme="minorHAnsi"/>
          <w:sz w:val="21"/>
          <w:szCs w:val="21"/>
          <w:lang w:eastAsia="en-US"/>
        </w:rPr>
        <w:t xml:space="preserve">Testemunhas: </w:t>
      </w:r>
    </w:p>
    <w:p w14:paraId="0ED3E9B9">
      <w:pPr>
        <w:rPr>
          <w:rFonts w:asciiTheme="minorHAnsi" w:hAnsiTheme="minorHAnsi" w:eastAsiaTheme="minorHAnsi" w:cstheme="minorHAnsi"/>
          <w:sz w:val="21"/>
          <w:szCs w:val="21"/>
          <w:lang w:eastAsia="en-US"/>
        </w:rPr>
      </w:pPr>
    </w:p>
    <w:p w14:paraId="72BA065E">
      <w:pPr>
        <w:rPr>
          <w:rFonts w:asciiTheme="minorHAnsi" w:hAnsiTheme="minorHAnsi" w:eastAsiaTheme="minorHAnsi" w:cstheme="minorHAnsi"/>
          <w:sz w:val="21"/>
          <w:szCs w:val="21"/>
          <w:lang w:eastAsia="en-US"/>
        </w:rPr>
      </w:pP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60"/>
        <w:gridCol w:w="4461"/>
      </w:tblGrid>
      <w:tr w14:paraId="46DCD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65932BC6">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c>
          <w:tcPr>
            <w:tcW w:w="4461" w:type="dxa"/>
          </w:tcPr>
          <w:p w14:paraId="5A032CDC">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___________________________________</w:t>
            </w:r>
          </w:p>
        </w:tc>
      </w:tr>
      <w:tr w14:paraId="1FAB7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222188BE">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c>
          <w:tcPr>
            <w:tcW w:w="4461" w:type="dxa"/>
          </w:tcPr>
          <w:p w14:paraId="7B87B158">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Nome: </w:t>
            </w:r>
          </w:p>
        </w:tc>
      </w:tr>
      <w:tr w14:paraId="3CE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60" w:type="dxa"/>
          </w:tcPr>
          <w:p w14:paraId="0F4FE55B">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c>
          <w:tcPr>
            <w:tcW w:w="4461" w:type="dxa"/>
          </w:tcPr>
          <w:p w14:paraId="071EA00A">
            <w:pPr>
              <w:widowControl w:val="0"/>
              <w:autoSpaceDE w:val="0"/>
              <w:autoSpaceDN w:val="0"/>
              <w:adjustRightInd w:val="0"/>
              <w:ind w:right="-28"/>
              <w:rPr>
                <w:rFonts w:asciiTheme="minorHAnsi" w:hAnsiTheme="minorHAnsi" w:cstheme="minorHAnsi"/>
                <w:bCs/>
                <w:color w:val="000000"/>
                <w:sz w:val="22"/>
                <w:szCs w:val="22"/>
              </w:rPr>
            </w:pPr>
            <w:r>
              <w:rPr>
                <w:rFonts w:asciiTheme="minorHAnsi" w:hAnsiTheme="minorHAnsi" w:cstheme="minorHAnsi"/>
                <w:bCs/>
                <w:color w:val="000000"/>
                <w:sz w:val="22"/>
                <w:szCs w:val="22"/>
              </w:rPr>
              <w:t xml:space="preserve">RG: </w:t>
            </w:r>
          </w:p>
        </w:tc>
      </w:tr>
    </w:tbl>
    <w:p w14:paraId="5254F804">
      <w:pPr>
        <w:rPr>
          <w:rFonts w:asciiTheme="minorHAnsi" w:hAnsiTheme="minorHAnsi" w:eastAsiaTheme="minorHAnsi" w:cstheme="minorHAnsi"/>
          <w:b/>
          <w:bCs/>
          <w:szCs w:val="24"/>
          <w:lang w:eastAsia="en-US"/>
        </w:rPr>
      </w:pPr>
    </w:p>
    <w:p w14:paraId="2AB30209">
      <w:pPr>
        <w:jc w:val="center"/>
        <w:rPr>
          <w:rFonts w:asciiTheme="minorHAnsi" w:hAnsiTheme="minorHAnsi" w:eastAsiaTheme="minorHAnsi" w:cstheme="minorHAnsi"/>
          <w:b/>
          <w:bCs/>
          <w:szCs w:val="24"/>
          <w:lang w:eastAsia="en-US"/>
        </w:rPr>
      </w:pPr>
    </w:p>
    <w:p w14:paraId="37A9EA28">
      <w:pPr>
        <w:jc w:val="center"/>
        <w:rPr>
          <w:rFonts w:asciiTheme="minorHAnsi" w:hAnsiTheme="minorHAnsi" w:eastAsiaTheme="minorHAnsi" w:cstheme="minorHAnsi"/>
          <w:b/>
          <w:bCs/>
          <w:szCs w:val="24"/>
          <w:lang w:eastAsia="en-US"/>
        </w:rPr>
      </w:pPr>
    </w:p>
    <w:p w14:paraId="7874D88F">
      <w:pPr>
        <w:jc w:val="center"/>
        <w:rPr>
          <w:rFonts w:asciiTheme="minorHAnsi" w:hAnsiTheme="minorHAnsi" w:eastAsiaTheme="minorHAnsi" w:cstheme="minorHAnsi"/>
          <w:b/>
          <w:bCs/>
          <w:szCs w:val="24"/>
          <w:lang w:eastAsia="en-US"/>
        </w:rPr>
      </w:pPr>
    </w:p>
    <w:p w14:paraId="1B65C510">
      <w:pPr>
        <w:jc w:val="center"/>
        <w:rPr>
          <w:rFonts w:asciiTheme="minorHAnsi" w:hAnsiTheme="minorHAnsi" w:eastAsiaTheme="minorHAnsi" w:cstheme="minorHAnsi"/>
          <w:b/>
          <w:bCs/>
          <w:szCs w:val="24"/>
          <w:lang w:eastAsia="en-US"/>
        </w:rPr>
      </w:pPr>
      <w:r>
        <w:rPr>
          <w:rFonts w:asciiTheme="minorHAnsi" w:hAnsiTheme="minorHAnsi" w:eastAsiaTheme="minorHAnsi" w:cstheme="minorHAnsi"/>
          <w:b/>
          <w:bCs/>
          <w:szCs w:val="24"/>
          <w:lang w:eastAsia="en-US"/>
        </w:rPr>
        <w:t>ANEXO I DA ATA DE REGISTRO DE PREÇOS</w:t>
      </w:r>
    </w:p>
    <w:p w14:paraId="545FCF71">
      <w:pPr>
        <w:widowControl w:val="0"/>
        <w:autoSpaceDE w:val="0"/>
        <w:autoSpaceDN w:val="0"/>
        <w:adjustRightInd w:val="0"/>
        <w:spacing w:line="360" w:lineRule="auto"/>
        <w:ind w:right="-30"/>
        <w:jc w:val="center"/>
        <w:rPr>
          <w:rFonts w:asciiTheme="minorHAnsi" w:hAnsiTheme="minorHAnsi" w:cstheme="minorHAnsi"/>
          <w:b/>
          <w:bCs/>
          <w:color w:val="000000"/>
          <w:szCs w:val="24"/>
        </w:rPr>
      </w:pPr>
      <w:r>
        <w:rPr>
          <w:rFonts w:asciiTheme="minorHAnsi" w:hAnsiTheme="minorHAnsi" w:cstheme="minorHAnsi"/>
          <w:b/>
          <w:bCs/>
          <w:color w:val="000000"/>
          <w:szCs w:val="24"/>
        </w:rPr>
        <w:t>CADASTRO RESERVA</w:t>
      </w:r>
    </w:p>
    <w:p w14:paraId="509FBEC1">
      <w:pPr>
        <w:widowControl w:val="0"/>
        <w:autoSpaceDE w:val="0"/>
        <w:autoSpaceDN w:val="0"/>
        <w:adjustRightInd w:val="0"/>
        <w:spacing w:line="360" w:lineRule="auto"/>
        <w:ind w:right="-30"/>
        <w:rPr>
          <w:rFonts w:asciiTheme="minorHAnsi" w:hAnsiTheme="minorHAnsi" w:cstheme="minorHAnsi"/>
          <w:b/>
          <w:color w:val="000000"/>
          <w:sz w:val="22"/>
          <w:szCs w:val="22"/>
        </w:rPr>
      </w:pPr>
    </w:p>
    <w:p w14:paraId="43F36C13">
      <w:pPr>
        <w:widowControl w:val="0"/>
        <w:autoSpaceDE w:val="0"/>
        <w:autoSpaceDN w:val="0"/>
        <w:adjustRightInd w:val="0"/>
        <w:spacing w:line="360" w:lineRule="auto"/>
        <w:ind w:right="-30"/>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aceitaram cotar os itens com preços iguais ao adjudicatário:</w:t>
      </w:r>
    </w:p>
    <w:p w14:paraId="4B1D3EA8">
      <w:pPr>
        <w:rPr>
          <w:rFonts w:asciiTheme="minorHAnsi" w:hAnsiTheme="minorHAnsi" w:eastAsiaTheme="minorHAnsi" w:cstheme="minorHAnsi"/>
          <w:sz w:val="22"/>
          <w:szCs w:val="22"/>
          <w:lang w:eastAsia="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4"/>
      </w:tblGrid>
      <w:tr w14:paraId="2E211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761F698C">
            <w:pPr>
              <w:widowControl w:val="0"/>
              <w:autoSpaceDE w:val="0"/>
              <w:autoSpaceDN w:val="0"/>
              <w:adjustRightInd w:val="0"/>
              <w:ind w:right="-28"/>
              <w:rPr>
                <w:rFonts w:asciiTheme="minorHAnsi" w:hAnsiTheme="minorHAnsi" w:cstheme="minorHAnsi"/>
                <w:bCs/>
                <w:sz w:val="22"/>
                <w:szCs w:val="22"/>
              </w:rPr>
            </w:pPr>
            <w:r>
              <w:rPr>
                <w:rFonts w:asciiTheme="minorHAnsi" w:hAnsiTheme="minorHAnsi" w:cstheme="minorHAnsi"/>
                <w:bCs/>
                <w:sz w:val="22"/>
                <w:szCs w:val="22"/>
              </w:rPr>
              <w:t>RAZÃO SOCIAL:</w:t>
            </w:r>
          </w:p>
        </w:tc>
      </w:tr>
      <w:tr w14:paraId="1328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7B5591C">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CNPJ: </w:t>
            </w:r>
          </w:p>
        </w:tc>
      </w:tr>
      <w:tr w14:paraId="5B082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11C20360">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ENDEREÇO:</w:t>
            </w:r>
          </w:p>
        </w:tc>
      </w:tr>
      <w:tr w14:paraId="02D96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248184F">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TELEFONE:</w:t>
            </w:r>
          </w:p>
        </w:tc>
      </w:tr>
      <w:tr w14:paraId="2032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69E563CB">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E-MAIL: </w:t>
            </w:r>
          </w:p>
        </w:tc>
      </w:tr>
      <w:tr w14:paraId="040EB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tcPr>
          <w:p w14:paraId="4613E396">
            <w:pPr>
              <w:rPr>
                <w:rFonts w:asciiTheme="minorHAnsi" w:hAnsiTheme="minorHAnsi" w:eastAsiaTheme="minorHAnsi" w:cstheme="minorHAnsi"/>
                <w:sz w:val="22"/>
                <w:szCs w:val="22"/>
                <w:lang w:eastAsia="en-US"/>
              </w:rPr>
            </w:pPr>
            <w:r>
              <w:rPr>
                <w:rFonts w:asciiTheme="minorHAnsi" w:hAnsiTheme="minorHAnsi" w:eastAsiaTheme="minorHAnsi" w:cstheme="minorHAnsi"/>
                <w:sz w:val="22"/>
                <w:szCs w:val="22"/>
                <w:lang w:eastAsia="en-US"/>
              </w:rPr>
              <w:t xml:space="preserve">REPRESENTANTE </w:t>
            </w:r>
          </w:p>
        </w:tc>
      </w:tr>
    </w:tbl>
    <w:p w14:paraId="233AE5C5">
      <w:pPr>
        <w:rPr>
          <w:rFonts w:asciiTheme="minorHAnsi" w:hAnsiTheme="minorHAnsi" w:eastAsiaTheme="minorHAnsi" w:cstheme="minorHAnsi"/>
          <w:sz w:val="22"/>
          <w:szCs w:val="22"/>
          <w:lang w:eastAsia="en-US"/>
        </w:rPr>
      </w:pPr>
    </w:p>
    <w:p w14:paraId="443ABB28">
      <w:pPr>
        <w:rPr>
          <w:rFonts w:asciiTheme="minorHAnsi" w:hAnsiTheme="minorHAnsi" w:eastAsiaTheme="minorHAnsi" w:cstheme="minorHAnsi"/>
          <w:sz w:val="22"/>
          <w:szCs w:val="22"/>
          <w:lang w:eastAsia="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1D9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5" w:type="dxa"/>
          </w:tcPr>
          <w:p w14:paraId="668C0D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25FF01BC">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42F24B7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6445B0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08784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4A02833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5D707AA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F1ED9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19125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2990A89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D9FFD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DC61E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648E4F4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283303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DDE03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0928E0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02EA8E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4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E9D992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2F08E5E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367D90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1FED2A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7E3AE4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24A1A5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850183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63BE2FF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6AC8F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ADD747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3CCA4E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383FD59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03F0E36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B4FF9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5633AB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1759561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949442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0DF29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9CC9CC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9A695E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06D2313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48B7B5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4AAC36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BB127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650B7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419861F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2EA86AC6">
      <w:pPr>
        <w:rPr>
          <w:rFonts w:eastAsiaTheme="minorHAnsi"/>
          <w:lang w:eastAsia="en-US"/>
        </w:rPr>
      </w:pPr>
    </w:p>
    <w:p w14:paraId="4E14BAE5">
      <w:pPr>
        <w:widowControl w:val="0"/>
        <w:autoSpaceDE w:val="0"/>
        <w:autoSpaceDN w:val="0"/>
        <w:adjustRightInd w:val="0"/>
        <w:spacing w:line="360" w:lineRule="auto"/>
        <w:ind w:right="-30"/>
        <w:jc w:val="both"/>
        <w:rPr>
          <w:rFonts w:asciiTheme="minorHAnsi" w:hAnsiTheme="minorHAnsi" w:cstheme="minorHAnsi"/>
          <w:b/>
          <w:color w:val="000000"/>
          <w:sz w:val="22"/>
          <w:szCs w:val="22"/>
        </w:rPr>
      </w:pPr>
      <w:r>
        <w:rPr>
          <w:rFonts w:asciiTheme="minorHAnsi" w:hAnsiTheme="minorHAnsi" w:cstheme="minorHAnsi"/>
          <w:b/>
          <w:color w:val="000000"/>
          <w:sz w:val="22"/>
          <w:szCs w:val="22"/>
        </w:rPr>
        <w:t>Seguindo a ordem de classificação, segue relação de fornecedores que mantiveram sua proposta original:</w:t>
      </w:r>
    </w:p>
    <w:p w14:paraId="522E1CD3">
      <w:pPr>
        <w:rPr>
          <w:rFonts w:eastAsiaTheme="minorHAnsi"/>
          <w:lang w:eastAsia="en-US"/>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
        <w:gridCol w:w="1128"/>
        <w:gridCol w:w="712"/>
        <w:gridCol w:w="709"/>
        <w:gridCol w:w="1414"/>
        <w:gridCol w:w="1557"/>
        <w:gridCol w:w="1348"/>
        <w:gridCol w:w="1051"/>
      </w:tblGrid>
      <w:tr w14:paraId="5D95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786906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Item </w:t>
            </w:r>
          </w:p>
        </w:tc>
        <w:tc>
          <w:tcPr>
            <w:tcW w:w="1128" w:type="dxa"/>
          </w:tcPr>
          <w:p w14:paraId="305E8C85">
            <w:pPr>
              <w:rPr>
                <w:rFonts w:asciiTheme="minorHAnsi" w:hAnsiTheme="minorHAnsi" w:eastAsiaTheme="minorHAnsi" w:cstheme="minorHAnsi"/>
                <w:bCs/>
                <w:sz w:val="18"/>
                <w:szCs w:val="18"/>
                <w:lang w:eastAsia="en-US"/>
              </w:rPr>
            </w:pPr>
            <w:r>
              <w:rPr>
                <w:rFonts w:asciiTheme="minorHAnsi" w:hAnsiTheme="minorHAnsi" w:cstheme="minorHAnsi"/>
                <w:bCs/>
                <w:sz w:val="18"/>
                <w:szCs w:val="18"/>
              </w:rPr>
              <w:t xml:space="preserve">Descrição </w:t>
            </w:r>
          </w:p>
        </w:tc>
        <w:tc>
          <w:tcPr>
            <w:tcW w:w="712" w:type="dxa"/>
          </w:tcPr>
          <w:p w14:paraId="3641A0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Unid.  </w:t>
            </w:r>
          </w:p>
        </w:tc>
        <w:tc>
          <w:tcPr>
            <w:tcW w:w="709" w:type="dxa"/>
          </w:tcPr>
          <w:p w14:paraId="0EBC4A4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Marca </w:t>
            </w:r>
          </w:p>
        </w:tc>
        <w:tc>
          <w:tcPr>
            <w:tcW w:w="1414" w:type="dxa"/>
          </w:tcPr>
          <w:p w14:paraId="687A876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Máxima </w:t>
            </w:r>
          </w:p>
        </w:tc>
        <w:tc>
          <w:tcPr>
            <w:tcW w:w="1557" w:type="dxa"/>
          </w:tcPr>
          <w:p w14:paraId="3FA9F6D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Quant. Mínima </w:t>
            </w:r>
          </w:p>
        </w:tc>
        <w:tc>
          <w:tcPr>
            <w:tcW w:w="1348" w:type="dxa"/>
          </w:tcPr>
          <w:p w14:paraId="766FE10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Unitário </w:t>
            </w:r>
          </w:p>
        </w:tc>
        <w:tc>
          <w:tcPr>
            <w:tcW w:w="1051" w:type="dxa"/>
          </w:tcPr>
          <w:p w14:paraId="3D18056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 xml:space="preserve">Preço Total </w:t>
            </w:r>
          </w:p>
        </w:tc>
      </w:tr>
      <w:tr w14:paraId="2655A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431D1D2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4EF4FAF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74D021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5055175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6B6C9A2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4061A8B3">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7D91A43B">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57565708">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12EE8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3E1FA6E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F538605">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2249694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75596FA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031C90B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79E78D1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31BE347">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1FEAEF6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5D1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638745B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578AA492">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7CD8511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11AD1B89">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3906014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66AF414">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402278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5740E81">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r w14:paraId="5038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dxa"/>
          </w:tcPr>
          <w:p w14:paraId="1D5C588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128" w:type="dxa"/>
          </w:tcPr>
          <w:p w14:paraId="7ABE25D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12" w:type="dxa"/>
          </w:tcPr>
          <w:p w14:paraId="6BBF66CD">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709" w:type="dxa"/>
          </w:tcPr>
          <w:p w14:paraId="28D7A64F">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414" w:type="dxa"/>
          </w:tcPr>
          <w:p w14:paraId="7413E476">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557" w:type="dxa"/>
          </w:tcPr>
          <w:p w14:paraId="3A3072D0">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348" w:type="dxa"/>
          </w:tcPr>
          <w:p w14:paraId="6FB1576C">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c>
          <w:tcPr>
            <w:tcW w:w="1051" w:type="dxa"/>
          </w:tcPr>
          <w:p w14:paraId="0173BD7A">
            <w:pPr>
              <w:rPr>
                <w:rFonts w:asciiTheme="minorHAnsi" w:hAnsiTheme="minorHAnsi" w:eastAsiaTheme="minorHAnsi" w:cstheme="minorHAnsi"/>
                <w:sz w:val="18"/>
                <w:szCs w:val="18"/>
                <w:lang w:eastAsia="en-US"/>
              </w:rPr>
            </w:pPr>
            <w:r>
              <w:rPr>
                <w:rFonts w:asciiTheme="minorHAnsi" w:hAnsiTheme="minorHAnsi" w:eastAsiaTheme="minorHAnsi" w:cstheme="minorHAnsi"/>
                <w:sz w:val="18"/>
                <w:szCs w:val="18"/>
                <w:lang w:eastAsia="en-US"/>
              </w:rPr>
              <w:t>****</w:t>
            </w:r>
          </w:p>
        </w:tc>
      </w:tr>
    </w:tbl>
    <w:p w14:paraId="06A79EDF">
      <w:pPr>
        <w:rPr>
          <w:rFonts w:eastAsiaTheme="minorHAnsi"/>
          <w:lang w:eastAsia="en-US"/>
        </w:rPr>
      </w:pPr>
    </w:p>
    <w:p w14:paraId="76E1F165">
      <w:pPr>
        <w:rPr>
          <w:rFonts w:eastAsiaTheme="minorHAnsi"/>
          <w:lang w:eastAsia="en-US"/>
        </w:rPr>
      </w:pPr>
    </w:p>
    <w:p w14:paraId="1708D30B">
      <w:pPr>
        <w:rPr>
          <w:rFonts w:eastAsiaTheme="minorHAnsi"/>
          <w:lang w:eastAsia="en-US"/>
        </w:rPr>
      </w:pPr>
    </w:p>
    <w:p w14:paraId="16909B85">
      <w:pPr>
        <w:rPr>
          <w:rFonts w:eastAsiaTheme="minorHAnsi"/>
          <w:lang w:eastAsia="en-US"/>
        </w:rPr>
      </w:pPr>
    </w:p>
    <w:p w14:paraId="7000A998">
      <w:pPr>
        <w:rPr>
          <w:rFonts w:eastAsiaTheme="minorHAnsi"/>
          <w:lang w:eastAsia="en-US"/>
        </w:rPr>
      </w:pPr>
    </w:p>
    <w:p w14:paraId="46864FE2">
      <w:pPr>
        <w:rPr>
          <w:rFonts w:eastAsiaTheme="minorHAnsi"/>
          <w:lang w:eastAsia="en-US"/>
        </w:rPr>
      </w:pPr>
    </w:p>
    <w:p w14:paraId="609F2DCD">
      <w:pPr>
        <w:rPr>
          <w:rFonts w:eastAsiaTheme="minorHAnsi"/>
          <w:lang w:eastAsia="en-US"/>
        </w:rPr>
      </w:pPr>
    </w:p>
    <w:p w14:paraId="69FC5D7E">
      <w:pPr>
        <w:rPr>
          <w:rFonts w:eastAsiaTheme="minorHAnsi"/>
          <w:lang w:eastAsia="en-US"/>
        </w:rPr>
      </w:pPr>
    </w:p>
    <w:p w14:paraId="1B852FCC">
      <w:pPr>
        <w:rPr>
          <w:rFonts w:eastAsiaTheme="minorHAnsi"/>
          <w:lang w:eastAsia="en-US"/>
        </w:rPr>
      </w:pPr>
    </w:p>
    <w:p w14:paraId="68A00A2B">
      <w:pPr>
        <w:rPr>
          <w:rFonts w:eastAsiaTheme="minorHAnsi"/>
          <w:lang w:eastAsia="en-US"/>
        </w:rPr>
      </w:pPr>
    </w:p>
    <w:p w14:paraId="13941F4A">
      <w:pPr>
        <w:rPr>
          <w:rFonts w:eastAsiaTheme="minorHAnsi"/>
          <w:lang w:eastAsia="en-US"/>
        </w:rPr>
      </w:pPr>
    </w:p>
    <w:p w14:paraId="56F5A811">
      <w:pPr>
        <w:rPr>
          <w:rFonts w:eastAsiaTheme="minorHAnsi"/>
          <w:lang w:eastAsia="en-US"/>
        </w:rPr>
      </w:pPr>
    </w:p>
    <w:p w14:paraId="34AF8141">
      <w:pPr>
        <w:rPr>
          <w:rFonts w:eastAsiaTheme="minorHAnsi"/>
          <w:lang w:eastAsia="en-US"/>
        </w:rPr>
      </w:pPr>
    </w:p>
    <w:p w14:paraId="55042EC3">
      <w:pPr>
        <w:rPr>
          <w:rFonts w:eastAsiaTheme="minorHAnsi"/>
          <w:lang w:eastAsia="en-US"/>
        </w:rPr>
      </w:pPr>
    </w:p>
    <w:p w14:paraId="3144CCE6">
      <w:pPr>
        <w:rPr>
          <w:rFonts w:eastAsiaTheme="minorHAnsi"/>
          <w:lang w:eastAsia="en-US"/>
        </w:rPr>
      </w:pPr>
    </w:p>
    <w:p w14:paraId="07E3D7E7">
      <w:pPr>
        <w:rPr>
          <w:rFonts w:eastAsiaTheme="minorHAnsi"/>
          <w:lang w:eastAsia="en-US"/>
        </w:rPr>
      </w:pPr>
    </w:p>
    <w:tbl>
      <w:tblPr>
        <w:tblStyle w:val="36"/>
        <w:tblW w:w="8926" w:type="dxa"/>
        <w:tblInd w:w="0" w:type="dxa"/>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Layout w:type="autofit"/>
        <w:tblCellMar>
          <w:top w:w="0" w:type="dxa"/>
          <w:left w:w="108" w:type="dxa"/>
          <w:bottom w:w="0" w:type="dxa"/>
          <w:right w:w="108" w:type="dxa"/>
        </w:tblCellMar>
      </w:tblPr>
      <w:tblGrid>
        <w:gridCol w:w="8926"/>
      </w:tblGrid>
      <w:tr w14:paraId="26FC41FD">
        <w:tblPrEx>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Ex>
        <w:tc>
          <w:tcPr>
            <w:tcW w:w="8926" w:type="dxa"/>
            <w:tcBorders>
              <w:top w:val="single" w:color="A5A5A5" w:themeColor="accent3" w:sz="4" w:space="0"/>
              <w:left w:val="single" w:color="A5A5A5" w:themeColor="accent3" w:sz="4" w:space="0"/>
              <w:bottom w:val="single" w:color="A5A5A5" w:themeColor="accent3" w:sz="4" w:space="0"/>
              <w:right w:val="single" w:color="A5A5A5" w:themeColor="accent3" w:sz="4" w:space="0"/>
              <w:insideH w:val="single" w:sz="4" w:space="0"/>
              <w:insideV w:val="nil"/>
            </w:tcBorders>
            <w:shd w:val="clear" w:color="auto" w:fill="A5A5A5" w:themeFill="accent3"/>
          </w:tcPr>
          <w:p w14:paraId="11FCB6C4">
            <w:pPr>
              <w:tabs>
                <w:tab w:val="left" w:pos="9029"/>
              </w:tabs>
              <w:ind w:right="154"/>
              <w:jc w:val="center"/>
              <w:rPr>
                <w:rFonts w:ascii="Calibri" w:hAnsi="Calibri" w:eastAsia="Arial" w:cs="Calibri"/>
                <w:b/>
                <w:bCs w:val="0"/>
                <w:color w:val="FFFFFF" w:themeColor="background1"/>
                <w14:textFill>
                  <w14:solidFill>
                    <w14:schemeClr w14:val="bg1"/>
                  </w14:solidFill>
                </w14:textFill>
              </w:rPr>
            </w:pPr>
            <w:r>
              <w:rPr>
                <w:rFonts w:ascii="Calibri" w:hAnsi="Calibri" w:eastAsia="Arial" w:cs="Calibri"/>
                <w:b/>
                <w:bCs w:val="0"/>
                <w:color w:val="auto"/>
              </w:rPr>
              <w:t>ANEXO VII - TERMO DE CIÊNCIA E DE NOTIFICAÇÃO (CONTRATOS)</w:t>
            </w:r>
          </w:p>
        </w:tc>
      </w:tr>
    </w:tbl>
    <w:p w14:paraId="14B1278F">
      <w:pPr>
        <w:tabs>
          <w:tab w:val="left" w:pos="9029"/>
        </w:tabs>
        <w:ind w:right="154"/>
        <w:rPr>
          <w:rFonts w:ascii="Calibri" w:hAnsi="Calibri" w:eastAsia="Calibri" w:cs="Calibri"/>
          <w:b/>
          <w:bCs/>
          <w:sz w:val="20"/>
        </w:rPr>
      </w:pPr>
    </w:p>
    <w:p w14:paraId="6C1DA092">
      <w:pPr>
        <w:tabs>
          <w:tab w:val="left" w:pos="9029"/>
        </w:tabs>
        <w:rPr>
          <w:rFonts w:ascii="Calibri" w:hAnsi="Calibri" w:eastAsia="Calibri" w:cs="Calibri"/>
          <w:b/>
          <w:bCs/>
          <w:sz w:val="20"/>
        </w:rPr>
      </w:pPr>
      <w:r>
        <w:rPr>
          <w:rFonts w:ascii="Calibri" w:hAnsi="Calibri" w:eastAsia="Calibri" w:cs="Calibri"/>
          <w:b/>
          <w:bCs/>
          <w:sz w:val="20"/>
        </w:rPr>
        <w:t xml:space="preserve">CONTRATANTE: PREFEITURA MUNICIPAL DE SANTA BRANCA – CNPJ: </w:t>
      </w:r>
      <w:r>
        <w:rPr>
          <w:rFonts w:ascii="Calibri" w:hAnsi="Calibri" w:cs="Calibri"/>
          <w:b/>
          <w:bCs/>
          <w:sz w:val="20"/>
        </w:rPr>
        <w:t xml:space="preserve">46.694.121/0001-81. </w:t>
      </w:r>
    </w:p>
    <w:p w14:paraId="47A5ED89">
      <w:pPr>
        <w:rPr>
          <w:rFonts w:ascii="Calibri" w:hAnsi="Calibri" w:cs="Calibri"/>
          <w:b/>
          <w:bCs/>
          <w:sz w:val="20"/>
        </w:rPr>
      </w:pPr>
      <w:r>
        <w:rPr>
          <w:rFonts w:ascii="Calibri" w:hAnsi="Calibri" w:cs="Calibri"/>
          <w:b/>
          <w:bCs/>
          <w:sz w:val="20"/>
        </w:rPr>
        <w:t>CONTRATADA: *****, CNPJ ******</w:t>
      </w:r>
    </w:p>
    <w:p w14:paraId="43967B35">
      <w:pPr>
        <w:tabs>
          <w:tab w:val="left" w:pos="9029"/>
        </w:tabs>
        <w:rPr>
          <w:rFonts w:ascii="Calibri" w:hAnsi="Calibri" w:eastAsia="Calibri" w:cs="Calibri"/>
          <w:b/>
          <w:bCs/>
          <w:sz w:val="20"/>
        </w:rPr>
      </w:pPr>
      <w:r>
        <w:rPr>
          <w:rFonts w:ascii="Calibri" w:hAnsi="Calibri" w:eastAsia="Calibri" w:cs="Calibri"/>
          <w:b/>
          <w:bCs/>
          <w:sz w:val="20"/>
        </w:rPr>
        <w:t xml:space="preserve">CONTRATO N° (DE ORIGEM): ______/2024 – PROCESSO Nº 3170/2024 – </w:t>
      </w:r>
      <w:r>
        <w:rPr>
          <w:rFonts w:ascii="Calibri" w:hAnsi="Calibri" w:cs="Calibri"/>
          <w:b/>
          <w:bCs/>
          <w:sz w:val="20"/>
        </w:rPr>
        <w:t xml:space="preserve">PREGÃO ELETRÔNICO Nº 22/2024.  </w:t>
      </w:r>
    </w:p>
    <w:p w14:paraId="7F01834E">
      <w:pPr>
        <w:tabs>
          <w:tab w:val="left" w:pos="9029"/>
        </w:tabs>
        <w:rPr>
          <w:rFonts w:ascii="Calibri" w:hAnsi="Calibri" w:cs="Calibri"/>
          <w:b/>
          <w:bCs/>
          <w:sz w:val="20"/>
        </w:rPr>
      </w:pPr>
      <w:r>
        <w:rPr>
          <w:rFonts w:ascii="Calibri" w:hAnsi="Calibri" w:eastAsia="Calibri" w:cs="Calibri"/>
          <w:b/>
          <w:bCs/>
          <w:sz w:val="20"/>
        </w:rPr>
        <w:t xml:space="preserve">OBJETO: </w:t>
      </w:r>
      <w:r>
        <w:rPr>
          <w:rFonts w:asciiTheme="minorHAnsi" w:hAnsiTheme="minorHAnsi" w:cstheme="minorHAnsi"/>
          <w:b/>
          <w:bCs/>
          <w:sz w:val="20"/>
          <w:shd w:val="clear" w:color="auto" w:fill="FFFFFF"/>
        </w:rPr>
        <w:t>REGISTRO DE PREÇOS PARA AQUISIÇÃO DE ITENS DERMOCOSMÉTICOS PARA ATENDIMENTO DE DEMANDA DE PACIENTES ORIUNDOS DE ORDENS JUDICIAIS POR PERÍODO ESTIMADO DE 12 MESES.</w:t>
      </w:r>
    </w:p>
    <w:p w14:paraId="78174C7B">
      <w:pPr>
        <w:jc w:val="both"/>
        <w:rPr>
          <w:rFonts w:ascii="Calibri" w:hAnsi="Calibri" w:eastAsia="Calibri" w:cs="Calibri"/>
          <w:b/>
          <w:bCs/>
          <w:sz w:val="20"/>
        </w:rPr>
      </w:pPr>
    </w:p>
    <w:p w14:paraId="30DE0258">
      <w:pPr>
        <w:widowControl w:val="0"/>
        <w:autoSpaceDE w:val="0"/>
        <w:autoSpaceDN w:val="0"/>
        <w:ind w:right="57"/>
        <w:jc w:val="both"/>
        <w:rPr>
          <w:rFonts w:ascii="Calibri" w:hAnsi="Calibri" w:eastAsia="Arial" w:cs="Calibri"/>
          <w:sz w:val="20"/>
        </w:rPr>
      </w:pPr>
      <w:r>
        <w:rPr>
          <w:rFonts w:ascii="Calibri" w:hAnsi="Calibri" w:eastAsia="Arial" w:cs="Calibri"/>
          <w:sz w:val="20"/>
        </w:rPr>
        <w:t>Pelo presente TERMO, nós, abaixo identificados:</w:t>
      </w:r>
    </w:p>
    <w:p w14:paraId="500CC6F4">
      <w:pPr>
        <w:widowControl w:val="0"/>
        <w:numPr>
          <w:ilvl w:val="0"/>
          <w:numId w:val="47"/>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Estamos CIENTES de</w:t>
      </w:r>
      <w:r>
        <w:rPr>
          <w:rFonts w:ascii="Calibri" w:hAnsi="Calibri" w:eastAsia="Arial" w:cs="Calibri"/>
          <w:b/>
          <w:bCs/>
          <w:spacing w:val="-5"/>
          <w:sz w:val="20"/>
        </w:rPr>
        <w:t xml:space="preserve"> </w:t>
      </w:r>
      <w:r>
        <w:rPr>
          <w:rFonts w:ascii="Calibri" w:hAnsi="Calibri" w:eastAsia="Arial" w:cs="Calibri"/>
          <w:b/>
          <w:bCs/>
          <w:sz w:val="20"/>
        </w:rPr>
        <w:t>que:</w:t>
      </w:r>
    </w:p>
    <w:p w14:paraId="15396871">
      <w:pPr>
        <w:widowControl w:val="0"/>
        <w:numPr>
          <w:ilvl w:val="0"/>
          <w:numId w:val="48"/>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ajuste acima referido, seus aditamentos, bem como o acompanhamento de sua execução contratual, estarão sujeitos a análise e julgamento pelo Tribunal de Contas do Estado de São Paulo, cujo trâmite processual ocorrerá pelo sistema</w:t>
      </w:r>
      <w:r>
        <w:rPr>
          <w:rFonts w:ascii="Calibri" w:hAnsi="Calibri" w:eastAsia="Arial" w:cs="Calibri"/>
          <w:spacing w:val="-14"/>
          <w:sz w:val="20"/>
        </w:rPr>
        <w:t xml:space="preserve"> </w:t>
      </w:r>
      <w:r>
        <w:rPr>
          <w:rFonts w:ascii="Calibri" w:hAnsi="Calibri" w:eastAsia="Arial" w:cs="Calibri"/>
          <w:sz w:val="20"/>
        </w:rPr>
        <w:t>eletrônico;</w:t>
      </w:r>
    </w:p>
    <w:p w14:paraId="56687CCF">
      <w:pPr>
        <w:widowControl w:val="0"/>
        <w:numPr>
          <w:ilvl w:val="0"/>
          <w:numId w:val="48"/>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poderemos ter acesso ao processo, tendo vista e extraindo cópias das manifestações de interesse, Despachos e Decisões, mediante regular cadastramento no Sistema de Processo Eletrônico, em consonância com o estabelecido na Resolução nº 01/2011 do</w:t>
      </w:r>
      <w:r>
        <w:rPr>
          <w:rFonts w:ascii="Calibri" w:hAnsi="Calibri" w:eastAsia="Arial" w:cs="Calibri"/>
          <w:spacing w:val="-17"/>
          <w:sz w:val="20"/>
        </w:rPr>
        <w:t xml:space="preserve"> </w:t>
      </w:r>
      <w:r>
        <w:rPr>
          <w:rFonts w:ascii="Calibri" w:hAnsi="Calibri" w:eastAsia="Arial" w:cs="Calibri"/>
          <w:sz w:val="20"/>
        </w:rPr>
        <w:t>TCESP;</w:t>
      </w:r>
    </w:p>
    <w:p w14:paraId="0188EF2A">
      <w:pPr>
        <w:widowControl w:val="0"/>
        <w:numPr>
          <w:ilvl w:val="0"/>
          <w:numId w:val="48"/>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Pr>
          <w:rFonts w:ascii="Calibri" w:hAnsi="Calibri" w:eastAsia="Arial" w:cs="Calibri"/>
          <w:spacing w:val="-2"/>
          <w:sz w:val="20"/>
        </w:rPr>
        <w:t xml:space="preserve"> </w:t>
      </w:r>
      <w:r>
        <w:rPr>
          <w:rFonts w:ascii="Calibri" w:hAnsi="Calibri" w:eastAsia="Arial" w:cs="Calibri"/>
          <w:sz w:val="20"/>
        </w:rPr>
        <w:t>Civil;</w:t>
      </w:r>
    </w:p>
    <w:p w14:paraId="7D4BC930">
      <w:pPr>
        <w:widowControl w:val="0"/>
        <w:numPr>
          <w:ilvl w:val="0"/>
          <w:numId w:val="48"/>
        </w:numPr>
        <w:tabs>
          <w:tab w:val="left" w:pos="385"/>
        </w:tabs>
        <w:autoSpaceDE w:val="0"/>
        <w:autoSpaceDN w:val="0"/>
        <w:ind w:right="57" w:hanging="244"/>
        <w:jc w:val="both"/>
        <w:rPr>
          <w:rFonts w:ascii="Calibri" w:hAnsi="Calibri" w:eastAsia="Arial" w:cs="Calibri"/>
          <w:sz w:val="20"/>
        </w:rPr>
      </w:pPr>
      <w:r>
        <w:rPr>
          <w:rFonts w:ascii="Calibri" w:hAnsi="Calibri" w:eastAsia="Arial" w:cs="Calibri"/>
          <w:sz w:val="20"/>
        </w:rPr>
        <w:t xml:space="preserve">as informações pessoais dos responsáveis pela </w:t>
      </w:r>
      <w:r>
        <w:rPr>
          <w:rFonts w:ascii="Calibri" w:hAnsi="Calibri" w:eastAsia="Arial" w:cs="Calibri"/>
          <w:sz w:val="20"/>
          <w:u w:val="single"/>
        </w:rPr>
        <w:t xml:space="preserve">contratante </w:t>
      </w:r>
      <w:r>
        <w:rPr>
          <w:rFonts w:ascii="Calibri" w:hAnsi="Calibri" w:eastAsia="Arial" w:cs="Calibri"/>
          <w:sz w:val="20"/>
        </w:rPr>
        <w:t>e e interessados estão cadastradas no módulo eletrônico do “Cadastro Corporativo TCESP – CadTCESP”, nos termos previstos no Artigo 2º das Instruções nº01/2020, conforme “Declaração(ões) de Atualização Cadastral” anexa</w:t>
      </w:r>
      <w:r>
        <w:rPr>
          <w:rFonts w:ascii="Calibri" w:hAnsi="Calibri" w:eastAsia="Arial" w:cs="Calibri"/>
          <w:spacing w:val="-23"/>
          <w:sz w:val="20"/>
        </w:rPr>
        <w:t xml:space="preserve"> </w:t>
      </w:r>
      <w:r>
        <w:rPr>
          <w:rFonts w:ascii="Calibri" w:hAnsi="Calibri" w:eastAsia="Arial" w:cs="Calibri"/>
          <w:sz w:val="20"/>
        </w:rPr>
        <w:t>(s);</w:t>
      </w:r>
    </w:p>
    <w:p w14:paraId="5F7239B6">
      <w:pPr>
        <w:widowControl w:val="0"/>
        <w:numPr>
          <w:ilvl w:val="0"/>
          <w:numId w:val="48"/>
        </w:numPr>
        <w:tabs>
          <w:tab w:val="left" w:pos="414"/>
        </w:tabs>
        <w:autoSpaceDE w:val="0"/>
        <w:autoSpaceDN w:val="0"/>
        <w:ind w:right="57" w:hanging="244"/>
        <w:jc w:val="both"/>
        <w:rPr>
          <w:rFonts w:ascii="Calibri" w:hAnsi="Calibri" w:eastAsia="Arial" w:cs="Calibri"/>
          <w:sz w:val="20"/>
        </w:rPr>
      </w:pPr>
      <w:r>
        <w:rPr>
          <w:rFonts w:ascii="Calibri" w:hAnsi="Calibri" w:eastAsia="Arial" w:cs="Calibri"/>
          <w:sz w:val="20"/>
        </w:rPr>
        <w:t>é de exclusiva responsabilidade do contratado manter seus dados sempre atualizados.</w:t>
      </w:r>
    </w:p>
    <w:p w14:paraId="3C1CE97D">
      <w:pPr>
        <w:widowControl w:val="0"/>
        <w:numPr>
          <w:ilvl w:val="0"/>
          <w:numId w:val="47"/>
        </w:numPr>
        <w:tabs>
          <w:tab w:val="left" w:pos="810"/>
        </w:tabs>
        <w:autoSpaceDE w:val="0"/>
        <w:autoSpaceDN w:val="0"/>
        <w:ind w:right="57"/>
        <w:jc w:val="both"/>
        <w:outlineLvl w:val="0"/>
        <w:rPr>
          <w:rFonts w:ascii="Calibri" w:hAnsi="Calibri" w:eastAsia="Arial" w:cs="Calibri"/>
          <w:b/>
          <w:bCs/>
          <w:sz w:val="20"/>
        </w:rPr>
      </w:pPr>
      <w:r>
        <w:rPr>
          <w:rFonts w:ascii="Calibri" w:hAnsi="Calibri" w:eastAsia="Arial" w:cs="Calibri"/>
          <w:b/>
          <w:bCs/>
          <w:sz w:val="20"/>
        </w:rPr>
        <w:t>Damo-nos por NOTIFICADOS</w:t>
      </w:r>
      <w:r>
        <w:rPr>
          <w:rFonts w:ascii="Calibri" w:hAnsi="Calibri" w:eastAsia="Arial" w:cs="Calibri"/>
          <w:b/>
          <w:bCs/>
          <w:spacing w:val="-2"/>
          <w:sz w:val="20"/>
        </w:rPr>
        <w:t xml:space="preserve"> </w:t>
      </w:r>
      <w:r>
        <w:rPr>
          <w:rFonts w:ascii="Calibri" w:hAnsi="Calibri" w:eastAsia="Arial" w:cs="Calibri"/>
          <w:b/>
          <w:bCs/>
          <w:sz w:val="20"/>
        </w:rPr>
        <w:t>para:</w:t>
      </w:r>
    </w:p>
    <w:p w14:paraId="3C36293E">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O acompanhamento dos atos do processo até seu julgamento final e consequente</w:t>
      </w:r>
      <w:r>
        <w:rPr>
          <w:rFonts w:ascii="Calibri" w:hAnsi="Calibri" w:eastAsia="Arial" w:cs="Calibri"/>
          <w:spacing w:val="-11"/>
          <w:sz w:val="20"/>
        </w:rPr>
        <w:t xml:space="preserve"> </w:t>
      </w:r>
      <w:r>
        <w:rPr>
          <w:rFonts w:ascii="Calibri" w:hAnsi="Calibri" w:eastAsia="Arial" w:cs="Calibri"/>
          <w:sz w:val="20"/>
        </w:rPr>
        <w:t>publicação;</w:t>
      </w:r>
    </w:p>
    <w:p w14:paraId="12B9A3F2">
      <w:pPr>
        <w:widowControl w:val="0"/>
        <w:numPr>
          <w:ilvl w:val="0"/>
          <w:numId w:val="49"/>
        </w:numPr>
        <w:tabs>
          <w:tab w:val="left" w:pos="810"/>
        </w:tabs>
        <w:autoSpaceDE w:val="0"/>
        <w:autoSpaceDN w:val="0"/>
        <w:ind w:right="57" w:hanging="244"/>
        <w:jc w:val="both"/>
        <w:rPr>
          <w:rFonts w:ascii="Calibri" w:hAnsi="Calibri" w:eastAsia="Arial" w:cs="Calibri"/>
          <w:sz w:val="20"/>
        </w:rPr>
      </w:pPr>
      <w:r>
        <w:rPr>
          <w:rFonts w:ascii="Calibri" w:hAnsi="Calibri" w:eastAsia="Arial" w:cs="Calibri"/>
          <w:sz w:val="20"/>
        </w:rPr>
        <w:t>Se for o caso e de nosso interesse, nos prazos e nas formas legais e regimentais, exercer o direito de defesa, interpor recursos e o que mais</w:t>
      </w:r>
      <w:r>
        <w:rPr>
          <w:rFonts w:ascii="Calibri" w:hAnsi="Calibri" w:eastAsia="Arial" w:cs="Calibri"/>
          <w:spacing w:val="-27"/>
          <w:sz w:val="20"/>
        </w:rPr>
        <w:t xml:space="preserve"> </w:t>
      </w:r>
      <w:r>
        <w:rPr>
          <w:rFonts w:ascii="Calibri" w:hAnsi="Calibri" w:eastAsia="Arial" w:cs="Calibri"/>
          <w:sz w:val="20"/>
        </w:rPr>
        <w:t>couber.</w:t>
      </w:r>
    </w:p>
    <w:p w14:paraId="76D340D2">
      <w:pPr>
        <w:rPr>
          <w:rFonts w:ascii="Calibri" w:hAnsi="Calibri" w:cs="Calibri"/>
          <w:b/>
          <w:sz w:val="22"/>
          <w:szCs w:val="22"/>
        </w:rPr>
      </w:pPr>
      <w:r>
        <w:rPr>
          <w:rFonts w:ascii="Calibri" w:hAnsi="Calibri" w:cs="Calibri"/>
          <w:b/>
          <w:sz w:val="22"/>
          <w:szCs w:val="22"/>
        </w:rPr>
        <w:t xml:space="preserve">Santa Branca, ____ de ___________________ de 2024. </w:t>
      </w:r>
    </w:p>
    <w:p w14:paraId="216AA430">
      <w:pPr>
        <w:widowControl w:val="0"/>
        <w:autoSpaceDE w:val="0"/>
        <w:autoSpaceDN w:val="0"/>
        <w:spacing w:line="360" w:lineRule="auto"/>
        <w:ind w:right="57"/>
        <w:rPr>
          <w:rFonts w:ascii="Calibri" w:hAnsi="Calibri" w:eastAsia="Arial" w:cs="Calibri"/>
          <w:b/>
          <w:sz w:val="21"/>
          <w:szCs w:val="21"/>
        </w:rPr>
      </w:pPr>
    </w:p>
    <w:p w14:paraId="13298E7F">
      <w:pPr>
        <w:rPr>
          <w:rFonts w:ascii="Calibri" w:hAnsi="Calibri" w:eastAsia="Calibri" w:cs="Calibri"/>
          <w:b/>
          <w:sz w:val="21"/>
          <w:szCs w:val="21"/>
        </w:rPr>
      </w:pPr>
      <w:r>
        <w:rPr>
          <w:rFonts w:ascii="Calibri" w:hAnsi="Calibri" w:eastAsia="Calibri" w:cs="Calibri"/>
          <w:b/>
          <w:sz w:val="21"/>
          <w:szCs w:val="21"/>
          <w:u w:val="single"/>
        </w:rPr>
        <w:t>AUTORIDADE MÁXIMA DO ÓRGÃO/ENTIDADE</w:t>
      </w:r>
      <w:r>
        <w:rPr>
          <w:rFonts w:ascii="Calibri" w:hAnsi="Calibri" w:eastAsia="Calibri" w:cs="Calibri"/>
          <w:b/>
          <w:sz w:val="21"/>
          <w:szCs w:val="21"/>
        </w:rPr>
        <w:t>:</w:t>
      </w:r>
    </w:p>
    <w:p w14:paraId="3C4C556F">
      <w:pPr>
        <w:rPr>
          <w:rFonts w:ascii="Calibri" w:hAnsi="Calibri" w:eastAsia="Calibri" w:cs="Calibri"/>
          <w:sz w:val="21"/>
          <w:szCs w:val="21"/>
        </w:rPr>
      </w:pPr>
      <w:r>
        <w:rPr>
          <w:rFonts w:ascii="Calibri" w:hAnsi="Calibri" w:eastAsia="Calibri" w:cs="Calibri"/>
          <w:sz w:val="21"/>
          <w:szCs w:val="21"/>
        </w:rPr>
        <w:t xml:space="preserve">Nome: </w:t>
      </w:r>
    </w:p>
    <w:p w14:paraId="57765F1C">
      <w:pPr>
        <w:rPr>
          <w:rFonts w:ascii="Calibri" w:hAnsi="Calibri" w:eastAsia="Calibri" w:cs="Calibri"/>
          <w:sz w:val="21"/>
          <w:szCs w:val="21"/>
        </w:rPr>
      </w:pPr>
      <w:r>
        <w:rPr>
          <w:rFonts w:ascii="Calibri" w:hAnsi="Calibri" w:eastAsia="Calibri" w:cs="Calibri"/>
          <w:sz w:val="21"/>
          <w:szCs w:val="21"/>
        </w:rPr>
        <w:t xml:space="preserve">Cargo: </w:t>
      </w:r>
    </w:p>
    <w:p w14:paraId="732BA290">
      <w:pPr>
        <w:rPr>
          <w:rFonts w:ascii="Calibri" w:hAnsi="Calibri" w:eastAsia="Calibri" w:cs="Calibri"/>
          <w:sz w:val="21"/>
          <w:szCs w:val="21"/>
        </w:rPr>
      </w:pPr>
      <w:r>
        <w:rPr>
          <w:rFonts w:ascii="Calibri" w:hAnsi="Calibri" w:eastAsia="Calibri" w:cs="Calibri"/>
          <w:sz w:val="21"/>
          <w:szCs w:val="21"/>
        </w:rPr>
        <w:t xml:space="preserve">CPF: </w:t>
      </w:r>
    </w:p>
    <w:p w14:paraId="6C087601">
      <w:pPr>
        <w:rPr>
          <w:rFonts w:ascii="Calibri" w:hAnsi="Calibri" w:eastAsia="Calibri" w:cs="Calibri"/>
          <w:b/>
          <w:sz w:val="21"/>
          <w:szCs w:val="21"/>
          <w:u w:val="single"/>
        </w:rPr>
      </w:pPr>
      <w:r>
        <w:rPr>
          <w:rFonts w:ascii="Calibri" w:hAnsi="Calibri" w:eastAsia="Calibri" w:cs="Calibri"/>
          <w:b/>
          <w:sz w:val="21"/>
          <w:szCs w:val="21"/>
          <w:u w:val="single"/>
        </w:rPr>
        <w:t>RESPONSÁVEIS PELA HOMOLOGAÇÃO DO CERTAME OU RATIFICAÇÃO DA DISPENSA/INEXIGIBILIDADE DE LICITAÇÃO:</w:t>
      </w:r>
    </w:p>
    <w:p w14:paraId="1BA402C5">
      <w:pPr>
        <w:rPr>
          <w:rFonts w:ascii="Calibri" w:hAnsi="Calibri" w:eastAsia="Calibri" w:cs="Calibri"/>
          <w:sz w:val="21"/>
          <w:szCs w:val="21"/>
        </w:rPr>
      </w:pPr>
      <w:r>
        <w:rPr>
          <w:rFonts w:ascii="Calibri" w:hAnsi="Calibri" w:eastAsia="Calibri" w:cs="Calibri"/>
          <w:sz w:val="21"/>
          <w:szCs w:val="21"/>
        </w:rPr>
        <w:t xml:space="preserve">Nome: </w:t>
      </w:r>
    </w:p>
    <w:p w14:paraId="7E0B0386">
      <w:pPr>
        <w:rPr>
          <w:rFonts w:ascii="Calibri" w:hAnsi="Calibri" w:eastAsia="Calibri" w:cs="Calibri"/>
          <w:sz w:val="21"/>
          <w:szCs w:val="21"/>
        </w:rPr>
      </w:pPr>
      <w:r>
        <w:rPr>
          <w:rFonts w:ascii="Calibri" w:hAnsi="Calibri" w:eastAsia="Calibri" w:cs="Calibri"/>
          <w:sz w:val="21"/>
          <w:szCs w:val="21"/>
        </w:rPr>
        <w:t xml:space="preserve">Cargo: </w:t>
      </w:r>
    </w:p>
    <w:p w14:paraId="07932238">
      <w:pPr>
        <w:rPr>
          <w:rFonts w:ascii="Calibri" w:hAnsi="Calibri" w:eastAsia="Calibri" w:cs="Calibri"/>
          <w:sz w:val="21"/>
          <w:szCs w:val="21"/>
        </w:rPr>
      </w:pPr>
      <w:r>
        <w:rPr>
          <w:rFonts w:ascii="Calibri" w:hAnsi="Calibri" w:eastAsia="Calibri" w:cs="Calibri"/>
          <w:sz w:val="21"/>
          <w:szCs w:val="21"/>
        </w:rPr>
        <w:t xml:space="preserve">CPF: </w:t>
      </w:r>
    </w:p>
    <w:p w14:paraId="5B943952">
      <w:pPr>
        <w:widowControl w:val="0"/>
        <w:tabs>
          <w:tab w:val="left" w:pos="8639"/>
        </w:tabs>
        <w:autoSpaceDE w:val="0"/>
        <w:autoSpaceDN w:val="0"/>
        <w:ind w:right="57"/>
        <w:rPr>
          <w:rFonts w:ascii="Calibri" w:hAnsi="Calibri" w:eastAsia="Arial" w:cs="Calibri"/>
          <w:sz w:val="21"/>
          <w:szCs w:val="21"/>
        </w:rPr>
      </w:pPr>
    </w:p>
    <w:p w14:paraId="32947F9C">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5F03F2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RESPONSÁVEIS QUE ASSINARAM O AJUSTE:</w:t>
      </w:r>
    </w:p>
    <w:p w14:paraId="6CB410A3">
      <w:pPr>
        <w:widowControl w:val="0"/>
        <w:autoSpaceDE w:val="0"/>
        <w:autoSpaceDN w:val="0"/>
        <w:ind w:right="57"/>
        <w:rPr>
          <w:rFonts w:ascii="Calibri" w:hAnsi="Calibri" w:eastAsia="Arial" w:cs="Calibri"/>
          <w:b/>
          <w:sz w:val="21"/>
          <w:szCs w:val="21"/>
        </w:rPr>
      </w:pPr>
      <w:r>
        <w:rPr>
          <w:rFonts w:ascii="Calibri" w:hAnsi="Calibri" w:eastAsia="Arial" w:cs="Calibri"/>
          <w:b/>
          <w:sz w:val="21"/>
          <w:szCs w:val="21"/>
          <w:u w:val="thick"/>
        </w:rPr>
        <w:t>Pelo contratante</w:t>
      </w:r>
      <w:r>
        <w:rPr>
          <w:rFonts w:ascii="Calibri" w:hAnsi="Calibri" w:eastAsia="Arial" w:cs="Calibri"/>
          <w:b/>
          <w:sz w:val="21"/>
          <w:szCs w:val="21"/>
        </w:rPr>
        <w:t>:</w:t>
      </w:r>
    </w:p>
    <w:p w14:paraId="52EF2A03">
      <w:pPr>
        <w:rPr>
          <w:rFonts w:ascii="Calibri" w:hAnsi="Calibri" w:eastAsia="Calibri" w:cs="Calibri"/>
          <w:sz w:val="21"/>
          <w:szCs w:val="21"/>
        </w:rPr>
      </w:pPr>
      <w:r>
        <w:rPr>
          <w:rFonts w:ascii="Calibri" w:hAnsi="Calibri" w:eastAsia="Calibri" w:cs="Calibri"/>
          <w:sz w:val="21"/>
          <w:szCs w:val="21"/>
        </w:rPr>
        <w:t xml:space="preserve">Nome: </w:t>
      </w:r>
    </w:p>
    <w:p w14:paraId="3C2B850A">
      <w:pPr>
        <w:rPr>
          <w:rFonts w:ascii="Calibri" w:hAnsi="Calibri" w:eastAsia="Calibri" w:cs="Calibri"/>
          <w:sz w:val="21"/>
          <w:szCs w:val="21"/>
        </w:rPr>
      </w:pPr>
      <w:r>
        <w:rPr>
          <w:rFonts w:ascii="Calibri" w:hAnsi="Calibri" w:eastAsia="Calibri" w:cs="Calibri"/>
          <w:sz w:val="21"/>
          <w:szCs w:val="21"/>
        </w:rPr>
        <w:t xml:space="preserve">Cargo: </w:t>
      </w:r>
    </w:p>
    <w:p w14:paraId="6C9BA334">
      <w:pPr>
        <w:rPr>
          <w:rFonts w:ascii="Calibri" w:hAnsi="Calibri" w:eastAsia="Calibri" w:cs="Calibri"/>
          <w:sz w:val="21"/>
          <w:szCs w:val="21"/>
        </w:rPr>
      </w:pPr>
      <w:r>
        <w:rPr>
          <w:rFonts w:ascii="Calibri" w:hAnsi="Calibri" w:eastAsia="Calibri" w:cs="Calibri"/>
          <w:sz w:val="21"/>
          <w:szCs w:val="21"/>
        </w:rPr>
        <w:t xml:space="preserve">CPF: </w:t>
      </w:r>
    </w:p>
    <w:p w14:paraId="0F247A78">
      <w:pPr>
        <w:widowControl w:val="0"/>
        <w:tabs>
          <w:tab w:val="left" w:pos="8639"/>
        </w:tabs>
        <w:autoSpaceDE w:val="0"/>
        <w:autoSpaceDN w:val="0"/>
        <w:ind w:right="57"/>
        <w:rPr>
          <w:rFonts w:ascii="Calibri" w:hAnsi="Calibri" w:eastAsia="Arial" w:cs="Calibri"/>
          <w:sz w:val="21"/>
          <w:szCs w:val="21"/>
        </w:rPr>
      </w:pPr>
    </w:p>
    <w:p w14:paraId="29D0E22D">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5C23DC21">
      <w:pPr>
        <w:widowControl w:val="0"/>
        <w:autoSpaceDE w:val="0"/>
        <w:autoSpaceDN w:val="0"/>
        <w:ind w:right="57"/>
        <w:outlineLvl w:val="0"/>
        <w:rPr>
          <w:rFonts w:ascii="Calibri" w:hAnsi="Calibri" w:eastAsia="Arial" w:cs="Calibri"/>
          <w:b/>
          <w:bCs/>
          <w:sz w:val="21"/>
          <w:szCs w:val="21"/>
          <w:u w:val="thick"/>
        </w:rPr>
      </w:pPr>
    </w:p>
    <w:p w14:paraId="4D819B8F">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Pela contratada</w:t>
      </w:r>
      <w:r>
        <w:rPr>
          <w:rFonts w:ascii="Calibri" w:hAnsi="Calibri" w:eastAsia="Arial" w:cs="Calibri"/>
          <w:b/>
          <w:bCs/>
          <w:sz w:val="21"/>
          <w:szCs w:val="21"/>
        </w:rPr>
        <w:t>:</w:t>
      </w:r>
    </w:p>
    <w:p w14:paraId="0039942C">
      <w:pPr>
        <w:rPr>
          <w:rFonts w:ascii="Calibri" w:hAnsi="Calibri" w:cs="Calibri"/>
          <w:sz w:val="21"/>
          <w:szCs w:val="21"/>
        </w:rPr>
      </w:pPr>
      <w:r>
        <w:rPr>
          <w:rFonts w:ascii="Calibri" w:hAnsi="Calibri" w:cs="Calibri"/>
          <w:sz w:val="21"/>
          <w:szCs w:val="21"/>
        </w:rPr>
        <w:t xml:space="preserve">Nome: </w:t>
      </w:r>
    </w:p>
    <w:p w14:paraId="3BF5F995">
      <w:pPr>
        <w:rPr>
          <w:rFonts w:ascii="Calibri" w:hAnsi="Calibri" w:cs="Calibri"/>
          <w:sz w:val="21"/>
          <w:szCs w:val="21"/>
        </w:rPr>
      </w:pPr>
      <w:r>
        <w:rPr>
          <w:rFonts w:ascii="Calibri" w:hAnsi="Calibri" w:cs="Calibri"/>
          <w:sz w:val="21"/>
          <w:szCs w:val="21"/>
        </w:rPr>
        <w:t xml:space="preserve">Cargo: </w:t>
      </w:r>
    </w:p>
    <w:p w14:paraId="6674994D">
      <w:pPr>
        <w:rPr>
          <w:rFonts w:ascii="Calibri" w:hAnsi="Calibri" w:cs="Calibri"/>
          <w:color w:val="FF0000"/>
          <w:sz w:val="21"/>
          <w:szCs w:val="21"/>
        </w:rPr>
      </w:pPr>
      <w:r>
        <w:rPr>
          <w:rFonts w:ascii="Calibri" w:hAnsi="Calibri" w:cs="Calibri"/>
          <w:sz w:val="21"/>
          <w:szCs w:val="21"/>
        </w:rPr>
        <w:t xml:space="preserve">CPF: </w:t>
      </w:r>
    </w:p>
    <w:p w14:paraId="4694D14E">
      <w:pPr>
        <w:widowControl w:val="0"/>
        <w:tabs>
          <w:tab w:val="left" w:pos="8639"/>
        </w:tabs>
        <w:autoSpaceDE w:val="0"/>
        <w:autoSpaceDN w:val="0"/>
        <w:ind w:right="57"/>
        <w:rPr>
          <w:rFonts w:ascii="Calibri" w:hAnsi="Calibri" w:eastAsia="Arial" w:cs="Calibri"/>
          <w:sz w:val="21"/>
          <w:szCs w:val="21"/>
        </w:rPr>
      </w:pPr>
    </w:p>
    <w:p w14:paraId="222A14D6">
      <w:pPr>
        <w:widowControl w:val="0"/>
        <w:tabs>
          <w:tab w:val="left" w:pos="8639"/>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436E24DE">
      <w:pPr>
        <w:widowControl w:val="0"/>
        <w:autoSpaceDE w:val="0"/>
        <w:autoSpaceDN w:val="0"/>
        <w:ind w:right="57"/>
        <w:outlineLvl w:val="0"/>
        <w:rPr>
          <w:rFonts w:ascii="Calibri" w:hAnsi="Calibri" w:eastAsia="Arial" w:cs="Calibri"/>
          <w:b/>
          <w:bCs/>
          <w:sz w:val="21"/>
          <w:szCs w:val="21"/>
          <w:u w:val="thick"/>
        </w:rPr>
      </w:pPr>
    </w:p>
    <w:p w14:paraId="73892B4B">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ORDENADOR DE DESPESAS DA CONTRATANTE</w:t>
      </w:r>
      <w:r>
        <w:rPr>
          <w:rFonts w:ascii="Calibri" w:hAnsi="Calibri" w:eastAsia="Arial" w:cs="Calibri"/>
          <w:b/>
          <w:bCs/>
          <w:sz w:val="21"/>
          <w:szCs w:val="21"/>
        </w:rPr>
        <w:t>:</w:t>
      </w:r>
    </w:p>
    <w:p w14:paraId="704EC37F">
      <w:pPr>
        <w:rPr>
          <w:rFonts w:ascii="Calibri" w:hAnsi="Calibri" w:eastAsia="Calibri" w:cs="Calibri"/>
          <w:sz w:val="21"/>
          <w:szCs w:val="21"/>
        </w:rPr>
      </w:pPr>
      <w:r>
        <w:rPr>
          <w:rFonts w:ascii="Calibri" w:hAnsi="Calibri" w:eastAsia="Calibri" w:cs="Calibri"/>
          <w:sz w:val="21"/>
          <w:szCs w:val="21"/>
        </w:rPr>
        <w:t xml:space="preserve">Nome: </w:t>
      </w:r>
    </w:p>
    <w:p w14:paraId="18AEC4AB">
      <w:pPr>
        <w:rPr>
          <w:rFonts w:ascii="Calibri" w:hAnsi="Calibri" w:eastAsia="Calibri" w:cs="Calibri"/>
          <w:sz w:val="21"/>
          <w:szCs w:val="21"/>
        </w:rPr>
      </w:pPr>
      <w:r>
        <w:rPr>
          <w:rFonts w:ascii="Calibri" w:hAnsi="Calibri" w:eastAsia="Calibri" w:cs="Calibri"/>
          <w:sz w:val="21"/>
          <w:szCs w:val="21"/>
        </w:rPr>
        <w:t xml:space="preserve">Cargo: </w:t>
      </w:r>
    </w:p>
    <w:p w14:paraId="03BB8C65">
      <w:pPr>
        <w:rPr>
          <w:rFonts w:ascii="Calibri" w:hAnsi="Calibri" w:eastAsia="Calibri" w:cs="Calibri"/>
          <w:sz w:val="21"/>
          <w:szCs w:val="21"/>
        </w:rPr>
      </w:pPr>
      <w:r>
        <w:rPr>
          <w:rFonts w:ascii="Calibri" w:hAnsi="Calibri" w:eastAsia="Calibri" w:cs="Calibri"/>
          <w:sz w:val="21"/>
          <w:szCs w:val="21"/>
        </w:rPr>
        <w:t xml:space="preserve">CPF: </w:t>
      </w:r>
    </w:p>
    <w:p w14:paraId="4A764377">
      <w:pPr>
        <w:widowControl w:val="0"/>
        <w:tabs>
          <w:tab w:val="left" w:pos="8637"/>
        </w:tabs>
        <w:autoSpaceDE w:val="0"/>
        <w:autoSpaceDN w:val="0"/>
        <w:ind w:right="57"/>
        <w:rPr>
          <w:rFonts w:ascii="Calibri" w:hAnsi="Calibri" w:eastAsia="Arial" w:cs="Calibri"/>
          <w:sz w:val="21"/>
          <w:szCs w:val="21"/>
        </w:rPr>
      </w:pPr>
    </w:p>
    <w:p w14:paraId="4D05C1FA">
      <w:pPr>
        <w:widowControl w:val="0"/>
        <w:tabs>
          <w:tab w:val="left" w:pos="8637"/>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70EF7201">
      <w:pPr>
        <w:jc w:val="both"/>
        <w:rPr>
          <w:rFonts w:ascii="Calibri" w:hAnsi="Calibri" w:eastAsia="Calibri" w:cs="Calibri"/>
          <w:b/>
          <w:bCs/>
          <w:sz w:val="21"/>
          <w:szCs w:val="21"/>
        </w:rPr>
      </w:pPr>
    </w:p>
    <w:p w14:paraId="2CF57691">
      <w:pPr>
        <w:widowControl w:val="0"/>
        <w:autoSpaceDE w:val="0"/>
        <w:autoSpaceDN w:val="0"/>
        <w:ind w:right="57"/>
        <w:outlineLvl w:val="0"/>
        <w:rPr>
          <w:rFonts w:ascii="Calibri" w:hAnsi="Calibri" w:eastAsia="Arial" w:cs="Calibri"/>
          <w:b/>
          <w:bCs/>
          <w:sz w:val="21"/>
          <w:szCs w:val="21"/>
        </w:rPr>
      </w:pPr>
      <w:r>
        <w:rPr>
          <w:rFonts w:ascii="Calibri" w:hAnsi="Calibri" w:eastAsia="Arial" w:cs="Calibri"/>
          <w:b/>
          <w:bCs/>
          <w:sz w:val="21"/>
          <w:szCs w:val="21"/>
          <w:u w:val="thick"/>
        </w:rPr>
        <w:t>GESTOR DO CONTRATO</w:t>
      </w:r>
      <w:r>
        <w:rPr>
          <w:rFonts w:ascii="Calibri" w:hAnsi="Calibri" w:eastAsia="Arial" w:cs="Calibri"/>
          <w:b/>
          <w:bCs/>
          <w:sz w:val="21"/>
          <w:szCs w:val="21"/>
        </w:rPr>
        <w:t>:</w:t>
      </w:r>
    </w:p>
    <w:p w14:paraId="5FD26939">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Nome: </w:t>
      </w:r>
    </w:p>
    <w:p w14:paraId="261B93AA">
      <w:pPr>
        <w:widowControl w:val="0"/>
        <w:tabs>
          <w:tab w:val="left" w:pos="4571"/>
          <w:tab w:val="left" w:pos="8605"/>
          <w:tab w:val="left" w:pos="8678"/>
        </w:tabs>
        <w:autoSpaceDE w:val="0"/>
        <w:autoSpaceDN w:val="0"/>
        <w:ind w:right="57"/>
        <w:rPr>
          <w:rFonts w:ascii="Calibri" w:hAnsi="Calibri" w:eastAsia="Arial" w:cs="Calibri"/>
          <w:sz w:val="21"/>
          <w:szCs w:val="21"/>
          <w:u w:val="single"/>
        </w:rPr>
      </w:pPr>
      <w:r>
        <w:rPr>
          <w:rFonts w:ascii="Calibri" w:hAnsi="Calibri" w:eastAsia="Arial" w:cs="Calibri"/>
          <w:sz w:val="21"/>
          <w:szCs w:val="21"/>
        </w:rPr>
        <w:t xml:space="preserve">Cargo: </w:t>
      </w:r>
    </w:p>
    <w:p w14:paraId="0AFCA013">
      <w:pPr>
        <w:widowControl w:val="0"/>
        <w:tabs>
          <w:tab w:val="left" w:pos="4571"/>
          <w:tab w:val="left" w:pos="8605"/>
          <w:tab w:val="left" w:pos="8678"/>
        </w:tabs>
        <w:autoSpaceDE w:val="0"/>
        <w:autoSpaceDN w:val="0"/>
        <w:ind w:right="57"/>
        <w:rPr>
          <w:rFonts w:ascii="Calibri" w:hAnsi="Calibri" w:eastAsia="Arial" w:cs="Calibri"/>
          <w:sz w:val="21"/>
          <w:szCs w:val="21"/>
        </w:rPr>
      </w:pPr>
      <w:r>
        <w:rPr>
          <w:rFonts w:ascii="Calibri" w:hAnsi="Calibri" w:eastAsia="Arial" w:cs="Calibri"/>
          <w:sz w:val="21"/>
          <w:szCs w:val="21"/>
        </w:rPr>
        <w:t xml:space="preserve">CPF:  </w:t>
      </w:r>
    </w:p>
    <w:p w14:paraId="10180632">
      <w:pPr>
        <w:widowControl w:val="0"/>
        <w:tabs>
          <w:tab w:val="left" w:pos="8698"/>
        </w:tabs>
        <w:autoSpaceDE w:val="0"/>
        <w:autoSpaceDN w:val="0"/>
        <w:ind w:right="57"/>
        <w:rPr>
          <w:rFonts w:ascii="Calibri" w:hAnsi="Calibri" w:eastAsia="Arial" w:cs="Calibri"/>
          <w:sz w:val="21"/>
          <w:szCs w:val="21"/>
        </w:rPr>
      </w:pPr>
    </w:p>
    <w:p w14:paraId="1895BF0A">
      <w:pPr>
        <w:widowControl w:val="0"/>
        <w:tabs>
          <w:tab w:val="left" w:pos="8698"/>
        </w:tabs>
        <w:autoSpaceDE w:val="0"/>
        <w:autoSpaceDN w:val="0"/>
        <w:ind w:right="57"/>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rPr>
        <w:t>_________________________________</w:t>
      </w:r>
    </w:p>
    <w:p w14:paraId="43CE96B5">
      <w:pPr>
        <w:widowControl w:val="0"/>
        <w:autoSpaceDE w:val="0"/>
        <w:autoSpaceDN w:val="0"/>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59264" behindDoc="0" locked="0" layoutInCell="1" allowOverlap="1">
                <wp:simplePos x="0" y="0"/>
                <wp:positionH relativeFrom="page">
                  <wp:posOffset>1062355</wp:posOffset>
                </wp:positionH>
                <wp:positionV relativeFrom="paragraph">
                  <wp:posOffset>151765</wp:posOffset>
                </wp:positionV>
                <wp:extent cx="5434330" cy="0"/>
                <wp:effectExtent l="0" t="0" r="0" b="0"/>
                <wp:wrapTopAndBottom/>
                <wp:docPr id="1237890817" name="Conector reto 2"/>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2" o:spid="_x0000_s1026" o:spt="20" style="position:absolute;left:0pt;margin-left:83.65pt;margin-top:11.95pt;height:0pt;width:427.9pt;mso-position-horizontal-relative:page;mso-wrap-distance-bottom:0pt;mso-wrap-distance-top:0pt;z-index:251659264;mso-width-relative:page;mso-height-relative:page;" filled="f" stroked="t" coordsize="21600,21600" o:gfxdata="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GpyV+1gAAAAoBAAAPAAAAAAAAAAEA&#10;IAAAACIAAABkcnMvZG93bnJldi54bWxQSwECFAAUAAAACACHTuJA4II1AtgBAACyAwAADgAAAAAA&#10;AAABACAAAAAlAQAAZHJzL2Uyb0RvYy54bWxQSwUGAAAAAAYABgBZAQAAbwUAAAAA&#10;">
                <v:fill on="f" focussize="0,0"/>
                <v:stroke weight="1.44pt" color="#000000" joinstyle="round"/>
                <v:imagedata o:title=""/>
                <o:lock v:ext="edit" aspectratio="f"/>
                <w10:wrap type="topAndBottom"/>
              </v:line>
            </w:pict>
          </mc:Fallback>
        </mc:AlternateContent>
      </w:r>
    </w:p>
    <w:p w14:paraId="677880CF">
      <w:pPr>
        <w:widowControl w:val="0"/>
        <w:autoSpaceDE w:val="0"/>
        <w:autoSpaceDN w:val="0"/>
        <w:ind w:right="57"/>
        <w:jc w:val="both"/>
        <w:outlineLvl w:val="0"/>
        <w:rPr>
          <w:rFonts w:ascii="Calibri" w:hAnsi="Calibri" w:eastAsia="Arial" w:cs="Calibri"/>
          <w:b/>
          <w:bCs/>
          <w:sz w:val="21"/>
          <w:szCs w:val="21"/>
        </w:rPr>
      </w:pPr>
      <w:r>
        <w:rPr>
          <w:rFonts w:ascii="Calibri" w:hAnsi="Calibri" w:eastAsia="Arial" w:cs="Calibri"/>
          <w:b/>
          <w:bCs/>
          <w:sz w:val="21"/>
          <w:szCs w:val="21"/>
          <w:u w:val="thick"/>
        </w:rPr>
        <w:t>DEMAIS RESPONSÁVEIS (*)</w:t>
      </w:r>
      <w:r>
        <w:rPr>
          <w:rFonts w:ascii="Calibri" w:hAnsi="Calibri" w:eastAsia="Arial" w:cs="Calibri"/>
          <w:b/>
          <w:bCs/>
          <w:sz w:val="21"/>
          <w:szCs w:val="21"/>
        </w:rPr>
        <w:t>:</w:t>
      </w:r>
    </w:p>
    <w:p w14:paraId="14F263FD">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Tipo de ato sob</w:t>
      </w:r>
      <w:r>
        <w:rPr>
          <w:rFonts w:ascii="Calibri" w:hAnsi="Calibri" w:eastAsia="Arial" w:cs="Calibri"/>
          <w:spacing w:val="-11"/>
          <w:sz w:val="21"/>
          <w:szCs w:val="21"/>
        </w:rPr>
        <w:t xml:space="preserve"> </w:t>
      </w:r>
      <w:r>
        <w:rPr>
          <w:rFonts w:ascii="Calibri" w:hAnsi="Calibri" w:eastAsia="Arial" w:cs="Calibri"/>
          <w:sz w:val="21"/>
          <w:szCs w:val="21"/>
        </w:rPr>
        <w:t>sua</w:t>
      </w:r>
      <w:r>
        <w:rPr>
          <w:rFonts w:ascii="Calibri" w:hAnsi="Calibri" w:eastAsia="Arial" w:cs="Calibri"/>
          <w:spacing w:val="-3"/>
          <w:sz w:val="21"/>
          <w:szCs w:val="21"/>
        </w:rPr>
        <w:t xml:space="preserve"> </w:t>
      </w:r>
      <w:r>
        <w:rPr>
          <w:rFonts w:ascii="Calibri" w:hAnsi="Calibri" w:eastAsia="Arial" w:cs="Calibri"/>
          <w:sz w:val="21"/>
          <w:szCs w:val="21"/>
        </w:rPr>
        <w:t>responsabilidade:</w:t>
      </w:r>
      <w:r>
        <w:rPr>
          <w:rFonts w:ascii="Calibri" w:hAnsi="Calibri" w:eastAsia="Arial" w:cs="Calibri"/>
          <w:spacing w:val="-2"/>
          <w:sz w:val="21"/>
          <w:szCs w:val="21"/>
        </w:rPr>
        <w:t xml:space="preserve"> </w:t>
      </w:r>
    </w:p>
    <w:p w14:paraId="31F28BC5">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Nome: </w:t>
      </w:r>
    </w:p>
    <w:p w14:paraId="40E8DA82">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Cargo: </w:t>
      </w:r>
    </w:p>
    <w:p w14:paraId="4013942E">
      <w:pPr>
        <w:widowControl w:val="0"/>
        <w:tabs>
          <w:tab w:val="left" w:pos="4842"/>
          <w:tab w:val="left" w:pos="8598"/>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CPF: </w:t>
      </w:r>
    </w:p>
    <w:p w14:paraId="519F1BF6">
      <w:pPr>
        <w:widowControl w:val="0"/>
        <w:tabs>
          <w:tab w:val="left" w:pos="5490"/>
        </w:tabs>
        <w:autoSpaceDE w:val="0"/>
        <w:autoSpaceDN w:val="0"/>
        <w:ind w:right="57"/>
        <w:jc w:val="both"/>
        <w:rPr>
          <w:rFonts w:ascii="Calibri" w:hAnsi="Calibri" w:eastAsia="Arial" w:cs="Calibri"/>
          <w:sz w:val="21"/>
          <w:szCs w:val="21"/>
        </w:rPr>
      </w:pPr>
    </w:p>
    <w:p w14:paraId="4A287237">
      <w:pPr>
        <w:widowControl w:val="0"/>
        <w:tabs>
          <w:tab w:val="left" w:pos="5490"/>
        </w:tabs>
        <w:autoSpaceDE w:val="0"/>
        <w:autoSpaceDN w:val="0"/>
        <w:ind w:right="57"/>
        <w:jc w:val="both"/>
        <w:rPr>
          <w:rFonts w:ascii="Calibri" w:hAnsi="Calibri" w:eastAsia="Arial" w:cs="Calibri"/>
          <w:sz w:val="21"/>
          <w:szCs w:val="21"/>
        </w:rPr>
      </w:pPr>
      <w:r>
        <w:rPr>
          <w:rFonts w:ascii="Calibri" w:hAnsi="Calibri" w:eastAsia="Arial" w:cs="Calibri"/>
          <w:sz w:val="21"/>
          <w:szCs w:val="21"/>
        </w:rPr>
        <w:t xml:space="preserve">Assinatura: </w:t>
      </w:r>
      <w:r>
        <w:rPr>
          <w:rFonts w:ascii="Calibri" w:hAnsi="Calibri" w:eastAsia="Arial" w:cs="Calibri"/>
          <w:sz w:val="21"/>
          <w:szCs w:val="21"/>
          <w:u w:val="single"/>
        </w:rPr>
        <w:t xml:space="preserve"> </w:t>
      </w:r>
      <w:r>
        <w:rPr>
          <w:rFonts w:ascii="Calibri" w:hAnsi="Calibri" w:eastAsia="Arial" w:cs="Calibri"/>
          <w:sz w:val="21"/>
          <w:szCs w:val="21"/>
          <w:u w:val="single"/>
        </w:rPr>
        <w:tab/>
      </w:r>
    </w:p>
    <w:p w14:paraId="0CB28917">
      <w:pPr>
        <w:widowControl w:val="0"/>
        <w:autoSpaceDE w:val="0"/>
        <w:autoSpaceDN w:val="0"/>
        <w:spacing w:line="360" w:lineRule="auto"/>
        <w:ind w:right="57"/>
        <w:rPr>
          <w:rFonts w:ascii="Calibri" w:hAnsi="Calibri" w:eastAsia="Arial" w:cs="Calibri"/>
          <w:sz w:val="21"/>
          <w:szCs w:val="21"/>
        </w:rPr>
      </w:pPr>
      <w:r>
        <w:rPr>
          <w:rFonts w:ascii="Calibri" w:hAnsi="Calibri" w:cs="Calibri"/>
          <w:sz w:val="21"/>
          <w:szCs w:val="21"/>
        </w:rPr>
        <mc:AlternateContent>
          <mc:Choice Requires="wps">
            <w:drawing>
              <wp:anchor distT="0" distB="0" distL="0" distR="0" simplePos="0" relativeHeight="251660288" behindDoc="0" locked="0" layoutInCell="1" allowOverlap="1">
                <wp:simplePos x="0" y="0"/>
                <wp:positionH relativeFrom="page">
                  <wp:posOffset>1062355</wp:posOffset>
                </wp:positionH>
                <wp:positionV relativeFrom="paragraph">
                  <wp:posOffset>125730</wp:posOffset>
                </wp:positionV>
                <wp:extent cx="5434330" cy="0"/>
                <wp:effectExtent l="0" t="0" r="0" b="0"/>
                <wp:wrapTopAndBottom/>
                <wp:docPr id="590360923" name="Conector reto 1"/>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ln>
                      </wps:spPr>
                      <wps:bodyPr/>
                    </wps:wsp>
                  </a:graphicData>
                </a:graphic>
              </wp:anchor>
            </w:drawing>
          </mc:Choice>
          <mc:Fallback>
            <w:pict>
              <v:line id="Conector reto 1" o:spid="_x0000_s1026" o:spt="20" style="position:absolute;left:0pt;margin-left:83.65pt;margin-top:9.9pt;height:0pt;width:427.9pt;mso-position-horizontal-relative:page;mso-wrap-distance-bottom:0pt;mso-wrap-distance-top:0pt;z-index:251660288;mso-width-relative:page;mso-height-relative:page;" filled="f" stroked="t" coordsize="21600,21600" o:gfxdata="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AmmodUAAAAKAQAADwAAAAAAAAABACAA&#10;AAAiAAAAZHJzL2Rvd25yZXYueG1sUEsBAhQAFAAAAAgAh07iQPqGiJTXAQAAsQMAAA4AAAAAAAAA&#10;AQAgAAAAJAEAAGRycy9lMm9Eb2MueG1sUEsFBgAAAAAGAAYAWQEAAG0FAAAAAA==&#10;">
                <v:fill on="f" focussize="0,0"/>
                <v:stroke weight="1.44pt" color="#000000" joinstyle="round"/>
                <v:imagedata o:title=""/>
                <o:lock v:ext="edit" aspectratio="f"/>
                <w10:wrap type="topAndBottom"/>
              </v:line>
            </w:pict>
          </mc:Fallback>
        </mc:AlternateContent>
      </w:r>
    </w:p>
    <w:p w14:paraId="3841FA6B">
      <w:pPr>
        <w:widowControl w:val="0"/>
        <w:autoSpaceDE w:val="0"/>
        <w:autoSpaceDN w:val="0"/>
        <w:ind w:right="57"/>
        <w:jc w:val="both"/>
        <w:rPr>
          <w:rFonts w:ascii="Calibri" w:hAnsi="Calibri" w:eastAsia="Arial" w:cs="Calibri"/>
          <w:sz w:val="18"/>
          <w:szCs w:val="18"/>
        </w:rPr>
      </w:pPr>
      <w:r>
        <w:rPr>
          <w:rFonts w:ascii="Calibri" w:hAnsi="Calibri" w:eastAsia="Arial" w:cs="Calibri"/>
          <w:sz w:val="18"/>
          <w:szCs w:val="18"/>
        </w:rPr>
        <w:t>(*) - O Termo de Ciência e Notificação e/ou Cadastro do(s) Responsável(is) deve identificar as pessoas físicas que tenham concorrido para a prática do ato jurídico,  na  condição  de  ordenador  da  despesa;  de  partes  contratantes;</w:t>
      </w:r>
      <w:r>
        <w:rPr>
          <w:rFonts w:ascii="Calibri" w:hAnsi="Calibri" w:eastAsia="Arial" w:cs="Calibri"/>
          <w:spacing w:val="-20"/>
          <w:sz w:val="18"/>
          <w:szCs w:val="18"/>
        </w:rPr>
        <w:t xml:space="preserve"> </w:t>
      </w:r>
      <w:r>
        <w:rPr>
          <w:rFonts w:ascii="Calibri" w:hAnsi="Calibri" w:eastAsia="Arial" w:cs="Calibri"/>
          <w:sz w:val="18"/>
          <w:szCs w:val="18"/>
        </w:rPr>
        <w:t>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Pr>
          <w:rFonts w:ascii="Calibri" w:hAnsi="Calibri" w:eastAsia="Arial" w:cs="Calibri"/>
          <w:i/>
          <w:sz w:val="18"/>
          <w:szCs w:val="18"/>
        </w:rPr>
        <w:t xml:space="preserve">. </w:t>
      </w:r>
      <w:r>
        <w:rPr>
          <w:rFonts w:ascii="Calibri" w:hAnsi="Calibri" w:eastAsia="Arial" w:cs="Calibri"/>
          <w:sz w:val="18"/>
          <w:szCs w:val="18"/>
        </w:rPr>
        <w:t xml:space="preserve">Na hipótese de prestações de contas, caso o signatário do parecer conclusivo seja distinto daqueles já arrolados como subscritores do Termo de Ciência e Notificação, será ele objeto de notificação específica. </w:t>
      </w:r>
      <w:r>
        <w:rPr>
          <w:rFonts w:ascii="Calibri" w:hAnsi="Calibri" w:eastAsia="Arial" w:cs="Calibri"/>
          <w:i/>
          <w:sz w:val="18"/>
          <w:szCs w:val="18"/>
        </w:rPr>
        <w:t xml:space="preserve">(inciso acrescido pela Resolução nº 11/2021). </w:t>
      </w:r>
    </w:p>
    <w:p w14:paraId="5A0B347A">
      <w:pPr>
        <w:rPr>
          <w:rFonts w:eastAsiaTheme="minorHAnsi"/>
          <w:lang w:eastAsia="en-US"/>
        </w:rPr>
      </w:pPr>
    </w:p>
    <w:sectPr>
      <w:headerReference r:id="rId5" w:type="default"/>
      <w:footerReference r:id="rId6" w:type="default"/>
      <w:pgSz w:w="11906" w:h="16838"/>
      <w:pgMar w:top="1417" w:right="1274"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Liberation Mono"/>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DejaVu Sans">
    <w:panose1 w:val="020B0603030804020204"/>
    <w:charset w:val="00"/>
    <w:family w:val="swiss"/>
    <w:pitch w:val="default"/>
    <w:sig w:usb0="E7006EFF" w:usb1="D200FDFF" w:usb2="0A246029" w:usb3="0400200C" w:csb0="600001FF" w:csb1="DFFF0000"/>
  </w:font>
  <w:font w:name="Segoe UI">
    <w:panose1 w:val="020B0502040204020203"/>
    <w:charset w:val="00"/>
    <w:family w:val="swiss"/>
    <w:pitch w:val="default"/>
    <w:sig w:usb0="E4002EFF" w:usb1="C000E47F" w:usb2="00000009" w:usb3="00000000" w:csb0="200001FF" w:csb1="00000000"/>
  </w:font>
  <w:font w:name="Zurich BT">
    <w:altName w:val="Liberation Mono"/>
    <w:panose1 w:val="00000000000000000000"/>
    <w:charset w:val="00"/>
    <w:family w:val="roman"/>
    <w:pitch w:val="default"/>
    <w:sig w:usb0="00000000" w:usb1="00000000" w:usb2="00000000" w:usb3="00000000" w:csb0="00000000" w:csb1="00000000"/>
  </w:font>
  <w:font w:name="Noto Sans Symbols">
    <w:altName w:val="Calibri"/>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215968"/>
      <w:docPartObj>
        <w:docPartGallery w:val="AutoText"/>
      </w:docPartObj>
    </w:sdtPr>
    <w:sdtContent>
      <w:p w14:paraId="4FCD2D14">
        <w:pPr>
          <w:pStyle w:val="11"/>
          <w:jc w:val="right"/>
        </w:pPr>
        <w:r>
          <w:fldChar w:fldCharType="begin"/>
        </w:r>
        <w:r>
          <w:instrText xml:space="preserve">PAGE   \* MERGEFORMAT</w:instrText>
        </w:r>
        <w:r>
          <w:fldChar w:fldCharType="separate"/>
        </w:r>
        <w:r>
          <w:t>2</w:t>
        </w:r>
        <w:r>
          <w:fldChar w:fldCharType="end"/>
        </w:r>
      </w:p>
    </w:sdtContent>
  </w:sdt>
  <w:p w14:paraId="19CB0825">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9985" w:type="dxa"/>
      <w:tblInd w:w="-713" w:type="dxa"/>
      <w:tblLayout w:type="fixed"/>
      <w:tblCellMar>
        <w:top w:w="0" w:type="dxa"/>
        <w:left w:w="70" w:type="dxa"/>
        <w:bottom w:w="0" w:type="dxa"/>
        <w:right w:w="70" w:type="dxa"/>
      </w:tblCellMar>
    </w:tblPr>
    <w:tblGrid>
      <w:gridCol w:w="2420"/>
      <w:gridCol w:w="7565"/>
    </w:tblGrid>
    <w:tr w14:paraId="2AD119B3">
      <w:tblPrEx>
        <w:tblCellMar>
          <w:top w:w="0" w:type="dxa"/>
          <w:left w:w="70" w:type="dxa"/>
          <w:bottom w:w="0" w:type="dxa"/>
          <w:right w:w="70" w:type="dxa"/>
        </w:tblCellMar>
      </w:tblPrEx>
      <w:trPr>
        <w:trHeight w:val="1115" w:hRule="atLeast"/>
      </w:trPr>
      <w:tc>
        <w:tcPr>
          <w:tcW w:w="2420" w:type="dxa"/>
          <w:tcBorders>
            <w:top w:val="nil"/>
            <w:left w:val="nil"/>
            <w:bottom w:val="nil"/>
            <w:right w:val="nil"/>
          </w:tcBorders>
        </w:tcPr>
        <w:p w14:paraId="350978CA">
          <w:pPr>
            <w:pStyle w:val="2"/>
            <w:keepNext w:val="0"/>
          </w:pPr>
          <w:r>
            <w:rPr>
              <w:sz w:val="20"/>
            </w:rPr>
            <w:drawing>
              <wp:inline distT="0" distB="0" distL="0" distR="0">
                <wp:extent cx="1153160" cy="885190"/>
                <wp:effectExtent l="0" t="0" r="8890" b="0"/>
                <wp:docPr id="179322217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22176"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153160" cy="885190"/>
                        </a:xfrm>
                        <a:prstGeom prst="rect">
                          <a:avLst/>
                        </a:prstGeom>
                        <a:noFill/>
                        <a:ln>
                          <a:noFill/>
                        </a:ln>
                      </pic:spPr>
                    </pic:pic>
                  </a:graphicData>
                </a:graphic>
              </wp:inline>
            </w:drawing>
          </w:r>
        </w:p>
      </w:tc>
      <w:tc>
        <w:tcPr>
          <w:tcW w:w="7565" w:type="dxa"/>
          <w:tcBorders>
            <w:top w:val="nil"/>
            <w:left w:val="nil"/>
            <w:right w:val="nil"/>
          </w:tcBorders>
        </w:tcPr>
        <w:p w14:paraId="476BB1AD">
          <w:pPr>
            <w:pStyle w:val="2"/>
            <w:keepNext w:val="0"/>
            <w:spacing w:before="0" w:line="276" w:lineRule="auto"/>
            <w:jc w:val="center"/>
            <w:rPr>
              <w:rFonts w:ascii="Times New Roman" w:hAnsi="Times New Roman" w:cs="Times New Roman"/>
              <w:b/>
              <w:bCs/>
              <w:color w:val="auto"/>
              <w:sz w:val="22"/>
              <w:szCs w:val="22"/>
            </w:rPr>
          </w:pPr>
          <w:r>
            <w:rPr>
              <w:rFonts w:ascii="Times New Roman" w:hAnsi="Times New Roman" w:cs="Times New Roman"/>
              <w:b/>
              <w:bCs/>
              <w:color w:val="auto"/>
              <w:sz w:val="22"/>
              <w:szCs w:val="22"/>
            </w:rPr>
            <w:t>PREFEITURA MUNICIPAL DE SANTA BRANCA</w:t>
          </w:r>
        </w:p>
        <w:p w14:paraId="098C20F4">
          <w:pPr>
            <w:spacing w:line="276" w:lineRule="auto"/>
            <w:jc w:val="center"/>
            <w:rPr>
              <w:sz w:val="22"/>
              <w:szCs w:val="22"/>
            </w:rPr>
          </w:pPr>
          <w:r>
            <w:rPr>
              <w:sz w:val="22"/>
              <w:szCs w:val="22"/>
            </w:rPr>
            <w:t>CNPJ 46.694.121/0001-81</w:t>
          </w:r>
        </w:p>
        <w:p w14:paraId="5FD8E1B8">
          <w:pPr>
            <w:spacing w:line="276" w:lineRule="auto"/>
            <w:jc w:val="center"/>
            <w:rPr>
              <w:sz w:val="22"/>
              <w:szCs w:val="22"/>
            </w:rPr>
          </w:pPr>
          <w:r>
            <w:rPr>
              <w:sz w:val="22"/>
              <w:szCs w:val="22"/>
            </w:rPr>
            <w:t>Rua Prudente de Moraes, n° 93, Centro, Santa Branca - SP, CEP 12380-000</w:t>
          </w:r>
        </w:p>
        <w:p w14:paraId="1E5828B6">
          <w:pPr>
            <w:spacing w:line="276" w:lineRule="auto"/>
            <w:jc w:val="center"/>
            <w:rPr>
              <w:sz w:val="22"/>
              <w:szCs w:val="22"/>
            </w:rPr>
          </w:pPr>
          <w:r>
            <w:rPr>
              <w:sz w:val="22"/>
              <w:szCs w:val="22"/>
            </w:rPr>
            <w:t xml:space="preserve">Tel.: (0xx12) 3972-6620 </w:t>
          </w:r>
        </w:p>
        <w:p w14:paraId="371E91EE">
          <w:pPr>
            <w:jc w:val="center"/>
            <w:rPr>
              <w:sz w:val="22"/>
              <w:szCs w:val="22"/>
            </w:rPr>
          </w:pPr>
        </w:p>
      </w:tc>
    </w:tr>
  </w:tbl>
  <w:p w14:paraId="60A30341">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2418C1"/>
    <w:multiLevelType w:val="multilevel"/>
    <w:tmpl w:val="9E2418C1"/>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C207D992"/>
    <w:multiLevelType w:val="multilevel"/>
    <w:tmpl w:val="C207D992"/>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DEEBBB00"/>
    <w:multiLevelType w:val="multilevel"/>
    <w:tmpl w:val="DEEBBB00"/>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ED00A649"/>
    <w:multiLevelType w:val="multilevel"/>
    <w:tmpl w:val="ED00A64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3F5758D"/>
    <w:multiLevelType w:val="multilevel"/>
    <w:tmpl w:val="03F5758D"/>
    <w:lvl w:ilvl="0" w:tentative="0">
      <w:start w:val="15"/>
      <w:numFmt w:val="decimal"/>
      <w:lvlText w:val="%1."/>
      <w:lvlJc w:val="left"/>
      <w:pPr>
        <w:ind w:left="600" w:hanging="600"/>
      </w:pPr>
      <w:rPr>
        <w:rFonts w:hint="default"/>
      </w:rPr>
    </w:lvl>
    <w:lvl w:ilvl="1" w:tentative="0">
      <w:start w:val="13"/>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06397616"/>
    <w:multiLevelType w:val="multilevel"/>
    <w:tmpl w:val="06397616"/>
    <w:lvl w:ilvl="0" w:tentative="0">
      <w:start w:val="12"/>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4"/>
      </w:rPr>
    </w:lvl>
    <w:lvl w:ilvl="2" w:tentative="0">
      <w:start w:val="1"/>
      <w:numFmt w:val="decimal"/>
      <w:lvlText w:val="%1.%2.%3."/>
      <w:lvlJc w:val="left"/>
      <w:pPr>
        <w:ind w:left="720" w:hanging="720"/>
      </w:pPr>
      <w:rPr>
        <w:rFonts w:hint="default"/>
        <w:sz w:val="24"/>
      </w:rPr>
    </w:lvl>
    <w:lvl w:ilvl="3" w:tentative="0">
      <w:start w:val="1"/>
      <w:numFmt w:val="decimal"/>
      <w:lvlText w:val="%1.%2.%3.%4."/>
      <w:lvlJc w:val="left"/>
      <w:pPr>
        <w:ind w:left="720" w:hanging="720"/>
      </w:pPr>
      <w:rPr>
        <w:rFonts w:hint="default"/>
        <w:sz w:val="24"/>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6">
    <w:nsid w:val="0AAB6BFF"/>
    <w:multiLevelType w:val="multilevel"/>
    <w:tmpl w:val="0AAB6BFF"/>
    <w:lvl w:ilvl="0" w:tentative="0">
      <w:start w:val="1"/>
      <w:numFmt w:val="decimal"/>
      <w:lvlText w:val="%1."/>
      <w:lvlJc w:val="left"/>
      <w:pPr>
        <w:ind w:left="927" w:hanging="360"/>
      </w:pPr>
      <w:rPr>
        <w:b/>
        <w:color w:val="000000"/>
      </w:rPr>
    </w:lvl>
    <w:lvl w:ilvl="1" w:tentative="0">
      <w:start w:val="1"/>
      <w:numFmt w:val="decimal"/>
      <w:lvlText w:val="%1.%2."/>
      <w:lvlJc w:val="left"/>
      <w:pPr>
        <w:ind w:left="1287" w:hanging="720"/>
      </w:pPr>
      <w:rPr>
        <w:rFonts w:ascii="Arial" w:hAnsi="Arial" w:eastAsia="Arial" w:cs="Arial"/>
        <w:b/>
        <w:sz w:val="23"/>
        <w:szCs w:val="23"/>
      </w:rPr>
    </w:lvl>
    <w:lvl w:ilvl="2" w:tentative="0">
      <w:start w:val="1"/>
      <w:numFmt w:val="decimal"/>
      <w:lvlText w:val="%1.%2.%3."/>
      <w:lvlJc w:val="left"/>
      <w:pPr>
        <w:ind w:left="1287" w:hanging="720"/>
      </w:pPr>
    </w:lvl>
    <w:lvl w:ilvl="3" w:tentative="0">
      <w:start w:val="1"/>
      <w:numFmt w:val="decimal"/>
      <w:lvlText w:val="%1.%2.%3.%4."/>
      <w:lvlJc w:val="left"/>
      <w:pPr>
        <w:ind w:left="1647" w:hanging="1080"/>
      </w:pPr>
    </w:lvl>
    <w:lvl w:ilvl="4" w:tentative="0">
      <w:start w:val="1"/>
      <w:numFmt w:val="decimal"/>
      <w:lvlText w:val="%1.%2.%3.%4.%5."/>
      <w:lvlJc w:val="left"/>
      <w:pPr>
        <w:ind w:left="1647" w:hanging="1080"/>
      </w:pPr>
    </w:lvl>
    <w:lvl w:ilvl="5" w:tentative="0">
      <w:start w:val="1"/>
      <w:numFmt w:val="decimal"/>
      <w:lvlText w:val="%1.%2.%3.%4.%5.%6."/>
      <w:lvlJc w:val="left"/>
      <w:pPr>
        <w:ind w:left="2007" w:hanging="1440"/>
      </w:pPr>
    </w:lvl>
    <w:lvl w:ilvl="6" w:tentative="0">
      <w:start w:val="1"/>
      <w:numFmt w:val="decimal"/>
      <w:lvlText w:val="%1.%2.%3.%4.%5.%6.%7."/>
      <w:lvlJc w:val="left"/>
      <w:pPr>
        <w:ind w:left="2007" w:hanging="1440"/>
      </w:pPr>
    </w:lvl>
    <w:lvl w:ilvl="7" w:tentative="0">
      <w:start w:val="1"/>
      <w:numFmt w:val="decimal"/>
      <w:lvlText w:val="%1.%2.%3.%4.%5.%6.%7.%8."/>
      <w:lvlJc w:val="left"/>
      <w:pPr>
        <w:ind w:left="2367" w:hanging="1800"/>
      </w:pPr>
    </w:lvl>
    <w:lvl w:ilvl="8" w:tentative="0">
      <w:start w:val="1"/>
      <w:numFmt w:val="decimal"/>
      <w:lvlText w:val="%1.%2.%3.%4.%5.%6.%7.%8.%9."/>
      <w:lvlJc w:val="left"/>
      <w:pPr>
        <w:ind w:left="2367" w:hanging="1800"/>
      </w:pPr>
    </w:lvl>
  </w:abstractNum>
  <w:abstractNum w:abstractNumId="7">
    <w:nsid w:val="0ADE23AB"/>
    <w:multiLevelType w:val="multilevel"/>
    <w:tmpl w:val="0ADE23AB"/>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CD9149D"/>
    <w:multiLevelType w:val="multilevel"/>
    <w:tmpl w:val="0CD9149D"/>
    <w:lvl w:ilvl="0" w:tentative="0">
      <w:start w:val="6"/>
      <w:numFmt w:val="decimal"/>
      <w:lvlText w:val="%1."/>
      <w:lvlJc w:val="left"/>
      <w:pPr>
        <w:ind w:left="360" w:hanging="360"/>
      </w:pPr>
      <w:rPr>
        <w:rFonts w:hint="default"/>
      </w:rPr>
    </w:lvl>
    <w:lvl w:ilvl="1" w:tentative="0">
      <w:start w:val="6"/>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0CDA3126"/>
    <w:multiLevelType w:val="multilevel"/>
    <w:tmpl w:val="0CDA3126"/>
    <w:lvl w:ilvl="0" w:tentative="0">
      <w:start w:val="1"/>
      <w:numFmt w:val="bullet"/>
      <w:lvlText w:val="●"/>
      <w:lvlJc w:val="left"/>
      <w:pPr>
        <w:ind w:left="714" w:hanging="359"/>
      </w:pPr>
      <w:rPr>
        <w:rFonts w:ascii="Noto Sans Symbols" w:hAnsi="Noto Sans Symbols" w:eastAsia="Noto Sans Symbols" w:cs="Noto Sans Symbols"/>
      </w:rPr>
    </w:lvl>
    <w:lvl w:ilvl="1" w:tentative="0">
      <w:start w:val="1"/>
      <w:numFmt w:val="bullet"/>
      <w:lvlText w:val="o"/>
      <w:lvlJc w:val="left"/>
      <w:pPr>
        <w:ind w:left="1434" w:hanging="360"/>
      </w:pPr>
      <w:rPr>
        <w:rFonts w:ascii="Courier New" w:hAnsi="Courier New" w:eastAsia="Courier New" w:cs="Courier New"/>
      </w:rPr>
    </w:lvl>
    <w:lvl w:ilvl="2" w:tentative="0">
      <w:start w:val="1"/>
      <w:numFmt w:val="bullet"/>
      <w:lvlText w:val="▪"/>
      <w:lvlJc w:val="left"/>
      <w:pPr>
        <w:ind w:left="2154" w:hanging="360"/>
      </w:pPr>
      <w:rPr>
        <w:rFonts w:ascii="Noto Sans Symbols" w:hAnsi="Noto Sans Symbols" w:eastAsia="Noto Sans Symbols" w:cs="Noto Sans Symbols"/>
      </w:rPr>
    </w:lvl>
    <w:lvl w:ilvl="3" w:tentative="0">
      <w:start w:val="1"/>
      <w:numFmt w:val="bullet"/>
      <w:lvlText w:val="●"/>
      <w:lvlJc w:val="left"/>
      <w:pPr>
        <w:ind w:left="2874" w:hanging="360"/>
      </w:pPr>
      <w:rPr>
        <w:rFonts w:ascii="Noto Sans Symbols" w:hAnsi="Noto Sans Symbols" w:eastAsia="Noto Sans Symbols" w:cs="Noto Sans Symbols"/>
      </w:rPr>
    </w:lvl>
    <w:lvl w:ilvl="4" w:tentative="0">
      <w:start w:val="1"/>
      <w:numFmt w:val="bullet"/>
      <w:lvlText w:val="o"/>
      <w:lvlJc w:val="left"/>
      <w:pPr>
        <w:ind w:left="3594" w:hanging="360"/>
      </w:pPr>
      <w:rPr>
        <w:rFonts w:ascii="Courier New" w:hAnsi="Courier New" w:eastAsia="Courier New" w:cs="Courier New"/>
      </w:rPr>
    </w:lvl>
    <w:lvl w:ilvl="5" w:tentative="0">
      <w:start w:val="1"/>
      <w:numFmt w:val="bullet"/>
      <w:lvlText w:val="▪"/>
      <w:lvlJc w:val="left"/>
      <w:pPr>
        <w:ind w:left="4314" w:hanging="360"/>
      </w:pPr>
      <w:rPr>
        <w:rFonts w:ascii="Noto Sans Symbols" w:hAnsi="Noto Sans Symbols" w:eastAsia="Noto Sans Symbols" w:cs="Noto Sans Symbols"/>
      </w:rPr>
    </w:lvl>
    <w:lvl w:ilvl="6" w:tentative="0">
      <w:start w:val="1"/>
      <w:numFmt w:val="bullet"/>
      <w:lvlText w:val="●"/>
      <w:lvlJc w:val="left"/>
      <w:pPr>
        <w:ind w:left="5034" w:hanging="360"/>
      </w:pPr>
      <w:rPr>
        <w:rFonts w:ascii="Noto Sans Symbols" w:hAnsi="Noto Sans Symbols" w:eastAsia="Noto Sans Symbols" w:cs="Noto Sans Symbols"/>
      </w:rPr>
    </w:lvl>
    <w:lvl w:ilvl="7" w:tentative="0">
      <w:start w:val="1"/>
      <w:numFmt w:val="bullet"/>
      <w:lvlText w:val="o"/>
      <w:lvlJc w:val="left"/>
      <w:pPr>
        <w:ind w:left="5754" w:hanging="360"/>
      </w:pPr>
      <w:rPr>
        <w:rFonts w:ascii="Courier New" w:hAnsi="Courier New" w:eastAsia="Courier New" w:cs="Courier New"/>
      </w:rPr>
    </w:lvl>
    <w:lvl w:ilvl="8" w:tentative="0">
      <w:start w:val="1"/>
      <w:numFmt w:val="bullet"/>
      <w:lvlText w:val="▪"/>
      <w:lvlJc w:val="left"/>
      <w:pPr>
        <w:ind w:left="6474" w:hanging="360"/>
      </w:pPr>
      <w:rPr>
        <w:rFonts w:ascii="Noto Sans Symbols" w:hAnsi="Noto Sans Symbols" w:eastAsia="Noto Sans Symbols" w:cs="Noto Sans Symbols"/>
      </w:rPr>
    </w:lvl>
  </w:abstractNum>
  <w:abstractNum w:abstractNumId="10">
    <w:nsid w:val="0F18EC1F"/>
    <w:multiLevelType w:val="multilevel"/>
    <w:tmpl w:val="0F18EC1F"/>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11EA0494"/>
    <w:multiLevelType w:val="multilevel"/>
    <w:tmpl w:val="11EA0494"/>
    <w:lvl w:ilvl="0" w:tentative="0">
      <w:start w:val="7"/>
      <w:numFmt w:val="decimal"/>
      <w:lvlText w:val="%1."/>
      <w:lvlJc w:val="left"/>
      <w:pPr>
        <w:ind w:left="660" w:hanging="660"/>
      </w:pPr>
      <w:rPr>
        <w:rFonts w:hint="default"/>
      </w:rPr>
    </w:lvl>
    <w:lvl w:ilvl="1" w:tentative="0">
      <w:start w:val="20"/>
      <w:numFmt w:val="decimal"/>
      <w:lvlText w:val="%1.%2."/>
      <w:lvlJc w:val="left"/>
      <w:pPr>
        <w:ind w:left="1085" w:hanging="660"/>
      </w:pPr>
      <w:rPr>
        <w:rFonts w:hint="default"/>
        <w:b w:val="0"/>
        <w:bCs w:val="0"/>
      </w:rPr>
    </w:lvl>
    <w:lvl w:ilvl="2" w:tentative="0">
      <w:start w:val="1"/>
      <w:numFmt w:val="decimal"/>
      <w:lvlText w:val="%1.%2.%3."/>
      <w:lvlJc w:val="left"/>
      <w:pPr>
        <w:ind w:left="1570" w:hanging="720"/>
      </w:pPr>
      <w:rPr>
        <w:rFonts w:hint="default"/>
      </w:rPr>
    </w:lvl>
    <w:lvl w:ilvl="3" w:tentative="0">
      <w:start w:val="1"/>
      <w:numFmt w:val="decimal"/>
      <w:lvlText w:val="%1.%2.%3.%4."/>
      <w:lvlJc w:val="left"/>
      <w:pPr>
        <w:ind w:left="1995" w:hanging="720"/>
      </w:pPr>
      <w:rPr>
        <w:rFonts w:hint="default"/>
      </w:rPr>
    </w:lvl>
    <w:lvl w:ilvl="4" w:tentative="0">
      <w:start w:val="1"/>
      <w:numFmt w:val="decimal"/>
      <w:lvlText w:val="%1.%2.%3.%4.%5."/>
      <w:lvlJc w:val="left"/>
      <w:pPr>
        <w:ind w:left="2780" w:hanging="1080"/>
      </w:pPr>
      <w:rPr>
        <w:rFonts w:hint="default"/>
      </w:rPr>
    </w:lvl>
    <w:lvl w:ilvl="5" w:tentative="0">
      <w:start w:val="1"/>
      <w:numFmt w:val="decimal"/>
      <w:lvlText w:val="%1.%2.%3.%4.%5.%6."/>
      <w:lvlJc w:val="left"/>
      <w:pPr>
        <w:ind w:left="3205" w:hanging="1080"/>
      </w:pPr>
      <w:rPr>
        <w:rFonts w:hint="default"/>
      </w:rPr>
    </w:lvl>
    <w:lvl w:ilvl="6" w:tentative="0">
      <w:start w:val="1"/>
      <w:numFmt w:val="decimal"/>
      <w:lvlText w:val="%1.%2.%3.%4.%5.%6.%7."/>
      <w:lvlJc w:val="left"/>
      <w:pPr>
        <w:ind w:left="3990" w:hanging="1440"/>
      </w:pPr>
      <w:rPr>
        <w:rFonts w:hint="default"/>
      </w:rPr>
    </w:lvl>
    <w:lvl w:ilvl="7" w:tentative="0">
      <w:start w:val="1"/>
      <w:numFmt w:val="decimal"/>
      <w:lvlText w:val="%1.%2.%3.%4.%5.%6.%7.%8."/>
      <w:lvlJc w:val="left"/>
      <w:pPr>
        <w:ind w:left="4415" w:hanging="1440"/>
      </w:pPr>
      <w:rPr>
        <w:rFonts w:hint="default"/>
      </w:rPr>
    </w:lvl>
    <w:lvl w:ilvl="8" w:tentative="0">
      <w:start w:val="1"/>
      <w:numFmt w:val="decimal"/>
      <w:lvlText w:val="%1.%2.%3.%4.%5.%6.%7.%8.%9."/>
      <w:lvlJc w:val="left"/>
      <w:pPr>
        <w:ind w:left="5200" w:hanging="1800"/>
      </w:pPr>
      <w:rPr>
        <w:rFonts w:hint="default"/>
      </w:rPr>
    </w:lvl>
  </w:abstractNum>
  <w:abstractNum w:abstractNumId="12">
    <w:nsid w:val="13DE717E"/>
    <w:multiLevelType w:val="multilevel"/>
    <w:tmpl w:val="13DE717E"/>
    <w:lvl w:ilvl="0" w:tentative="0">
      <w:start w:val="1"/>
      <w:numFmt w:val="lowerLetter"/>
      <w:lvlText w:val="%1)"/>
      <w:lvlJc w:val="left"/>
      <w:pPr>
        <w:ind w:left="786" w:hanging="360"/>
      </w:pPr>
      <w:rPr>
        <w:rFonts w:hint="default"/>
        <w:b w:val="0"/>
        <w:bCs w:val="0"/>
      </w:rPr>
    </w:lvl>
    <w:lvl w:ilvl="1" w:tentative="0">
      <w:start w:val="1"/>
      <w:numFmt w:val="lowerLetter"/>
      <w:lvlText w:val="%2."/>
      <w:lvlJc w:val="left"/>
      <w:pPr>
        <w:ind w:left="1506" w:hanging="360"/>
      </w:pPr>
    </w:lvl>
    <w:lvl w:ilvl="2" w:tentative="0">
      <w:start w:val="1"/>
      <w:numFmt w:val="lowerRoman"/>
      <w:lvlText w:val="%3."/>
      <w:lvlJc w:val="right"/>
      <w:pPr>
        <w:ind w:left="2226" w:hanging="180"/>
      </w:pPr>
    </w:lvl>
    <w:lvl w:ilvl="3" w:tentative="0">
      <w:start w:val="1"/>
      <w:numFmt w:val="decimal"/>
      <w:lvlText w:val="%4."/>
      <w:lvlJc w:val="left"/>
      <w:pPr>
        <w:ind w:left="2946" w:hanging="360"/>
      </w:pPr>
    </w:lvl>
    <w:lvl w:ilvl="4" w:tentative="0">
      <w:start w:val="1"/>
      <w:numFmt w:val="lowerLetter"/>
      <w:lvlText w:val="%5."/>
      <w:lvlJc w:val="left"/>
      <w:pPr>
        <w:ind w:left="3666" w:hanging="360"/>
      </w:pPr>
    </w:lvl>
    <w:lvl w:ilvl="5" w:tentative="0">
      <w:start w:val="1"/>
      <w:numFmt w:val="lowerRoman"/>
      <w:lvlText w:val="%6."/>
      <w:lvlJc w:val="right"/>
      <w:pPr>
        <w:ind w:left="4386" w:hanging="180"/>
      </w:pPr>
    </w:lvl>
    <w:lvl w:ilvl="6" w:tentative="0">
      <w:start w:val="1"/>
      <w:numFmt w:val="decimal"/>
      <w:lvlText w:val="%7."/>
      <w:lvlJc w:val="left"/>
      <w:pPr>
        <w:ind w:left="5106" w:hanging="360"/>
      </w:pPr>
    </w:lvl>
    <w:lvl w:ilvl="7" w:tentative="0">
      <w:start w:val="1"/>
      <w:numFmt w:val="lowerLetter"/>
      <w:lvlText w:val="%8."/>
      <w:lvlJc w:val="left"/>
      <w:pPr>
        <w:ind w:left="5826" w:hanging="360"/>
      </w:pPr>
    </w:lvl>
    <w:lvl w:ilvl="8" w:tentative="0">
      <w:start w:val="1"/>
      <w:numFmt w:val="lowerRoman"/>
      <w:lvlText w:val="%9."/>
      <w:lvlJc w:val="right"/>
      <w:pPr>
        <w:ind w:left="6546" w:hanging="180"/>
      </w:pPr>
    </w:lvl>
  </w:abstractNum>
  <w:abstractNum w:abstractNumId="13">
    <w:nsid w:val="1B814C21"/>
    <w:multiLevelType w:val="multilevel"/>
    <w:tmpl w:val="1B814C21"/>
    <w:lvl w:ilvl="0" w:tentative="0">
      <w:start w:val="1"/>
      <w:numFmt w:val="decimal"/>
      <w:lvlText w:val="%1."/>
      <w:lvlJc w:val="left"/>
      <w:pPr>
        <w:ind w:left="360" w:hanging="360"/>
      </w:pPr>
      <w:rPr>
        <w:b/>
      </w:rPr>
    </w:lvl>
    <w:lvl w:ilvl="1" w:tentative="0">
      <w:start w:val="1"/>
      <w:numFmt w:val="decimal"/>
      <w:lvlText w:val="%1.%2."/>
      <w:lvlJc w:val="left"/>
      <w:pPr>
        <w:ind w:left="1284" w:hanging="432"/>
      </w:pPr>
      <w:rPr>
        <w:b/>
        <w:i w:val="0"/>
        <w:strike w:val="0"/>
        <w:color w:val="000000"/>
        <w:sz w:val="23"/>
        <w:szCs w:val="23"/>
        <w:u w:val="none"/>
      </w:rPr>
    </w:lvl>
    <w:lvl w:ilvl="2" w:tentative="0">
      <w:start w:val="1"/>
      <w:numFmt w:val="decimal"/>
      <w:lvlText w:val="%1.%2.%3."/>
      <w:lvlJc w:val="left"/>
      <w:pPr>
        <w:ind w:left="1497" w:hanging="504"/>
      </w:pPr>
      <w:rPr>
        <w:rFonts w:ascii="Arial" w:hAnsi="Arial" w:eastAsia="Arial" w:cs="Arial"/>
        <w:b w:val="0"/>
        <w:i w:val="0"/>
        <w:strike w:val="0"/>
        <w:color w:val="000000"/>
        <w:sz w:val="20"/>
        <w:szCs w:val="20"/>
      </w:rPr>
    </w:lvl>
    <w:lvl w:ilvl="3" w:tentative="0">
      <w:start w:val="1"/>
      <w:numFmt w:val="decimal"/>
      <w:lvlText w:val="%1.%2.%3.%4."/>
      <w:lvlJc w:val="left"/>
      <w:pPr>
        <w:ind w:left="2491"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5"/>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4">
    <w:nsid w:val="1D5C100D"/>
    <w:multiLevelType w:val="multilevel"/>
    <w:tmpl w:val="1D5C100D"/>
    <w:lvl w:ilvl="0" w:tentative="0">
      <w:start w:val="1"/>
      <w:numFmt w:val="decimal"/>
      <w:lvlText w:val="%1."/>
      <w:lvlJc w:val="left"/>
      <w:pPr>
        <w:ind w:left="360" w:hanging="360"/>
      </w:pPr>
      <w:rPr>
        <w:b/>
      </w:rPr>
    </w:lvl>
    <w:lvl w:ilvl="1" w:tentative="0">
      <w:start w:val="1"/>
      <w:numFmt w:val="decimal"/>
      <w:pStyle w:val="25"/>
      <w:lvlText w:val="%1.%2."/>
      <w:lvlJc w:val="left"/>
      <w:pPr>
        <w:ind w:left="999" w:hanging="432"/>
      </w:pPr>
      <w:rPr>
        <w:b w:val="0"/>
        <w:i w:val="0"/>
        <w:strike w:val="0"/>
        <w:dstrike w:val="0"/>
        <w:color w:val="auto"/>
        <w:sz w:val="20"/>
        <w:szCs w:val="20"/>
        <w:u w:val="none"/>
      </w:rPr>
    </w:lvl>
    <w:lvl w:ilvl="2" w:tentative="0">
      <w:start w:val="1"/>
      <w:numFmt w:val="decimal"/>
      <w:pStyle w:val="27"/>
      <w:lvlText w:val="%1.%2.%3."/>
      <w:lvlJc w:val="left"/>
      <w:pPr>
        <w:ind w:left="1638" w:hanging="504"/>
      </w:pPr>
      <w:rPr>
        <w:rFonts w:hint="default" w:ascii="Arial" w:hAnsi="Arial" w:cs="Times New Roman"/>
        <w:b w:val="0"/>
        <w:i w:val="0"/>
        <w:strike w:val="0"/>
        <w:dstrike w:val="0"/>
        <w:color w:val="auto"/>
        <w:sz w:val="20"/>
        <w:szCs w:val="20"/>
        <w:u w:val="none"/>
      </w:rPr>
    </w:lvl>
    <w:lvl w:ilvl="3" w:tentative="0">
      <w:start w:val="1"/>
      <w:numFmt w:val="decimal"/>
      <w:pStyle w:val="28"/>
      <w:lvlText w:val="%1.%2.%3.%4."/>
      <w:lvlJc w:val="left"/>
      <w:pPr>
        <w:ind w:left="2491" w:hanging="648"/>
      </w:pPr>
    </w:lvl>
    <w:lvl w:ilvl="4" w:tentative="0">
      <w:start w:val="1"/>
      <w:numFmt w:val="decimal"/>
      <w:pStyle w:val="29"/>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5">
    <w:nsid w:val="258F2831"/>
    <w:multiLevelType w:val="multilevel"/>
    <w:tmpl w:val="258F283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25CC4E8D"/>
    <w:multiLevelType w:val="multilevel"/>
    <w:tmpl w:val="25CC4E8D"/>
    <w:lvl w:ilvl="0" w:tentative="0">
      <w:start w:val="1"/>
      <w:numFmt w:val="low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280D3FCC"/>
    <w:multiLevelType w:val="multilevel"/>
    <w:tmpl w:val="280D3FCC"/>
    <w:lvl w:ilvl="0" w:tentative="0">
      <w:start w:val="13"/>
      <w:numFmt w:val="decimal"/>
      <w:lvlText w:val="%1."/>
      <w:lvlJc w:val="left"/>
      <w:pPr>
        <w:ind w:left="435" w:hanging="435"/>
      </w:pPr>
      <w:rPr>
        <w:rFonts w:hint="default"/>
      </w:rPr>
    </w:lvl>
    <w:lvl w:ilvl="1" w:tentative="0">
      <w:start w:val="5"/>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8">
    <w:nsid w:val="296617DE"/>
    <w:multiLevelType w:val="multilevel"/>
    <w:tmpl w:val="296617DE"/>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2ECF329C"/>
    <w:multiLevelType w:val="multilevel"/>
    <w:tmpl w:val="2ECF329C"/>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2F5C2093"/>
    <w:multiLevelType w:val="multilevel"/>
    <w:tmpl w:val="2F5C2093"/>
    <w:lvl w:ilvl="0" w:tentative="0">
      <w:start w:val="7"/>
      <w:numFmt w:val="decimal"/>
      <w:lvlText w:val="%1."/>
      <w:lvlJc w:val="left"/>
      <w:pPr>
        <w:ind w:left="825" w:hanging="825"/>
      </w:pPr>
      <w:rPr>
        <w:rFonts w:hint="default"/>
        <w:b/>
        <w:bCs/>
      </w:rPr>
    </w:lvl>
    <w:lvl w:ilvl="1" w:tentative="0">
      <w:start w:val="18"/>
      <w:numFmt w:val="decimal"/>
      <w:lvlText w:val="%1.%2."/>
      <w:lvlJc w:val="left"/>
      <w:pPr>
        <w:ind w:left="1061" w:hanging="825"/>
      </w:pPr>
      <w:rPr>
        <w:rFonts w:hint="default"/>
      </w:rPr>
    </w:lvl>
    <w:lvl w:ilvl="2" w:tentative="0">
      <w:start w:val="5"/>
      <w:numFmt w:val="decimal"/>
      <w:lvlText w:val="%1.%2.%3."/>
      <w:lvlJc w:val="left"/>
      <w:pPr>
        <w:ind w:left="1297" w:hanging="825"/>
      </w:pPr>
      <w:rPr>
        <w:rFonts w:hint="default"/>
      </w:rPr>
    </w:lvl>
    <w:lvl w:ilvl="3" w:tentative="0">
      <w:start w:val="4"/>
      <w:numFmt w:val="decimal"/>
      <w:lvlText w:val="%1.%2.%3.%4."/>
      <w:lvlJc w:val="left"/>
      <w:pPr>
        <w:ind w:left="1533" w:hanging="825"/>
      </w:pPr>
      <w:rPr>
        <w:rFonts w:hint="default"/>
      </w:rPr>
    </w:lvl>
    <w:lvl w:ilvl="4" w:tentative="0">
      <w:start w:val="1"/>
      <w:numFmt w:val="decimal"/>
      <w:lvlText w:val="%1.%2.%3.%4.%5."/>
      <w:lvlJc w:val="left"/>
      <w:pPr>
        <w:ind w:left="2024" w:hanging="1080"/>
      </w:pPr>
      <w:rPr>
        <w:rFonts w:hint="default"/>
      </w:rPr>
    </w:lvl>
    <w:lvl w:ilvl="5" w:tentative="0">
      <w:start w:val="1"/>
      <w:numFmt w:val="decimal"/>
      <w:lvlText w:val="%1.%2.%3.%4.%5.%6."/>
      <w:lvlJc w:val="left"/>
      <w:pPr>
        <w:ind w:left="2260" w:hanging="1080"/>
      </w:pPr>
      <w:rPr>
        <w:rFonts w:hint="default"/>
      </w:rPr>
    </w:lvl>
    <w:lvl w:ilvl="6" w:tentative="0">
      <w:start w:val="1"/>
      <w:numFmt w:val="decimal"/>
      <w:lvlText w:val="%1.%2.%3.%4.%5.%6.%7."/>
      <w:lvlJc w:val="left"/>
      <w:pPr>
        <w:ind w:left="2856" w:hanging="1440"/>
      </w:pPr>
      <w:rPr>
        <w:rFonts w:hint="default"/>
      </w:rPr>
    </w:lvl>
    <w:lvl w:ilvl="7" w:tentative="0">
      <w:start w:val="1"/>
      <w:numFmt w:val="decimal"/>
      <w:lvlText w:val="%1.%2.%3.%4.%5.%6.%7.%8."/>
      <w:lvlJc w:val="left"/>
      <w:pPr>
        <w:ind w:left="3092" w:hanging="1440"/>
      </w:pPr>
      <w:rPr>
        <w:rFonts w:hint="default"/>
      </w:rPr>
    </w:lvl>
    <w:lvl w:ilvl="8" w:tentative="0">
      <w:start w:val="1"/>
      <w:numFmt w:val="decimal"/>
      <w:lvlText w:val="%1.%2.%3.%4.%5.%6.%7.%8.%9."/>
      <w:lvlJc w:val="left"/>
      <w:pPr>
        <w:ind w:left="3688" w:hanging="1800"/>
      </w:pPr>
      <w:rPr>
        <w:rFonts w:hint="default"/>
      </w:rPr>
    </w:lvl>
  </w:abstractNum>
  <w:abstractNum w:abstractNumId="21">
    <w:nsid w:val="30A904C3"/>
    <w:multiLevelType w:val="multilevel"/>
    <w:tmpl w:val="30A904C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3112480E"/>
    <w:multiLevelType w:val="multilevel"/>
    <w:tmpl w:val="3112480E"/>
    <w:lvl w:ilvl="0" w:tentative="0">
      <w:start w:val="11"/>
      <w:numFmt w:val="decimal"/>
      <w:lvlText w:val="%1."/>
      <w:lvlJc w:val="left"/>
      <w:pPr>
        <w:ind w:left="600" w:hanging="600"/>
      </w:pPr>
      <w:rPr>
        <w:rFonts w:hint="default"/>
      </w:rPr>
    </w:lvl>
    <w:lvl w:ilvl="1" w:tentative="0">
      <w:start w:val="4"/>
      <w:numFmt w:val="decimal"/>
      <w:lvlText w:val="%1.%2."/>
      <w:lvlJc w:val="left"/>
      <w:pPr>
        <w:ind w:left="600" w:hanging="600"/>
      </w:pPr>
      <w:rPr>
        <w:rFonts w:hint="default"/>
      </w:rPr>
    </w:lvl>
    <w:lvl w:ilvl="2" w:tentative="0">
      <w:start w:val="2"/>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354FDBB5"/>
    <w:multiLevelType w:val="multilevel"/>
    <w:tmpl w:val="354FDBB5"/>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38C21767"/>
    <w:multiLevelType w:val="multilevel"/>
    <w:tmpl w:val="38C21767"/>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5">
    <w:nsid w:val="3B850DE4"/>
    <w:multiLevelType w:val="multilevel"/>
    <w:tmpl w:val="3B850DE4"/>
    <w:lvl w:ilvl="0" w:tentative="0">
      <w:start w:val="1"/>
      <w:numFmt w:val="lowerLetter"/>
      <w:lvlText w:val="%1)"/>
      <w:lvlJc w:val="left"/>
      <w:pPr>
        <w:ind w:left="102" w:hanging="708"/>
      </w:pPr>
      <w:rPr>
        <w:rFonts w:hint="default" w:ascii="Calibri" w:hAnsi="Calibri" w:eastAsia="Arial" w:cs="Calibri"/>
        <w:w w:val="99"/>
        <w:sz w:val="20"/>
        <w:szCs w:val="20"/>
      </w:rPr>
    </w:lvl>
    <w:lvl w:ilvl="1" w:tentative="0">
      <w:start w:val="0"/>
      <w:numFmt w:val="bullet"/>
      <w:lvlText w:val="•"/>
      <w:lvlJc w:val="left"/>
      <w:pPr>
        <w:ind w:left="961" w:hanging="708"/>
      </w:pPr>
      <w:rPr>
        <w:rFonts w:hint="default"/>
      </w:rPr>
    </w:lvl>
    <w:lvl w:ilvl="2" w:tentative="0">
      <w:start w:val="0"/>
      <w:numFmt w:val="bullet"/>
      <w:lvlText w:val="•"/>
      <w:lvlJc w:val="left"/>
      <w:pPr>
        <w:ind w:left="1823" w:hanging="708"/>
      </w:pPr>
      <w:rPr>
        <w:rFonts w:hint="default"/>
      </w:rPr>
    </w:lvl>
    <w:lvl w:ilvl="3" w:tentative="0">
      <w:start w:val="0"/>
      <w:numFmt w:val="bullet"/>
      <w:lvlText w:val="•"/>
      <w:lvlJc w:val="left"/>
      <w:pPr>
        <w:ind w:left="2685" w:hanging="708"/>
      </w:pPr>
      <w:rPr>
        <w:rFonts w:hint="default"/>
      </w:rPr>
    </w:lvl>
    <w:lvl w:ilvl="4" w:tentative="0">
      <w:start w:val="0"/>
      <w:numFmt w:val="bullet"/>
      <w:lvlText w:val="•"/>
      <w:lvlJc w:val="left"/>
      <w:pPr>
        <w:ind w:left="3547" w:hanging="708"/>
      </w:pPr>
      <w:rPr>
        <w:rFonts w:hint="default"/>
      </w:rPr>
    </w:lvl>
    <w:lvl w:ilvl="5" w:tentative="0">
      <w:start w:val="0"/>
      <w:numFmt w:val="bullet"/>
      <w:lvlText w:val="•"/>
      <w:lvlJc w:val="left"/>
      <w:pPr>
        <w:ind w:left="4409" w:hanging="708"/>
      </w:pPr>
      <w:rPr>
        <w:rFonts w:hint="default"/>
      </w:rPr>
    </w:lvl>
    <w:lvl w:ilvl="6" w:tentative="0">
      <w:start w:val="0"/>
      <w:numFmt w:val="bullet"/>
      <w:lvlText w:val="•"/>
      <w:lvlJc w:val="left"/>
      <w:pPr>
        <w:ind w:left="5271" w:hanging="708"/>
      </w:pPr>
      <w:rPr>
        <w:rFonts w:hint="default"/>
      </w:rPr>
    </w:lvl>
    <w:lvl w:ilvl="7" w:tentative="0">
      <w:start w:val="0"/>
      <w:numFmt w:val="bullet"/>
      <w:lvlText w:val="•"/>
      <w:lvlJc w:val="left"/>
      <w:pPr>
        <w:ind w:left="6133" w:hanging="708"/>
      </w:pPr>
      <w:rPr>
        <w:rFonts w:hint="default"/>
      </w:rPr>
    </w:lvl>
    <w:lvl w:ilvl="8" w:tentative="0">
      <w:start w:val="0"/>
      <w:numFmt w:val="bullet"/>
      <w:lvlText w:val="•"/>
      <w:lvlJc w:val="left"/>
      <w:pPr>
        <w:ind w:left="6995" w:hanging="708"/>
      </w:pPr>
      <w:rPr>
        <w:rFonts w:hint="default"/>
      </w:rPr>
    </w:lvl>
  </w:abstractNum>
  <w:abstractNum w:abstractNumId="26">
    <w:nsid w:val="3CC46039"/>
    <w:multiLevelType w:val="multilevel"/>
    <w:tmpl w:val="3CC46039"/>
    <w:lvl w:ilvl="0" w:tentative="0">
      <w:start w:val="9"/>
      <w:numFmt w:val="decimal"/>
      <w:lvlText w:val="%1."/>
      <w:lvlJc w:val="left"/>
      <w:pPr>
        <w:ind w:left="540" w:hanging="540"/>
      </w:pPr>
      <w:rPr>
        <w:rFonts w:hint="default"/>
      </w:rPr>
    </w:lvl>
    <w:lvl w:ilvl="1" w:tentative="0">
      <w:start w:val="6"/>
      <w:numFmt w:val="decimal"/>
      <w:lvlText w:val="%1.%2."/>
      <w:lvlJc w:val="left"/>
      <w:pPr>
        <w:ind w:left="720" w:hanging="540"/>
      </w:pPr>
      <w:rPr>
        <w:rFonts w:hint="default"/>
      </w:rPr>
    </w:lvl>
    <w:lvl w:ilvl="2" w:tentative="0">
      <w:start w:val="1"/>
      <w:numFmt w:val="decimal"/>
      <w:lvlText w:val="%1.%2.%3."/>
      <w:lvlJc w:val="left"/>
      <w:pPr>
        <w:ind w:left="1080" w:hanging="720"/>
      </w:pPr>
      <w:rPr>
        <w:rFonts w:hint="default"/>
        <w:b w:val="0"/>
        <w:bCs w:val="0"/>
      </w:rPr>
    </w:lvl>
    <w:lvl w:ilvl="3" w:tentative="0">
      <w:start w:val="1"/>
      <w:numFmt w:val="decimal"/>
      <w:lvlText w:val="%1.%2.%3.%4."/>
      <w:lvlJc w:val="left"/>
      <w:pPr>
        <w:ind w:left="1260" w:hanging="720"/>
      </w:pPr>
      <w:rPr>
        <w:rFonts w:hint="default"/>
      </w:rPr>
    </w:lvl>
    <w:lvl w:ilvl="4" w:tentative="0">
      <w:start w:val="1"/>
      <w:numFmt w:val="decimal"/>
      <w:lvlText w:val="%1.%2.%3.%4.%5."/>
      <w:lvlJc w:val="left"/>
      <w:pPr>
        <w:ind w:left="1800" w:hanging="1080"/>
      </w:pPr>
      <w:rPr>
        <w:rFonts w:hint="default"/>
      </w:rPr>
    </w:lvl>
    <w:lvl w:ilvl="5" w:tentative="0">
      <w:start w:val="1"/>
      <w:numFmt w:val="decimal"/>
      <w:lvlText w:val="%1.%2.%3.%4.%5.%6."/>
      <w:lvlJc w:val="left"/>
      <w:pPr>
        <w:ind w:left="1980" w:hanging="1080"/>
      </w:pPr>
      <w:rPr>
        <w:rFonts w:hint="default"/>
      </w:rPr>
    </w:lvl>
    <w:lvl w:ilvl="6" w:tentative="0">
      <w:start w:val="1"/>
      <w:numFmt w:val="decimal"/>
      <w:lvlText w:val="%1.%2.%3.%4.%5.%6.%7."/>
      <w:lvlJc w:val="left"/>
      <w:pPr>
        <w:ind w:left="2520" w:hanging="1440"/>
      </w:pPr>
      <w:rPr>
        <w:rFonts w:hint="default"/>
      </w:rPr>
    </w:lvl>
    <w:lvl w:ilvl="7" w:tentative="0">
      <w:start w:val="1"/>
      <w:numFmt w:val="decimal"/>
      <w:lvlText w:val="%1.%2.%3.%4.%5.%6.%7.%8."/>
      <w:lvlJc w:val="left"/>
      <w:pPr>
        <w:ind w:left="2700" w:hanging="1440"/>
      </w:pPr>
      <w:rPr>
        <w:rFonts w:hint="default"/>
      </w:rPr>
    </w:lvl>
    <w:lvl w:ilvl="8" w:tentative="0">
      <w:start w:val="1"/>
      <w:numFmt w:val="decimal"/>
      <w:lvlText w:val="%1.%2.%3.%4.%5.%6.%7.%8.%9."/>
      <w:lvlJc w:val="left"/>
      <w:pPr>
        <w:ind w:left="3240" w:hanging="1800"/>
      </w:pPr>
      <w:rPr>
        <w:rFonts w:hint="default"/>
      </w:rPr>
    </w:lvl>
  </w:abstractNum>
  <w:abstractNum w:abstractNumId="27">
    <w:nsid w:val="413F55C7"/>
    <w:multiLevelType w:val="multilevel"/>
    <w:tmpl w:val="413F55C7"/>
    <w:lvl w:ilvl="0" w:tentative="0">
      <w:start w:val="1"/>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8">
    <w:nsid w:val="45886599"/>
    <w:multiLevelType w:val="multilevel"/>
    <w:tmpl w:val="458865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9">
    <w:nsid w:val="465435B0"/>
    <w:multiLevelType w:val="multilevel"/>
    <w:tmpl w:val="465435B0"/>
    <w:lvl w:ilvl="0" w:tentative="0">
      <w:start w:val="1"/>
      <w:numFmt w:val="lowerLetter"/>
      <w:lvlText w:val="%1)"/>
      <w:lvlJc w:val="left"/>
      <w:pPr>
        <w:ind w:left="927" w:hanging="360"/>
      </w:pPr>
      <w:rPr>
        <w:rFonts w:hint="default"/>
        <w:b w:val="0"/>
        <w:bCs w:val="0"/>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abstractNum w:abstractNumId="30">
    <w:nsid w:val="4672496A"/>
    <w:multiLevelType w:val="multilevel"/>
    <w:tmpl w:val="4672496A"/>
    <w:lvl w:ilvl="0" w:tentative="0">
      <w:start w:val="1"/>
      <w:numFmt w:val="bullet"/>
      <w:lvlText w:val="●"/>
      <w:lvlJc w:val="left"/>
      <w:pPr>
        <w:ind w:left="1294" w:hanging="360"/>
      </w:pPr>
      <w:rPr>
        <w:rFonts w:ascii="Noto Sans Symbols" w:hAnsi="Noto Sans Symbols" w:eastAsia="Noto Sans Symbols" w:cs="Noto Sans Symbols"/>
      </w:rPr>
    </w:lvl>
    <w:lvl w:ilvl="1" w:tentative="0">
      <w:start w:val="1"/>
      <w:numFmt w:val="bullet"/>
      <w:lvlText w:val="o"/>
      <w:lvlJc w:val="left"/>
      <w:pPr>
        <w:ind w:left="2014" w:hanging="360"/>
      </w:pPr>
      <w:rPr>
        <w:rFonts w:ascii="Courier New" w:hAnsi="Courier New" w:eastAsia="Courier New" w:cs="Courier New"/>
      </w:rPr>
    </w:lvl>
    <w:lvl w:ilvl="2" w:tentative="0">
      <w:start w:val="1"/>
      <w:numFmt w:val="bullet"/>
      <w:lvlText w:val="▪"/>
      <w:lvlJc w:val="left"/>
      <w:pPr>
        <w:ind w:left="2734" w:hanging="360"/>
      </w:pPr>
      <w:rPr>
        <w:rFonts w:ascii="Noto Sans Symbols" w:hAnsi="Noto Sans Symbols" w:eastAsia="Noto Sans Symbols" w:cs="Noto Sans Symbols"/>
      </w:rPr>
    </w:lvl>
    <w:lvl w:ilvl="3" w:tentative="0">
      <w:start w:val="1"/>
      <w:numFmt w:val="bullet"/>
      <w:lvlText w:val="●"/>
      <w:lvlJc w:val="left"/>
      <w:pPr>
        <w:ind w:left="3454" w:hanging="360"/>
      </w:pPr>
      <w:rPr>
        <w:rFonts w:ascii="Noto Sans Symbols" w:hAnsi="Noto Sans Symbols" w:eastAsia="Noto Sans Symbols" w:cs="Noto Sans Symbols"/>
      </w:rPr>
    </w:lvl>
    <w:lvl w:ilvl="4" w:tentative="0">
      <w:start w:val="1"/>
      <w:numFmt w:val="bullet"/>
      <w:lvlText w:val="o"/>
      <w:lvlJc w:val="left"/>
      <w:pPr>
        <w:ind w:left="4174" w:hanging="360"/>
      </w:pPr>
      <w:rPr>
        <w:rFonts w:ascii="Courier New" w:hAnsi="Courier New" w:eastAsia="Courier New" w:cs="Courier New"/>
      </w:rPr>
    </w:lvl>
    <w:lvl w:ilvl="5" w:tentative="0">
      <w:start w:val="1"/>
      <w:numFmt w:val="bullet"/>
      <w:lvlText w:val="▪"/>
      <w:lvlJc w:val="left"/>
      <w:pPr>
        <w:ind w:left="4894" w:hanging="360"/>
      </w:pPr>
      <w:rPr>
        <w:rFonts w:ascii="Noto Sans Symbols" w:hAnsi="Noto Sans Symbols" w:eastAsia="Noto Sans Symbols" w:cs="Noto Sans Symbols"/>
      </w:rPr>
    </w:lvl>
    <w:lvl w:ilvl="6" w:tentative="0">
      <w:start w:val="1"/>
      <w:numFmt w:val="bullet"/>
      <w:lvlText w:val="●"/>
      <w:lvlJc w:val="left"/>
      <w:pPr>
        <w:ind w:left="5614" w:hanging="360"/>
      </w:pPr>
      <w:rPr>
        <w:rFonts w:ascii="Noto Sans Symbols" w:hAnsi="Noto Sans Symbols" w:eastAsia="Noto Sans Symbols" w:cs="Noto Sans Symbols"/>
      </w:rPr>
    </w:lvl>
    <w:lvl w:ilvl="7" w:tentative="0">
      <w:start w:val="1"/>
      <w:numFmt w:val="bullet"/>
      <w:lvlText w:val="o"/>
      <w:lvlJc w:val="left"/>
      <w:pPr>
        <w:ind w:left="6334" w:hanging="360"/>
      </w:pPr>
      <w:rPr>
        <w:rFonts w:ascii="Courier New" w:hAnsi="Courier New" w:eastAsia="Courier New" w:cs="Courier New"/>
      </w:rPr>
    </w:lvl>
    <w:lvl w:ilvl="8" w:tentative="0">
      <w:start w:val="1"/>
      <w:numFmt w:val="bullet"/>
      <w:lvlText w:val="▪"/>
      <w:lvlJc w:val="left"/>
      <w:pPr>
        <w:ind w:left="7054" w:hanging="360"/>
      </w:pPr>
      <w:rPr>
        <w:rFonts w:ascii="Noto Sans Symbols" w:hAnsi="Noto Sans Symbols" w:eastAsia="Noto Sans Symbols" w:cs="Noto Sans Symbols"/>
      </w:rPr>
    </w:lvl>
  </w:abstractNum>
  <w:abstractNum w:abstractNumId="31">
    <w:nsid w:val="46F62DD3"/>
    <w:multiLevelType w:val="multilevel"/>
    <w:tmpl w:val="46F62DD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2">
    <w:nsid w:val="4BB198E3"/>
    <w:multiLevelType w:val="multilevel"/>
    <w:tmpl w:val="4BB198E3"/>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3">
    <w:nsid w:val="510DE699"/>
    <w:multiLevelType w:val="multilevel"/>
    <w:tmpl w:val="510DE699"/>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4">
    <w:nsid w:val="53B33835"/>
    <w:multiLevelType w:val="multilevel"/>
    <w:tmpl w:val="53B33835"/>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5">
    <w:nsid w:val="53E530B4"/>
    <w:multiLevelType w:val="multilevel"/>
    <w:tmpl w:val="53E530B4"/>
    <w:lvl w:ilvl="0" w:tentative="0">
      <w:start w:val="13"/>
      <w:numFmt w:val="decimal"/>
      <w:lvlText w:val="%1."/>
      <w:lvlJc w:val="left"/>
      <w:pPr>
        <w:ind w:left="525" w:hanging="525"/>
      </w:pPr>
      <w:rPr>
        <w:rFonts w:hint="default"/>
        <w:sz w:val="24"/>
      </w:rPr>
    </w:lvl>
    <w:lvl w:ilvl="1" w:tentative="0">
      <w:start w:val="1"/>
      <w:numFmt w:val="decimal"/>
      <w:lvlText w:val="%1.%2."/>
      <w:lvlJc w:val="left"/>
      <w:pPr>
        <w:ind w:left="525" w:hanging="525"/>
      </w:pPr>
      <w:rPr>
        <w:rFonts w:hint="default"/>
        <w:sz w:val="22"/>
        <w:szCs w:val="22"/>
      </w:rPr>
    </w:lvl>
    <w:lvl w:ilvl="2" w:tentative="0">
      <w:start w:val="1"/>
      <w:numFmt w:val="decimal"/>
      <w:lvlText w:val="%1.%2.%3."/>
      <w:lvlJc w:val="left"/>
      <w:pPr>
        <w:ind w:left="4690" w:hanging="720"/>
      </w:pPr>
      <w:rPr>
        <w:rFonts w:hint="default"/>
        <w:sz w:val="22"/>
        <w:szCs w:val="22"/>
      </w:rPr>
    </w:lvl>
    <w:lvl w:ilvl="3" w:tentative="0">
      <w:start w:val="1"/>
      <w:numFmt w:val="decimal"/>
      <w:lvlText w:val="%1.%2.%3.%4."/>
      <w:lvlJc w:val="left"/>
      <w:pPr>
        <w:ind w:left="720" w:hanging="720"/>
      </w:pPr>
      <w:rPr>
        <w:rFonts w:hint="default"/>
        <w:sz w:val="22"/>
        <w:szCs w:val="22"/>
      </w:rPr>
    </w:lvl>
    <w:lvl w:ilvl="4" w:tentative="0">
      <w:start w:val="1"/>
      <w:numFmt w:val="decimal"/>
      <w:lvlText w:val="%1.%2.%3.%4.%5."/>
      <w:lvlJc w:val="left"/>
      <w:pPr>
        <w:ind w:left="1080" w:hanging="1080"/>
      </w:pPr>
      <w:rPr>
        <w:rFonts w:hint="default"/>
        <w:sz w:val="24"/>
      </w:rPr>
    </w:lvl>
    <w:lvl w:ilvl="5" w:tentative="0">
      <w:start w:val="1"/>
      <w:numFmt w:val="decimal"/>
      <w:lvlText w:val="%1.%2.%3.%4.%5.%6."/>
      <w:lvlJc w:val="left"/>
      <w:pPr>
        <w:ind w:left="1080" w:hanging="1080"/>
      </w:pPr>
      <w:rPr>
        <w:rFonts w:hint="default"/>
        <w:sz w:val="24"/>
      </w:rPr>
    </w:lvl>
    <w:lvl w:ilvl="6" w:tentative="0">
      <w:start w:val="1"/>
      <w:numFmt w:val="decimal"/>
      <w:lvlText w:val="%1.%2.%3.%4.%5.%6.%7."/>
      <w:lvlJc w:val="left"/>
      <w:pPr>
        <w:ind w:left="1440" w:hanging="1440"/>
      </w:pPr>
      <w:rPr>
        <w:rFonts w:hint="default"/>
        <w:sz w:val="24"/>
      </w:rPr>
    </w:lvl>
    <w:lvl w:ilvl="7" w:tentative="0">
      <w:start w:val="1"/>
      <w:numFmt w:val="decimal"/>
      <w:lvlText w:val="%1.%2.%3.%4.%5.%6.%7.%8."/>
      <w:lvlJc w:val="left"/>
      <w:pPr>
        <w:ind w:left="1440" w:hanging="1440"/>
      </w:pPr>
      <w:rPr>
        <w:rFonts w:hint="default"/>
        <w:sz w:val="24"/>
      </w:rPr>
    </w:lvl>
    <w:lvl w:ilvl="8" w:tentative="0">
      <w:start w:val="1"/>
      <w:numFmt w:val="decimal"/>
      <w:lvlText w:val="%1.%2.%3.%4.%5.%6.%7.%8.%9."/>
      <w:lvlJc w:val="left"/>
      <w:pPr>
        <w:ind w:left="1800" w:hanging="1800"/>
      </w:pPr>
      <w:rPr>
        <w:rFonts w:hint="default"/>
        <w:sz w:val="24"/>
      </w:rPr>
    </w:lvl>
  </w:abstractNum>
  <w:abstractNum w:abstractNumId="36">
    <w:nsid w:val="556F431D"/>
    <w:multiLevelType w:val="multilevel"/>
    <w:tmpl w:val="556F431D"/>
    <w:lvl w:ilvl="0" w:tentative="0">
      <w:start w:val="1"/>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val="0"/>
        <w:bCs/>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37">
    <w:nsid w:val="584E7C53"/>
    <w:multiLevelType w:val="multilevel"/>
    <w:tmpl w:val="584E7C53"/>
    <w:lvl w:ilvl="0" w:tentative="0">
      <w:start w:val="9"/>
      <w:numFmt w:val="decimal"/>
      <w:lvlText w:val="%1."/>
      <w:lvlJc w:val="left"/>
      <w:pPr>
        <w:ind w:left="540" w:hanging="540"/>
      </w:pPr>
      <w:rPr>
        <w:rFonts w:hint="default"/>
      </w:rPr>
    </w:lvl>
    <w:lvl w:ilvl="1" w:tentative="0">
      <w:start w:val="8"/>
      <w:numFmt w:val="decimal"/>
      <w:lvlText w:val="%1.%2."/>
      <w:lvlJc w:val="left"/>
      <w:pPr>
        <w:ind w:left="540" w:hanging="540"/>
      </w:pPr>
      <w:rPr>
        <w:rFonts w:hint="default"/>
      </w:rPr>
    </w:lvl>
    <w:lvl w:ilvl="2" w:tentative="0">
      <w:start w:val="1"/>
      <w:numFmt w:val="decimal"/>
      <w:lvlText w:val="%1.%2.%3."/>
      <w:lvlJc w:val="left"/>
      <w:pPr>
        <w:ind w:left="720" w:hanging="720"/>
      </w:pPr>
      <w:rPr>
        <w:rFonts w:hint="default"/>
        <w:b/>
        <w:bCs/>
        <w:color w:val="auto"/>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8">
    <w:nsid w:val="5A566EAD"/>
    <w:multiLevelType w:val="multilevel"/>
    <w:tmpl w:val="5A566E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9">
    <w:nsid w:val="5BE367E6"/>
    <w:multiLevelType w:val="multilevel"/>
    <w:tmpl w:val="5BE367E6"/>
    <w:lvl w:ilvl="0" w:tentative="0">
      <w:start w:val="19"/>
      <w:numFmt w:val="decimal"/>
      <w:lvlText w:val="%1."/>
      <w:lvlJc w:val="left"/>
      <w:pPr>
        <w:ind w:left="480" w:hanging="480"/>
      </w:pPr>
      <w:rPr>
        <w:rFonts w:hint="default"/>
      </w:rPr>
    </w:lvl>
    <w:lvl w:ilvl="1" w:tentative="0">
      <w:start w:val="1"/>
      <w:numFmt w:val="decimal"/>
      <w:lvlText w:val="%1.%2."/>
      <w:lvlJc w:val="left"/>
      <w:pPr>
        <w:ind w:left="1080" w:hanging="480"/>
      </w:pPr>
      <w:rPr>
        <w:rFonts w:hint="default"/>
        <w:b w:val="0"/>
        <w:bCs w:val="0"/>
      </w:rPr>
    </w:lvl>
    <w:lvl w:ilvl="2" w:tentative="0">
      <w:start w:val="1"/>
      <w:numFmt w:val="decimal"/>
      <w:lvlText w:val="%1.%2.%3."/>
      <w:lvlJc w:val="left"/>
      <w:pPr>
        <w:ind w:left="1920" w:hanging="720"/>
      </w:pPr>
      <w:rPr>
        <w:rFonts w:hint="default"/>
      </w:rPr>
    </w:lvl>
    <w:lvl w:ilvl="3" w:tentative="0">
      <w:start w:val="1"/>
      <w:numFmt w:val="decimal"/>
      <w:lvlText w:val="%1.%2.%3.%4."/>
      <w:lvlJc w:val="left"/>
      <w:pPr>
        <w:ind w:left="2520" w:hanging="720"/>
      </w:pPr>
      <w:rPr>
        <w:rFonts w:hint="default"/>
      </w:rPr>
    </w:lvl>
    <w:lvl w:ilvl="4" w:tentative="0">
      <w:start w:val="1"/>
      <w:numFmt w:val="decimal"/>
      <w:lvlText w:val="%1.%2.%3.%4.%5."/>
      <w:lvlJc w:val="left"/>
      <w:pPr>
        <w:ind w:left="3480" w:hanging="1080"/>
      </w:pPr>
      <w:rPr>
        <w:rFonts w:hint="default"/>
      </w:rPr>
    </w:lvl>
    <w:lvl w:ilvl="5" w:tentative="0">
      <w:start w:val="1"/>
      <w:numFmt w:val="decimal"/>
      <w:lvlText w:val="%1.%2.%3.%4.%5.%6."/>
      <w:lvlJc w:val="left"/>
      <w:pPr>
        <w:ind w:left="4080" w:hanging="1080"/>
      </w:pPr>
      <w:rPr>
        <w:rFonts w:hint="default"/>
      </w:rPr>
    </w:lvl>
    <w:lvl w:ilvl="6" w:tentative="0">
      <w:start w:val="1"/>
      <w:numFmt w:val="decimal"/>
      <w:lvlText w:val="%1.%2.%3.%4.%5.%6.%7."/>
      <w:lvlJc w:val="left"/>
      <w:pPr>
        <w:ind w:left="5040" w:hanging="1440"/>
      </w:pPr>
      <w:rPr>
        <w:rFonts w:hint="default"/>
      </w:rPr>
    </w:lvl>
    <w:lvl w:ilvl="7" w:tentative="0">
      <w:start w:val="1"/>
      <w:numFmt w:val="decimal"/>
      <w:lvlText w:val="%1.%2.%3.%4.%5.%6.%7.%8."/>
      <w:lvlJc w:val="left"/>
      <w:pPr>
        <w:ind w:left="5640" w:hanging="1440"/>
      </w:pPr>
      <w:rPr>
        <w:rFonts w:hint="default"/>
      </w:rPr>
    </w:lvl>
    <w:lvl w:ilvl="8" w:tentative="0">
      <w:start w:val="1"/>
      <w:numFmt w:val="decimal"/>
      <w:lvlText w:val="%1.%2.%3.%4.%5.%6.%7.%8.%9."/>
      <w:lvlJc w:val="left"/>
      <w:pPr>
        <w:ind w:left="6600" w:hanging="1800"/>
      </w:pPr>
      <w:rPr>
        <w:rFonts w:hint="default"/>
      </w:rPr>
    </w:lvl>
  </w:abstractNum>
  <w:abstractNum w:abstractNumId="40">
    <w:nsid w:val="5C586CDE"/>
    <w:multiLevelType w:val="multilevel"/>
    <w:tmpl w:val="5C586CDE"/>
    <w:lvl w:ilvl="0" w:tentative="0">
      <w:start w:val="1"/>
      <w:numFmt w:val="decimal"/>
      <w:lvlText w:val="%1."/>
      <w:lvlJc w:val="left"/>
      <w:pPr>
        <w:ind w:left="720" w:hanging="360"/>
      </w:pPr>
      <w:rPr>
        <w:rFonts w:hint="default"/>
        <w:b/>
        <w:bCs/>
        <w:color w:val="auto"/>
      </w:rPr>
    </w:lvl>
    <w:lvl w:ilvl="1" w:tentative="0">
      <w:start w:val="1"/>
      <w:numFmt w:val="decimal"/>
      <w:pStyle w:val="24"/>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41">
    <w:nsid w:val="5DDC063B"/>
    <w:multiLevelType w:val="multilevel"/>
    <w:tmpl w:val="5DDC063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2">
    <w:nsid w:val="6ED24408"/>
    <w:multiLevelType w:val="multilevel"/>
    <w:tmpl w:val="6ED24408"/>
    <w:lvl w:ilvl="0" w:tentative="0">
      <w:start w:val="9"/>
      <w:numFmt w:val="decimal"/>
      <w:lvlText w:val="%1."/>
      <w:lvlJc w:val="left"/>
      <w:pPr>
        <w:ind w:left="540" w:hanging="540"/>
      </w:pPr>
      <w:rPr>
        <w:rFonts w:hint="default"/>
        <w:b/>
      </w:rPr>
    </w:lvl>
    <w:lvl w:ilvl="1" w:tentative="0">
      <w:start w:val="5"/>
      <w:numFmt w:val="decimal"/>
      <w:lvlText w:val="%1.%2."/>
      <w:lvlJc w:val="left"/>
      <w:pPr>
        <w:ind w:left="540" w:hanging="540"/>
      </w:pPr>
      <w:rPr>
        <w:rFonts w:hint="default"/>
        <w:b/>
      </w:rPr>
    </w:lvl>
    <w:lvl w:ilvl="2" w:tentative="0">
      <w:start w:val="1"/>
      <w:numFmt w:val="decimal"/>
      <w:lvlText w:val="%1.%2.%3."/>
      <w:lvlJc w:val="left"/>
      <w:pPr>
        <w:ind w:left="720" w:hanging="720"/>
      </w:pPr>
      <w:rPr>
        <w:rFonts w:hint="default"/>
        <w:b w:val="0"/>
        <w:bCs/>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abstractNum w:abstractNumId="43">
    <w:nsid w:val="6F9C1457"/>
    <w:multiLevelType w:val="multilevel"/>
    <w:tmpl w:val="6F9C1457"/>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4">
    <w:nsid w:val="75DD7D7C"/>
    <w:multiLevelType w:val="multilevel"/>
    <w:tmpl w:val="75DD7D7C"/>
    <w:lvl w:ilvl="0" w:tentative="0">
      <w:start w:val="3"/>
      <w:numFmt w:val="decimal"/>
      <w:lvlText w:val="%1."/>
      <w:lvlJc w:val="left"/>
      <w:pPr>
        <w:ind w:left="720" w:hanging="360"/>
      </w:pPr>
      <w:rPr>
        <w:rFonts w:hint="default"/>
      </w:rPr>
    </w:lvl>
    <w:lvl w:ilvl="1" w:tentative="0">
      <w:start w:val="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45">
    <w:nsid w:val="77B112B8"/>
    <w:multiLevelType w:val="multilevel"/>
    <w:tmpl w:val="77B112B8"/>
    <w:lvl w:ilvl="0" w:tentative="0">
      <w:start w:val="9"/>
      <w:numFmt w:val="decimal"/>
      <w:lvlText w:val="%1."/>
      <w:lvlJc w:val="left"/>
      <w:pPr>
        <w:ind w:left="540" w:hanging="540"/>
      </w:pPr>
      <w:rPr>
        <w:rFonts w:hint="default"/>
      </w:rPr>
    </w:lvl>
    <w:lvl w:ilvl="1" w:tentative="0">
      <w:start w:val="9"/>
      <w:numFmt w:val="decimal"/>
      <w:lvlText w:val="%1.%2."/>
      <w:lvlJc w:val="left"/>
      <w:pPr>
        <w:ind w:left="540" w:hanging="54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6">
    <w:nsid w:val="77EB47D1"/>
    <w:multiLevelType w:val="multilevel"/>
    <w:tmpl w:val="77EB47D1"/>
    <w:lvl w:ilvl="0" w:tentative="0">
      <w:start w:val="1"/>
      <w:numFmt w:val="decimal"/>
      <w:lvlText w:val="%1."/>
      <w:lvlJc w:val="left"/>
      <w:pPr>
        <w:ind w:left="810" w:hanging="708"/>
      </w:pPr>
      <w:rPr>
        <w:rFonts w:hint="default" w:ascii="Calibri" w:hAnsi="Calibri" w:eastAsia="Arial" w:cs="Calibri"/>
        <w:b/>
        <w:bCs/>
        <w:spacing w:val="-27"/>
        <w:w w:val="99"/>
        <w:sz w:val="20"/>
        <w:szCs w:val="20"/>
      </w:rPr>
    </w:lvl>
    <w:lvl w:ilvl="1" w:tentative="0">
      <w:start w:val="0"/>
      <w:numFmt w:val="bullet"/>
      <w:lvlText w:val="•"/>
      <w:lvlJc w:val="left"/>
      <w:pPr>
        <w:ind w:left="1609" w:hanging="708"/>
      </w:pPr>
      <w:rPr>
        <w:rFonts w:hint="default"/>
      </w:rPr>
    </w:lvl>
    <w:lvl w:ilvl="2" w:tentative="0">
      <w:start w:val="0"/>
      <w:numFmt w:val="bullet"/>
      <w:lvlText w:val="•"/>
      <w:lvlJc w:val="left"/>
      <w:pPr>
        <w:ind w:left="2399" w:hanging="708"/>
      </w:pPr>
      <w:rPr>
        <w:rFonts w:hint="default"/>
      </w:rPr>
    </w:lvl>
    <w:lvl w:ilvl="3" w:tentative="0">
      <w:start w:val="0"/>
      <w:numFmt w:val="bullet"/>
      <w:lvlText w:val="•"/>
      <w:lvlJc w:val="left"/>
      <w:pPr>
        <w:ind w:left="3189" w:hanging="708"/>
      </w:pPr>
      <w:rPr>
        <w:rFonts w:hint="default"/>
      </w:rPr>
    </w:lvl>
    <w:lvl w:ilvl="4" w:tentative="0">
      <w:start w:val="0"/>
      <w:numFmt w:val="bullet"/>
      <w:lvlText w:val="•"/>
      <w:lvlJc w:val="left"/>
      <w:pPr>
        <w:ind w:left="3979" w:hanging="708"/>
      </w:pPr>
      <w:rPr>
        <w:rFonts w:hint="default"/>
      </w:rPr>
    </w:lvl>
    <w:lvl w:ilvl="5" w:tentative="0">
      <w:start w:val="0"/>
      <w:numFmt w:val="bullet"/>
      <w:lvlText w:val="•"/>
      <w:lvlJc w:val="left"/>
      <w:pPr>
        <w:ind w:left="4769" w:hanging="708"/>
      </w:pPr>
      <w:rPr>
        <w:rFonts w:hint="default"/>
      </w:rPr>
    </w:lvl>
    <w:lvl w:ilvl="6" w:tentative="0">
      <w:start w:val="0"/>
      <w:numFmt w:val="bullet"/>
      <w:lvlText w:val="•"/>
      <w:lvlJc w:val="left"/>
      <w:pPr>
        <w:ind w:left="5559" w:hanging="708"/>
      </w:pPr>
      <w:rPr>
        <w:rFonts w:hint="default"/>
      </w:rPr>
    </w:lvl>
    <w:lvl w:ilvl="7" w:tentative="0">
      <w:start w:val="0"/>
      <w:numFmt w:val="bullet"/>
      <w:lvlText w:val="•"/>
      <w:lvlJc w:val="left"/>
      <w:pPr>
        <w:ind w:left="6349" w:hanging="708"/>
      </w:pPr>
      <w:rPr>
        <w:rFonts w:hint="default"/>
      </w:rPr>
    </w:lvl>
    <w:lvl w:ilvl="8" w:tentative="0">
      <w:start w:val="0"/>
      <w:numFmt w:val="bullet"/>
      <w:lvlText w:val="•"/>
      <w:lvlJc w:val="left"/>
      <w:pPr>
        <w:ind w:left="7139" w:hanging="708"/>
      </w:pPr>
      <w:rPr>
        <w:rFonts w:hint="default"/>
      </w:rPr>
    </w:lvl>
  </w:abstractNum>
  <w:abstractNum w:abstractNumId="47">
    <w:nsid w:val="7870FC5B"/>
    <w:multiLevelType w:val="multilevel"/>
    <w:tmpl w:val="7870FC5B"/>
    <w:lvl w:ilvl="0" w:tentative="0">
      <w:start w:val="1"/>
      <w:numFmt w:val="ideographDigit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8">
    <w:nsid w:val="7FE24823"/>
    <w:multiLevelType w:val="multilevel"/>
    <w:tmpl w:val="7FE24823"/>
    <w:lvl w:ilvl="0" w:tentative="0">
      <w:start w:val="5"/>
      <w:numFmt w:val="decimal"/>
      <w:lvlText w:val="%1."/>
      <w:lvlJc w:val="left"/>
      <w:pPr>
        <w:ind w:left="495" w:hanging="495"/>
      </w:pPr>
      <w:rPr>
        <w:rFonts w:hint="default"/>
      </w:rPr>
    </w:lvl>
    <w:lvl w:ilvl="1" w:tentative="0">
      <w:start w:val="5"/>
      <w:numFmt w:val="decimal"/>
      <w:lvlText w:val="%1.%2."/>
      <w:lvlJc w:val="left"/>
      <w:pPr>
        <w:ind w:left="495" w:hanging="49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4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8"/>
  </w:num>
  <w:num w:numId="5">
    <w:abstractNumId w:val="36"/>
  </w:num>
  <w:num w:numId="6">
    <w:abstractNumId w:val="1"/>
  </w:num>
  <w:num w:numId="7">
    <w:abstractNumId w:val="44"/>
  </w:num>
  <w:num w:numId="8">
    <w:abstractNumId w:val="7"/>
  </w:num>
  <w:num w:numId="9">
    <w:abstractNumId w:val="48"/>
  </w:num>
  <w:num w:numId="10">
    <w:abstractNumId w:val="8"/>
  </w:num>
  <w:num w:numId="11">
    <w:abstractNumId w:val="2"/>
  </w:num>
  <w:num w:numId="12">
    <w:abstractNumId w:val="20"/>
  </w:num>
  <w:num w:numId="13">
    <w:abstractNumId w:val="11"/>
  </w:num>
  <w:num w:numId="14">
    <w:abstractNumId w:val="0"/>
  </w:num>
  <w:num w:numId="15">
    <w:abstractNumId w:val="42"/>
  </w:num>
  <w:num w:numId="16">
    <w:abstractNumId w:val="26"/>
  </w:num>
  <w:num w:numId="17">
    <w:abstractNumId w:val="32"/>
  </w:num>
  <w:num w:numId="18">
    <w:abstractNumId w:val="47"/>
  </w:num>
  <w:num w:numId="19">
    <w:abstractNumId w:val="37"/>
  </w:num>
  <w:num w:numId="20">
    <w:abstractNumId w:val="31"/>
  </w:num>
  <w:num w:numId="21">
    <w:abstractNumId w:val="45"/>
  </w:num>
  <w:num w:numId="22">
    <w:abstractNumId w:val="34"/>
  </w:num>
  <w:num w:numId="23">
    <w:abstractNumId w:val="19"/>
  </w:num>
  <w:num w:numId="24">
    <w:abstractNumId w:val="28"/>
  </w:num>
  <w:num w:numId="25">
    <w:abstractNumId w:val="10"/>
  </w:num>
  <w:num w:numId="26">
    <w:abstractNumId w:val="23"/>
  </w:num>
  <w:num w:numId="27">
    <w:abstractNumId w:val="22"/>
  </w:num>
  <w:num w:numId="28">
    <w:abstractNumId w:val="5"/>
  </w:num>
  <w:num w:numId="29">
    <w:abstractNumId w:val="35"/>
  </w:num>
  <w:num w:numId="30">
    <w:abstractNumId w:val="17"/>
  </w:num>
  <w:num w:numId="31">
    <w:abstractNumId w:val="3"/>
  </w:num>
  <w:num w:numId="32">
    <w:abstractNumId w:val="4"/>
  </w:num>
  <w:num w:numId="33">
    <w:abstractNumId w:val="13"/>
  </w:num>
  <w:num w:numId="34">
    <w:abstractNumId w:val="9"/>
  </w:num>
  <w:num w:numId="35">
    <w:abstractNumId w:val="6"/>
  </w:num>
  <w:num w:numId="36">
    <w:abstractNumId w:val="21"/>
  </w:num>
  <w:num w:numId="37">
    <w:abstractNumId w:val="30"/>
  </w:num>
  <w:num w:numId="38">
    <w:abstractNumId w:val="27"/>
  </w:num>
  <w:num w:numId="39">
    <w:abstractNumId w:val="18"/>
  </w:num>
  <w:num w:numId="40">
    <w:abstractNumId w:val="16"/>
  </w:num>
  <w:num w:numId="41">
    <w:abstractNumId w:val="41"/>
  </w:num>
  <w:num w:numId="42">
    <w:abstractNumId w:val="43"/>
  </w:num>
  <w:num w:numId="43">
    <w:abstractNumId w:val="33"/>
  </w:num>
  <w:num w:numId="44">
    <w:abstractNumId w:val="12"/>
  </w:num>
  <w:num w:numId="45">
    <w:abstractNumId w:val="29"/>
  </w:num>
  <w:num w:numId="46">
    <w:abstractNumId w:val="39"/>
  </w:num>
  <w:num w:numId="47">
    <w:abstractNumId w:val="46"/>
  </w:num>
  <w:num w:numId="48">
    <w:abstractNumId w:val="2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3E6"/>
    <w:rsid w:val="00006041"/>
    <w:rsid w:val="00010CF1"/>
    <w:rsid w:val="00016402"/>
    <w:rsid w:val="00023BE8"/>
    <w:rsid w:val="000442A0"/>
    <w:rsid w:val="000565D4"/>
    <w:rsid w:val="00064538"/>
    <w:rsid w:val="00072AF4"/>
    <w:rsid w:val="00072C09"/>
    <w:rsid w:val="00083417"/>
    <w:rsid w:val="000A22F6"/>
    <w:rsid w:val="000B306B"/>
    <w:rsid w:val="000C59E6"/>
    <w:rsid w:val="000D1E38"/>
    <w:rsid w:val="000D657B"/>
    <w:rsid w:val="00115D8C"/>
    <w:rsid w:val="00151869"/>
    <w:rsid w:val="001703E8"/>
    <w:rsid w:val="00172177"/>
    <w:rsid w:val="00181BED"/>
    <w:rsid w:val="001B7E5D"/>
    <w:rsid w:val="001C23E6"/>
    <w:rsid w:val="001C694B"/>
    <w:rsid w:val="001F2D31"/>
    <w:rsid w:val="00214536"/>
    <w:rsid w:val="002374BE"/>
    <w:rsid w:val="002452C9"/>
    <w:rsid w:val="0025188F"/>
    <w:rsid w:val="00257F5D"/>
    <w:rsid w:val="00262AFA"/>
    <w:rsid w:val="00270BC9"/>
    <w:rsid w:val="00275069"/>
    <w:rsid w:val="00283377"/>
    <w:rsid w:val="00295C1A"/>
    <w:rsid w:val="002977C5"/>
    <w:rsid w:val="002C4F7C"/>
    <w:rsid w:val="002C50B4"/>
    <w:rsid w:val="002D1C69"/>
    <w:rsid w:val="002D235E"/>
    <w:rsid w:val="002D4320"/>
    <w:rsid w:val="002D47BC"/>
    <w:rsid w:val="00300D53"/>
    <w:rsid w:val="0030369A"/>
    <w:rsid w:val="00303BB8"/>
    <w:rsid w:val="003105BE"/>
    <w:rsid w:val="0031376F"/>
    <w:rsid w:val="00321E73"/>
    <w:rsid w:val="00333511"/>
    <w:rsid w:val="00335274"/>
    <w:rsid w:val="00347625"/>
    <w:rsid w:val="003529B4"/>
    <w:rsid w:val="00356FBE"/>
    <w:rsid w:val="003656C6"/>
    <w:rsid w:val="00374E5C"/>
    <w:rsid w:val="003771A0"/>
    <w:rsid w:val="00383096"/>
    <w:rsid w:val="00385828"/>
    <w:rsid w:val="00386F66"/>
    <w:rsid w:val="00393BDD"/>
    <w:rsid w:val="00395905"/>
    <w:rsid w:val="00397A71"/>
    <w:rsid w:val="003A535D"/>
    <w:rsid w:val="003B1201"/>
    <w:rsid w:val="003B2B42"/>
    <w:rsid w:val="003C0496"/>
    <w:rsid w:val="003C1F49"/>
    <w:rsid w:val="003C4D46"/>
    <w:rsid w:val="003D0C45"/>
    <w:rsid w:val="003F5E54"/>
    <w:rsid w:val="00412F49"/>
    <w:rsid w:val="00414A4D"/>
    <w:rsid w:val="00414F21"/>
    <w:rsid w:val="00431C5D"/>
    <w:rsid w:val="004478CB"/>
    <w:rsid w:val="00454A43"/>
    <w:rsid w:val="00456F75"/>
    <w:rsid w:val="00462722"/>
    <w:rsid w:val="00466595"/>
    <w:rsid w:val="00473DC1"/>
    <w:rsid w:val="004740B2"/>
    <w:rsid w:val="004A750C"/>
    <w:rsid w:val="004C695A"/>
    <w:rsid w:val="004D42AB"/>
    <w:rsid w:val="004E0F2B"/>
    <w:rsid w:val="004E1140"/>
    <w:rsid w:val="004F0D55"/>
    <w:rsid w:val="004F1EE6"/>
    <w:rsid w:val="00502BF8"/>
    <w:rsid w:val="005058EC"/>
    <w:rsid w:val="00510E78"/>
    <w:rsid w:val="0055664E"/>
    <w:rsid w:val="00565F8B"/>
    <w:rsid w:val="00595F69"/>
    <w:rsid w:val="005B2CE5"/>
    <w:rsid w:val="005B6A58"/>
    <w:rsid w:val="005D762B"/>
    <w:rsid w:val="005E0888"/>
    <w:rsid w:val="005E34DB"/>
    <w:rsid w:val="005E5827"/>
    <w:rsid w:val="005F6B9B"/>
    <w:rsid w:val="00613B1C"/>
    <w:rsid w:val="0062347B"/>
    <w:rsid w:val="0062666B"/>
    <w:rsid w:val="006668D1"/>
    <w:rsid w:val="006719DA"/>
    <w:rsid w:val="00681212"/>
    <w:rsid w:val="00690EAA"/>
    <w:rsid w:val="00696879"/>
    <w:rsid w:val="00697E5E"/>
    <w:rsid w:val="006A6358"/>
    <w:rsid w:val="006C6E86"/>
    <w:rsid w:val="006D2BF5"/>
    <w:rsid w:val="006F75EB"/>
    <w:rsid w:val="0070310B"/>
    <w:rsid w:val="0072263C"/>
    <w:rsid w:val="0072692A"/>
    <w:rsid w:val="00731DEA"/>
    <w:rsid w:val="00741C66"/>
    <w:rsid w:val="007444DE"/>
    <w:rsid w:val="007605A5"/>
    <w:rsid w:val="00774A9B"/>
    <w:rsid w:val="00781A70"/>
    <w:rsid w:val="007838C8"/>
    <w:rsid w:val="00783C2F"/>
    <w:rsid w:val="007840BE"/>
    <w:rsid w:val="00786ED7"/>
    <w:rsid w:val="00790451"/>
    <w:rsid w:val="00790A0E"/>
    <w:rsid w:val="00796411"/>
    <w:rsid w:val="007A7B83"/>
    <w:rsid w:val="007B5285"/>
    <w:rsid w:val="007B75AB"/>
    <w:rsid w:val="007E3E61"/>
    <w:rsid w:val="007F4CEF"/>
    <w:rsid w:val="008354EE"/>
    <w:rsid w:val="0086189A"/>
    <w:rsid w:val="00871547"/>
    <w:rsid w:val="00895E52"/>
    <w:rsid w:val="008A4C57"/>
    <w:rsid w:val="008C6184"/>
    <w:rsid w:val="008D640B"/>
    <w:rsid w:val="00906285"/>
    <w:rsid w:val="00910697"/>
    <w:rsid w:val="009560C6"/>
    <w:rsid w:val="00973ECB"/>
    <w:rsid w:val="009938D5"/>
    <w:rsid w:val="00997CE9"/>
    <w:rsid w:val="00997E23"/>
    <w:rsid w:val="009A2664"/>
    <w:rsid w:val="009A3FC9"/>
    <w:rsid w:val="009A4D5B"/>
    <w:rsid w:val="009B5EDF"/>
    <w:rsid w:val="009D618F"/>
    <w:rsid w:val="009D63CC"/>
    <w:rsid w:val="009D6BC0"/>
    <w:rsid w:val="009F38AC"/>
    <w:rsid w:val="009F4421"/>
    <w:rsid w:val="00A06DDF"/>
    <w:rsid w:val="00A104CF"/>
    <w:rsid w:val="00A16371"/>
    <w:rsid w:val="00A22FC8"/>
    <w:rsid w:val="00A23874"/>
    <w:rsid w:val="00A31FDA"/>
    <w:rsid w:val="00A43548"/>
    <w:rsid w:val="00AA12A1"/>
    <w:rsid w:val="00AC3E46"/>
    <w:rsid w:val="00AC41AC"/>
    <w:rsid w:val="00AD1244"/>
    <w:rsid w:val="00AD7BFE"/>
    <w:rsid w:val="00B03D07"/>
    <w:rsid w:val="00B2480F"/>
    <w:rsid w:val="00B31993"/>
    <w:rsid w:val="00B41EFF"/>
    <w:rsid w:val="00B6604C"/>
    <w:rsid w:val="00B678C8"/>
    <w:rsid w:val="00B72608"/>
    <w:rsid w:val="00B7499E"/>
    <w:rsid w:val="00B75511"/>
    <w:rsid w:val="00B77545"/>
    <w:rsid w:val="00BC3361"/>
    <w:rsid w:val="00BD2589"/>
    <w:rsid w:val="00BE0056"/>
    <w:rsid w:val="00C01817"/>
    <w:rsid w:val="00C04BD4"/>
    <w:rsid w:val="00C303D7"/>
    <w:rsid w:val="00C367C3"/>
    <w:rsid w:val="00C45B74"/>
    <w:rsid w:val="00C626FD"/>
    <w:rsid w:val="00C721B6"/>
    <w:rsid w:val="00C83702"/>
    <w:rsid w:val="00C85026"/>
    <w:rsid w:val="00C9407C"/>
    <w:rsid w:val="00CA0C99"/>
    <w:rsid w:val="00CA3C72"/>
    <w:rsid w:val="00CA5E94"/>
    <w:rsid w:val="00CA6C45"/>
    <w:rsid w:val="00CC5A6D"/>
    <w:rsid w:val="00CD339F"/>
    <w:rsid w:val="00CF6BC8"/>
    <w:rsid w:val="00D05276"/>
    <w:rsid w:val="00D0773D"/>
    <w:rsid w:val="00D156AF"/>
    <w:rsid w:val="00D17D18"/>
    <w:rsid w:val="00D24427"/>
    <w:rsid w:val="00D32DF0"/>
    <w:rsid w:val="00D5708D"/>
    <w:rsid w:val="00D81859"/>
    <w:rsid w:val="00D8279C"/>
    <w:rsid w:val="00D839B6"/>
    <w:rsid w:val="00D84905"/>
    <w:rsid w:val="00D85C19"/>
    <w:rsid w:val="00D9458D"/>
    <w:rsid w:val="00DB258F"/>
    <w:rsid w:val="00DC2384"/>
    <w:rsid w:val="00DC7175"/>
    <w:rsid w:val="00DD5088"/>
    <w:rsid w:val="00DF005A"/>
    <w:rsid w:val="00DF7FA3"/>
    <w:rsid w:val="00E4243D"/>
    <w:rsid w:val="00E4615F"/>
    <w:rsid w:val="00E57BC2"/>
    <w:rsid w:val="00E600B0"/>
    <w:rsid w:val="00E80BB9"/>
    <w:rsid w:val="00E839CE"/>
    <w:rsid w:val="00EA15CF"/>
    <w:rsid w:val="00EB2425"/>
    <w:rsid w:val="00EB592A"/>
    <w:rsid w:val="00EC08A5"/>
    <w:rsid w:val="00EE301A"/>
    <w:rsid w:val="00F03F96"/>
    <w:rsid w:val="00F135EB"/>
    <w:rsid w:val="00F25452"/>
    <w:rsid w:val="00F3020E"/>
    <w:rsid w:val="00F32FB1"/>
    <w:rsid w:val="00F460B1"/>
    <w:rsid w:val="00F5045E"/>
    <w:rsid w:val="00F50CDD"/>
    <w:rsid w:val="00F6234B"/>
    <w:rsid w:val="00F81299"/>
    <w:rsid w:val="00F833C8"/>
    <w:rsid w:val="00F836DF"/>
    <w:rsid w:val="00F845B1"/>
    <w:rsid w:val="00F85B91"/>
    <w:rsid w:val="00F87B4D"/>
    <w:rsid w:val="00F92CFE"/>
    <w:rsid w:val="00FA208D"/>
    <w:rsid w:val="00FA7AD2"/>
    <w:rsid w:val="00FB52A3"/>
    <w:rsid w:val="00FB5CDA"/>
    <w:rsid w:val="00FC1AFB"/>
    <w:rsid w:val="00FD78C2"/>
    <w:rsid w:val="00FE1399"/>
    <w:rsid w:val="00FE5A22"/>
    <w:rsid w:val="00FE7C65"/>
    <w:rsid w:val="50BF18E8"/>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kern w:val="0"/>
      <w:sz w:val="24"/>
      <w:szCs w:val="20"/>
      <w:lang w:val="pt-BR" w:eastAsia="pt-BR" w:bidi="ar-SA"/>
      <w14:ligatures w14:val="none"/>
    </w:rPr>
  </w:style>
  <w:style w:type="paragraph" w:styleId="2">
    <w:name w:val="heading 1"/>
    <w:basedOn w:val="1"/>
    <w:next w:val="1"/>
    <w:link w:val="18"/>
    <w:qFormat/>
    <w:uiPriority w:val="9"/>
    <w:pPr>
      <w:keepNext/>
      <w:keepLines/>
      <w:spacing w:before="240" w:line="312" w:lineRule="auto"/>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annotation reference"/>
    <w:basedOn w:val="3"/>
    <w:semiHidden/>
    <w:unhideWhenUsed/>
    <w:uiPriority w:val="0"/>
    <w:rPr>
      <w:sz w:val="16"/>
      <w:szCs w:val="16"/>
    </w:rPr>
  </w:style>
  <w:style w:type="character" w:styleId="6">
    <w:name w:val="Hyperlink"/>
    <w:unhideWhenUsed/>
    <w:uiPriority w:val="0"/>
    <w:rPr>
      <w:color w:val="000080"/>
      <w:u w:val="single"/>
    </w:rPr>
  </w:style>
  <w:style w:type="paragraph" w:styleId="7">
    <w:name w:val="toc 2"/>
    <w:basedOn w:val="1"/>
    <w:next w:val="1"/>
    <w:autoRedefine/>
    <w:unhideWhenUsed/>
    <w:qFormat/>
    <w:uiPriority w:val="39"/>
    <w:pPr>
      <w:spacing w:after="100" w:line="259" w:lineRule="auto"/>
      <w:ind w:left="220"/>
    </w:pPr>
    <w:rPr>
      <w:rFonts w:asciiTheme="minorHAnsi" w:hAnsiTheme="minorHAnsi" w:eastAsiaTheme="minorEastAsia"/>
      <w:sz w:val="22"/>
      <w:szCs w:val="22"/>
    </w:rPr>
  </w:style>
  <w:style w:type="paragraph" w:styleId="8">
    <w:name w:val="annotation text"/>
    <w:basedOn w:val="1"/>
    <w:link w:val="22"/>
    <w:unhideWhenUsed/>
    <w:qFormat/>
    <w:uiPriority w:val="99"/>
    <w:rPr>
      <w:sz w:val="20"/>
    </w:rPr>
  </w:style>
  <w:style w:type="paragraph" w:styleId="9">
    <w:name w:val="header"/>
    <w:basedOn w:val="1"/>
    <w:link w:val="16"/>
    <w:unhideWhenUsed/>
    <w:qFormat/>
    <w:uiPriority w:val="0"/>
    <w:pPr>
      <w:tabs>
        <w:tab w:val="center" w:pos="4252"/>
        <w:tab w:val="right" w:pos="8504"/>
      </w:tabs>
    </w:pPr>
  </w:style>
  <w:style w:type="paragraph" w:styleId="10">
    <w:name w:val="annotation subject"/>
    <w:basedOn w:val="8"/>
    <w:next w:val="8"/>
    <w:link w:val="23"/>
    <w:semiHidden/>
    <w:unhideWhenUsed/>
    <w:qFormat/>
    <w:uiPriority w:val="99"/>
    <w:rPr>
      <w:b/>
      <w:bCs/>
    </w:rPr>
  </w:style>
  <w:style w:type="paragraph" w:styleId="11">
    <w:name w:val="footer"/>
    <w:basedOn w:val="1"/>
    <w:link w:val="17"/>
    <w:unhideWhenUsed/>
    <w:qFormat/>
    <w:uiPriority w:val="99"/>
    <w:pPr>
      <w:tabs>
        <w:tab w:val="center" w:pos="4252"/>
        <w:tab w:val="right" w:pos="8504"/>
      </w:tabs>
    </w:pPr>
  </w:style>
  <w:style w:type="paragraph" w:styleId="12">
    <w:name w:val="toc 3"/>
    <w:basedOn w:val="1"/>
    <w:next w:val="1"/>
    <w:autoRedefine/>
    <w:unhideWhenUsed/>
    <w:qFormat/>
    <w:uiPriority w:val="39"/>
    <w:pPr>
      <w:spacing w:after="100" w:line="259" w:lineRule="auto"/>
      <w:ind w:left="440"/>
    </w:pPr>
    <w:rPr>
      <w:rFonts w:asciiTheme="minorHAnsi" w:hAnsiTheme="minorHAnsi" w:eastAsiaTheme="minorEastAsia"/>
      <w:sz w:val="22"/>
      <w:szCs w:val="22"/>
    </w:rPr>
  </w:style>
  <w:style w:type="paragraph" w:styleId="13">
    <w:name w:val="toc 1"/>
    <w:basedOn w:val="1"/>
    <w:next w:val="1"/>
    <w:autoRedefine/>
    <w:unhideWhenUsed/>
    <w:uiPriority w:val="39"/>
    <w:pPr>
      <w:tabs>
        <w:tab w:val="left" w:pos="426"/>
        <w:tab w:val="right" w:leader="dot" w:pos="9628"/>
      </w:tabs>
      <w:spacing w:after="100"/>
    </w:pPr>
    <w:rPr>
      <w:rFonts w:ascii="Arial" w:hAnsi="Arial" w:cs="Tahoma"/>
      <w:sz w:val="20"/>
      <w:szCs w:val="24"/>
    </w:rPr>
  </w:style>
  <w:style w:type="paragraph" w:styleId="14">
    <w:name w:val="Body Text Indent"/>
    <w:basedOn w:val="1"/>
    <w:link w:val="46"/>
    <w:unhideWhenUsed/>
    <w:qFormat/>
    <w:uiPriority w:val="0"/>
    <w:pPr>
      <w:spacing w:after="120"/>
      <w:ind w:left="283"/>
    </w:pPr>
  </w:style>
  <w:style w:type="table" w:styleId="15">
    <w:name w:val="Table Grid"/>
    <w:basedOn w:val="4"/>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Cabeçalho Char"/>
    <w:basedOn w:val="3"/>
    <w:link w:val="9"/>
    <w:qFormat/>
    <w:uiPriority w:val="0"/>
  </w:style>
  <w:style w:type="character" w:customStyle="1" w:styleId="17">
    <w:name w:val="Rodapé Char"/>
    <w:basedOn w:val="3"/>
    <w:link w:val="11"/>
    <w:qFormat/>
    <w:uiPriority w:val="99"/>
  </w:style>
  <w:style w:type="character" w:customStyle="1" w:styleId="18">
    <w:name w:val="Título 1 Char"/>
    <w:basedOn w:val="3"/>
    <w:link w:val="2"/>
    <w:uiPriority w:val="9"/>
    <w:rPr>
      <w:rFonts w:asciiTheme="majorHAnsi" w:hAnsiTheme="majorHAnsi" w:eastAsiaTheme="majorEastAsia" w:cstheme="majorBidi"/>
      <w:color w:val="2F5597" w:themeColor="accent1" w:themeShade="BF"/>
      <w:kern w:val="0"/>
      <w:sz w:val="32"/>
      <w:szCs w:val="32"/>
      <w14:ligatures w14:val="none"/>
    </w:rPr>
  </w:style>
  <w:style w:type="paragraph" w:customStyle="1" w:styleId="19">
    <w:name w:val="Default"/>
    <w:qFormat/>
    <w:uiPriority w:val="0"/>
    <w:pPr>
      <w:autoSpaceDE w:val="0"/>
      <w:autoSpaceDN w:val="0"/>
      <w:adjustRightInd w:val="0"/>
      <w:spacing w:after="0" w:line="240" w:lineRule="auto"/>
    </w:pPr>
    <w:rPr>
      <w:rFonts w:ascii="Arial" w:hAnsi="Arial" w:cs="Arial" w:eastAsiaTheme="minorHAnsi"/>
      <w:color w:val="000000"/>
      <w:kern w:val="0"/>
      <w:sz w:val="24"/>
      <w:szCs w:val="24"/>
      <w:lang w:val="pt-BR" w:eastAsia="en-US" w:bidi="ar-SA"/>
      <w14:ligatures w14:val="standardContextual"/>
    </w:rPr>
  </w:style>
  <w:style w:type="paragraph" w:customStyle="1" w:styleId="20">
    <w:name w:val="TOC Heading"/>
    <w:basedOn w:val="2"/>
    <w:next w:val="1"/>
    <w:unhideWhenUsed/>
    <w:qFormat/>
    <w:uiPriority w:val="39"/>
    <w:pPr>
      <w:spacing w:line="256" w:lineRule="auto"/>
      <w:outlineLvl w:val="9"/>
    </w:pPr>
  </w:style>
  <w:style w:type="paragraph" w:styleId="21">
    <w:name w:val="List Paragraph"/>
    <w:basedOn w:val="1"/>
    <w:link w:val="43"/>
    <w:qFormat/>
    <w:uiPriority w:val="34"/>
    <w:pPr>
      <w:ind w:left="720"/>
      <w:contextualSpacing/>
    </w:pPr>
  </w:style>
  <w:style w:type="character" w:customStyle="1" w:styleId="22">
    <w:name w:val="Texto de comentário Char"/>
    <w:basedOn w:val="3"/>
    <w:link w:val="8"/>
    <w:qFormat/>
    <w:uiPriority w:val="99"/>
    <w:rPr>
      <w:rFonts w:ascii="Times New Roman" w:hAnsi="Times New Roman" w:eastAsia="Times New Roman" w:cs="Times New Roman"/>
      <w:kern w:val="0"/>
      <w:sz w:val="20"/>
      <w:szCs w:val="20"/>
      <w:lang w:eastAsia="pt-BR"/>
      <w14:ligatures w14:val="none"/>
    </w:rPr>
  </w:style>
  <w:style w:type="character" w:customStyle="1" w:styleId="23">
    <w:name w:val="Assunto do comentário Char"/>
    <w:basedOn w:val="22"/>
    <w:link w:val="10"/>
    <w:semiHidden/>
    <w:uiPriority w:val="99"/>
    <w:rPr>
      <w:rFonts w:ascii="Times New Roman" w:hAnsi="Times New Roman" w:eastAsia="Times New Roman" w:cs="Times New Roman"/>
      <w:b/>
      <w:bCs/>
      <w:kern w:val="0"/>
      <w:sz w:val="20"/>
      <w:szCs w:val="20"/>
      <w:lang w:eastAsia="pt-BR"/>
      <w14:ligatures w14:val="none"/>
    </w:rPr>
  </w:style>
  <w:style w:type="paragraph" w:customStyle="1" w:styleId="24">
    <w:name w:val="Nivel 01"/>
    <w:basedOn w:val="2"/>
    <w:next w:val="1"/>
    <w:link w:val="39"/>
    <w:autoRedefine/>
    <w:qFormat/>
    <w:uiPriority w:val="0"/>
    <w:pPr>
      <w:numPr>
        <w:ilvl w:val="1"/>
        <w:numId w:val="1"/>
      </w:numPr>
      <w:tabs>
        <w:tab w:val="left" w:pos="567"/>
      </w:tabs>
      <w:spacing w:before="0" w:line="240" w:lineRule="auto"/>
      <w:ind w:left="714" w:hanging="714"/>
      <w:jc w:val="both"/>
      <w:outlineLvl w:val="9"/>
    </w:pPr>
    <w:rPr>
      <w:rFonts w:ascii="Arial" w:hAnsi="Arial" w:cs="Arial"/>
      <w:b/>
      <w:bCs/>
      <w:color w:val="auto"/>
      <w:sz w:val="20"/>
      <w:szCs w:val="20"/>
    </w:rPr>
  </w:style>
  <w:style w:type="paragraph" w:customStyle="1" w:styleId="25">
    <w:name w:val="Nivel 2"/>
    <w:basedOn w:val="1"/>
    <w:link w:val="30"/>
    <w:qFormat/>
    <w:uiPriority w:val="0"/>
    <w:pPr>
      <w:numPr>
        <w:ilvl w:val="1"/>
        <w:numId w:val="2"/>
      </w:numPr>
      <w:spacing w:before="120" w:after="120" w:line="276" w:lineRule="auto"/>
      <w:ind w:left="0" w:firstLine="0"/>
      <w:jc w:val="both"/>
    </w:pPr>
    <w:rPr>
      <w:rFonts w:ascii="Arial" w:hAnsi="Arial" w:cs="Arial" w:eastAsiaTheme="minorEastAsia"/>
      <w:color w:val="000000"/>
      <w:sz w:val="20"/>
    </w:rPr>
  </w:style>
  <w:style w:type="character" w:customStyle="1" w:styleId="26">
    <w:name w:val="Nivel 3 Char"/>
    <w:basedOn w:val="3"/>
    <w:link w:val="27"/>
    <w:locked/>
    <w:uiPriority w:val="0"/>
    <w:rPr>
      <w:rFonts w:ascii="Arial" w:hAnsi="Arial" w:cs="Arial"/>
      <w:color w:val="000000"/>
      <w:lang w:eastAsia="pt-BR"/>
    </w:rPr>
  </w:style>
  <w:style w:type="paragraph" w:customStyle="1" w:styleId="27">
    <w:name w:val="Nivel 3"/>
    <w:basedOn w:val="1"/>
    <w:link w:val="26"/>
    <w:qFormat/>
    <w:uiPriority w:val="0"/>
    <w:pPr>
      <w:numPr>
        <w:ilvl w:val="2"/>
        <w:numId w:val="2"/>
      </w:numPr>
      <w:spacing w:before="120" w:after="120" w:line="276" w:lineRule="auto"/>
      <w:ind w:left="284" w:firstLine="0"/>
      <w:jc w:val="both"/>
    </w:pPr>
    <w:rPr>
      <w:rFonts w:ascii="Arial" w:hAnsi="Arial" w:cs="Arial" w:eastAsiaTheme="minorHAnsi"/>
      <w:color w:val="000000"/>
      <w:kern w:val="2"/>
      <w:sz w:val="22"/>
      <w:szCs w:val="22"/>
      <w14:ligatures w14:val="standardContextual"/>
    </w:rPr>
  </w:style>
  <w:style w:type="paragraph" w:customStyle="1" w:styleId="28">
    <w:name w:val="Nivel 4"/>
    <w:basedOn w:val="27"/>
    <w:link w:val="50"/>
    <w:qFormat/>
    <w:uiPriority w:val="0"/>
    <w:pPr>
      <w:numPr>
        <w:ilvl w:val="3"/>
      </w:numPr>
      <w:tabs>
        <w:tab w:val="left" w:pos="360"/>
      </w:tabs>
      <w:ind w:left="567" w:firstLine="0"/>
    </w:pPr>
    <w:rPr>
      <w:color w:val="auto"/>
    </w:rPr>
  </w:style>
  <w:style w:type="paragraph" w:customStyle="1" w:styleId="29">
    <w:name w:val="Nivel 5"/>
    <w:basedOn w:val="28"/>
    <w:qFormat/>
    <w:uiPriority w:val="0"/>
    <w:pPr>
      <w:numPr>
        <w:ilvl w:val="4"/>
      </w:numPr>
      <w:ind w:left="851" w:firstLine="0"/>
    </w:pPr>
  </w:style>
  <w:style w:type="character" w:customStyle="1" w:styleId="30">
    <w:name w:val="Nivel 2 Char"/>
    <w:basedOn w:val="3"/>
    <w:link w:val="25"/>
    <w:qFormat/>
    <w:locked/>
    <w:uiPriority w:val="0"/>
    <w:rPr>
      <w:rFonts w:ascii="Arial" w:hAnsi="Arial" w:cs="Arial" w:eastAsiaTheme="minorEastAsia"/>
      <w:color w:val="000000"/>
      <w:kern w:val="0"/>
      <w:sz w:val="20"/>
      <w:szCs w:val="20"/>
      <w:lang w:eastAsia="pt-BR"/>
      <w14:ligatures w14:val="none"/>
    </w:rPr>
  </w:style>
  <w:style w:type="table" w:customStyle="1" w:styleId="31">
    <w:name w:val="Plain Table 5"/>
    <w:basedOn w:val="4"/>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2">
    <w:name w:val="Plain Table 3"/>
    <w:basedOn w:val="4"/>
    <w:uiPriority w:val="43"/>
    <w:pPr>
      <w:spacing w:after="0" w:line="240" w:lineRule="auto"/>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33">
    <w:name w:val="Plain Table 4"/>
    <w:basedOn w:val="4"/>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34">
    <w:name w:val="Plain Table 2"/>
    <w:basedOn w:val="4"/>
    <w:qFormat/>
    <w:uiPriority w:val="42"/>
    <w:pPr>
      <w:spacing w:after="0" w:line="240" w:lineRule="auto"/>
    </w:p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35">
    <w:name w:val="Grid Table 5 Dark Accent 3"/>
    <w:basedOn w:val="4"/>
    <w:qFormat/>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36">
    <w:name w:val="Grid Table 4 Accent 3"/>
    <w:basedOn w:val="4"/>
    <w:uiPriority w:val="49"/>
    <w:pPr>
      <w:spacing w:after="0" w:line="240" w:lineRule="auto"/>
    </w:p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paragraph" w:customStyle="1" w:styleId="37">
    <w:name w:val="Nível 2 -Red"/>
    <w:basedOn w:val="25"/>
    <w:link w:val="38"/>
    <w:qFormat/>
    <w:uiPriority w:val="0"/>
    <w:pPr>
      <w:numPr>
        <w:ilvl w:val="0"/>
        <w:numId w:val="0"/>
      </w:numPr>
      <w:tabs>
        <w:tab w:val="left" w:pos="0"/>
      </w:tabs>
    </w:pPr>
    <w:rPr>
      <w:rFonts w:eastAsia="MS Mincho"/>
      <w:i/>
      <w:iCs/>
      <w:color w:val="FF0000"/>
    </w:rPr>
  </w:style>
  <w:style w:type="character" w:customStyle="1" w:styleId="38">
    <w:name w:val="Nível 2 -Red Char"/>
    <w:link w:val="37"/>
    <w:uiPriority w:val="0"/>
    <w:rPr>
      <w:rFonts w:ascii="Arial" w:hAnsi="Arial" w:eastAsia="MS Mincho" w:cs="Arial"/>
      <w:i/>
      <w:iCs/>
      <w:color w:val="FF0000"/>
      <w:kern w:val="0"/>
      <w:sz w:val="20"/>
      <w:szCs w:val="20"/>
      <w:lang w:eastAsia="pt-BR"/>
      <w14:ligatures w14:val="none"/>
    </w:rPr>
  </w:style>
  <w:style w:type="character" w:customStyle="1" w:styleId="39">
    <w:name w:val="Nivel 01 Char"/>
    <w:link w:val="24"/>
    <w:qFormat/>
    <w:uiPriority w:val="0"/>
    <w:rPr>
      <w:rFonts w:ascii="Arial" w:hAnsi="Arial" w:cs="Arial" w:eastAsiaTheme="majorEastAsia"/>
      <w:b/>
      <w:bCs/>
      <w:kern w:val="0"/>
      <w:sz w:val="20"/>
      <w:szCs w:val="20"/>
      <w:lang w:eastAsia="pt-BR"/>
      <w14:ligatures w14:val="none"/>
    </w:rPr>
  </w:style>
  <w:style w:type="paragraph" w:customStyle="1" w:styleId="40">
    <w:name w:val="Standard"/>
    <w:qFormat/>
    <w:uiPriority w:val="0"/>
    <w:pPr>
      <w:widowControl w:val="0"/>
      <w:suppressAutoHyphens/>
      <w:spacing w:after="0" w:line="240" w:lineRule="auto"/>
      <w:textAlignment w:val="baseline"/>
    </w:pPr>
    <w:rPr>
      <w:rFonts w:ascii="Arial" w:hAnsi="Arial" w:eastAsia="DejaVu Sans" w:cs="DejaVu Sans"/>
      <w:kern w:val="1"/>
      <w:sz w:val="22"/>
      <w:szCs w:val="24"/>
      <w:lang w:val="pt-BR" w:eastAsia="zh-CN" w:bidi="hi-IN"/>
      <w14:ligatures w14:val="none"/>
    </w:rPr>
  </w:style>
  <w:style w:type="paragraph" w:customStyle="1" w:styleId="41">
    <w:name w:val="Recuo de corpo de texto 21"/>
    <w:basedOn w:val="1"/>
    <w:qFormat/>
    <w:uiPriority w:val="0"/>
    <w:pPr>
      <w:ind w:firstLine="1418"/>
      <w:jc w:val="both"/>
    </w:pPr>
    <w:rPr>
      <w:szCs w:val="24"/>
      <w:lang w:eastAsia="zh-CN"/>
    </w:rPr>
  </w:style>
  <w:style w:type="character" w:customStyle="1" w:styleId="42">
    <w:name w:val="PGE - Alterações destacadas"/>
    <w:qFormat/>
    <w:uiPriority w:val="1"/>
    <w:rPr>
      <w:rFonts w:ascii="Arial" w:hAnsi="Arial"/>
      <w:b/>
      <w:color w:val="000000"/>
      <w:sz w:val="22"/>
      <w:u w:val="single"/>
    </w:rPr>
  </w:style>
  <w:style w:type="character" w:customStyle="1" w:styleId="43">
    <w:name w:val="Parágrafo da Lista Char"/>
    <w:link w:val="21"/>
    <w:locked/>
    <w:uiPriority w:val="34"/>
    <w:rPr>
      <w:rFonts w:ascii="Times New Roman" w:hAnsi="Times New Roman" w:eastAsia="Times New Roman" w:cs="Times New Roman"/>
      <w:kern w:val="0"/>
      <w:sz w:val="24"/>
      <w:szCs w:val="20"/>
      <w:lang w:eastAsia="pt-BR"/>
      <w14:ligatures w14:val="none"/>
    </w:rPr>
  </w:style>
  <w:style w:type="paragraph" w:customStyle="1" w:styleId="44">
    <w:name w:val="corpo"/>
    <w:basedOn w:val="1"/>
    <w:qFormat/>
    <w:uiPriority w:val="0"/>
    <w:pPr>
      <w:suppressAutoHyphens/>
      <w:spacing w:before="280" w:after="280"/>
    </w:pPr>
    <w:rPr>
      <w:szCs w:val="24"/>
      <w:lang w:eastAsia="ar-SA"/>
    </w:rPr>
  </w:style>
  <w:style w:type="character" w:customStyle="1" w:styleId="45">
    <w:name w:val="Unresolved Mention"/>
    <w:basedOn w:val="3"/>
    <w:semiHidden/>
    <w:unhideWhenUsed/>
    <w:qFormat/>
    <w:uiPriority w:val="99"/>
    <w:rPr>
      <w:color w:val="605E5C"/>
      <w:shd w:val="clear" w:color="auto" w:fill="E1DFDD"/>
    </w:rPr>
  </w:style>
  <w:style w:type="character" w:customStyle="1" w:styleId="46">
    <w:name w:val="Recuo de corpo de texto Char"/>
    <w:basedOn w:val="3"/>
    <w:link w:val="14"/>
    <w:uiPriority w:val="0"/>
    <w:rPr>
      <w:rFonts w:ascii="Times New Roman" w:hAnsi="Times New Roman" w:eastAsia="Times New Roman" w:cs="Times New Roman"/>
      <w:kern w:val="0"/>
      <w:sz w:val="24"/>
      <w:szCs w:val="20"/>
      <w:lang w:eastAsia="pt-BR"/>
      <w14:ligatures w14:val="none"/>
    </w:rPr>
  </w:style>
  <w:style w:type="character" w:customStyle="1" w:styleId="47">
    <w:name w:val="cf01"/>
    <w:basedOn w:val="3"/>
    <w:uiPriority w:val="0"/>
    <w:rPr>
      <w:rFonts w:hint="default" w:ascii="Segoe UI" w:hAnsi="Segoe UI" w:cs="Segoe UI"/>
      <w:b/>
      <w:bCs/>
      <w:i/>
      <w:iCs/>
      <w:sz w:val="18"/>
      <w:szCs w:val="18"/>
    </w:rPr>
  </w:style>
  <w:style w:type="character" w:customStyle="1" w:styleId="48">
    <w:name w:val="cf11"/>
    <w:basedOn w:val="3"/>
    <w:uiPriority w:val="0"/>
    <w:rPr>
      <w:rFonts w:hint="default" w:ascii="Segoe UI" w:hAnsi="Segoe UI" w:cs="Segoe UI"/>
      <w:i/>
      <w:iCs/>
      <w:sz w:val="18"/>
      <w:szCs w:val="18"/>
    </w:rPr>
  </w:style>
  <w:style w:type="character" w:customStyle="1" w:styleId="49">
    <w:name w:val="cf21"/>
    <w:basedOn w:val="3"/>
    <w:uiPriority w:val="0"/>
    <w:rPr>
      <w:rFonts w:hint="default" w:ascii="Segoe UI" w:hAnsi="Segoe UI" w:cs="Segoe UI"/>
      <w:i/>
      <w:iCs/>
      <w:sz w:val="18"/>
      <w:szCs w:val="18"/>
    </w:rPr>
  </w:style>
  <w:style w:type="character" w:customStyle="1" w:styleId="50">
    <w:name w:val="Nivel 4 Char"/>
    <w:basedOn w:val="3"/>
    <w:link w:val="28"/>
    <w:uiPriority w:val="0"/>
    <w:rPr>
      <w:rFonts w:ascii="Arial" w:hAnsi="Arial" w:cs="Arial"/>
      <w:lang w:eastAsia="pt-BR"/>
    </w:rPr>
  </w:style>
  <w:style w:type="paragraph" w:customStyle="1" w:styleId="51">
    <w:name w:val="pf0"/>
    <w:basedOn w:val="1"/>
    <w:qFormat/>
    <w:uiPriority w:val="0"/>
    <w:pPr>
      <w:spacing w:before="100" w:beforeAutospacing="1" w:after="100" w:afterAutospacing="1"/>
    </w:pPr>
    <w:rPr>
      <w:szCs w:val="24"/>
    </w:rPr>
  </w:style>
  <w:style w:type="character" w:customStyle="1" w:styleId="52">
    <w:name w:val="cf31"/>
    <w:basedOn w:val="3"/>
    <w:qFormat/>
    <w:uiPriority w:val="0"/>
    <w:rPr>
      <w:rFonts w:hint="default" w:ascii="Segoe UI" w:hAnsi="Segoe UI" w:cs="Segoe UI"/>
      <w:i/>
      <w:iCs/>
      <w:sz w:val="18"/>
      <w:szCs w:val="18"/>
    </w:rPr>
  </w:style>
  <w:style w:type="table" w:customStyle="1" w:styleId="53">
    <w:name w:val="6"/>
    <w:basedOn w:val="4"/>
    <w:qFormat/>
    <w:uiPriority w:val="0"/>
    <w:pPr>
      <w:spacing w:after="0" w:line="240" w:lineRule="auto"/>
    </w:pPr>
    <w:rPr>
      <w:rFonts w:ascii="Times New Roman" w:hAnsi="Times New Roman" w:eastAsia="Times New Roman" w:cs="Times New Roman"/>
      <w:kern w:val="0"/>
      <w:sz w:val="24"/>
      <w:szCs w:val="24"/>
      <w:lang w:eastAsia="pt-BR"/>
      <w14:ligatures w14:val="none"/>
    </w:rPr>
    <w:tblPr>
      <w:tblCellMar>
        <w:left w:w="70" w:type="dxa"/>
        <w:right w:w="7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22C918-9B56-4770-A4A6-7298EC8E99CC}">
  <ds:schemaRefs/>
</ds:datastoreItem>
</file>

<file path=docProps/app.xml><?xml version="1.0" encoding="utf-8"?>
<Properties xmlns="http://schemas.openxmlformats.org/officeDocument/2006/extended-properties" xmlns:vt="http://schemas.openxmlformats.org/officeDocument/2006/docPropsVTypes">
  <Template>Normal</Template>
  <Pages>62</Pages>
  <Words>20817</Words>
  <Characters>112413</Characters>
  <Lines>936</Lines>
  <Paragraphs>265</Paragraphs>
  <TotalTime>0</TotalTime>
  <ScaleCrop>false</ScaleCrop>
  <LinksUpToDate>false</LinksUpToDate>
  <CharactersWithSpaces>132965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2024-08-15T12:09:00Z</dcterms:created>
  <dc:creator>Setor de Licitação Prefeitura Municipal de Santa Branca</dc:creator>
  <cp:lastModifiedBy>jessyca.ferreira</cp:lastModifiedBy>
  <cp:lastPrinted>2024-04-04T20:58:00Z</cp:lastPrinted>
  <dcterms:modified xsi:type="dcterms:W3CDTF">2024-08-19T17:49:47Z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1046-12.2.0.17562</vt:lpwstr>
  </property>
  <property fmtid="{D5CDD505-2E9C-101B-9397-08002B2CF9AE}" pid="3" name="ICV">
    <vt:lpwstr>378CD7ABB47642F181CFC1996699FEB2_13</vt:lpwstr>
  </property>
</Properties>
</file>