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E528">
      <w:pPr>
        <w:ind w:left="720" w:hanging="720"/>
        <w:jc w:val="center"/>
        <w:rPr>
          <w:rFonts w:eastAsia="Arial Unicode MS"/>
          <w:b/>
          <w:caps/>
          <w:sz w:val="28"/>
          <w:szCs w:val="28"/>
        </w:rPr>
      </w:pPr>
      <w:r>
        <w:rPr>
          <w:rFonts w:eastAsia="Arial Unicode MS"/>
          <w:b/>
          <w:caps/>
          <w:sz w:val="28"/>
          <w:szCs w:val="28"/>
        </w:rPr>
        <w:t>RESUMO / EDITAL</w:t>
      </w:r>
    </w:p>
    <w:p w14:paraId="7113D5CD">
      <w:pPr>
        <w:ind w:left="720" w:hanging="720"/>
        <w:jc w:val="center"/>
        <w:rPr>
          <w:rFonts w:eastAsia="Arial Unicode MS"/>
          <w:b/>
          <w:caps/>
          <w:sz w:val="20"/>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6089"/>
      </w:tblGrid>
      <w:tr w14:paraId="23B6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379329C5">
            <w:pPr>
              <w:jc w:val="center"/>
              <w:rPr>
                <w:rFonts w:eastAsia="Arial Unicode MS"/>
                <w:b/>
                <w:bCs/>
                <w:szCs w:val="22"/>
              </w:rPr>
            </w:pPr>
            <w:r>
              <w:rPr>
                <w:rFonts w:eastAsiaTheme="minorHAnsi"/>
                <w:b/>
                <w:bCs/>
                <w:szCs w:val="22"/>
                <w:lang w:eastAsia="en-US"/>
              </w:rPr>
              <w:t>PREGÃO ELETRÔNICO Nº PE 19/2024</w:t>
            </w:r>
          </w:p>
        </w:tc>
      </w:tr>
      <w:tr w14:paraId="371B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BC1064B">
            <w:pPr>
              <w:jc w:val="center"/>
              <w:rPr>
                <w:rFonts w:eastAsia="Arial Unicode MS"/>
                <w:b/>
                <w:caps/>
                <w:szCs w:val="22"/>
              </w:rPr>
            </w:pPr>
            <w:r>
              <w:rPr>
                <w:rFonts w:eastAsia="Arial Unicode MS"/>
                <w:b/>
                <w:caps/>
                <w:szCs w:val="22"/>
              </w:rPr>
              <w:t>PREFEITURA MUNICIPAL DE TRIZIDELA DO VALE</w:t>
            </w:r>
          </w:p>
        </w:tc>
      </w:tr>
      <w:tr w14:paraId="447C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DF53EF2">
            <w:pPr>
              <w:jc w:val="center"/>
              <w:rPr>
                <w:rFonts w:eastAsia="Arial Unicode MS"/>
                <w:b/>
                <w:bCs/>
                <w:caps/>
                <w:szCs w:val="22"/>
              </w:rPr>
            </w:pPr>
            <w:r>
              <w:rPr>
                <w:rFonts w:eastAsiaTheme="minorHAnsi"/>
                <w:b/>
                <w:bCs/>
                <w:szCs w:val="22"/>
                <w:lang w:eastAsia="en-US"/>
              </w:rPr>
              <w:t>PROCESSO N° 1106001/2024</w:t>
            </w:r>
          </w:p>
        </w:tc>
      </w:tr>
      <w:tr w14:paraId="751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5E60301E">
            <w:pPr>
              <w:jc w:val="center"/>
              <w:rPr>
                <w:rFonts w:eastAsia="Arial Unicode MS"/>
                <w:b/>
                <w:caps/>
                <w:szCs w:val="22"/>
              </w:rPr>
            </w:pPr>
            <w:r>
              <w:rPr>
                <w:rFonts w:eastAsia="Arial Unicode MS"/>
                <w:b/>
                <w:caps/>
                <w:szCs w:val="22"/>
              </w:rPr>
              <w:t>órgão</w:t>
            </w:r>
          </w:p>
        </w:tc>
        <w:tc>
          <w:tcPr>
            <w:tcW w:w="6122" w:type="dxa"/>
          </w:tcPr>
          <w:p w14:paraId="2B22E776">
            <w:pPr>
              <w:jc w:val="center"/>
              <w:rPr>
                <w:rFonts w:eastAsia="Arial Unicode MS"/>
                <w:b/>
                <w:caps/>
                <w:szCs w:val="22"/>
              </w:rPr>
            </w:pPr>
            <w:r>
              <w:rPr>
                <w:rFonts w:eastAsia="Arial Unicode MS"/>
                <w:b/>
                <w:caps/>
                <w:szCs w:val="22"/>
              </w:rPr>
              <w:t>FUNDO MUNICIPAL DE SAÚDE</w:t>
            </w:r>
            <w:bookmarkStart w:id="49" w:name="_GoBack"/>
            <w:bookmarkEnd w:id="49"/>
          </w:p>
        </w:tc>
      </w:tr>
      <w:tr w14:paraId="16DC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050A740">
            <w:pPr>
              <w:jc w:val="center"/>
              <w:rPr>
                <w:rFonts w:eastAsia="Arial Unicode MS"/>
                <w:b/>
                <w:caps/>
                <w:szCs w:val="22"/>
              </w:rPr>
            </w:pPr>
            <w:r>
              <w:rPr>
                <w:rFonts w:eastAsia="Arial Unicode MS"/>
                <w:b/>
                <w:caps/>
                <w:szCs w:val="22"/>
              </w:rPr>
              <w:t>CRITÉRIO DE JULGAMENTO</w:t>
            </w:r>
          </w:p>
        </w:tc>
        <w:tc>
          <w:tcPr>
            <w:tcW w:w="6122" w:type="dxa"/>
            <w:vAlign w:val="center"/>
          </w:tcPr>
          <w:p w14:paraId="33888181">
            <w:pPr>
              <w:jc w:val="center"/>
              <w:rPr>
                <w:rFonts w:eastAsia="Arial Unicode MS"/>
                <w:b/>
                <w:caps/>
                <w:szCs w:val="22"/>
              </w:rPr>
            </w:pPr>
            <w:r>
              <w:rPr>
                <w:rFonts w:eastAsia="Arial Unicode MS"/>
                <w:b/>
                <w:caps/>
                <w:szCs w:val="22"/>
              </w:rPr>
              <w:t>MENOR PREÇO POR ITEM</w:t>
            </w:r>
          </w:p>
        </w:tc>
      </w:tr>
      <w:tr w14:paraId="6BD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FA4DB59">
            <w:pPr>
              <w:jc w:val="center"/>
              <w:rPr>
                <w:rFonts w:eastAsia="Arial Unicode MS"/>
                <w:b/>
                <w:caps/>
                <w:szCs w:val="22"/>
              </w:rPr>
            </w:pPr>
            <w:r>
              <w:rPr>
                <w:rFonts w:eastAsia="Arial Unicode MS"/>
                <w:b/>
                <w:caps/>
                <w:szCs w:val="22"/>
              </w:rPr>
              <w:t>MODO DE DISPUTA</w:t>
            </w:r>
          </w:p>
        </w:tc>
        <w:tc>
          <w:tcPr>
            <w:tcW w:w="6122" w:type="dxa"/>
          </w:tcPr>
          <w:p w14:paraId="327FCC70">
            <w:pPr>
              <w:jc w:val="center"/>
              <w:rPr>
                <w:rFonts w:eastAsia="Arial Unicode MS"/>
                <w:b/>
                <w:caps/>
                <w:szCs w:val="22"/>
              </w:rPr>
            </w:pPr>
            <w:r>
              <w:rPr>
                <w:rFonts w:eastAsia="Arial Unicode MS"/>
                <w:b/>
                <w:caps/>
                <w:szCs w:val="22"/>
              </w:rPr>
              <w:t>ABERTO</w:t>
            </w:r>
          </w:p>
        </w:tc>
      </w:tr>
      <w:tr w14:paraId="314A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40DD25E1">
            <w:pPr>
              <w:jc w:val="center"/>
              <w:rPr>
                <w:rFonts w:eastAsia="Arial Unicode MS"/>
                <w:b/>
                <w:caps/>
                <w:szCs w:val="22"/>
              </w:rPr>
            </w:pPr>
            <w:r>
              <w:rPr>
                <w:rFonts w:eastAsia="Arial Unicode MS"/>
                <w:b/>
                <w:caps/>
                <w:szCs w:val="22"/>
              </w:rPr>
              <w:t>PREFERÊNCIA ME/EPP/EQUIPARADAS</w:t>
            </w:r>
          </w:p>
        </w:tc>
        <w:tc>
          <w:tcPr>
            <w:tcW w:w="6122" w:type="dxa"/>
            <w:vAlign w:val="center"/>
          </w:tcPr>
          <w:p w14:paraId="7F030100">
            <w:pPr>
              <w:jc w:val="center"/>
              <w:rPr>
                <w:rFonts w:eastAsia="Arial Unicode MS"/>
                <w:b/>
                <w:caps/>
                <w:szCs w:val="22"/>
              </w:rPr>
            </w:pPr>
            <w:r>
              <w:rPr>
                <w:rFonts w:eastAsia="Arial Unicode MS"/>
                <w:b/>
                <w:caps/>
                <w:szCs w:val="22"/>
              </w:rPr>
              <w:t>NÃO</w:t>
            </w:r>
          </w:p>
        </w:tc>
      </w:tr>
      <w:tr w14:paraId="3133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37286BCF">
            <w:pPr>
              <w:jc w:val="center"/>
              <w:rPr>
                <w:rFonts w:eastAsia="Arial Unicode MS"/>
                <w:b/>
                <w:caps/>
                <w:szCs w:val="22"/>
              </w:rPr>
            </w:pPr>
            <w:r>
              <w:rPr>
                <w:rFonts w:eastAsia="Arial Unicode MS"/>
                <w:b/>
                <w:caps/>
                <w:szCs w:val="22"/>
              </w:rPr>
              <w:t>BASE LEGAL</w:t>
            </w:r>
          </w:p>
        </w:tc>
        <w:tc>
          <w:tcPr>
            <w:tcW w:w="6122" w:type="dxa"/>
          </w:tcPr>
          <w:p w14:paraId="76F1B17E">
            <w:pPr>
              <w:autoSpaceDE w:val="0"/>
              <w:autoSpaceDN w:val="0"/>
              <w:adjustRightInd w:val="0"/>
              <w:jc w:val="both"/>
              <w:rPr>
                <w:rFonts w:eastAsia="Arial Unicode MS"/>
                <w:b/>
                <w:caps/>
                <w:szCs w:val="22"/>
              </w:rPr>
            </w:pPr>
            <w:r>
              <w:rPr>
                <w:szCs w:val="22"/>
              </w:rPr>
              <w:t>Lei nº 14.133, de lº de abril de 2021, do Decreto Municipal nº 63/2021-GP, de 29/11/2021</w:t>
            </w:r>
          </w:p>
        </w:tc>
      </w:tr>
      <w:tr w14:paraId="397E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10CF5EE7">
            <w:pPr>
              <w:jc w:val="center"/>
              <w:rPr>
                <w:rFonts w:eastAsia="Arial Unicode MS"/>
                <w:b/>
                <w:caps/>
                <w:szCs w:val="22"/>
              </w:rPr>
            </w:pPr>
            <w:r>
              <w:rPr>
                <w:rFonts w:eastAsia="Arial Unicode MS"/>
                <w:b/>
                <w:caps/>
                <w:szCs w:val="22"/>
              </w:rPr>
              <w:t>OBJETO</w:t>
            </w:r>
          </w:p>
        </w:tc>
        <w:tc>
          <w:tcPr>
            <w:tcW w:w="6122" w:type="dxa"/>
          </w:tcPr>
          <w:p w14:paraId="6EAE8DAE">
            <w:pPr>
              <w:jc w:val="both"/>
              <w:rPr>
                <w:rFonts w:eastAsia="Arial Unicode MS"/>
                <w:b/>
                <w:caps/>
                <w:szCs w:val="22"/>
              </w:rPr>
            </w:pPr>
            <w:r>
              <w:t xml:space="preserve">Contratação </w:t>
            </w:r>
            <w:r>
              <w:rPr>
                <w:szCs w:val="22"/>
              </w:rPr>
              <w:t>de empresa para o fornecimento de medicamentos hospitalar, de forma parcelada, de interesse do Fundo Municipal de Saúde, do município de Trizidela do Vale (MA).</w:t>
            </w:r>
          </w:p>
        </w:tc>
      </w:tr>
      <w:tr w14:paraId="5636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C15BE5A">
            <w:pPr>
              <w:jc w:val="center"/>
              <w:rPr>
                <w:rFonts w:eastAsia="Arial Unicode MS"/>
                <w:b/>
                <w:caps/>
                <w:szCs w:val="22"/>
              </w:rPr>
            </w:pPr>
            <w:r>
              <w:rPr>
                <w:rFonts w:eastAsia="Arial Unicode MS"/>
                <w:b/>
                <w:caps/>
                <w:szCs w:val="22"/>
              </w:rPr>
              <w:t>VALOR TOTAL ESTIMADO R$</w:t>
            </w:r>
          </w:p>
        </w:tc>
        <w:tc>
          <w:tcPr>
            <w:tcW w:w="6122" w:type="dxa"/>
            <w:vAlign w:val="center"/>
          </w:tcPr>
          <w:p w14:paraId="29344B3A">
            <w:pPr>
              <w:jc w:val="both"/>
              <w:rPr>
                <w:szCs w:val="22"/>
              </w:rPr>
            </w:pPr>
            <w:r>
              <w:rPr>
                <w:szCs w:val="22"/>
              </w:rPr>
              <w:t>R$</w:t>
            </w:r>
            <w:r>
              <w:rPr>
                <w:b/>
                <w:bCs/>
                <w:szCs w:val="22"/>
              </w:rPr>
              <w:t xml:space="preserve"> </w:t>
            </w:r>
            <w:r>
              <w:rPr>
                <w:szCs w:val="22"/>
              </w:rPr>
              <w:t>571.351,60 (quinhentos e setenta e um mil e trezentos e cinquenta e um reais e sessenta centavos).</w:t>
            </w:r>
          </w:p>
        </w:tc>
      </w:tr>
      <w:tr w14:paraId="340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AF06B28">
            <w:pPr>
              <w:jc w:val="center"/>
              <w:rPr>
                <w:rFonts w:eastAsia="Arial Unicode MS"/>
                <w:b/>
                <w:caps/>
                <w:szCs w:val="22"/>
              </w:rPr>
            </w:pPr>
            <w:r>
              <w:rPr>
                <w:rFonts w:eastAsia="Arial Unicode MS"/>
                <w:b/>
                <w:caps/>
                <w:szCs w:val="22"/>
              </w:rPr>
              <w:t>DATA E HORA DE INÍCIO DAS PROPOSTAS:</w:t>
            </w:r>
          </w:p>
        </w:tc>
        <w:tc>
          <w:tcPr>
            <w:tcW w:w="6122" w:type="dxa"/>
            <w:vAlign w:val="center"/>
          </w:tcPr>
          <w:p w14:paraId="54FAC962">
            <w:pPr>
              <w:jc w:val="center"/>
              <w:rPr>
                <w:rFonts w:eastAsia="Arial Unicode MS"/>
                <w:b/>
                <w:caps/>
                <w:szCs w:val="22"/>
              </w:rPr>
            </w:pPr>
            <w:r>
              <w:rPr>
                <w:rFonts w:eastAsia="Arial Unicode MS"/>
                <w:b/>
                <w:caps/>
                <w:szCs w:val="22"/>
              </w:rPr>
              <w:t>21/08/2024 às 10:00</w:t>
            </w:r>
          </w:p>
        </w:tc>
      </w:tr>
      <w:tr w14:paraId="352F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238E241">
            <w:pPr>
              <w:jc w:val="center"/>
              <w:rPr>
                <w:rFonts w:eastAsia="Arial Unicode MS"/>
                <w:b/>
                <w:caps/>
                <w:szCs w:val="22"/>
              </w:rPr>
            </w:pPr>
            <w:r>
              <w:rPr>
                <w:rFonts w:eastAsia="Arial Unicode MS"/>
                <w:b/>
                <w:caps/>
                <w:szCs w:val="22"/>
              </w:rPr>
              <w:t>DATA E HORA LIMITE PARA IMPUGNAÇÃO:</w:t>
            </w:r>
          </w:p>
        </w:tc>
        <w:tc>
          <w:tcPr>
            <w:tcW w:w="6122" w:type="dxa"/>
            <w:vAlign w:val="center"/>
          </w:tcPr>
          <w:p w14:paraId="2B4C9D00">
            <w:pPr>
              <w:jc w:val="center"/>
              <w:rPr>
                <w:rFonts w:eastAsia="Arial Unicode MS"/>
                <w:b/>
                <w:bCs/>
                <w:caps/>
                <w:szCs w:val="22"/>
              </w:rPr>
            </w:pPr>
            <w:r>
              <w:rPr>
                <w:b/>
                <w:bCs/>
                <w:szCs w:val="22"/>
              </w:rPr>
              <w:t>29/08/2024 às 23:59</w:t>
            </w:r>
          </w:p>
        </w:tc>
      </w:tr>
      <w:tr w14:paraId="7C30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61D67AE">
            <w:pPr>
              <w:jc w:val="center"/>
              <w:rPr>
                <w:rFonts w:eastAsia="Arial Unicode MS"/>
                <w:b/>
                <w:caps/>
                <w:szCs w:val="22"/>
              </w:rPr>
            </w:pPr>
            <w:r>
              <w:rPr>
                <w:rFonts w:eastAsia="Arial Unicode MS"/>
                <w:b/>
                <w:caps/>
                <w:szCs w:val="22"/>
              </w:rPr>
              <w:t>DATA E HORA LIMITE PARA PEDIDO DE ESCLARECIMENTOS</w:t>
            </w:r>
          </w:p>
        </w:tc>
        <w:tc>
          <w:tcPr>
            <w:tcW w:w="6122" w:type="dxa"/>
            <w:vAlign w:val="center"/>
          </w:tcPr>
          <w:p w14:paraId="111F634B">
            <w:pPr>
              <w:jc w:val="center"/>
              <w:rPr>
                <w:b/>
                <w:bCs/>
                <w:szCs w:val="22"/>
              </w:rPr>
            </w:pPr>
            <w:r>
              <w:rPr>
                <w:b/>
                <w:bCs/>
                <w:szCs w:val="22"/>
              </w:rPr>
              <w:t>29/08/2024 às 23:59</w:t>
            </w:r>
          </w:p>
        </w:tc>
      </w:tr>
      <w:tr w14:paraId="3A0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2984CC88">
            <w:pPr>
              <w:jc w:val="center"/>
              <w:rPr>
                <w:rFonts w:eastAsia="Arial Unicode MS"/>
                <w:b/>
                <w:caps/>
                <w:szCs w:val="22"/>
              </w:rPr>
            </w:pPr>
            <w:r>
              <w:rPr>
                <w:rFonts w:eastAsia="Arial Unicode MS"/>
                <w:b/>
                <w:caps/>
                <w:szCs w:val="22"/>
              </w:rPr>
              <w:t>DATA E HORA FINAL DAS PROPOSTAS</w:t>
            </w:r>
          </w:p>
        </w:tc>
        <w:tc>
          <w:tcPr>
            <w:tcW w:w="6122" w:type="dxa"/>
            <w:vAlign w:val="center"/>
          </w:tcPr>
          <w:p w14:paraId="66A744BC">
            <w:pPr>
              <w:jc w:val="center"/>
              <w:rPr>
                <w:rFonts w:eastAsia="Arial Unicode MS"/>
                <w:b/>
                <w:bCs/>
                <w:caps/>
                <w:szCs w:val="22"/>
              </w:rPr>
            </w:pPr>
            <w:r>
              <w:rPr>
                <w:b/>
                <w:bCs/>
                <w:szCs w:val="22"/>
              </w:rPr>
              <w:t>03/09/2024 às 10:00</w:t>
            </w:r>
          </w:p>
        </w:tc>
      </w:tr>
      <w:tr w14:paraId="16A1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0C512EAB">
            <w:pPr>
              <w:jc w:val="center"/>
              <w:rPr>
                <w:rFonts w:eastAsia="Arial Unicode MS"/>
                <w:b/>
                <w:caps/>
                <w:szCs w:val="22"/>
              </w:rPr>
            </w:pPr>
            <w:r>
              <w:rPr>
                <w:rFonts w:eastAsia="Arial Unicode MS"/>
                <w:b/>
                <w:caps/>
                <w:szCs w:val="22"/>
              </w:rPr>
              <w:t>DATA DE ABERTURA DAS PROPOSTAS – SESSÃO PÚBLICA</w:t>
            </w:r>
          </w:p>
        </w:tc>
        <w:tc>
          <w:tcPr>
            <w:tcW w:w="6122" w:type="dxa"/>
            <w:vAlign w:val="center"/>
          </w:tcPr>
          <w:p w14:paraId="217813F0">
            <w:pPr>
              <w:jc w:val="center"/>
              <w:rPr>
                <w:rFonts w:eastAsia="Arial Unicode MS"/>
                <w:b/>
                <w:bCs/>
                <w:caps/>
                <w:szCs w:val="22"/>
              </w:rPr>
            </w:pPr>
            <w:r>
              <w:rPr>
                <w:b/>
                <w:bCs/>
                <w:szCs w:val="22"/>
              </w:rPr>
              <w:t>03/09/2024 às 10:01</w:t>
            </w:r>
          </w:p>
        </w:tc>
      </w:tr>
      <w:tr w14:paraId="4AC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7695F794">
            <w:pPr>
              <w:jc w:val="center"/>
              <w:rPr>
                <w:rFonts w:eastAsia="Arial Unicode MS"/>
                <w:b/>
                <w:caps/>
                <w:szCs w:val="22"/>
              </w:rPr>
            </w:pPr>
            <w:r>
              <w:rPr>
                <w:rFonts w:eastAsia="Arial Unicode MS"/>
                <w:b/>
                <w:caps/>
                <w:szCs w:val="22"/>
              </w:rPr>
              <w:t>LOCAL:</w:t>
            </w:r>
          </w:p>
        </w:tc>
        <w:tc>
          <w:tcPr>
            <w:tcW w:w="6122" w:type="dxa"/>
          </w:tcPr>
          <w:p w14:paraId="7247E272">
            <w:pPr>
              <w:jc w:val="center"/>
              <w:rPr>
                <w:rFonts w:eastAsia="Arial Unicode MS"/>
                <w:b/>
                <w:caps/>
                <w:szCs w:val="22"/>
              </w:rPr>
            </w:pPr>
            <w:r>
              <w:fldChar w:fldCharType="begin"/>
            </w:r>
            <w:r>
              <w:instrText xml:space="preserve"> HYPERLINK "http://www.portaldecompraspublicas.com.br" </w:instrText>
            </w:r>
            <w:r>
              <w:fldChar w:fldCharType="separate"/>
            </w:r>
            <w:r>
              <w:rPr>
                <w:rStyle w:val="12"/>
                <w:rFonts w:eastAsiaTheme="minorHAnsi"/>
                <w:color w:val="auto"/>
                <w:szCs w:val="22"/>
                <w:lang w:eastAsia="en-US"/>
              </w:rPr>
              <w:t>www.</w:t>
            </w:r>
            <w:r>
              <w:rPr>
                <w:rStyle w:val="12"/>
                <w:color w:val="auto"/>
                <w:szCs w:val="22"/>
              </w:rPr>
              <w:t>portaldecompraspublicas.com.br</w:t>
            </w:r>
            <w:r>
              <w:rPr>
                <w:rStyle w:val="12"/>
                <w:color w:val="auto"/>
                <w:szCs w:val="22"/>
              </w:rPr>
              <w:fldChar w:fldCharType="end"/>
            </w:r>
          </w:p>
        </w:tc>
      </w:tr>
      <w:tr w14:paraId="1D8D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46281F4">
            <w:pPr>
              <w:jc w:val="center"/>
              <w:rPr>
                <w:rFonts w:eastAsia="Arial Unicode MS"/>
                <w:b/>
                <w:caps/>
                <w:szCs w:val="22"/>
              </w:rPr>
            </w:pPr>
            <w:r>
              <w:rPr>
                <w:rFonts w:eastAsia="Arial Unicode MS"/>
                <w:b/>
                <w:caps/>
                <w:szCs w:val="22"/>
              </w:rPr>
              <w:t>MODO DE DISPUTA</w:t>
            </w:r>
          </w:p>
        </w:tc>
        <w:tc>
          <w:tcPr>
            <w:tcW w:w="6122" w:type="dxa"/>
          </w:tcPr>
          <w:p w14:paraId="322055F1">
            <w:pPr>
              <w:jc w:val="center"/>
              <w:rPr>
                <w:rFonts w:eastAsia="Arial Unicode MS"/>
                <w:b/>
                <w:caps/>
                <w:szCs w:val="22"/>
              </w:rPr>
            </w:pPr>
            <w:r>
              <w:rPr>
                <w:rFonts w:eastAsia="Arial Unicode MS"/>
                <w:b/>
                <w:caps/>
                <w:szCs w:val="22"/>
              </w:rPr>
              <w:t xml:space="preserve">ABERTO </w:t>
            </w:r>
            <w:r>
              <w:rPr>
                <w:rFonts w:eastAsiaTheme="minorHAnsi"/>
                <w:color w:val="000000"/>
                <w:szCs w:val="22"/>
                <w:lang w:eastAsia="en-US"/>
              </w:rPr>
              <w:t xml:space="preserve">e os lances deverão respeitar o INTERVALO MÍNIMO de </w:t>
            </w:r>
            <w:r>
              <w:rPr>
                <w:rFonts w:eastAsiaTheme="minorHAnsi"/>
                <w:b/>
                <w:bCs/>
                <w:color w:val="000000"/>
                <w:szCs w:val="22"/>
                <w:lang w:eastAsia="en-US"/>
              </w:rPr>
              <w:t>R$ 0,01 (um centavo de real).</w:t>
            </w:r>
          </w:p>
        </w:tc>
      </w:tr>
      <w:tr w14:paraId="5A82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30CBB83">
            <w:pPr>
              <w:autoSpaceDE w:val="0"/>
              <w:autoSpaceDN w:val="0"/>
              <w:adjustRightInd w:val="0"/>
              <w:jc w:val="both"/>
              <w:rPr>
                <w:rFonts w:eastAsia="Arial Unicode MS"/>
                <w:b/>
                <w:caps/>
                <w:szCs w:val="22"/>
              </w:rPr>
            </w:pPr>
            <w:r>
              <w:rPr>
                <w:rFonts w:eastAsiaTheme="minorHAnsi"/>
                <w:b/>
                <w:bCs/>
                <w:szCs w:val="22"/>
                <w:lang w:eastAsia="en-US"/>
              </w:rPr>
              <w:t>REFERÊNCIA DE TEMPO</w:t>
            </w:r>
            <w:r>
              <w:rPr>
                <w:rFonts w:eastAsiaTheme="minorHAnsi"/>
                <w:szCs w:val="22"/>
                <w:lang w:eastAsia="en-US"/>
              </w:rPr>
              <w:t>: Para todas as referências de tempo será observado o horário de Brasília/DF e, dessa forma, serão registradas no sistema eletrônico e na documentação relativa ao certame.</w:t>
            </w:r>
          </w:p>
        </w:tc>
      </w:tr>
      <w:tr w14:paraId="7DD3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2889299">
            <w:pPr>
              <w:jc w:val="center"/>
              <w:rPr>
                <w:rFonts w:eastAsia="Arial Unicode MS"/>
                <w:bCs/>
                <w:caps/>
                <w:szCs w:val="22"/>
              </w:rPr>
            </w:pPr>
            <w:r>
              <w:rPr>
                <w:rFonts w:eastAsia="Arial Unicode MS"/>
                <w:bCs/>
                <w:caps/>
                <w:szCs w:val="22"/>
              </w:rPr>
              <w:t>FORMALIZAÇÃO DE CONSULTAS E EDITAL:</w:t>
            </w:r>
          </w:p>
          <w:p w14:paraId="56ABD153">
            <w:pPr>
              <w:rPr>
                <w:rFonts w:eastAsia="Arial Unicode MS"/>
                <w:bCs/>
                <w:caps/>
                <w:szCs w:val="22"/>
              </w:rPr>
            </w:pPr>
            <w:r>
              <w:rPr>
                <w:rFonts w:eastAsia="Arial Unicode MS"/>
                <w:bCs/>
                <w:caps/>
                <w:szCs w:val="22"/>
              </w:rPr>
              <w:t>PREFEITURA MUNICIPAL DE TRIZIDELA DO VALE (MA)</w:t>
            </w:r>
          </w:p>
          <w:p w14:paraId="339B5D76">
            <w:pPr>
              <w:rPr>
                <w:rFonts w:eastAsia="Arial Unicode MS"/>
                <w:bCs/>
                <w:caps/>
                <w:szCs w:val="22"/>
              </w:rPr>
            </w:pPr>
            <w:r>
              <w:rPr>
                <w:rFonts w:eastAsia="Arial Unicode MS"/>
                <w:bCs/>
                <w:caps/>
                <w:szCs w:val="22"/>
              </w:rPr>
              <w:t>FUNDO Municipal de saúde</w:t>
            </w:r>
          </w:p>
          <w:p w14:paraId="19DF54DD">
            <w:pPr>
              <w:rPr>
                <w:rFonts w:eastAsiaTheme="minorHAnsi"/>
                <w:bCs/>
                <w:szCs w:val="22"/>
                <w:lang w:eastAsia="en-US"/>
              </w:rPr>
            </w:pPr>
            <w:r>
              <w:fldChar w:fldCharType="begin"/>
            </w:r>
            <w:r>
              <w:instrText xml:space="preserve"> HYPERLINK </w:instrText>
            </w:r>
            <w:r>
              <w:fldChar w:fldCharType="separate"/>
            </w:r>
            <w:r>
              <w:rPr>
                <w:rStyle w:val="12"/>
                <w:rFonts w:eastAsiaTheme="minorHAnsi"/>
                <w:bCs/>
                <w:color w:val="auto"/>
                <w:szCs w:val="22"/>
                <w:lang w:eastAsia="en-US"/>
              </w:rPr>
              <w:t>www.</w:t>
            </w:r>
            <w:r>
              <w:rPr>
                <w:rStyle w:val="12"/>
                <w:bCs/>
                <w:color w:val="auto"/>
                <w:szCs w:val="22"/>
              </w:rPr>
              <w:t xml:space="preserve">portaldecompraspublicas.com.br </w:t>
            </w:r>
            <w:r>
              <w:rPr>
                <w:rStyle w:val="12"/>
                <w:bCs/>
                <w:color w:val="auto"/>
                <w:szCs w:val="22"/>
              </w:rPr>
              <w:fldChar w:fldCharType="end"/>
            </w:r>
          </w:p>
          <w:p w14:paraId="72DABE8C">
            <w:pPr>
              <w:rPr>
                <w:rFonts w:eastAsiaTheme="minorHAnsi"/>
                <w:bCs/>
                <w:szCs w:val="22"/>
              </w:rPr>
            </w:pPr>
            <w:r>
              <w:fldChar w:fldCharType="begin"/>
            </w:r>
            <w:r>
              <w:instrText xml:space="preserve"> HYPERLINK "mailto:cpltvportal@outlook.com" </w:instrText>
            </w:r>
            <w:r>
              <w:fldChar w:fldCharType="separate"/>
            </w:r>
            <w:r>
              <w:rPr>
                <w:rStyle w:val="12"/>
                <w:rFonts w:eastAsiaTheme="minorHAnsi"/>
                <w:bCs/>
                <w:szCs w:val="22"/>
              </w:rPr>
              <w:t>cpltvportal@outlook.com</w:t>
            </w:r>
            <w:r>
              <w:rPr>
                <w:rStyle w:val="12"/>
                <w:rFonts w:eastAsiaTheme="minorHAnsi"/>
                <w:bCs/>
                <w:szCs w:val="22"/>
              </w:rPr>
              <w:fldChar w:fldCharType="end"/>
            </w:r>
            <w:r>
              <w:rPr>
                <w:rStyle w:val="12"/>
                <w:rFonts w:eastAsiaTheme="minorHAnsi"/>
                <w:bCs/>
                <w:szCs w:val="22"/>
              </w:rPr>
              <w:t xml:space="preserve"> </w:t>
            </w:r>
          </w:p>
          <w:p w14:paraId="5181FE51">
            <w:pPr>
              <w:rPr>
                <w:rStyle w:val="12"/>
                <w:color w:val="auto"/>
                <w:szCs w:val="22"/>
              </w:rPr>
            </w:pPr>
            <w:r>
              <w:rPr>
                <w:rFonts w:eastAsiaTheme="minorHAnsi"/>
                <w:bCs/>
                <w:szCs w:val="22"/>
              </w:rPr>
              <w:t xml:space="preserve">Telefone: </w:t>
            </w:r>
            <w:r>
              <w:rPr>
                <w:rStyle w:val="12"/>
                <w:color w:val="auto"/>
                <w:szCs w:val="22"/>
              </w:rPr>
              <w:t>(99) 98852-4045</w:t>
            </w:r>
          </w:p>
          <w:p w14:paraId="35B50D80">
            <w:pPr>
              <w:rPr>
                <w:rFonts w:eastAsia="Arial Unicode MS"/>
                <w:bCs/>
                <w:caps/>
                <w:szCs w:val="22"/>
              </w:rPr>
            </w:pPr>
            <w:r>
              <w:rPr>
                <w:rFonts w:eastAsiaTheme="minorHAnsi"/>
                <w:bCs/>
                <w:szCs w:val="22"/>
              </w:rPr>
              <w:t>Endereço: Av. Dep. Carlos Melo,1670 – Centro – CEP: 65727-000 – Trizidela do Vale (MA).</w:t>
            </w:r>
          </w:p>
        </w:tc>
      </w:tr>
    </w:tbl>
    <w:p w14:paraId="41B8EA85">
      <w:pPr>
        <w:spacing w:after="200" w:line="276" w:lineRule="auto"/>
        <w:rPr>
          <w:rFonts w:eastAsia="Arial Unicode MS"/>
          <w:b/>
          <w:caps/>
          <w:sz w:val="20"/>
          <w:highlight w:val="yellow"/>
        </w:rPr>
      </w:pPr>
      <w:r>
        <w:rPr>
          <w:rFonts w:eastAsia="Arial Unicode MS"/>
          <w:b/>
          <w:caps/>
          <w:sz w:val="20"/>
          <w:highlight w:val="yellow"/>
        </w:rPr>
        <w:br w:type="page"/>
      </w:r>
    </w:p>
    <w:p w14:paraId="50C26ACA">
      <w:pPr>
        <w:ind w:left="720" w:hanging="720"/>
        <w:jc w:val="center"/>
        <w:rPr>
          <w:rFonts w:eastAsia="Arial Unicode MS"/>
          <w:b/>
          <w:caps/>
          <w:sz w:val="18"/>
          <w:szCs w:val="18"/>
        </w:rPr>
      </w:pPr>
    </w:p>
    <w:p w14:paraId="4D8795C2">
      <w:pPr>
        <w:spacing w:before="240" w:after="240"/>
        <w:jc w:val="both"/>
        <w:rPr>
          <w:rFonts w:eastAsia="Arial Unicode MS"/>
          <w:szCs w:val="24"/>
        </w:rPr>
      </w:pPr>
      <w:r>
        <w:rPr>
          <w:rFonts w:eastAsia="Arial Unicode MS"/>
          <w:szCs w:val="24"/>
        </w:rPr>
        <w:t>Sumário</w:t>
      </w:r>
    </w:p>
    <w:p w14:paraId="65890D2A">
      <w:pPr>
        <w:spacing w:before="240" w:after="240"/>
        <w:jc w:val="both"/>
        <w:rPr>
          <w:rFonts w:eastAsia="Arial Unicode MS"/>
          <w:szCs w:val="24"/>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7371"/>
        <w:gridCol w:w="709"/>
      </w:tblGrid>
      <w:tr w14:paraId="06F2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CAEE5B">
            <w:pPr>
              <w:spacing w:before="120" w:after="120"/>
              <w:jc w:val="both"/>
              <w:rPr>
                <w:rFonts w:eastAsia="Arial Unicode MS"/>
                <w:sz w:val="20"/>
              </w:rPr>
            </w:pPr>
            <w:r>
              <w:rPr>
                <w:rFonts w:eastAsia="Arial Unicode MS"/>
                <w:sz w:val="20"/>
              </w:rPr>
              <w:t>1.</w:t>
            </w:r>
          </w:p>
        </w:tc>
        <w:tc>
          <w:tcPr>
            <w:tcW w:w="7371" w:type="dxa"/>
          </w:tcPr>
          <w:p w14:paraId="6526FAB0">
            <w:pPr>
              <w:spacing w:before="120" w:after="120"/>
              <w:jc w:val="both"/>
              <w:rPr>
                <w:rFonts w:eastAsia="Arial Unicode MS"/>
                <w:sz w:val="20"/>
              </w:rPr>
            </w:pPr>
            <w:r>
              <w:rPr>
                <w:rFonts w:eastAsia="Arial Unicode MS"/>
                <w:sz w:val="20"/>
              </w:rPr>
              <w:t>DO OBJETO..........................................................................................................</w:t>
            </w:r>
          </w:p>
        </w:tc>
        <w:tc>
          <w:tcPr>
            <w:tcW w:w="709" w:type="dxa"/>
            <w:vAlign w:val="center"/>
          </w:tcPr>
          <w:p w14:paraId="236C25C7">
            <w:pPr>
              <w:spacing w:before="120" w:after="120"/>
              <w:jc w:val="right"/>
              <w:rPr>
                <w:rFonts w:eastAsia="Arial Unicode MS"/>
                <w:sz w:val="20"/>
              </w:rPr>
            </w:pPr>
            <w:r>
              <w:rPr>
                <w:rFonts w:eastAsia="Arial Unicode MS"/>
                <w:sz w:val="20"/>
              </w:rPr>
              <w:t>3</w:t>
            </w:r>
          </w:p>
        </w:tc>
      </w:tr>
      <w:tr w14:paraId="2BE7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0463F2F">
            <w:pPr>
              <w:spacing w:before="120" w:after="120"/>
              <w:jc w:val="both"/>
              <w:rPr>
                <w:rFonts w:eastAsia="Arial Unicode MS"/>
                <w:sz w:val="20"/>
              </w:rPr>
            </w:pPr>
            <w:r>
              <w:rPr>
                <w:rFonts w:eastAsia="Arial Unicode MS"/>
                <w:sz w:val="20"/>
              </w:rPr>
              <w:t>2.</w:t>
            </w:r>
          </w:p>
        </w:tc>
        <w:tc>
          <w:tcPr>
            <w:tcW w:w="7371" w:type="dxa"/>
          </w:tcPr>
          <w:p w14:paraId="71F2A4D8">
            <w:pPr>
              <w:spacing w:before="120" w:after="120"/>
              <w:jc w:val="both"/>
              <w:rPr>
                <w:rFonts w:eastAsia="Arial Unicode MS"/>
                <w:sz w:val="20"/>
              </w:rPr>
            </w:pPr>
            <w:r>
              <w:rPr>
                <w:rFonts w:eastAsia="Arial Unicode MS"/>
                <w:sz w:val="20"/>
              </w:rPr>
              <w:t>DA PARTICIPAÇÃO NA LICITAÇÃO....................................................................</w:t>
            </w:r>
          </w:p>
        </w:tc>
        <w:tc>
          <w:tcPr>
            <w:tcW w:w="709" w:type="dxa"/>
            <w:vAlign w:val="center"/>
          </w:tcPr>
          <w:p w14:paraId="04AAEA35">
            <w:pPr>
              <w:spacing w:before="120" w:after="120"/>
              <w:jc w:val="right"/>
              <w:rPr>
                <w:rFonts w:eastAsia="Arial Unicode MS"/>
                <w:sz w:val="20"/>
              </w:rPr>
            </w:pPr>
            <w:r>
              <w:rPr>
                <w:rFonts w:eastAsia="Arial Unicode MS"/>
                <w:sz w:val="20"/>
              </w:rPr>
              <w:t>3</w:t>
            </w:r>
          </w:p>
        </w:tc>
      </w:tr>
      <w:tr w14:paraId="6EDD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27B1404">
            <w:pPr>
              <w:spacing w:before="120" w:after="120"/>
              <w:jc w:val="both"/>
              <w:rPr>
                <w:rFonts w:eastAsia="Arial Unicode MS"/>
                <w:sz w:val="20"/>
              </w:rPr>
            </w:pPr>
            <w:r>
              <w:rPr>
                <w:rFonts w:eastAsia="Arial Unicode MS"/>
                <w:sz w:val="20"/>
              </w:rPr>
              <w:t>3</w:t>
            </w:r>
          </w:p>
        </w:tc>
        <w:tc>
          <w:tcPr>
            <w:tcW w:w="7371" w:type="dxa"/>
          </w:tcPr>
          <w:p w14:paraId="76BBC5D3">
            <w:pPr>
              <w:spacing w:before="120" w:after="120"/>
              <w:jc w:val="both"/>
              <w:rPr>
                <w:rFonts w:eastAsia="Arial Unicode MS"/>
                <w:sz w:val="20"/>
              </w:rPr>
            </w:pPr>
            <w:r>
              <w:rPr>
                <w:rFonts w:eastAsia="Arial Unicode MS"/>
                <w:sz w:val="20"/>
              </w:rPr>
              <w:t>DA APRESENTAÇÃO DA PROPOSTA E DOS DOCUMENTOS DE HABILITAÇÃO.......................................................................................................</w:t>
            </w:r>
          </w:p>
        </w:tc>
        <w:tc>
          <w:tcPr>
            <w:tcW w:w="709" w:type="dxa"/>
            <w:vAlign w:val="center"/>
          </w:tcPr>
          <w:p w14:paraId="1CA130E8">
            <w:pPr>
              <w:spacing w:before="120" w:after="120"/>
              <w:jc w:val="right"/>
              <w:rPr>
                <w:rFonts w:eastAsia="Arial Unicode MS"/>
                <w:sz w:val="20"/>
              </w:rPr>
            </w:pPr>
            <w:r>
              <w:rPr>
                <w:rFonts w:eastAsia="Arial Unicode MS"/>
                <w:sz w:val="20"/>
              </w:rPr>
              <w:t>5</w:t>
            </w:r>
          </w:p>
        </w:tc>
      </w:tr>
      <w:tr w14:paraId="5BCC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3F9792A">
            <w:pPr>
              <w:spacing w:before="120" w:after="120"/>
              <w:jc w:val="both"/>
              <w:rPr>
                <w:rFonts w:eastAsia="Arial Unicode MS"/>
                <w:sz w:val="20"/>
              </w:rPr>
            </w:pPr>
            <w:r>
              <w:rPr>
                <w:rFonts w:eastAsia="Arial Unicode MS"/>
                <w:sz w:val="20"/>
              </w:rPr>
              <w:t>4</w:t>
            </w:r>
          </w:p>
        </w:tc>
        <w:tc>
          <w:tcPr>
            <w:tcW w:w="7371" w:type="dxa"/>
          </w:tcPr>
          <w:p w14:paraId="24AA0F9C">
            <w:pPr>
              <w:spacing w:before="120" w:after="120"/>
              <w:jc w:val="both"/>
              <w:rPr>
                <w:rFonts w:eastAsia="Arial Unicode MS"/>
                <w:sz w:val="20"/>
              </w:rPr>
            </w:pPr>
            <w:r>
              <w:rPr>
                <w:rFonts w:eastAsia="Arial Unicode MS"/>
                <w:sz w:val="20"/>
              </w:rPr>
              <w:t>DO PREENCHIMENTO DA PROPOSTA..............................................................</w:t>
            </w:r>
          </w:p>
        </w:tc>
        <w:tc>
          <w:tcPr>
            <w:tcW w:w="709" w:type="dxa"/>
            <w:vAlign w:val="center"/>
          </w:tcPr>
          <w:p w14:paraId="2B2594DC">
            <w:pPr>
              <w:spacing w:before="120" w:after="120"/>
              <w:jc w:val="right"/>
              <w:rPr>
                <w:rFonts w:eastAsia="Arial Unicode MS"/>
                <w:sz w:val="20"/>
              </w:rPr>
            </w:pPr>
            <w:r>
              <w:rPr>
                <w:rFonts w:eastAsia="Arial Unicode MS"/>
                <w:sz w:val="20"/>
              </w:rPr>
              <w:t>6</w:t>
            </w:r>
          </w:p>
        </w:tc>
      </w:tr>
      <w:tr w14:paraId="2147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2C269B3">
            <w:pPr>
              <w:spacing w:before="120" w:after="120"/>
              <w:jc w:val="both"/>
              <w:rPr>
                <w:rFonts w:eastAsia="Arial Unicode MS"/>
                <w:sz w:val="20"/>
              </w:rPr>
            </w:pPr>
            <w:r>
              <w:rPr>
                <w:rFonts w:eastAsia="Arial Unicode MS"/>
                <w:sz w:val="20"/>
              </w:rPr>
              <w:t>5</w:t>
            </w:r>
          </w:p>
        </w:tc>
        <w:tc>
          <w:tcPr>
            <w:tcW w:w="7371" w:type="dxa"/>
          </w:tcPr>
          <w:p w14:paraId="075DE474">
            <w:pPr>
              <w:spacing w:before="120" w:after="120"/>
              <w:jc w:val="both"/>
              <w:rPr>
                <w:rFonts w:eastAsia="Arial Unicode MS"/>
                <w:sz w:val="20"/>
              </w:rPr>
            </w:pPr>
            <w:r>
              <w:rPr>
                <w:rFonts w:eastAsia="Arial Unicode MS"/>
                <w:sz w:val="20"/>
              </w:rPr>
              <w:t>DA ABERTURA DA SESSÃO, CLASIFICAÇÃO DAS PROOSTAS E FORMULAÇÃO DE LANCES................................................................................</w:t>
            </w:r>
          </w:p>
        </w:tc>
        <w:tc>
          <w:tcPr>
            <w:tcW w:w="709" w:type="dxa"/>
            <w:vAlign w:val="center"/>
          </w:tcPr>
          <w:p w14:paraId="3811E340">
            <w:pPr>
              <w:spacing w:before="120" w:after="120"/>
              <w:jc w:val="right"/>
              <w:rPr>
                <w:rFonts w:eastAsia="Arial Unicode MS"/>
                <w:sz w:val="20"/>
              </w:rPr>
            </w:pPr>
            <w:r>
              <w:rPr>
                <w:rFonts w:eastAsia="Arial Unicode MS"/>
                <w:sz w:val="20"/>
              </w:rPr>
              <w:t>7</w:t>
            </w:r>
          </w:p>
        </w:tc>
      </w:tr>
      <w:tr w14:paraId="4AF1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ADF7739">
            <w:pPr>
              <w:spacing w:before="120" w:after="120"/>
              <w:jc w:val="both"/>
              <w:rPr>
                <w:rFonts w:eastAsia="Arial Unicode MS"/>
                <w:sz w:val="20"/>
              </w:rPr>
            </w:pPr>
            <w:r>
              <w:rPr>
                <w:rFonts w:eastAsia="Arial Unicode MS"/>
                <w:sz w:val="20"/>
              </w:rPr>
              <w:t>6</w:t>
            </w:r>
          </w:p>
        </w:tc>
        <w:tc>
          <w:tcPr>
            <w:tcW w:w="7371" w:type="dxa"/>
          </w:tcPr>
          <w:p w14:paraId="49ED9A73">
            <w:pPr>
              <w:spacing w:before="120" w:after="120"/>
              <w:jc w:val="both"/>
              <w:rPr>
                <w:rFonts w:eastAsia="Arial Unicode MS"/>
                <w:sz w:val="20"/>
              </w:rPr>
            </w:pPr>
            <w:r>
              <w:rPr>
                <w:rFonts w:eastAsia="Arial Unicode MS"/>
                <w:sz w:val="20"/>
              </w:rPr>
              <w:t>DA FASE DE JULGAMENTO.......................................................................... .....</w:t>
            </w:r>
          </w:p>
        </w:tc>
        <w:tc>
          <w:tcPr>
            <w:tcW w:w="709" w:type="dxa"/>
            <w:vAlign w:val="center"/>
          </w:tcPr>
          <w:p w14:paraId="3B4B1853">
            <w:pPr>
              <w:spacing w:before="120" w:after="120"/>
              <w:jc w:val="right"/>
              <w:rPr>
                <w:rFonts w:eastAsia="Arial Unicode MS"/>
                <w:sz w:val="20"/>
              </w:rPr>
            </w:pPr>
            <w:r>
              <w:rPr>
                <w:rFonts w:eastAsia="Arial Unicode MS"/>
                <w:sz w:val="20"/>
              </w:rPr>
              <w:t>10</w:t>
            </w:r>
          </w:p>
        </w:tc>
      </w:tr>
      <w:tr w14:paraId="37E2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C956B8D">
            <w:pPr>
              <w:spacing w:before="120" w:after="120"/>
              <w:jc w:val="both"/>
              <w:rPr>
                <w:rFonts w:eastAsia="Arial Unicode MS"/>
                <w:sz w:val="20"/>
              </w:rPr>
            </w:pPr>
            <w:r>
              <w:rPr>
                <w:rFonts w:eastAsia="Arial Unicode MS"/>
                <w:sz w:val="20"/>
              </w:rPr>
              <w:t>7</w:t>
            </w:r>
          </w:p>
        </w:tc>
        <w:tc>
          <w:tcPr>
            <w:tcW w:w="7371" w:type="dxa"/>
          </w:tcPr>
          <w:p w14:paraId="2B4BAEE8">
            <w:pPr>
              <w:spacing w:before="120" w:after="120"/>
              <w:jc w:val="both"/>
              <w:rPr>
                <w:rFonts w:eastAsia="Arial Unicode MS"/>
                <w:sz w:val="20"/>
              </w:rPr>
            </w:pPr>
            <w:r>
              <w:rPr>
                <w:rFonts w:eastAsia="Arial Unicode MS"/>
                <w:sz w:val="20"/>
              </w:rPr>
              <w:t>DA FASE DE HABILITAÇÃO................................................................................</w:t>
            </w:r>
          </w:p>
        </w:tc>
        <w:tc>
          <w:tcPr>
            <w:tcW w:w="709" w:type="dxa"/>
            <w:vAlign w:val="center"/>
          </w:tcPr>
          <w:p w14:paraId="1181B3FB">
            <w:pPr>
              <w:spacing w:before="120" w:after="120"/>
              <w:jc w:val="right"/>
              <w:rPr>
                <w:rFonts w:eastAsia="Arial Unicode MS"/>
                <w:sz w:val="20"/>
              </w:rPr>
            </w:pPr>
            <w:r>
              <w:rPr>
                <w:rFonts w:eastAsia="Arial Unicode MS"/>
                <w:sz w:val="20"/>
              </w:rPr>
              <w:t>12</w:t>
            </w:r>
          </w:p>
        </w:tc>
      </w:tr>
      <w:tr w14:paraId="2308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0808920">
            <w:pPr>
              <w:spacing w:before="120" w:after="120"/>
              <w:jc w:val="both"/>
              <w:rPr>
                <w:rFonts w:eastAsia="Arial Unicode MS"/>
                <w:sz w:val="20"/>
              </w:rPr>
            </w:pPr>
            <w:r>
              <w:rPr>
                <w:rFonts w:eastAsia="Arial Unicode MS"/>
                <w:sz w:val="20"/>
              </w:rPr>
              <w:t>8</w:t>
            </w:r>
          </w:p>
        </w:tc>
        <w:tc>
          <w:tcPr>
            <w:tcW w:w="7371" w:type="dxa"/>
          </w:tcPr>
          <w:p w14:paraId="5E193138">
            <w:pPr>
              <w:spacing w:before="120" w:after="120"/>
              <w:jc w:val="both"/>
              <w:rPr>
                <w:rFonts w:eastAsia="Arial Unicode MS"/>
                <w:sz w:val="20"/>
              </w:rPr>
            </w:pPr>
            <w:r>
              <w:rPr>
                <w:rFonts w:eastAsia="Arial Unicode MS"/>
                <w:sz w:val="20"/>
              </w:rPr>
              <w:t>DOS RECURSOS..................................................................................................</w:t>
            </w:r>
          </w:p>
        </w:tc>
        <w:tc>
          <w:tcPr>
            <w:tcW w:w="709" w:type="dxa"/>
            <w:vAlign w:val="center"/>
          </w:tcPr>
          <w:p w14:paraId="07820BB6">
            <w:pPr>
              <w:spacing w:before="120" w:after="120"/>
              <w:jc w:val="right"/>
              <w:rPr>
                <w:rFonts w:eastAsia="Arial Unicode MS"/>
                <w:sz w:val="20"/>
              </w:rPr>
            </w:pPr>
            <w:r>
              <w:rPr>
                <w:rFonts w:eastAsia="Arial Unicode MS"/>
                <w:sz w:val="20"/>
              </w:rPr>
              <w:t>14</w:t>
            </w:r>
          </w:p>
        </w:tc>
      </w:tr>
      <w:tr w14:paraId="4AD5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5E6B93A">
            <w:pPr>
              <w:spacing w:before="120" w:after="120"/>
              <w:jc w:val="both"/>
              <w:rPr>
                <w:rFonts w:eastAsia="Arial Unicode MS"/>
                <w:sz w:val="20"/>
              </w:rPr>
            </w:pPr>
            <w:r>
              <w:rPr>
                <w:rFonts w:eastAsia="Arial Unicode MS"/>
                <w:sz w:val="20"/>
              </w:rPr>
              <w:t>9</w:t>
            </w:r>
          </w:p>
        </w:tc>
        <w:tc>
          <w:tcPr>
            <w:tcW w:w="7371" w:type="dxa"/>
          </w:tcPr>
          <w:p w14:paraId="7F5CA635">
            <w:pPr>
              <w:spacing w:before="120" w:after="120"/>
              <w:jc w:val="both"/>
              <w:rPr>
                <w:rFonts w:eastAsia="Arial Unicode MS"/>
                <w:sz w:val="20"/>
              </w:rPr>
            </w:pPr>
            <w:r>
              <w:rPr>
                <w:rFonts w:eastAsia="Arial Unicode MS"/>
                <w:sz w:val="20"/>
              </w:rPr>
              <w:t>DAS INFRAÇÕES ADMINISTRATIVAS E SANÇÕES..........................................</w:t>
            </w:r>
          </w:p>
        </w:tc>
        <w:tc>
          <w:tcPr>
            <w:tcW w:w="709" w:type="dxa"/>
            <w:vAlign w:val="center"/>
          </w:tcPr>
          <w:p w14:paraId="20612BAD">
            <w:pPr>
              <w:spacing w:before="120" w:after="120"/>
              <w:jc w:val="right"/>
              <w:rPr>
                <w:rFonts w:eastAsia="Arial Unicode MS"/>
                <w:sz w:val="20"/>
              </w:rPr>
            </w:pPr>
            <w:r>
              <w:rPr>
                <w:rFonts w:eastAsia="Arial Unicode MS"/>
                <w:sz w:val="20"/>
              </w:rPr>
              <w:t>15</w:t>
            </w:r>
          </w:p>
        </w:tc>
      </w:tr>
      <w:tr w14:paraId="75B2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6B96D78">
            <w:pPr>
              <w:spacing w:before="120" w:after="120"/>
              <w:jc w:val="both"/>
              <w:rPr>
                <w:rFonts w:eastAsia="Arial Unicode MS"/>
                <w:sz w:val="20"/>
              </w:rPr>
            </w:pPr>
            <w:r>
              <w:rPr>
                <w:rFonts w:eastAsia="Arial Unicode MS"/>
                <w:sz w:val="20"/>
              </w:rPr>
              <w:t>10</w:t>
            </w:r>
          </w:p>
        </w:tc>
        <w:tc>
          <w:tcPr>
            <w:tcW w:w="7371" w:type="dxa"/>
          </w:tcPr>
          <w:p w14:paraId="42A9953F">
            <w:pPr>
              <w:spacing w:before="120" w:after="120"/>
              <w:jc w:val="both"/>
              <w:rPr>
                <w:rFonts w:eastAsia="Arial Unicode MS"/>
                <w:sz w:val="20"/>
              </w:rPr>
            </w:pPr>
            <w:r>
              <w:rPr>
                <w:rFonts w:eastAsia="Arial Unicode MS"/>
                <w:sz w:val="20"/>
              </w:rPr>
              <w:t>DA IMPUGNAÇÃO AO EDITAL E DO PEDIDO DE ESCLARECIMENTO............</w:t>
            </w:r>
          </w:p>
        </w:tc>
        <w:tc>
          <w:tcPr>
            <w:tcW w:w="709" w:type="dxa"/>
            <w:vAlign w:val="center"/>
          </w:tcPr>
          <w:p w14:paraId="7ECF6714">
            <w:pPr>
              <w:spacing w:before="120" w:after="120"/>
              <w:jc w:val="right"/>
              <w:rPr>
                <w:rFonts w:eastAsia="Arial Unicode MS"/>
                <w:sz w:val="20"/>
              </w:rPr>
            </w:pPr>
            <w:r>
              <w:rPr>
                <w:rFonts w:eastAsia="Arial Unicode MS"/>
                <w:sz w:val="20"/>
              </w:rPr>
              <w:t>17</w:t>
            </w:r>
          </w:p>
        </w:tc>
      </w:tr>
      <w:tr w14:paraId="6E6D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F0CEB1">
            <w:pPr>
              <w:spacing w:before="120" w:after="120"/>
              <w:jc w:val="both"/>
              <w:rPr>
                <w:rFonts w:eastAsia="Arial Unicode MS"/>
                <w:sz w:val="20"/>
              </w:rPr>
            </w:pPr>
            <w:r>
              <w:rPr>
                <w:rFonts w:eastAsia="Arial Unicode MS"/>
                <w:sz w:val="20"/>
              </w:rPr>
              <w:t>11</w:t>
            </w:r>
          </w:p>
        </w:tc>
        <w:tc>
          <w:tcPr>
            <w:tcW w:w="7371" w:type="dxa"/>
          </w:tcPr>
          <w:p w14:paraId="123639BD">
            <w:pPr>
              <w:spacing w:before="120" w:after="120"/>
              <w:jc w:val="both"/>
              <w:rPr>
                <w:rFonts w:eastAsia="Arial Unicode MS"/>
                <w:sz w:val="20"/>
              </w:rPr>
            </w:pPr>
            <w:r>
              <w:rPr>
                <w:rFonts w:eastAsia="Arial Unicode MS"/>
                <w:sz w:val="20"/>
              </w:rPr>
              <w:t>DAS DISPOSIÇÕES GERAIS...............................................................................</w:t>
            </w:r>
          </w:p>
        </w:tc>
        <w:tc>
          <w:tcPr>
            <w:tcW w:w="709" w:type="dxa"/>
            <w:vAlign w:val="center"/>
          </w:tcPr>
          <w:p w14:paraId="4551CE8B">
            <w:pPr>
              <w:spacing w:before="120" w:after="120"/>
              <w:jc w:val="right"/>
              <w:rPr>
                <w:rFonts w:eastAsia="Arial Unicode MS"/>
                <w:sz w:val="20"/>
              </w:rPr>
            </w:pPr>
            <w:r>
              <w:rPr>
                <w:rFonts w:eastAsia="Arial Unicode MS"/>
                <w:sz w:val="20"/>
              </w:rPr>
              <w:t>18</w:t>
            </w:r>
          </w:p>
        </w:tc>
      </w:tr>
    </w:tbl>
    <w:p w14:paraId="79837408">
      <w:pPr>
        <w:spacing w:before="240" w:after="240"/>
        <w:jc w:val="both"/>
        <w:rPr>
          <w:rFonts w:eastAsia="Arial Unicode MS"/>
          <w:sz w:val="20"/>
        </w:rPr>
      </w:pPr>
    </w:p>
    <w:p w14:paraId="54560864">
      <w:pPr>
        <w:spacing w:after="200" w:line="276" w:lineRule="auto"/>
        <w:rPr>
          <w:rFonts w:eastAsia="Arial Unicode MS"/>
          <w:b/>
          <w:caps/>
          <w:sz w:val="20"/>
          <w:highlight w:val="yellow"/>
        </w:rPr>
      </w:pPr>
      <w:r>
        <w:rPr>
          <w:rFonts w:eastAsia="Arial Unicode MS"/>
          <w:b/>
          <w:caps/>
          <w:sz w:val="20"/>
          <w:highlight w:val="yellow"/>
        </w:rPr>
        <w:br w:type="page"/>
      </w:r>
    </w:p>
    <w:p w14:paraId="64048730">
      <w:pPr>
        <w:ind w:left="720" w:hanging="720"/>
        <w:jc w:val="center"/>
        <w:rPr>
          <w:rFonts w:eastAsia="Arial Unicode MS"/>
          <w:b/>
          <w:caps/>
          <w:sz w:val="20"/>
        </w:rPr>
      </w:pPr>
      <w:r>
        <w:rPr>
          <w:rFonts w:eastAsia="Arial Unicode MS"/>
          <w:b/>
          <w:caps/>
          <w:sz w:val="20"/>
        </w:rPr>
        <w:t>EDITAL</w:t>
      </w:r>
    </w:p>
    <w:p w14:paraId="0769A00B">
      <w:pPr>
        <w:ind w:left="720" w:hanging="720"/>
        <w:rPr>
          <w:rFonts w:eastAsia="Arial Unicode MS"/>
          <w:b/>
          <w:caps/>
          <w:sz w:val="20"/>
        </w:rPr>
      </w:pPr>
    </w:p>
    <w:p w14:paraId="0465D82C">
      <w:pPr>
        <w:ind w:left="720" w:hanging="720"/>
        <w:jc w:val="center"/>
        <w:rPr>
          <w:rFonts w:eastAsia="Arial Unicode MS"/>
          <w:b/>
          <w:caps/>
          <w:sz w:val="20"/>
        </w:rPr>
      </w:pPr>
      <w:r>
        <w:rPr>
          <w:rFonts w:eastAsia="Arial Unicode MS"/>
          <w:b/>
          <w:caps/>
          <w:sz w:val="20"/>
        </w:rPr>
        <w:t>Pregão ELETRÔNICO nº. PE 19/2024</w:t>
      </w:r>
    </w:p>
    <w:p w14:paraId="5222B72C">
      <w:pPr>
        <w:ind w:left="720" w:hanging="720"/>
        <w:jc w:val="center"/>
        <w:rPr>
          <w:rFonts w:eastAsia="Arial Unicode MS"/>
          <w:b/>
          <w:caps/>
          <w:sz w:val="20"/>
        </w:rPr>
      </w:pPr>
      <w:r>
        <w:rPr>
          <w:rFonts w:eastAsia="Arial Unicode MS"/>
          <w:b/>
          <w:caps/>
          <w:sz w:val="20"/>
        </w:rPr>
        <w:t>PROCESSO ADMINISTRATIVO Nº 1106001/2024</w:t>
      </w:r>
    </w:p>
    <w:p w14:paraId="687E8EEF">
      <w:pPr>
        <w:ind w:left="720" w:hanging="720"/>
        <w:jc w:val="center"/>
        <w:rPr>
          <w:rFonts w:eastAsia="Arial Unicode MS"/>
          <w:b/>
          <w:caps/>
          <w:sz w:val="20"/>
        </w:rPr>
      </w:pPr>
      <w:r>
        <w:rPr>
          <w:rFonts w:eastAsia="Arial Unicode MS"/>
          <w:b/>
          <w:caps/>
          <w:sz w:val="20"/>
        </w:rPr>
        <w:t>MODO DE DISPUTA ABERTO</w:t>
      </w:r>
    </w:p>
    <w:p w14:paraId="4091B682">
      <w:pPr>
        <w:pStyle w:val="40"/>
        <w:ind w:left="0"/>
        <w:rPr>
          <w:rFonts w:eastAsia="Arial Unicode MS"/>
          <w:b/>
          <w:caps/>
          <w:sz w:val="20"/>
        </w:rPr>
      </w:pPr>
    </w:p>
    <w:p w14:paraId="45DF1BEA">
      <w:pPr>
        <w:pStyle w:val="40"/>
        <w:ind w:left="0"/>
        <w:rPr>
          <w:rFonts w:eastAsia="Arial Unicode MS"/>
          <w:b/>
          <w:caps/>
          <w:sz w:val="20"/>
        </w:rPr>
      </w:pPr>
    </w:p>
    <w:p w14:paraId="4EB79F29">
      <w:pPr>
        <w:pStyle w:val="40"/>
        <w:ind w:left="0"/>
        <w:rPr>
          <w:rFonts w:eastAsia="Arial Unicode MS"/>
          <w:b/>
          <w:caps/>
          <w:sz w:val="20"/>
        </w:rPr>
      </w:pPr>
    </w:p>
    <w:p w14:paraId="4423C605">
      <w:pPr>
        <w:pStyle w:val="40"/>
        <w:ind w:left="0"/>
        <w:rPr>
          <w:rFonts w:eastAsia="Arial Unicode MS"/>
          <w:b/>
          <w:caps/>
          <w:sz w:val="20"/>
        </w:rPr>
      </w:pPr>
    </w:p>
    <w:p w14:paraId="31137D55">
      <w:pPr>
        <w:pStyle w:val="40"/>
        <w:ind w:left="0"/>
        <w:jc w:val="both"/>
        <w:rPr>
          <w:sz w:val="20"/>
        </w:rPr>
      </w:pPr>
      <w:r>
        <w:rPr>
          <w:sz w:val="20"/>
        </w:rPr>
        <w:t xml:space="preserve">O Município de Trizidela do Vale, Poder Executivo, por intermédio do Fundo Municipal de Saúde, torna público para conhecimento dos interessados que na data, horário e local indicados fará realizar licitação na modalidade </w:t>
      </w:r>
      <w:r>
        <w:rPr>
          <w:b/>
          <w:bCs/>
          <w:sz w:val="20"/>
        </w:rPr>
        <w:t>PREGÃO</w:t>
      </w:r>
      <w:r>
        <w:rPr>
          <w:sz w:val="20"/>
        </w:rPr>
        <w:t xml:space="preserve">, na forma </w:t>
      </w:r>
      <w:r>
        <w:rPr>
          <w:b/>
          <w:bCs/>
          <w:sz w:val="20"/>
        </w:rPr>
        <w:t>ELETRÔNICA,</w:t>
      </w:r>
      <w:r>
        <w:rPr>
          <w:sz w:val="20"/>
        </w:rPr>
        <w:t xml:space="preserve"> nos termos da Lei nº 14.133, de lº de abril de 2021, do Decreto Municipal nº 63/2021-GP, de 29/11/2021 e demais legislação aplicável e, ainda, de acordo com as condições estabelecidas neste Edital.</w:t>
      </w:r>
    </w:p>
    <w:p w14:paraId="53BBF321">
      <w:pPr>
        <w:pStyle w:val="40"/>
        <w:ind w:left="0"/>
        <w:jc w:val="both"/>
        <w:rPr>
          <w:sz w:val="20"/>
        </w:rPr>
      </w:pPr>
    </w:p>
    <w:p w14:paraId="6C6B1D3D">
      <w:pPr>
        <w:pStyle w:val="40"/>
        <w:ind w:left="0"/>
        <w:jc w:val="both"/>
        <w:rPr>
          <w:sz w:val="20"/>
        </w:rPr>
      </w:pPr>
    </w:p>
    <w:p w14:paraId="644DAEB6">
      <w:pPr>
        <w:pStyle w:val="40"/>
        <w:ind w:left="0"/>
        <w:jc w:val="both"/>
        <w:rPr>
          <w:sz w:val="20"/>
        </w:rPr>
      </w:pPr>
    </w:p>
    <w:p w14:paraId="13345835">
      <w:pPr>
        <w:pStyle w:val="40"/>
        <w:autoSpaceDE w:val="0"/>
        <w:autoSpaceDN w:val="0"/>
        <w:adjustRightInd w:val="0"/>
        <w:ind w:left="0"/>
        <w:rPr>
          <w:rFonts w:eastAsiaTheme="minorHAnsi"/>
          <w:color w:val="000000"/>
          <w:sz w:val="23"/>
          <w:szCs w:val="23"/>
          <w:lang w:eastAsia="en-US"/>
        </w:rPr>
      </w:pPr>
      <w:r>
        <w:rPr>
          <w:rFonts w:eastAsiaTheme="minorHAnsi"/>
          <w:b/>
          <w:bCs/>
          <w:color w:val="000000"/>
          <w:sz w:val="23"/>
          <w:szCs w:val="23"/>
          <w:lang w:eastAsia="en-US"/>
        </w:rPr>
        <w:t xml:space="preserve">DA SESSÃO PÚBLICA DO PREGÃO ELETRÔNICO: </w:t>
      </w:r>
    </w:p>
    <w:p w14:paraId="5A28A5CB">
      <w:pPr>
        <w:pStyle w:val="40"/>
        <w:autoSpaceDE w:val="0"/>
        <w:autoSpaceDN w:val="0"/>
        <w:adjustRightInd w:val="0"/>
        <w:ind w:left="0"/>
        <w:rPr>
          <w:rFonts w:eastAsiaTheme="minorHAnsi"/>
          <w:b/>
          <w:bCs/>
          <w:color w:val="000000"/>
          <w:sz w:val="23"/>
          <w:szCs w:val="23"/>
          <w:lang w:eastAsia="en-US"/>
        </w:rPr>
      </w:pPr>
      <w:r>
        <w:rPr>
          <w:rFonts w:eastAsiaTheme="minorHAnsi"/>
          <w:b/>
          <w:bCs/>
          <w:color w:val="000000"/>
          <w:sz w:val="23"/>
          <w:szCs w:val="23"/>
          <w:lang w:eastAsia="en-US"/>
        </w:rPr>
        <w:t xml:space="preserve">DIA: 03 de setembro de 2024 </w:t>
      </w:r>
    </w:p>
    <w:p w14:paraId="646D53F5">
      <w:pPr>
        <w:pStyle w:val="40"/>
        <w:autoSpaceDE w:val="0"/>
        <w:autoSpaceDN w:val="0"/>
        <w:adjustRightInd w:val="0"/>
        <w:ind w:left="0"/>
        <w:rPr>
          <w:rFonts w:eastAsiaTheme="minorHAnsi"/>
          <w:color w:val="000000"/>
          <w:sz w:val="23"/>
          <w:szCs w:val="23"/>
          <w:lang w:eastAsia="en-US"/>
        </w:rPr>
      </w:pPr>
      <w:r>
        <w:rPr>
          <w:rFonts w:eastAsiaTheme="minorHAnsi"/>
          <w:b/>
          <w:bCs/>
          <w:color w:val="000000"/>
          <w:sz w:val="23"/>
          <w:szCs w:val="23"/>
          <w:lang w:eastAsia="en-US"/>
        </w:rPr>
        <w:t xml:space="preserve">HORÁRIO: 10h (horário de Brasília/DF) </w:t>
      </w:r>
    </w:p>
    <w:p w14:paraId="513AB778">
      <w:pPr>
        <w:pStyle w:val="40"/>
        <w:ind w:left="0"/>
        <w:jc w:val="both"/>
        <w:rPr>
          <w:sz w:val="20"/>
        </w:rPr>
      </w:pPr>
      <w:r>
        <w:rPr>
          <w:rFonts w:eastAsiaTheme="minorHAnsi"/>
          <w:b/>
          <w:bCs/>
          <w:color w:val="000000"/>
          <w:sz w:val="23"/>
          <w:szCs w:val="23"/>
          <w:lang w:eastAsia="en-US"/>
        </w:rPr>
        <w:t xml:space="preserve">ENDEREÇO ELETRÔNICO: </w:t>
      </w:r>
      <w:r>
        <w:rPr>
          <w:sz w:val="20"/>
        </w:rPr>
        <w:t xml:space="preserve">. </w:t>
      </w:r>
      <w:r>
        <w:fldChar w:fldCharType="begin"/>
      </w:r>
      <w:r>
        <w:instrText xml:space="preserve"> HYPERLINK "http://www.portaldecompraspublicas.com.br" </w:instrText>
      </w:r>
      <w:r>
        <w:fldChar w:fldCharType="separate"/>
      </w:r>
      <w:r>
        <w:rPr>
          <w:rStyle w:val="12"/>
          <w:sz w:val="20"/>
        </w:rPr>
        <w:t>www.portaldecompraspublicas.com.br</w:t>
      </w:r>
      <w:r>
        <w:rPr>
          <w:rStyle w:val="12"/>
          <w:sz w:val="20"/>
        </w:rPr>
        <w:fldChar w:fldCharType="end"/>
      </w:r>
      <w:r>
        <w:rPr>
          <w:sz w:val="20"/>
        </w:rPr>
        <w:t>.</w:t>
      </w:r>
    </w:p>
    <w:p w14:paraId="06C0DA11">
      <w:pPr>
        <w:pStyle w:val="40"/>
        <w:ind w:left="0"/>
        <w:jc w:val="both"/>
        <w:rPr>
          <w:sz w:val="20"/>
        </w:rPr>
      </w:pPr>
    </w:p>
    <w:p w14:paraId="30989986">
      <w:pPr>
        <w:pStyle w:val="40"/>
        <w:numPr>
          <w:ilvl w:val="0"/>
          <w:numId w:val="2"/>
        </w:numPr>
        <w:spacing w:before="240" w:after="240"/>
        <w:contextualSpacing w:val="0"/>
        <w:jc w:val="both"/>
        <w:rPr>
          <w:b/>
          <w:sz w:val="20"/>
          <w:u w:val="single"/>
        </w:rPr>
      </w:pPr>
      <w:r>
        <w:rPr>
          <w:b/>
          <w:sz w:val="20"/>
          <w:u w:val="single"/>
        </w:rPr>
        <w:t>DO OBJETO</w:t>
      </w:r>
    </w:p>
    <w:p w14:paraId="4F280E65">
      <w:pPr>
        <w:numPr>
          <w:ilvl w:val="1"/>
          <w:numId w:val="2"/>
        </w:numPr>
        <w:spacing w:before="240" w:after="240"/>
        <w:jc w:val="both"/>
        <w:rPr>
          <w:sz w:val="20"/>
        </w:rPr>
      </w:pPr>
      <w:r>
        <w:rPr>
          <w:sz w:val="20"/>
        </w:rPr>
        <w:t xml:space="preserve">O objeto desta licitação é a seleção de proposta visando a </w:t>
      </w:r>
      <w:r>
        <w:t xml:space="preserve">Contratação </w:t>
      </w:r>
      <w:r>
        <w:rPr>
          <w:szCs w:val="22"/>
        </w:rPr>
        <w:t>de empresa para o fornecimento de medicamentos hospitalar, de forma parcelada, de interesse do Fundo Municipal de Saúde, do município de Trizidela do Vale (MA)</w:t>
      </w:r>
      <w:r>
        <w:rPr>
          <w:sz w:val="20"/>
        </w:rPr>
        <w:t>, do município de Trizidela do Vale (MA), conforme especificações e quantidades estabelecidas no Termo de Referência e neste Edital e seus Anexos.</w:t>
      </w:r>
    </w:p>
    <w:p w14:paraId="52CA23C9">
      <w:pPr>
        <w:numPr>
          <w:ilvl w:val="1"/>
          <w:numId w:val="2"/>
        </w:numPr>
        <w:spacing w:before="240" w:after="240"/>
        <w:jc w:val="both"/>
        <w:rPr>
          <w:sz w:val="20"/>
        </w:rPr>
      </w:pPr>
      <w:r>
        <w:rPr>
          <w:sz w:val="20"/>
        </w:rPr>
        <w:t>A licitação será dividida em itens, conforme tabela constante do Termo de Referência.</w:t>
      </w:r>
    </w:p>
    <w:p w14:paraId="043A733B">
      <w:pPr>
        <w:pStyle w:val="40"/>
        <w:numPr>
          <w:ilvl w:val="0"/>
          <w:numId w:val="2"/>
        </w:numPr>
        <w:spacing w:before="240" w:after="240"/>
        <w:contextualSpacing w:val="0"/>
        <w:jc w:val="both"/>
        <w:rPr>
          <w:b/>
          <w:sz w:val="18"/>
          <w:szCs w:val="18"/>
          <w:u w:val="single"/>
        </w:rPr>
      </w:pPr>
      <w:r>
        <w:rPr>
          <w:b/>
          <w:sz w:val="18"/>
          <w:szCs w:val="18"/>
          <w:u w:val="single"/>
        </w:rPr>
        <w:t>DA PARTICIPAÇÃO NO PREGÃO</w:t>
      </w:r>
    </w:p>
    <w:p w14:paraId="51635F65">
      <w:pPr>
        <w:pStyle w:val="40"/>
        <w:numPr>
          <w:ilvl w:val="1"/>
          <w:numId w:val="2"/>
        </w:numPr>
        <w:spacing w:before="240" w:after="240"/>
        <w:contextualSpacing w:val="0"/>
        <w:jc w:val="both"/>
        <w:rPr>
          <w:sz w:val="20"/>
        </w:rPr>
      </w:pPr>
      <w:r>
        <w:rPr>
          <w:sz w:val="20"/>
        </w:rPr>
        <w:t>Poderão participar deste Pregão interessados que estiverem previamente credenciados no PORTAL DE COMPRAS PÚBLICAS. (</w:t>
      </w:r>
      <w:r>
        <w:fldChar w:fldCharType="begin"/>
      </w:r>
      <w:r>
        <w:instrText xml:space="preserve"> HYPERLINK "http://www.portaldecompraspublicas.com.br" </w:instrText>
      </w:r>
      <w:r>
        <w:fldChar w:fldCharType="separate"/>
      </w:r>
      <w:r>
        <w:rPr>
          <w:rStyle w:val="12"/>
          <w:sz w:val="20"/>
        </w:rPr>
        <w:t>www.portaldecompraspublicas.com.br</w:t>
      </w:r>
      <w:r>
        <w:rPr>
          <w:rStyle w:val="12"/>
          <w:sz w:val="20"/>
        </w:rPr>
        <w:fldChar w:fldCharType="end"/>
      </w:r>
      <w:r>
        <w:rPr>
          <w:sz w:val="20"/>
        </w:rPr>
        <w:t>.)</w:t>
      </w:r>
    </w:p>
    <w:p w14:paraId="6C4F9209">
      <w:pPr>
        <w:pStyle w:val="40"/>
        <w:numPr>
          <w:ilvl w:val="1"/>
          <w:numId w:val="2"/>
        </w:numPr>
        <w:spacing w:before="240" w:after="240"/>
        <w:contextualSpacing w:val="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A25622">
      <w:pPr>
        <w:pStyle w:val="40"/>
        <w:numPr>
          <w:ilvl w:val="1"/>
          <w:numId w:val="2"/>
        </w:numPr>
        <w:spacing w:before="240" w:after="240"/>
        <w:contextualSpacing w:val="0"/>
        <w:jc w:val="both"/>
        <w:rPr>
          <w:sz w:val="20"/>
        </w:rPr>
      </w:pPr>
      <w:r>
        <w:rPr>
          <w:sz w:val="2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5CF41B9">
      <w:pPr>
        <w:pStyle w:val="40"/>
        <w:numPr>
          <w:ilvl w:val="1"/>
          <w:numId w:val="2"/>
        </w:numPr>
        <w:spacing w:before="240" w:after="240"/>
        <w:contextualSpacing w:val="0"/>
        <w:jc w:val="both"/>
        <w:rPr>
          <w:sz w:val="20"/>
        </w:rPr>
      </w:pPr>
      <w:r>
        <w:rPr>
          <w:sz w:val="20"/>
        </w:rPr>
        <w:t>A não observância do disposto no item anterior poderá ensejar desclassificação no momento da habilitação.</w:t>
      </w:r>
    </w:p>
    <w:p w14:paraId="1903C402">
      <w:pPr>
        <w:pStyle w:val="40"/>
        <w:numPr>
          <w:ilvl w:val="1"/>
          <w:numId w:val="2"/>
        </w:numPr>
        <w:spacing w:before="240" w:after="240"/>
        <w:contextualSpacing w:val="0"/>
        <w:jc w:val="both"/>
        <w:rPr>
          <w:sz w:val="20"/>
        </w:rPr>
      </w:pPr>
      <w:r>
        <w:rPr>
          <w:sz w:val="20"/>
        </w:rPr>
        <w:t xml:space="preserve">Será concedido tratamento favorecido para as microempresas e empresas de pequeno porte,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2"/>
          <w:sz w:val="20"/>
        </w:rPr>
        <w:t>Lei Complementar nº 123, de 2006</w:t>
      </w:r>
      <w:r>
        <w:rPr>
          <w:rStyle w:val="12"/>
          <w:sz w:val="20"/>
        </w:rPr>
        <w:fldChar w:fldCharType="end"/>
      </w:r>
      <w:r>
        <w:rPr>
          <w:sz w:val="20"/>
        </w:rPr>
        <w:t xml:space="preserve"> e do Decreto n.º 8.538, de 2015.</w:t>
      </w:r>
    </w:p>
    <w:p w14:paraId="40833A0C">
      <w:pPr>
        <w:pStyle w:val="40"/>
        <w:numPr>
          <w:ilvl w:val="1"/>
          <w:numId w:val="2"/>
        </w:numPr>
        <w:spacing w:before="240" w:after="240"/>
        <w:contextualSpacing w:val="0"/>
        <w:jc w:val="both"/>
        <w:rPr>
          <w:sz w:val="20"/>
        </w:rPr>
      </w:pPr>
      <w:bookmarkStart w:id="0" w:name="_Ref117000692"/>
      <w:r>
        <w:rPr>
          <w:sz w:val="20"/>
        </w:rPr>
        <w:t>Não poderão disputar esta licitação:</w:t>
      </w:r>
      <w:bookmarkEnd w:id="0"/>
    </w:p>
    <w:p w14:paraId="0556B67B">
      <w:pPr>
        <w:pStyle w:val="40"/>
        <w:numPr>
          <w:ilvl w:val="2"/>
          <w:numId w:val="2"/>
        </w:numPr>
        <w:spacing w:before="240" w:after="240"/>
        <w:contextualSpacing w:val="0"/>
        <w:jc w:val="both"/>
        <w:rPr>
          <w:sz w:val="20"/>
        </w:rPr>
      </w:pPr>
      <w:bookmarkStart w:id="1" w:name="_Ref113883338"/>
      <w:r>
        <w:rPr>
          <w:sz w:val="20"/>
        </w:rPr>
        <w:t>aquele que não atenda às condições deste Edital e seu(s) anexo(s);</w:t>
      </w:r>
    </w:p>
    <w:p w14:paraId="6AA3312C">
      <w:pPr>
        <w:pStyle w:val="40"/>
        <w:numPr>
          <w:ilvl w:val="2"/>
          <w:numId w:val="2"/>
        </w:numPr>
        <w:spacing w:before="240" w:after="240"/>
        <w:contextualSpacing w:val="0"/>
        <w:jc w:val="both"/>
        <w:rPr>
          <w:sz w:val="20"/>
        </w:rPr>
      </w:pPr>
      <w:bookmarkStart w:id="2" w:name="_Ref114659912"/>
      <w:r>
        <w:rPr>
          <w:sz w:val="20"/>
        </w:rPr>
        <w:t>autor do anteprojeto, do projeto básico ou do projeto executivo, pessoa física ou jurídica, quando a licitação versar sobre serviços ou fornecimento de bens a ele relacionados;</w:t>
      </w:r>
      <w:bookmarkEnd w:id="1"/>
      <w:bookmarkEnd w:id="2"/>
    </w:p>
    <w:p w14:paraId="11A2506F">
      <w:pPr>
        <w:pStyle w:val="40"/>
        <w:numPr>
          <w:ilvl w:val="2"/>
          <w:numId w:val="2"/>
        </w:numPr>
        <w:spacing w:before="240" w:after="240"/>
        <w:contextualSpacing w:val="0"/>
        <w:jc w:val="both"/>
        <w:rPr>
          <w:sz w:val="20"/>
        </w:rPr>
      </w:pPr>
      <w:bookmarkStart w:id="3" w:name="_Ref114659913"/>
      <w:bookmarkStart w:id="4" w:name="_Ref113883339"/>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Pr>
          <w:sz w:val="20"/>
        </w:rPr>
        <w:t xml:space="preserve"> </w:t>
      </w:r>
      <w:bookmarkEnd w:id="4"/>
    </w:p>
    <w:p w14:paraId="1AF477EF">
      <w:pPr>
        <w:pStyle w:val="40"/>
        <w:numPr>
          <w:ilvl w:val="2"/>
          <w:numId w:val="2"/>
        </w:numPr>
        <w:spacing w:before="240" w:after="240"/>
        <w:contextualSpacing w:val="0"/>
        <w:jc w:val="both"/>
        <w:rPr>
          <w:sz w:val="20"/>
        </w:rPr>
      </w:pPr>
      <w:bookmarkStart w:id="5" w:name="_Ref113883003"/>
      <w:r>
        <w:rPr>
          <w:sz w:val="20"/>
        </w:rPr>
        <w:t>pessoa física ou jurídica que se encontre, ao tempo da licitação, impossibilitada de participar da licitação em decorrência de sanção que lhe foi imposta;</w:t>
      </w:r>
      <w:bookmarkEnd w:id="5"/>
    </w:p>
    <w:p w14:paraId="2FA9DBD9">
      <w:pPr>
        <w:pStyle w:val="40"/>
        <w:numPr>
          <w:ilvl w:val="2"/>
          <w:numId w:val="2"/>
        </w:numPr>
        <w:spacing w:before="240" w:after="240"/>
        <w:contextualSpacing w:val="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63ED60">
      <w:pPr>
        <w:pStyle w:val="40"/>
        <w:numPr>
          <w:ilvl w:val="2"/>
          <w:numId w:val="2"/>
        </w:numPr>
        <w:spacing w:before="240" w:after="240"/>
        <w:contextualSpacing w:val="0"/>
        <w:jc w:val="both"/>
        <w:rPr>
          <w:sz w:val="20"/>
        </w:rPr>
      </w:pPr>
      <w:bookmarkStart w:id="6" w:name="_Ref113883579"/>
      <w:r>
        <w:rPr>
          <w:sz w:val="20"/>
        </w:rPr>
        <w:t>empresas controladoras, controladas ou coligadas, nos termos da Lei nº 6.404, de 15 de dezembro de 1976, concorrendo entre si;</w:t>
      </w:r>
      <w:bookmarkEnd w:id="6"/>
    </w:p>
    <w:p w14:paraId="6E9631AC">
      <w:pPr>
        <w:pStyle w:val="40"/>
        <w:numPr>
          <w:ilvl w:val="2"/>
          <w:numId w:val="2"/>
        </w:numPr>
        <w:spacing w:before="240" w:after="240"/>
        <w:contextualSpacing w:val="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FC7D5C">
      <w:pPr>
        <w:pStyle w:val="40"/>
        <w:numPr>
          <w:ilvl w:val="2"/>
          <w:numId w:val="2"/>
        </w:numPr>
        <w:spacing w:before="240" w:after="240"/>
        <w:contextualSpacing w:val="0"/>
        <w:jc w:val="both"/>
        <w:rPr>
          <w:sz w:val="20"/>
        </w:rPr>
      </w:pPr>
      <w:bookmarkStart w:id="7" w:name="_Ref113962336"/>
      <w:r>
        <w:rPr>
          <w:sz w:val="20"/>
        </w:rPr>
        <w:t>agente público do órgão ou entidade licitante;</w:t>
      </w:r>
      <w:bookmarkEnd w:id="7"/>
    </w:p>
    <w:p w14:paraId="7B61FF38">
      <w:pPr>
        <w:pStyle w:val="40"/>
        <w:numPr>
          <w:ilvl w:val="2"/>
          <w:numId w:val="2"/>
        </w:numPr>
        <w:spacing w:before="240" w:after="240"/>
        <w:contextualSpacing w:val="0"/>
        <w:jc w:val="both"/>
        <w:rPr>
          <w:sz w:val="20"/>
        </w:rPr>
      </w:pPr>
      <w:r>
        <w:rPr>
          <w:sz w:val="20"/>
        </w:rPr>
        <w:t>Organizações da Sociedade Civil de Interesse Público - OSCIP, atuando nessa condição;</w:t>
      </w:r>
    </w:p>
    <w:p w14:paraId="79890E83">
      <w:pPr>
        <w:pStyle w:val="40"/>
        <w:numPr>
          <w:ilvl w:val="2"/>
          <w:numId w:val="2"/>
        </w:numPr>
        <w:spacing w:before="240" w:after="240"/>
        <w:contextualSpacing w:val="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2"/>
          <w:sz w:val="20"/>
        </w:rPr>
        <w:t>§ 1º do art. 9º da Lei nº 14.133, de 2021</w:t>
      </w:r>
      <w:r>
        <w:rPr>
          <w:rStyle w:val="12"/>
          <w:sz w:val="20"/>
        </w:rPr>
        <w:fldChar w:fldCharType="end"/>
      </w:r>
      <w:r>
        <w:rPr>
          <w:sz w:val="20"/>
        </w:rPr>
        <w:t>.</w:t>
      </w:r>
    </w:p>
    <w:p w14:paraId="19FEAB82">
      <w:pPr>
        <w:pStyle w:val="40"/>
        <w:numPr>
          <w:ilvl w:val="2"/>
          <w:numId w:val="2"/>
        </w:numPr>
        <w:spacing w:before="240" w:after="240"/>
        <w:contextualSpacing w:val="0"/>
        <w:jc w:val="both"/>
        <w:rPr>
          <w:sz w:val="20"/>
        </w:rPr>
      </w:pPr>
      <w:r>
        <w:rPr>
          <w:sz w:val="20"/>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A064DB3">
      <w:pPr>
        <w:pStyle w:val="40"/>
        <w:numPr>
          <w:ilvl w:val="2"/>
          <w:numId w:val="2"/>
        </w:numPr>
        <w:spacing w:before="240" w:after="240"/>
        <w:contextualSpacing w:val="0"/>
        <w:jc w:val="both"/>
        <w:rPr>
          <w:sz w:val="20"/>
        </w:rPr>
      </w:pPr>
      <w:bookmarkStart w:id="8" w:name="art14§2"/>
      <w:bookmarkEnd w:id="8"/>
      <w:r>
        <w:rPr>
          <w:sz w:val="20"/>
        </w:rPr>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3EDFC410">
      <w:pPr>
        <w:pStyle w:val="40"/>
        <w:numPr>
          <w:ilvl w:val="1"/>
          <w:numId w:val="2"/>
        </w:numPr>
        <w:spacing w:before="240" w:after="240"/>
        <w:contextualSpacing w:val="0"/>
        <w:jc w:val="both"/>
        <w:rPr>
          <w:sz w:val="20"/>
        </w:rPr>
      </w:pPr>
      <w:bookmarkStart w:id="9" w:name="art14§3"/>
      <w:bookmarkEnd w:id="9"/>
      <w:bookmarkStart w:id="10" w:name="art14§4"/>
      <w:bookmarkEnd w:id="10"/>
      <w:r>
        <w:rPr>
          <w:sz w:val="20"/>
        </w:rPr>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9717334">
      <w:pPr>
        <w:pStyle w:val="40"/>
        <w:numPr>
          <w:ilvl w:val="1"/>
          <w:numId w:val="2"/>
        </w:numPr>
        <w:spacing w:before="240" w:after="240"/>
        <w:contextualSpacing w:val="0"/>
        <w:jc w:val="both"/>
        <w:rPr>
          <w:sz w:val="20"/>
        </w:rPr>
      </w:pPr>
      <w:bookmarkStart w:id="11" w:name="art14§5"/>
      <w:bookmarkEnd w:id="11"/>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2"/>
          <w:sz w:val="20"/>
        </w:rPr>
        <w:t>Lei nº 14.133/2021</w:t>
      </w:r>
      <w:r>
        <w:rPr>
          <w:rStyle w:val="12"/>
          <w:sz w:val="20"/>
        </w:rPr>
        <w:fldChar w:fldCharType="end"/>
      </w:r>
      <w:r>
        <w:rPr>
          <w:sz w:val="20"/>
        </w:rPr>
        <w:t>.</w:t>
      </w:r>
    </w:p>
    <w:p w14:paraId="005D601F">
      <w:pPr>
        <w:pStyle w:val="40"/>
        <w:numPr>
          <w:ilvl w:val="1"/>
          <w:numId w:val="2"/>
        </w:numPr>
        <w:spacing w:before="240" w:after="240"/>
        <w:contextualSpacing w:val="0"/>
        <w:jc w:val="both"/>
        <w:rPr>
          <w:sz w:val="20"/>
        </w:rPr>
      </w:pPr>
      <w:r>
        <w:rPr>
          <w:sz w:val="20"/>
        </w:rPr>
        <w:t xml:space="preserve"> A vedação de que trata o item 2.7.8. estende-se a terceiro que auxilie a condução da contratação na qualidade de integrante de equipe de apoio, profissional especializado ou funcionário ou representante de empresa que preste assessoria técnica.</w:t>
      </w:r>
    </w:p>
    <w:p w14:paraId="193D2AA7">
      <w:pPr>
        <w:pStyle w:val="40"/>
        <w:numPr>
          <w:ilvl w:val="0"/>
          <w:numId w:val="2"/>
        </w:numPr>
        <w:spacing w:before="240" w:after="240"/>
        <w:contextualSpacing w:val="0"/>
        <w:jc w:val="both"/>
        <w:rPr>
          <w:b/>
          <w:bCs/>
          <w:sz w:val="20"/>
          <w:u w:val="single"/>
        </w:rPr>
      </w:pPr>
      <w:bookmarkStart w:id="12" w:name="_Toc135469226"/>
      <w:r>
        <w:rPr>
          <w:b/>
          <w:bCs/>
          <w:sz w:val="20"/>
          <w:u w:val="single"/>
        </w:rPr>
        <w:t>DA APRESENTAÇÃO DA PROPOSTA E DOS DOCUMENTOS DE HABILITAÇÃO</w:t>
      </w:r>
      <w:bookmarkEnd w:id="12"/>
    </w:p>
    <w:p w14:paraId="5A9A14A5">
      <w:pPr>
        <w:pStyle w:val="40"/>
        <w:numPr>
          <w:ilvl w:val="1"/>
          <w:numId w:val="2"/>
        </w:numPr>
        <w:spacing w:before="240" w:after="240"/>
        <w:contextualSpacing w:val="0"/>
        <w:jc w:val="both"/>
        <w:rPr>
          <w:sz w:val="20"/>
        </w:rPr>
      </w:pPr>
      <w:r>
        <w:rPr>
          <w:sz w:val="20"/>
        </w:rPr>
        <w:t>Na presente licitação, a fase de habilitação sucederá as fases de apresentação de propostas e lances e de julgamento.</w:t>
      </w:r>
    </w:p>
    <w:p w14:paraId="6416ED30">
      <w:pPr>
        <w:pStyle w:val="40"/>
        <w:numPr>
          <w:ilvl w:val="1"/>
          <w:numId w:val="2"/>
        </w:numPr>
        <w:spacing w:before="240" w:after="240"/>
        <w:contextualSpacing w:val="0"/>
        <w:jc w:val="both"/>
        <w:rPr>
          <w:sz w:val="20"/>
        </w:rPr>
      </w:pPr>
      <w:bookmarkStart w:id="13" w:name="_Ref113886867"/>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5E964864">
      <w:pPr>
        <w:pStyle w:val="40"/>
        <w:numPr>
          <w:ilvl w:val="1"/>
          <w:numId w:val="2"/>
        </w:numPr>
        <w:spacing w:before="240" w:after="240"/>
        <w:contextualSpacing w:val="0"/>
        <w:jc w:val="both"/>
        <w:rPr>
          <w:sz w:val="20"/>
        </w:rPr>
      </w:pPr>
      <w:bookmarkStart w:id="14" w:name="_Ref113968921"/>
      <w:r>
        <w:rPr>
          <w:sz w:val="20"/>
        </w:rPr>
        <w:t>No cadastramento da proposta inicial, o licitante declarará, em campo próprio do sistema, que:</w:t>
      </w:r>
      <w:bookmarkEnd w:id="14"/>
    </w:p>
    <w:p w14:paraId="46640B21">
      <w:pPr>
        <w:pStyle w:val="40"/>
        <w:numPr>
          <w:ilvl w:val="2"/>
          <w:numId w:val="2"/>
        </w:numPr>
        <w:spacing w:before="240" w:after="240"/>
        <w:contextualSpacing w:val="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0BD2EC">
      <w:pPr>
        <w:pStyle w:val="40"/>
        <w:numPr>
          <w:ilvl w:val="2"/>
          <w:numId w:val="2"/>
        </w:numPr>
        <w:spacing w:before="240" w:after="240"/>
        <w:contextualSpacing w:val="0"/>
        <w:jc w:val="both"/>
        <w:rPr>
          <w:sz w:val="20"/>
        </w:rPr>
      </w:pPr>
      <w:r>
        <w:rPr>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2"/>
          <w:sz w:val="20"/>
        </w:rPr>
        <w:t>artigo 7°, XXXIII, da Constituição</w:t>
      </w:r>
      <w:r>
        <w:rPr>
          <w:rStyle w:val="12"/>
          <w:sz w:val="20"/>
        </w:rPr>
        <w:fldChar w:fldCharType="end"/>
      </w:r>
      <w:r>
        <w:rPr>
          <w:sz w:val="20"/>
        </w:rPr>
        <w:t>;</w:t>
      </w:r>
    </w:p>
    <w:p w14:paraId="6BA76AB8">
      <w:pPr>
        <w:pStyle w:val="40"/>
        <w:numPr>
          <w:ilvl w:val="2"/>
          <w:numId w:val="2"/>
        </w:numPr>
        <w:spacing w:before="240" w:after="240"/>
        <w:contextualSpacing w:val="0"/>
        <w:jc w:val="both"/>
        <w:rPr>
          <w:sz w:val="20"/>
        </w:rPr>
      </w:pPr>
      <w:r>
        <w:rPr>
          <w:sz w:val="20"/>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2"/>
          <w:sz w:val="20"/>
        </w:rPr>
        <w:t>incisos III e IV do art. 1º e no inciso III do art. 5º da Constituição Federal</w:t>
      </w:r>
      <w:r>
        <w:rPr>
          <w:rStyle w:val="12"/>
          <w:sz w:val="20"/>
        </w:rPr>
        <w:fldChar w:fldCharType="end"/>
      </w:r>
      <w:r>
        <w:rPr>
          <w:sz w:val="20"/>
        </w:rPr>
        <w:t>;</w:t>
      </w:r>
    </w:p>
    <w:p w14:paraId="10B5FD86">
      <w:pPr>
        <w:pStyle w:val="40"/>
        <w:numPr>
          <w:ilvl w:val="2"/>
          <w:numId w:val="2"/>
        </w:numPr>
        <w:spacing w:before="240" w:after="240"/>
        <w:contextualSpacing w:val="0"/>
        <w:jc w:val="both"/>
        <w:rPr>
          <w:sz w:val="20"/>
        </w:rPr>
      </w:pPr>
      <w:r>
        <w:rPr>
          <w:sz w:val="20"/>
        </w:rPr>
        <w:t>cumpre as exigências de reserva de cargos para pessoa com deficiência e para reabilitado da Previdência Social, previstas em lei e em outras normas específicas.</w:t>
      </w:r>
    </w:p>
    <w:p w14:paraId="30CBA7B7">
      <w:pPr>
        <w:pStyle w:val="40"/>
        <w:numPr>
          <w:ilvl w:val="1"/>
          <w:numId w:val="2"/>
        </w:numPr>
        <w:spacing w:before="240" w:after="240"/>
        <w:contextualSpacing w:val="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2"/>
          <w:sz w:val="20"/>
        </w:rPr>
        <w:t>artigo 16 da Lei nº 14.133, de 2021</w:t>
      </w:r>
      <w:r>
        <w:rPr>
          <w:rStyle w:val="12"/>
          <w:sz w:val="20"/>
        </w:rPr>
        <w:fldChar w:fldCharType="end"/>
      </w:r>
      <w:r>
        <w:rPr>
          <w:sz w:val="20"/>
        </w:rPr>
        <w:t>.</w:t>
      </w:r>
    </w:p>
    <w:p w14:paraId="0FEDED80">
      <w:pPr>
        <w:pStyle w:val="40"/>
        <w:numPr>
          <w:ilvl w:val="1"/>
          <w:numId w:val="2"/>
        </w:numPr>
        <w:spacing w:before="240" w:after="240"/>
        <w:contextualSpacing w:val="0"/>
        <w:jc w:val="both"/>
        <w:rPr>
          <w:sz w:val="20"/>
        </w:rPr>
      </w:pPr>
      <w:bookmarkStart w:id="15" w:name="_Ref117000019"/>
      <w:r>
        <w:rPr>
          <w:sz w:val="20"/>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2"/>
          <w:sz w:val="20"/>
        </w:rPr>
        <w:t>artigo 3° da Lei Complementar nº 123, de 2006</w:t>
      </w:r>
      <w:r>
        <w:rPr>
          <w:rStyle w:val="12"/>
          <w:sz w:val="20"/>
        </w:rPr>
        <w:fldChar w:fldCharType="end"/>
      </w:r>
      <w:r>
        <w:rPr>
          <w:sz w:val="20"/>
        </w:rPr>
        <w:t xml:space="preserve">, estando apto a usufruir do tratamento favorecido estabelecido em seus </w:t>
      </w:r>
      <w:bookmarkEnd w:id="15"/>
      <w:r>
        <w:rPr>
          <w:sz w:val="20"/>
        </w:rPr>
        <w:fldChar w:fldCharType="begin"/>
      </w:r>
      <w:r>
        <w:rPr>
          <w:sz w:val="20"/>
        </w:rPr>
        <w:instrText xml:space="preserve">HYPERLINK "https://www.planalto.gov.br/ccivil_03/leis/lcp/lcp123.htm" \l "art42"</w:instrText>
      </w:r>
      <w:r>
        <w:rPr>
          <w:sz w:val="20"/>
        </w:rPr>
        <w:fldChar w:fldCharType="separate"/>
      </w:r>
      <w:r>
        <w:rPr>
          <w:rStyle w:val="12"/>
          <w:sz w:val="20"/>
        </w:rPr>
        <w:t>arts. 42 a 49</w:t>
      </w:r>
      <w:r>
        <w:rPr>
          <w:sz w:val="20"/>
        </w:rPr>
        <w:fldChar w:fldCharType="end"/>
      </w:r>
      <w:r>
        <w:rPr>
          <w:sz w:val="20"/>
        </w:rPr>
        <w:t xml:space="preserve">, observado o disposto nos </w:t>
      </w:r>
      <w:r>
        <w:fldChar w:fldCharType="begin"/>
      </w:r>
      <w:r>
        <w:instrText xml:space="preserve"> HYPERLINK "http://www.planalto.gov.br/ccivil_03/_ato2019-2022/2021/lei/L14133.htm" \l "art4§1" \h </w:instrText>
      </w:r>
      <w:r>
        <w:fldChar w:fldCharType="separate"/>
      </w:r>
      <w:r>
        <w:rPr>
          <w:rStyle w:val="12"/>
          <w:sz w:val="20"/>
        </w:rPr>
        <w:t>§§ 1º ao 3º do art. 4º, da Lei n.º 14.133, de 2021.</w:t>
      </w:r>
      <w:r>
        <w:rPr>
          <w:rStyle w:val="12"/>
          <w:sz w:val="20"/>
        </w:rPr>
        <w:fldChar w:fldCharType="end"/>
      </w:r>
    </w:p>
    <w:p w14:paraId="35BD0F0F">
      <w:pPr>
        <w:pStyle w:val="40"/>
        <w:numPr>
          <w:ilvl w:val="2"/>
          <w:numId w:val="2"/>
        </w:numPr>
        <w:spacing w:before="240" w:after="240"/>
        <w:contextualSpacing w:val="0"/>
        <w:jc w:val="both"/>
        <w:rPr>
          <w:sz w:val="20"/>
        </w:rPr>
      </w:pPr>
      <w:r>
        <w:rPr>
          <w:sz w:val="20"/>
        </w:rPr>
        <w:t>no item exclusivo para participação de microempresas e empresas de pequeno porte, a assinalação do campo “não” impedirá o prosseguimento no certame, para aquele item.</w:t>
      </w:r>
    </w:p>
    <w:p w14:paraId="30F777D6">
      <w:pPr>
        <w:pStyle w:val="40"/>
        <w:numPr>
          <w:ilvl w:val="2"/>
          <w:numId w:val="2"/>
        </w:numPr>
        <w:spacing w:before="240" w:after="240"/>
        <w:contextualSpacing w:val="0"/>
        <w:jc w:val="both"/>
        <w:rPr>
          <w:sz w:val="20"/>
        </w:rPr>
      </w:pPr>
      <w:r>
        <w:rPr>
          <w:sz w:val="20"/>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2"/>
          <w:sz w:val="20"/>
        </w:rPr>
        <w:t>Lei Complementar nº 123, de 2006</w:t>
      </w:r>
      <w:r>
        <w:rPr>
          <w:rStyle w:val="12"/>
          <w:sz w:val="20"/>
        </w:rPr>
        <w:fldChar w:fldCharType="end"/>
      </w:r>
      <w:r>
        <w:rPr>
          <w:sz w:val="20"/>
        </w:rPr>
        <w:t>, mesmo que microempresa, empresa de pequeno porte.</w:t>
      </w:r>
    </w:p>
    <w:p w14:paraId="20BD07DD">
      <w:pPr>
        <w:pStyle w:val="40"/>
        <w:numPr>
          <w:ilvl w:val="1"/>
          <w:numId w:val="2"/>
        </w:numPr>
        <w:spacing w:before="240" w:after="240"/>
        <w:contextualSpacing w:val="0"/>
        <w:jc w:val="both"/>
        <w:rPr>
          <w:sz w:val="20"/>
        </w:rPr>
      </w:pPr>
      <w:r>
        <w:rPr>
          <w:sz w:val="20"/>
        </w:rPr>
        <w:t xml:space="preserve">A falsidade da declaração de que trata os </w:t>
      </w:r>
      <w:r>
        <w:rPr>
          <w:b/>
          <w:bCs/>
          <w:sz w:val="20"/>
        </w:rPr>
        <w:t>itens 3.3 ou 3.6</w:t>
      </w:r>
      <w:r>
        <w:rPr>
          <w:sz w:val="20"/>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e neste Edital.</w:t>
      </w:r>
    </w:p>
    <w:p w14:paraId="0EE368D4">
      <w:pPr>
        <w:pStyle w:val="40"/>
        <w:numPr>
          <w:ilvl w:val="1"/>
          <w:numId w:val="2"/>
        </w:numPr>
        <w:spacing w:before="240" w:after="240"/>
        <w:contextualSpacing w:val="0"/>
        <w:jc w:val="both"/>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53941B1">
      <w:pPr>
        <w:pStyle w:val="40"/>
        <w:numPr>
          <w:ilvl w:val="1"/>
          <w:numId w:val="2"/>
        </w:numPr>
        <w:spacing w:before="240" w:after="240"/>
        <w:contextualSpacing w:val="0"/>
        <w:jc w:val="both"/>
        <w:rPr>
          <w:sz w:val="20"/>
        </w:rPr>
      </w:pPr>
      <w:r>
        <w:rPr>
          <w:sz w:val="20"/>
        </w:rPr>
        <w:t>Não haverá ordem de classificação na etapa de apresentação da proposta e dos documentos de habilitação pelo licitante, o que ocorrerá somente após os procedimentos de abertura da sessão pública e da fase de envio de lances.</w:t>
      </w:r>
    </w:p>
    <w:p w14:paraId="4099F160">
      <w:pPr>
        <w:pStyle w:val="40"/>
        <w:numPr>
          <w:ilvl w:val="1"/>
          <w:numId w:val="2"/>
        </w:numPr>
        <w:spacing w:before="240" w:after="240"/>
        <w:contextualSpacing w:val="0"/>
        <w:jc w:val="both"/>
        <w:rPr>
          <w:sz w:val="20"/>
        </w:rPr>
      </w:pPr>
      <w:r>
        <w:rPr>
          <w:sz w:val="20"/>
        </w:rPr>
        <w:t>Serão disponibilizados para acesso público os documentos que compõem a proposta dos licitantes convocados para apresentação de propostas, após a fase de envio de lances.</w:t>
      </w:r>
    </w:p>
    <w:p w14:paraId="6CCDD40D">
      <w:pPr>
        <w:pStyle w:val="40"/>
        <w:numPr>
          <w:ilvl w:val="1"/>
          <w:numId w:val="2"/>
        </w:numPr>
        <w:spacing w:before="240" w:after="240"/>
        <w:contextualSpacing w:val="0"/>
        <w:jc w:val="both"/>
        <w:rPr>
          <w:sz w:val="20"/>
        </w:rPr>
      </w:pPr>
      <w:bookmarkStart w:id="16" w:name="_Ref116992247"/>
      <w:r>
        <w:rPr>
          <w:sz w:val="20"/>
        </w:rPr>
        <w:t>Desde que disponibilizada a funcionalidade no sistema, o licitante poderá parametrizar o seu valor final mínimo ou o seu percentual de desconto máximo quando do cadastramento da proposta e obedecerá às seguintes regras:</w:t>
      </w:r>
      <w:bookmarkEnd w:id="16"/>
    </w:p>
    <w:p w14:paraId="2F4CF14F">
      <w:pPr>
        <w:pStyle w:val="40"/>
        <w:numPr>
          <w:ilvl w:val="2"/>
          <w:numId w:val="2"/>
        </w:numPr>
        <w:spacing w:before="240" w:after="240"/>
        <w:contextualSpacing w:val="0"/>
        <w:jc w:val="both"/>
        <w:rPr>
          <w:sz w:val="20"/>
        </w:rPr>
      </w:pPr>
      <w:r>
        <w:rPr>
          <w:sz w:val="20"/>
        </w:rPr>
        <w:t>a aplicação do intervalo mínimo de diferença de valores ou de percentuais entre os lances, que incidirá tanto em relação aos lances intermediários quanto em relação ao lance que cobrir a melhor oferta; e</w:t>
      </w:r>
    </w:p>
    <w:p w14:paraId="35D21D78">
      <w:pPr>
        <w:pStyle w:val="40"/>
        <w:numPr>
          <w:ilvl w:val="2"/>
          <w:numId w:val="2"/>
        </w:numPr>
        <w:spacing w:before="240" w:after="240"/>
        <w:contextualSpacing w:val="0"/>
        <w:jc w:val="both"/>
        <w:rPr>
          <w:sz w:val="20"/>
        </w:rPr>
      </w:pPr>
      <w:r>
        <w:rPr>
          <w:sz w:val="20"/>
        </w:rPr>
        <w:t>os lances serão de envio automático pelo sistema, respeitado o valor final mínimo, caso estabelecido, e o intervalo de que trata o subitem acima</w:t>
      </w:r>
    </w:p>
    <w:p w14:paraId="58C16028">
      <w:pPr>
        <w:pStyle w:val="40"/>
        <w:numPr>
          <w:ilvl w:val="1"/>
          <w:numId w:val="2"/>
        </w:numPr>
        <w:spacing w:before="240" w:after="240"/>
        <w:contextualSpacing w:val="0"/>
        <w:jc w:val="both"/>
        <w:rPr>
          <w:sz w:val="20"/>
        </w:rPr>
      </w:pPr>
      <w:r>
        <w:rPr>
          <w:sz w:val="20"/>
        </w:rPr>
        <w:t>O valor final mínimo ou o percentual de desconto final máximo parametrizado no sistema poderá ser alterado pelo fornecedor durante a fase de disputa, sendo vedado:</w:t>
      </w:r>
    </w:p>
    <w:p w14:paraId="0D92B706">
      <w:pPr>
        <w:pStyle w:val="40"/>
        <w:numPr>
          <w:ilvl w:val="2"/>
          <w:numId w:val="2"/>
        </w:numPr>
        <w:spacing w:before="240" w:after="240"/>
        <w:contextualSpacing w:val="0"/>
        <w:jc w:val="both"/>
        <w:rPr>
          <w:sz w:val="20"/>
        </w:rPr>
      </w:pPr>
      <w:r>
        <w:rPr>
          <w:sz w:val="20"/>
        </w:rPr>
        <w:t>valor superior a lance já registrado pelo fornecedor no sistema, quando adotado o critério de julgamento por menor preço; e</w:t>
      </w:r>
    </w:p>
    <w:p w14:paraId="50842883">
      <w:pPr>
        <w:pStyle w:val="40"/>
        <w:numPr>
          <w:ilvl w:val="2"/>
          <w:numId w:val="2"/>
        </w:numPr>
        <w:spacing w:before="240" w:after="240"/>
        <w:contextualSpacing w:val="0"/>
        <w:jc w:val="both"/>
        <w:rPr>
          <w:sz w:val="20"/>
        </w:rPr>
      </w:pPr>
      <w:r>
        <w:rPr>
          <w:sz w:val="20"/>
        </w:rPr>
        <w:t>percentual de desconto inferior a lance já registrado pelo fornecedor no sistema, quando adotado o critério de julgamento por maior desconto</w:t>
      </w:r>
    </w:p>
    <w:p w14:paraId="7913006E">
      <w:pPr>
        <w:pStyle w:val="40"/>
        <w:numPr>
          <w:ilvl w:val="1"/>
          <w:numId w:val="2"/>
        </w:numPr>
        <w:spacing w:before="240" w:after="240"/>
        <w:contextualSpacing w:val="0"/>
        <w:jc w:val="both"/>
        <w:rPr>
          <w:sz w:val="20"/>
        </w:rPr>
      </w:pPr>
      <w:r>
        <w:rPr>
          <w:sz w:val="20"/>
        </w:rPr>
        <w:t xml:space="preserve">O valor final mínimo ou o percentual de desconto final máximo parametrizado na forma do item </w:t>
      </w:r>
      <w:r>
        <w:rPr>
          <w:sz w:val="20"/>
        </w:rPr>
        <w:fldChar w:fldCharType="begin"/>
      </w:r>
      <w:r>
        <w:rPr>
          <w:sz w:val="20"/>
        </w:rPr>
        <w:instrText xml:space="preserve"> REF _Ref116992247 \r \h  \* MERGEFORMAT </w:instrText>
      </w:r>
      <w:r>
        <w:rPr>
          <w:sz w:val="20"/>
        </w:rPr>
        <w:fldChar w:fldCharType="separate"/>
      </w:r>
      <w:r>
        <w:rPr>
          <w:sz w:val="20"/>
        </w:rPr>
        <w:t>3.10</w:t>
      </w:r>
      <w:r>
        <w:rPr>
          <w:sz w:val="20"/>
        </w:rPr>
        <w:fldChar w:fldCharType="end"/>
      </w:r>
      <w:r>
        <w:rPr>
          <w:sz w:val="20"/>
        </w:rPr>
        <w:t xml:space="preserve"> possuirá caráter sigiloso para os demais fornecedores e para o órgão ou entidade promotora da licitação, podendo ser disponibilizado estrita e permanentemente aos órgãos de controle externo e interno.</w:t>
      </w:r>
    </w:p>
    <w:p w14:paraId="690469CE">
      <w:pPr>
        <w:pStyle w:val="40"/>
        <w:numPr>
          <w:ilvl w:val="1"/>
          <w:numId w:val="2"/>
        </w:numPr>
        <w:spacing w:before="240" w:after="240"/>
        <w:contextualSpacing w:val="0"/>
        <w:jc w:val="both"/>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95BE8C3">
      <w:pPr>
        <w:pStyle w:val="40"/>
        <w:numPr>
          <w:ilvl w:val="1"/>
          <w:numId w:val="2"/>
        </w:numPr>
        <w:spacing w:before="240" w:after="240"/>
        <w:contextualSpacing w:val="0"/>
        <w:jc w:val="both"/>
        <w:rPr>
          <w:sz w:val="20"/>
        </w:rPr>
      </w:pPr>
      <w:r>
        <w:rPr>
          <w:sz w:val="20"/>
        </w:rPr>
        <w:t>O licitante deverá comunicar imediatamente ao provedor do sistema qualquer acontecimento que possa comprometer o sigilo ou a segurança, para imediato bloqueio de acesso.</w:t>
      </w:r>
    </w:p>
    <w:p w14:paraId="1427ED43">
      <w:pPr>
        <w:pStyle w:val="40"/>
        <w:numPr>
          <w:ilvl w:val="0"/>
          <w:numId w:val="2"/>
        </w:numPr>
        <w:spacing w:before="240" w:after="240"/>
        <w:contextualSpacing w:val="0"/>
        <w:jc w:val="both"/>
        <w:rPr>
          <w:b/>
          <w:bCs/>
          <w:sz w:val="20"/>
          <w:u w:val="single"/>
        </w:rPr>
      </w:pPr>
      <w:bookmarkStart w:id="17" w:name="_Toc135469227"/>
      <w:r>
        <w:rPr>
          <w:b/>
          <w:bCs/>
          <w:sz w:val="20"/>
          <w:u w:val="single"/>
        </w:rPr>
        <w:t>DO PREENCHIMENTO DA PROPOSTA</w:t>
      </w:r>
      <w:bookmarkEnd w:id="17"/>
    </w:p>
    <w:p w14:paraId="5AC5CE46">
      <w:pPr>
        <w:pStyle w:val="40"/>
        <w:numPr>
          <w:ilvl w:val="1"/>
          <w:numId w:val="2"/>
        </w:numPr>
        <w:spacing w:before="240" w:after="240"/>
        <w:contextualSpacing w:val="0"/>
        <w:jc w:val="both"/>
        <w:rPr>
          <w:sz w:val="20"/>
        </w:rPr>
      </w:pPr>
      <w:r>
        <w:rPr>
          <w:sz w:val="20"/>
        </w:rPr>
        <w:t>O licitante deverá enviar sua proposta mediante o preenchimento, no sistema eletrônico, dos seguintes campos:</w:t>
      </w:r>
    </w:p>
    <w:p w14:paraId="71873057">
      <w:pPr>
        <w:pStyle w:val="40"/>
        <w:numPr>
          <w:ilvl w:val="2"/>
          <w:numId w:val="2"/>
        </w:numPr>
        <w:spacing w:before="240" w:after="240"/>
        <w:contextualSpacing w:val="0"/>
        <w:jc w:val="both"/>
        <w:rPr>
          <w:sz w:val="20"/>
        </w:rPr>
      </w:pPr>
      <w:r>
        <w:rPr>
          <w:sz w:val="20"/>
        </w:rPr>
        <w:t>valor unitário do item;</w:t>
      </w:r>
    </w:p>
    <w:p w14:paraId="6A565C6F">
      <w:pPr>
        <w:pStyle w:val="40"/>
        <w:numPr>
          <w:ilvl w:val="2"/>
          <w:numId w:val="2"/>
        </w:numPr>
        <w:spacing w:before="240" w:after="240"/>
        <w:contextualSpacing w:val="0"/>
        <w:jc w:val="both"/>
        <w:rPr>
          <w:sz w:val="20"/>
        </w:rPr>
      </w:pPr>
      <w:r>
        <w:rPr>
          <w:sz w:val="20"/>
        </w:rPr>
        <w:t>marca; se for o caso</w:t>
      </w:r>
    </w:p>
    <w:p w14:paraId="0E24FEA5">
      <w:pPr>
        <w:pStyle w:val="40"/>
        <w:numPr>
          <w:ilvl w:val="2"/>
          <w:numId w:val="2"/>
        </w:numPr>
        <w:spacing w:before="240" w:after="240"/>
        <w:contextualSpacing w:val="0"/>
        <w:jc w:val="both"/>
        <w:rPr>
          <w:sz w:val="20"/>
        </w:rPr>
      </w:pPr>
      <w:r>
        <w:rPr>
          <w:sz w:val="20"/>
        </w:rPr>
        <w:t>quantidade cotada, devendo cotar a quantidade total do item.</w:t>
      </w:r>
    </w:p>
    <w:p w14:paraId="3C49BE22">
      <w:pPr>
        <w:pStyle w:val="40"/>
        <w:numPr>
          <w:ilvl w:val="1"/>
          <w:numId w:val="2"/>
        </w:numPr>
        <w:spacing w:before="240" w:after="240"/>
        <w:contextualSpacing w:val="0"/>
        <w:jc w:val="both"/>
        <w:rPr>
          <w:sz w:val="20"/>
        </w:rPr>
      </w:pPr>
      <w:r>
        <w:rPr>
          <w:sz w:val="20"/>
        </w:rPr>
        <w:t>Todas as especificações do objeto contidas na proposta vinculam o licitante.</w:t>
      </w:r>
    </w:p>
    <w:p w14:paraId="740FEF0C">
      <w:pPr>
        <w:pStyle w:val="40"/>
        <w:numPr>
          <w:ilvl w:val="2"/>
          <w:numId w:val="2"/>
        </w:numPr>
        <w:spacing w:before="240" w:after="240"/>
        <w:contextualSpacing w:val="0"/>
        <w:jc w:val="both"/>
        <w:rPr>
          <w:sz w:val="20"/>
        </w:rPr>
      </w:pPr>
      <w:r>
        <w:rPr>
          <w:sz w:val="20"/>
        </w:rPr>
        <w:t>O licitante não poderá oferecer proposta em quantidade inferior ao máximo previsto para contratação.</w:t>
      </w:r>
    </w:p>
    <w:p w14:paraId="22529141">
      <w:pPr>
        <w:pStyle w:val="40"/>
        <w:numPr>
          <w:ilvl w:val="1"/>
          <w:numId w:val="2"/>
        </w:numPr>
        <w:spacing w:before="240" w:after="240"/>
        <w:contextualSpacing w:val="0"/>
        <w:jc w:val="both"/>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549B21AF">
      <w:pPr>
        <w:pStyle w:val="40"/>
        <w:numPr>
          <w:ilvl w:val="1"/>
          <w:numId w:val="2"/>
        </w:numPr>
        <w:spacing w:before="240" w:after="240"/>
        <w:contextualSpacing w:val="0"/>
        <w:jc w:val="both"/>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5E6823D1">
      <w:pPr>
        <w:pStyle w:val="40"/>
        <w:numPr>
          <w:ilvl w:val="1"/>
          <w:numId w:val="2"/>
        </w:numPr>
        <w:spacing w:before="240" w:after="240"/>
        <w:contextualSpacing w:val="0"/>
        <w:jc w:val="both"/>
        <w:rPr>
          <w:sz w:val="20"/>
        </w:rPr>
      </w:pPr>
      <w:r>
        <w:rPr>
          <w:sz w:val="20"/>
        </w:rPr>
        <w:t>Se o regime tributário da empresa implicar o recolhimento de tributos em percentuais variáveis, a cotação adequada será a que corresponde à média dos efetivos recolhimentos da empresa nos últimos doze meses.</w:t>
      </w:r>
    </w:p>
    <w:p w14:paraId="5C3302AF">
      <w:pPr>
        <w:pStyle w:val="40"/>
        <w:numPr>
          <w:ilvl w:val="1"/>
          <w:numId w:val="2"/>
        </w:numPr>
        <w:spacing w:before="240" w:after="240"/>
        <w:contextualSpacing w:val="0"/>
        <w:jc w:val="both"/>
        <w:rPr>
          <w:sz w:val="20"/>
        </w:rPr>
      </w:pPr>
      <w:r>
        <w:rPr>
          <w:sz w:val="20"/>
        </w:rPr>
        <w:t>Independentemente do percentual de tributo inserido na planilha, no pagamento serão retidos na fonte os percentuais estabelecidos na legislação vigente.</w:t>
      </w:r>
    </w:p>
    <w:p w14:paraId="2BFAD3C9">
      <w:pPr>
        <w:pStyle w:val="40"/>
        <w:numPr>
          <w:ilvl w:val="1"/>
          <w:numId w:val="2"/>
        </w:numPr>
        <w:spacing w:before="240" w:after="240"/>
        <w:contextualSpacing w:val="0"/>
        <w:jc w:val="both"/>
        <w:rPr>
          <w:sz w:val="20"/>
        </w:rPr>
      </w:pPr>
      <w:r>
        <w:rPr>
          <w:sz w:val="20"/>
        </w:rPr>
        <w:t>Na presente licitação, a Microempresa e a Empresa de Pequeno Porte poderão se beneficiar do regime de tributação pelo Simples Nacional</w:t>
      </w:r>
    </w:p>
    <w:p w14:paraId="509B8230">
      <w:pPr>
        <w:pStyle w:val="40"/>
        <w:numPr>
          <w:ilvl w:val="1"/>
          <w:numId w:val="2"/>
        </w:numPr>
        <w:spacing w:before="240" w:after="240"/>
        <w:contextualSpacing w:val="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8DE3FCE">
      <w:pPr>
        <w:pStyle w:val="40"/>
        <w:numPr>
          <w:ilvl w:val="1"/>
          <w:numId w:val="2"/>
        </w:numPr>
        <w:spacing w:before="240" w:after="240"/>
        <w:contextualSpacing w:val="0"/>
        <w:jc w:val="both"/>
        <w:rPr>
          <w:sz w:val="20"/>
        </w:rPr>
      </w:pPr>
      <w:r>
        <w:rPr>
          <w:sz w:val="20"/>
        </w:rPr>
        <w:t xml:space="preserve">O prazo de validade da proposta não será inferior a </w:t>
      </w:r>
      <w:r>
        <w:rPr>
          <w:b/>
          <w:bCs/>
          <w:sz w:val="20"/>
        </w:rPr>
        <w:t>60 (sessenta) dias</w:t>
      </w:r>
      <w:r>
        <w:rPr>
          <w:sz w:val="20"/>
        </w:rPr>
        <w:t xml:space="preserve"> a contar da data de sua apresentação.</w:t>
      </w:r>
    </w:p>
    <w:p w14:paraId="0142AFE9">
      <w:pPr>
        <w:pStyle w:val="40"/>
        <w:numPr>
          <w:ilvl w:val="1"/>
          <w:numId w:val="2"/>
        </w:numPr>
        <w:spacing w:before="240" w:after="240"/>
        <w:contextualSpacing w:val="0"/>
        <w:jc w:val="both"/>
        <w:rPr>
          <w:sz w:val="20"/>
        </w:rPr>
      </w:pPr>
      <w:r>
        <w:rPr>
          <w:sz w:val="20"/>
        </w:rPr>
        <w:t>Os licitantes devem respeitar os preços máximos estimados pela administração;</w:t>
      </w:r>
    </w:p>
    <w:p w14:paraId="0B423AC3">
      <w:pPr>
        <w:spacing w:before="240" w:after="240"/>
        <w:jc w:val="both"/>
        <w:rPr>
          <w:sz w:val="20"/>
        </w:rPr>
      </w:pPr>
      <w:r>
        <w:rPr>
          <w:sz w:val="20"/>
        </w:rPr>
        <w:t>O descumprimento das regras supramencionadas pela Administração por parte dos contratados pode ensejar a responsabilização pelo Controle Externo e, após o devido processo legal, gerar as seguintes consequências: assinatura de prazo para a adoção das medidas necessárias ao exato cumprimento da lei, ou condenação dos agentes públicos responsáveis e da empresa contratada ao pagamento dos prejuízos ao erário, caso verificada a ocorrência de superfaturamento por sobrepreço na execução do contrato.</w:t>
      </w:r>
    </w:p>
    <w:p w14:paraId="3857C3CF">
      <w:pPr>
        <w:pStyle w:val="40"/>
        <w:numPr>
          <w:ilvl w:val="0"/>
          <w:numId w:val="2"/>
        </w:numPr>
        <w:spacing w:before="240" w:after="240"/>
        <w:contextualSpacing w:val="0"/>
        <w:jc w:val="both"/>
        <w:rPr>
          <w:b/>
          <w:bCs/>
          <w:sz w:val="20"/>
          <w:u w:val="single"/>
        </w:rPr>
      </w:pPr>
      <w:bookmarkStart w:id="18" w:name="_Toc135469228"/>
      <w:r>
        <w:rPr>
          <w:b/>
          <w:bCs/>
          <w:sz w:val="20"/>
          <w:u w:val="single"/>
        </w:rPr>
        <w:t>DA ABERTURA DA SESSÃO, CLASSIFICAÇÃO DAS PROPOSTAS E FORMULAÇÃO DE LANCES</w:t>
      </w:r>
      <w:bookmarkEnd w:id="18"/>
    </w:p>
    <w:p w14:paraId="19FFBE95">
      <w:pPr>
        <w:pStyle w:val="40"/>
        <w:numPr>
          <w:ilvl w:val="1"/>
          <w:numId w:val="2"/>
        </w:numPr>
        <w:spacing w:before="240" w:after="240"/>
        <w:contextualSpacing w:val="0"/>
        <w:jc w:val="both"/>
        <w:rPr>
          <w:sz w:val="20"/>
        </w:rPr>
      </w:pPr>
      <w:r>
        <w:rPr>
          <w:sz w:val="20"/>
        </w:rPr>
        <w:t>A abertura da presente licitação dar-se-á automaticamente em sessão pública, por meio de sistema eletrônico, na data, horário e local indicados neste Edital.</w:t>
      </w:r>
    </w:p>
    <w:p w14:paraId="033F2091">
      <w:pPr>
        <w:pStyle w:val="40"/>
        <w:numPr>
          <w:ilvl w:val="1"/>
          <w:numId w:val="2"/>
        </w:numPr>
        <w:spacing w:before="240" w:after="240"/>
        <w:contextualSpacing w:val="0"/>
        <w:jc w:val="both"/>
        <w:rPr>
          <w:sz w:val="20"/>
        </w:rPr>
      </w:pPr>
      <w:r>
        <w:rPr>
          <w:sz w:val="20"/>
        </w:rPr>
        <w:t>Os licitantes poderão retirar ou substituir a proposta ou os documentos de habilitação, quando for o caso, anteriormente inseridos no sistema, até a abertura da sessão pública.</w:t>
      </w:r>
    </w:p>
    <w:p w14:paraId="27D10443">
      <w:pPr>
        <w:pStyle w:val="40"/>
        <w:numPr>
          <w:ilvl w:val="1"/>
          <w:numId w:val="2"/>
        </w:numPr>
        <w:spacing w:before="240" w:after="240"/>
        <w:contextualSpacing w:val="0"/>
        <w:jc w:val="both"/>
        <w:rPr>
          <w:sz w:val="20"/>
        </w:rPr>
      </w:pPr>
      <w:r>
        <w:rPr>
          <w:sz w:val="20"/>
        </w:rPr>
        <w:t>O sistema disponibilizará campo próprio para troca de mensagens entre o Pregoeiro e os licitantes.</w:t>
      </w:r>
    </w:p>
    <w:p w14:paraId="189D50EA">
      <w:pPr>
        <w:pStyle w:val="40"/>
        <w:numPr>
          <w:ilvl w:val="1"/>
          <w:numId w:val="2"/>
        </w:numPr>
        <w:spacing w:before="240" w:after="240"/>
        <w:contextualSpacing w:val="0"/>
        <w:jc w:val="both"/>
        <w:rPr>
          <w:sz w:val="20"/>
        </w:rPr>
      </w:pPr>
      <w:r>
        <w:rPr>
          <w:sz w:val="20"/>
        </w:rPr>
        <w:t>Iniciada a etapa competitiva, os licitantes deverão encaminhar lances exclusivamente por meio de sistema eletrônico, sendo imediatamente informados do seu recebimento e do valor consignado no registro.</w:t>
      </w:r>
    </w:p>
    <w:p w14:paraId="6635F1EE">
      <w:pPr>
        <w:pStyle w:val="40"/>
        <w:numPr>
          <w:ilvl w:val="1"/>
          <w:numId w:val="2"/>
        </w:numPr>
        <w:spacing w:before="240" w:after="240"/>
        <w:contextualSpacing w:val="0"/>
        <w:jc w:val="both"/>
        <w:rPr>
          <w:sz w:val="20"/>
        </w:rPr>
      </w:pPr>
      <w:r>
        <w:rPr>
          <w:sz w:val="20"/>
        </w:rPr>
        <w:t>O lance deverá ser ofertado pelo valor unitário do item</w:t>
      </w:r>
    </w:p>
    <w:p w14:paraId="3E8F17E5">
      <w:pPr>
        <w:pStyle w:val="40"/>
        <w:numPr>
          <w:ilvl w:val="1"/>
          <w:numId w:val="2"/>
        </w:numPr>
        <w:spacing w:before="240" w:after="240"/>
        <w:contextualSpacing w:val="0"/>
        <w:jc w:val="both"/>
        <w:rPr>
          <w:sz w:val="20"/>
        </w:rPr>
      </w:pPr>
      <w:r>
        <w:rPr>
          <w:sz w:val="20"/>
        </w:rPr>
        <w:t>Os licitantes poderão oferecer lances sucessivos, observando o horário fixado para abertura da sessão e as regras estabelecidas no Edital.</w:t>
      </w:r>
    </w:p>
    <w:p w14:paraId="12947D44">
      <w:pPr>
        <w:pStyle w:val="40"/>
        <w:numPr>
          <w:ilvl w:val="1"/>
          <w:numId w:val="2"/>
        </w:numPr>
        <w:spacing w:before="240" w:after="240"/>
        <w:contextualSpacing w:val="0"/>
        <w:jc w:val="both"/>
        <w:rPr>
          <w:sz w:val="20"/>
        </w:rPr>
      </w:pPr>
      <w:r>
        <w:rPr>
          <w:sz w:val="20"/>
        </w:rPr>
        <w:t>O licitante somente poderá oferecer lance de valor inferior ao último por ele ofertado e registrado pelo sistema</w:t>
      </w:r>
    </w:p>
    <w:p w14:paraId="659661B5">
      <w:pPr>
        <w:pStyle w:val="40"/>
        <w:numPr>
          <w:ilvl w:val="1"/>
          <w:numId w:val="2"/>
        </w:numPr>
        <w:spacing w:before="240" w:after="240"/>
        <w:contextualSpacing w:val="0"/>
        <w:jc w:val="both"/>
        <w:rPr>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bCs/>
          <w:color w:val="FF0000"/>
          <w:sz w:val="20"/>
        </w:rPr>
        <w:t>R$ 0,01 (um centavo de real).</w:t>
      </w:r>
    </w:p>
    <w:p w14:paraId="552F4BF2">
      <w:pPr>
        <w:pStyle w:val="40"/>
        <w:numPr>
          <w:ilvl w:val="1"/>
          <w:numId w:val="2"/>
        </w:numPr>
        <w:spacing w:before="240" w:after="240"/>
        <w:contextualSpacing w:val="0"/>
        <w:jc w:val="both"/>
        <w:rPr>
          <w:sz w:val="20"/>
        </w:rPr>
      </w:pPr>
      <w:r>
        <w:rPr>
          <w:sz w:val="20"/>
        </w:rPr>
        <w:t>O licitante poderá, uma única vez, excluir seu último lance ofertado, no intervalo de quinze segundos após o registro no sistema, na hipótese de lance inconsistente ou inexequível.</w:t>
      </w:r>
    </w:p>
    <w:p w14:paraId="12817209">
      <w:pPr>
        <w:pStyle w:val="40"/>
        <w:numPr>
          <w:ilvl w:val="1"/>
          <w:numId w:val="2"/>
        </w:numPr>
        <w:spacing w:before="240" w:after="240"/>
        <w:contextualSpacing w:val="0"/>
        <w:jc w:val="both"/>
        <w:rPr>
          <w:sz w:val="20"/>
        </w:rPr>
      </w:pPr>
      <w:r>
        <w:rPr>
          <w:sz w:val="20"/>
        </w:rPr>
        <w:t>O procedimento seguirá de acordo com o modo de disputa adotado.</w:t>
      </w:r>
    </w:p>
    <w:p w14:paraId="0B00850F">
      <w:pPr>
        <w:pStyle w:val="40"/>
        <w:numPr>
          <w:ilvl w:val="1"/>
          <w:numId w:val="2"/>
        </w:numPr>
        <w:spacing w:before="240" w:after="240"/>
        <w:contextualSpacing w:val="0"/>
        <w:jc w:val="both"/>
        <w:rPr>
          <w:sz w:val="20"/>
        </w:rPr>
      </w:pPr>
      <w:bookmarkStart w:id="19" w:name="_Hlk113697759"/>
      <w:r>
        <w:rPr>
          <w:sz w:val="20"/>
        </w:rPr>
        <w:t>Caso seja adotado para o envio de lances no pregão eletrônico o modo de disputa “aberto”, os licitantes apresentarão lances públicos e sucessivos, com prorrogações.</w:t>
      </w:r>
    </w:p>
    <w:bookmarkEnd w:id="19"/>
    <w:p w14:paraId="2DFD565C">
      <w:pPr>
        <w:pStyle w:val="40"/>
        <w:numPr>
          <w:ilvl w:val="1"/>
          <w:numId w:val="2"/>
        </w:numPr>
        <w:spacing w:before="240" w:after="240"/>
        <w:contextualSpacing w:val="0"/>
        <w:jc w:val="both"/>
        <w:rPr>
          <w:sz w:val="20"/>
        </w:rPr>
      </w:pPr>
      <w:bookmarkStart w:id="20" w:name="_Hlk113697816"/>
      <w:r>
        <w:rPr>
          <w:sz w:val="20"/>
        </w:rPr>
        <w:t>A etapa de lances da sessão pública terá duração de dez minutos e, após isso, será prorrogada automaticamente pelo sistema quando houver lance ofertado nos últimos dois minutos do período de duração da sessão pública.</w:t>
      </w:r>
    </w:p>
    <w:p w14:paraId="6AE6CCF4">
      <w:pPr>
        <w:pStyle w:val="40"/>
        <w:numPr>
          <w:ilvl w:val="1"/>
          <w:numId w:val="2"/>
        </w:numPr>
        <w:spacing w:before="240" w:after="240"/>
        <w:contextualSpacing w:val="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33519C0F">
      <w:pPr>
        <w:pStyle w:val="40"/>
        <w:numPr>
          <w:ilvl w:val="1"/>
          <w:numId w:val="2"/>
        </w:numPr>
        <w:spacing w:before="240" w:after="240"/>
        <w:contextualSpacing w:val="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5CDCC92F">
      <w:pPr>
        <w:pStyle w:val="40"/>
        <w:numPr>
          <w:ilvl w:val="1"/>
          <w:numId w:val="2"/>
        </w:numPr>
        <w:spacing w:before="240" w:after="240"/>
        <w:contextualSpacing w:val="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D1EF2D5">
      <w:pPr>
        <w:pStyle w:val="40"/>
        <w:numPr>
          <w:ilvl w:val="1"/>
          <w:numId w:val="2"/>
        </w:numPr>
        <w:spacing w:before="240" w:after="240"/>
        <w:contextualSpacing w:val="0"/>
        <w:jc w:val="both"/>
        <w:rPr>
          <w:sz w:val="20"/>
        </w:rPr>
      </w:pPr>
      <w:r>
        <w:rPr>
          <w:sz w:val="20"/>
        </w:rPr>
        <w:t>Após o reinício previsto no item supra, os licitantes serão convocados para apresentar lances intermediários.</w:t>
      </w:r>
      <w:bookmarkEnd w:id="20"/>
      <w:bookmarkStart w:id="21" w:name="_Hlk113631522"/>
    </w:p>
    <w:bookmarkEnd w:id="21"/>
    <w:p w14:paraId="4756984A">
      <w:pPr>
        <w:pStyle w:val="40"/>
        <w:numPr>
          <w:ilvl w:val="1"/>
          <w:numId w:val="2"/>
        </w:numPr>
        <w:spacing w:before="240" w:after="240"/>
        <w:contextualSpacing w:val="0"/>
        <w:jc w:val="both"/>
        <w:rPr>
          <w:sz w:val="20"/>
        </w:rPr>
      </w:pPr>
      <w:r>
        <w:rPr>
          <w:sz w:val="20"/>
        </w:rPr>
        <w:t>Após o término dos prazos estabelecidos nos subitens anteriores, o sistema ordenará e divulgará os lances segundo a ordem crescente de valores.</w:t>
      </w:r>
    </w:p>
    <w:p w14:paraId="601D3096">
      <w:pPr>
        <w:pStyle w:val="40"/>
        <w:numPr>
          <w:ilvl w:val="1"/>
          <w:numId w:val="2"/>
        </w:numPr>
        <w:spacing w:before="240" w:after="240"/>
        <w:contextualSpacing w:val="0"/>
        <w:jc w:val="both"/>
        <w:rPr>
          <w:sz w:val="20"/>
        </w:rPr>
      </w:pPr>
      <w:r>
        <w:rPr>
          <w:sz w:val="20"/>
        </w:rPr>
        <w:t xml:space="preserve">Não serão aceitos dois ou mais lances de mesmo valor, prevalecendo aquele que for recebido e registrado em primeiro lugar. </w:t>
      </w:r>
    </w:p>
    <w:p w14:paraId="5ADDE54C">
      <w:pPr>
        <w:pStyle w:val="40"/>
        <w:numPr>
          <w:ilvl w:val="1"/>
          <w:numId w:val="2"/>
        </w:numPr>
        <w:spacing w:before="240" w:after="240"/>
        <w:contextualSpacing w:val="0"/>
        <w:jc w:val="both"/>
        <w:rPr>
          <w:sz w:val="20"/>
        </w:rPr>
      </w:pPr>
      <w:r>
        <w:rPr>
          <w:sz w:val="20"/>
        </w:rPr>
        <w:t xml:space="preserve">Durante o transcurso da sessão pública, os licitantes serão informados, em tempo real, do valor do menor lance registrado, vedada a identificação do licitante. </w:t>
      </w:r>
    </w:p>
    <w:p w14:paraId="0DB289A7">
      <w:pPr>
        <w:pStyle w:val="40"/>
        <w:numPr>
          <w:ilvl w:val="1"/>
          <w:numId w:val="2"/>
        </w:numPr>
        <w:spacing w:before="240" w:after="240"/>
        <w:contextualSpacing w:val="0"/>
        <w:jc w:val="both"/>
        <w:rPr>
          <w:sz w:val="20"/>
        </w:rPr>
      </w:pPr>
      <w:r>
        <w:rPr>
          <w:sz w:val="20"/>
        </w:rPr>
        <w:t xml:space="preserve">No caso de desconexão com o Pregoeiro, no decorrer da etapa competitiva do Pregão, o sistema eletrônico poderá permanecer acessível aos licitantes para a recepção dos lances. </w:t>
      </w:r>
    </w:p>
    <w:p w14:paraId="15577482">
      <w:pPr>
        <w:pStyle w:val="40"/>
        <w:numPr>
          <w:ilvl w:val="1"/>
          <w:numId w:val="2"/>
        </w:numPr>
        <w:spacing w:before="240" w:after="240"/>
        <w:contextualSpacing w:val="0"/>
        <w:jc w:val="both"/>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71D527A">
      <w:pPr>
        <w:pStyle w:val="40"/>
        <w:numPr>
          <w:ilvl w:val="1"/>
          <w:numId w:val="2"/>
        </w:numPr>
        <w:spacing w:before="240" w:after="240"/>
        <w:contextualSpacing w:val="0"/>
        <w:jc w:val="both"/>
        <w:rPr>
          <w:sz w:val="20"/>
        </w:rPr>
      </w:pPr>
      <w:r>
        <w:rPr>
          <w:sz w:val="20"/>
        </w:rPr>
        <w:t>Caso o licitante não apresente lances, concorrerá com o valor de sua proposta.</w:t>
      </w:r>
    </w:p>
    <w:p w14:paraId="1AF1F574">
      <w:pPr>
        <w:pStyle w:val="40"/>
        <w:numPr>
          <w:ilvl w:val="1"/>
          <w:numId w:val="2"/>
        </w:numPr>
        <w:spacing w:before="240" w:after="240"/>
        <w:contextualSpacing w:val="0"/>
        <w:jc w:val="both"/>
        <w:rPr>
          <w:sz w:val="20"/>
        </w:rPr>
      </w:pPr>
      <w:r>
        <w:rPr>
          <w:sz w:val="20"/>
        </w:rPr>
        <w:t>Em relação a itens não exclusivos para participação de microempresas e empresas de pequeno porte, uma vez encerrada a etapa de lances</w:t>
      </w:r>
      <w:r>
        <w:rPr>
          <w:rFonts w:eastAsia="Zurich BT"/>
          <w:sz w:val="20"/>
        </w:rPr>
        <w:t xml:space="preserve">, será efetivada a verificação automática, junto à Receita Federal, do porte da entidade empresarial. O sistema identificará em coluna própria as microempresas e empresas de pequeno porte </w:t>
      </w:r>
      <w:r>
        <w:rPr>
          <w:sz w:val="20"/>
        </w:rPr>
        <w:t>participantes</w:t>
      </w:r>
      <w:r>
        <w:rPr>
          <w:rFonts w:eastAsia="Zurich BT"/>
          <w:sz w:val="20"/>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2"/>
          <w:rFonts w:eastAsia="Zurich BT"/>
          <w:sz w:val="20"/>
        </w:rPr>
        <w:t>arts. 44 e 45 da Lei Complementar nº 123, de 2006</w:t>
      </w:r>
      <w:r>
        <w:rPr>
          <w:rStyle w:val="12"/>
          <w:rFonts w:eastAsia="Zurich BT"/>
          <w:sz w:val="20"/>
        </w:rPr>
        <w:fldChar w:fldCharType="end"/>
      </w:r>
      <w:r>
        <w:rPr>
          <w:rFonts w:eastAsia="Zurich BT"/>
          <w:sz w:val="20"/>
        </w:rPr>
        <w:t xml:space="preserve">, regulamentada pelo </w:t>
      </w:r>
      <w:r>
        <w:fldChar w:fldCharType="begin"/>
      </w:r>
      <w:r>
        <w:instrText xml:space="preserve"> HYPERLINK "https://www.planalto.gov.br/ccivil_03/_ato2015-2018/2015/decreto/d8539.htm" \h </w:instrText>
      </w:r>
      <w:r>
        <w:fldChar w:fldCharType="separate"/>
      </w:r>
      <w:r>
        <w:rPr>
          <w:rStyle w:val="12"/>
          <w:rFonts w:eastAsia="Zurich BT"/>
          <w:sz w:val="20"/>
        </w:rPr>
        <w:t>Decreto nº 8.538, de 2015</w:t>
      </w:r>
      <w:r>
        <w:rPr>
          <w:rStyle w:val="12"/>
          <w:rFonts w:eastAsia="Zurich BT"/>
          <w:sz w:val="20"/>
        </w:rPr>
        <w:fldChar w:fldCharType="end"/>
      </w:r>
      <w:r>
        <w:rPr>
          <w:rFonts w:eastAsia="Zurich BT"/>
          <w:sz w:val="20"/>
        </w:rPr>
        <w:t>.</w:t>
      </w:r>
    </w:p>
    <w:p w14:paraId="4F622288">
      <w:pPr>
        <w:pStyle w:val="40"/>
        <w:numPr>
          <w:ilvl w:val="1"/>
          <w:numId w:val="2"/>
        </w:numPr>
        <w:spacing w:before="240" w:after="240"/>
        <w:contextualSpacing w:val="0"/>
        <w:jc w:val="both"/>
        <w:rPr>
          <w:sz w:val="20"/>
        </w:rPr>
      </w:pPr>
      <w:r>
        <w:rPr>
          <w:sz w:val="20"/>
        </w:rPr>
        <w:t xml:space="preserve">Nessas condições, as propostas de </w:t>
      </w:r>
      <w:r>
        <w:rPr>
          <w:rFonts w:eastAsia="Zurich BT"/>
          <w:sz w:val="20"/>
        </w:rPr>
        <w:t xml:space="preserve">microempresas e empresas de pequeno porte </w:t>
      </w:r>
      <w:r>
        <w:rPr>
          <w:sz w:val="20"/>
        </w:rPr>
        <w:t>que se encontrarem na faixa de até 5% (cinco por cento) acima da melhor proposta ou melhor lance serão consideradas empatadas com a primeira colocada.</w:t>
      </w:r>
    </w:p>
    <w:p w14:paraId="02D38883">
      <w:pPr>
        <w:pStyle w:val="40"/>
        <w:numPr>
          <w:ilvl w:val="1"/>
          <w:numId w:val="2"/>
        </w:numPr>
        <w:spacing w:before="240" w:after="240"/>
        <w:contextualSpacing w:val="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828B98C">
      <w:pPr>
        <w:pStyle w:val="40"/>
        <w:numPr>
          <w:ilvl w:val="1"/>
          <w:numId w:val="2"/>
        </w:numPr>
        <w:spacing w:before="240" w:after="240"/>
        <w:contextualSpacing w:val="0"/>
        <w:jc w:val="both"/>
        <w:rPr>
          <w:sz w:val="20"/>
        </w:rPr>
      </w:pPr>
      <w:r>
        <w:rPr>
          <w:sz w:val="20"/>
        </w:rPr>
        <w:t xml:space="preserve">Caso a </w:t>
      </w:r>
      <w:r>
        <w:rPr>
          <w:rFonts w:eastAsia="Zurich BT"/>
          <w:sz w:val="20"/>
        </w:rPr>
        <w:t>microempresa ou a empresa de pequeno porte</w:t>
      </w:r>
      <w:r>
        <w:rPr>
          <w:sz w:val="20"/>
        </w:rPr>
        <w:t xml:space="preserve"> melhor classificada desista ou não se manifeste no prazo estabelecido, serão convocadas as demais licitantes </w:t>
      </w:r>
      <w:r>
        <w:rPr>
          <w:rFonts w:eastAsia="Zurich BT"/>
          <w:sz w:val="20"/>
        </w:rPr>
        <w:t>microempresa e empresa de pequeno porte</w:t>
      </w:r>
      <w:r>
        <w:rPr>
          <w:sz w:val="20"/>
        </w:rPr>
        <w:t xml:space="preserve"> que se encontrem naquele intervalo de 5% (cinco por cento), na ordem de classificação, para o exercício do mesmo direito, no prazo estabelecido no subitem anterior.</w:t>
      </w:r>
    </w:p>
    <w:p w14:paraId="1D62ECEE">
      <w:pPr>
        <w:pStyle w:val="40"/>
        <w:numPr>
          <w:ilvl w:val="1"/>
          <w:numId w:val="2"/>
        </w:numPr>
        <w:spacing w:before="240" w:after="240"/>
        <w:contextualSpacing w:val="0"/>
        <w:jc w:val="both"/>
        <w:rPr>
          <w:sz w:val="20"/>
        </w:rPr>
      </w:pPr>
      <w:r>
        <w:rPr>
          <w:sz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728325A">
      <w:pPr>
        <w:pStyle w:val="40"/>
        <w:numPr>
          <w:ilvl w:val="1"/>
          <w:numId w:val="2"/>
        </w:numPr>
        <w:spacing w:before="240" w:after="240"/>
        <w:contextualSpacing w:val="0"/>
        <w:jc w:val="both"/>
        <w:rPr>
          <w:sz w:val="20"/>
        </w:rPr>
      </w:pPr>
      <w:r>
        <w:rPr>
          <w:sz w:val="20"/>
        </w:rPr>
        <w:t xml:space="preserve">Só poderá haver empate entre propostas iguais (não seguidas de lances), ou entre lances finais da fase fechada do modo de disputa aberto e fechado. </w:t>
      </w:r>
    </w:p>
    <w:p w14:paraId="5C2097B9">
      <w:pPr>
        <w:pStyle w:val="40"/>
        <w:numPr>
          <w:ilvl w:val="1"/>
          <w:numId w:val="2"/>
        </w:numPr>
        <w:spacing w:before="240" w:after="240"/>
        <w:contextualSpacing w:val="0"/>
        <w:jc w:val="both"/>
        <w:rPr>
          <w:sz w:val="20"/>
        </w:rPr>
      </w:pPr>
      <w:r>
        <w:rPr>
          <w:sz w:val="20"/>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2"/>
          <w:rFonts w:eastAsia="Arial"/>
          <w:sz w:val="20"/>
        </w:rPr>
        <w:t>art</w:t>
      </w:r>
      <w:r>
        <w:rPr>
          <w:rStyle w:val="12"/>
          <w:sz w:val="20"/>
        </w:rPr>
        <w:t>. 60 da Lei nº 14.133, de 2021</w:t>
      </w:r>
      <w:r>
        <w:rPr>
          <w:rStyle w:val="12"/>
          <w:sz w:val="20"/>
        </w:rPr>
        <w:fldChar w:fldCharType="end"/>
      </w:r>
      <w:r>
        <w:rPr>
          <w:sz w:val="20"/>
        </w:rPr>
        <w:t>, nesta ordem:</w:t>
      </w:r>
    </w:p>
    <w:p w14:paraId="69698186">
      <w:pPr>
        <w:pStyle w:val="40"/>
        <w:numPr>
          <w:ilvl w:val="2"/>
          <w:numId w:val="2"/>
        </w:numPr>
        <w:spacing w:before="240" w:after="240"/>
        <w:contextualSpacing w:val="0"/>
        <w:jc w:val="both"/>
        <w:rPr>
          <w:sz w:val="20"/>
        </w:rPr>
      </w:pPr>
      <w:r>
        <w:rPr>
          <w:sz w:val="20"/>
        </w:rPr>
        <w:t>disputa final, hipótese em que os licitantes empatados poderão apresentar nova proposta em ato contínuo à classificação;</w:t>
      </w:r>
    </w:p>
    <w:p w14:paraId="0F9AF269">
      <w:pPr>
        <w:pStyle w:val="40"/>
        <w:numPr>
          <w:ilvl w:val="2"/>
          <w:numId w:val="2"/>
        </w:numPr>
        <w:spacing w:before="240" w:after="240"/>
        <w:contextualSpacing w:val="0"/>
        <w:jc w:val="both"/>
        <w:rPr>
          <w:sz w:val="20"/>
        </w:rPr>
      </w:pPr>
      <w:r>
        <w:rPr>
          <w:sz w:val="20"/>
        </w:rPr>
        <w:t>avaliação do desempenho contratual prévio dos licitantes, para a qual deverão preferencialmente ser utilizados registros cadastrais para efeito de atesto de cumprimento de obrigações previstos nesta Lei;</w:t>
      </w:r>
    </w:p>
    <w:p w14:paraId="46525BDE">
      <w:pPr>
        <w:pStyle w:val="40"/>
        <w:numPr>
          <w:ilvl w:val="2"/>
          <w:numId w:val="2"/>
        </w:numPr>
        <w:spacing w:before="240" w:after="240"/>
        <w:contextualSpacing w:val="0"/>
        <w:jc w:val="both"/>
        <w:rPr>
          <w:sz w:val="20"/>
        </w:rPr>
      </w:pPr>
      <w:r>
        <w:rPr>
          <w:sz w:val="20"/>
        </w:rPr>
        <w:t>desenvolvimento pelo licitante de ações de equidade entre homens e mulheres no ambiente de trabalho, conforme regulamento;</w:t>
      </w:r>
    </w:p>
    <w:p w14:paraId="609B368D">
      <w:pPr>
        <w:pStyle w:val="40"/>
        <w:numPr>
          <w:ilvl w:val="2"/>
          <w:numId w:val="2"/>
        </w:numPr>
        <w:spacing w:before="240" w:after="240"/>
        <w:contextualSpacing w:val="0"/>
        <w:jc w:val="both"/>
        <w:rPr>
          <w:sz w:val="20"/>
        </w:rPr>
      </w:pPr>
      <w:r>
        <w:rPr>
          <w:sz w:val="20"/>
        </w:rPr>
        <w:t>desenvolvimento pelo licitante de programa de integridade, conforme orientações dos órgãos de controle.</w:t>
      </w:r>
    </w:p>
    <w:p w14:paraId="3D88B66F">
      <w:pPr>
        <w:pStyle w:val="40"/>
        <w:numPr>
          <w:ilvl w:val="1"/>
          <w:numId w:val="2"/>
        </w:numPr>
        <w:spacing w:before="240" w:after="240"/>
        <w:contextualSpacing w:val="0"/>
        <w:jc w:val="both"/>
        <w:rPr>
          <w:sz w:val="20"/>
        </w:rPr>
      </w:pPr>
      <w:r>
        <w:rPr>
          <w:sz w:val="20"/>
        </w:rPr>
        <w:t>Persistindo o empate, será assegurada preferência, sucessivamente, aos bens e serviços produzidos ou prestados por:</w:t>
      </w:r>
    </w:p>
    <w:p w14:paraId="40CB99CA">
      <w:pPr>
        <w:pStyle w:val="40"/>
        <w:numPr>
          <w:ilvl w:val="2"/>
          <w:numId w:val="2"/>
        </w:numPr>
        <w:spacing w:before="240" w:after="240"/>
        <w:contextualSpacing w:val="0"/>
        <w:jc w:val="both"/>
        <w:rPr>
          <w:sz w:val="20"/>
        </w:rPr>
      </w:pPr>
      <w:r>
        <w:rPr>
          <w:sz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D7AF93">
      <w:pPr>
        <w:pStyle w:val="40"/>
        <w:numPr>
          <w:ilvl w:val="2"/>
          <w:numId w:val="2"/>
        </w:numPr>
        <w:spacing w:before="240" w:after="240"/>
        <w:contextualSpacing w:val="0"/>
        <w:jc w:val="both"/>
        <w:rPr>
          <w:sz w:val="20"/>
        </w:rPr>
      </w:pPr>
      <w:bookmarkStart w:id="22" w:name="art60§1ii"/>
      <w:bookmarkEnd w:id="22"/>
      <w:r>
        <w:rPr>
          <w:sz w:val="20"/>
        </w:rPr>
        <w:t>empresas brasileiras;</w:t>
      </w:r>
    </w:p>
    <w:p w14:paraId="36778866">
      <w:pPr>
        <w:pStyle w:val="40"/>
        <w:numPr>
          <w:ilvl w:val="2"/>
          <w:numId w:val="2"/>
        </w:numPr>
        <w:spacing w:before="240" w:after="240"/>
        <w:contextualSpacing w:val="0"/>
        <w:jc w:val="both"/>
        <w:rPr>
          <w:sz w:val="20"/>
        </w:rPr>
      </w:pPr>
      <w:bookmarkStart w:id="23" w:name="art60§1iii"/>
      <w:bookmarkEnd w:id="23"/>
      <w:r>
        <w:rPr>
          <w:sz w:val="20"/>
        </w:rPr>
        <w:t>empresas que invistam em pesquisa e no desenvolvimento de tecnologia no País;</w:t>
      </w:r>
    </w:p>
    <w:p w14:paraId="22B87D69">
      <w:pPr>
        <w:pStyle w:val="40"/>
        <w:numPr>
          <w:ilvl w:val="2"/>
          <w:numId w:val="2"/>
        </w:numPr>
        <w:spacing w:before="240" w:after="240"/>
        <w:contextualSpacing w:val="0"/>
        <w:jc w:val="both"/>
        <w:rPr>
          <w:sz w:val="20"/>
        </w:rPr>
      </w:pPr>
      <w:bookmarkStart w:id="24" w:name="art60§1iv"/>
      <w:bookmarkEnd w:id="24"/>
      <w:r>
        <w:rPr>
          <w:sz w:val="20"/>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2"/>
          <w:sz w:val="20"/>
        </w:rPr>
        <w:t>Lei nº 12.187, de 29 de dezembro de 2009</w:t>
      </w:r>
      <w:r>
        <w:rPr>
          <w:rStyle w:val="12"/>
          <w:sz w:val="20"/>
        </w:rPr>
        <w:fldChar w:fldCharType="end"/>
      </w:r>
      <w:r>
        <w:rPr>
          <w:sz w:val="20"/>
        </w:rPr>
        <w:t>.</w:t>
      </w:r>
    </w:p>
    <w:p w14:paraId="1AAFDC25">
      <w:pPr>
        <w:pStyle w:val="40"/>
        <w:numPr>
          <w:ilvl w:val="1"/>
          <w:numId w:val="2"/>
        </w:numPr>
        <w:spacing w:before="240" w:after="240"/>
        <w:contextualSpacing w:val="0"/>
        <w:jc w:val="both"/>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79D375A">
      <w:pPr>
        <w:pStyle w:val="40"/>
        <w:numPr>
          <w:ilvl w:val="1"/>
          <w:numId w:val="2"/>
        </w:numPr>
        <w:spacing w:before="240" w:after="240"/>
        <w:contextualSpacing w:val="0"/>
        <w:jc w:val="both"/>
        <w:rPr>
          <w:sz w:val="20"/>
        </w:rPr>
      </w:pPr>
      <w:r>
        <w:rPr>
          <w:sz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5617594">
      <w:pPr>
        <w:pStyle w:val="40"/>
        <w:numPr>
          <w:ilvl w:val="1"/>
          <w:numId w:val="2"/>
        </w:numPr>
        <w:spacing w:before="240" w:after="240"/>
        <w:contextualSpacing w:val="0"/>
        <w:jc w:val="both"/>
        <w:rPr>
          <w:sz w:val="20"/>
        </w:rPr>
      </w:pPr>
      <w:r>
        <w:rPr>
          <w:sz w:val="20"/>
        </w:rPr>
        <w:t>A negociação será realizada por meio do sistema, podendo ser acompanhada pelos demais licitantes.</w:t>
      </w:r>
    </w:p>
    <w:p w14:paraId="56E8683C">
      <w:pPr>
        <w:pStyle w:val="40"/>
        <w:numPr>
          <w:ilvl w:val="1"/>
          <w:numId w:val="2"/>
        </w:numPr>
        <w:spacing w:before="240" w:after="240"/>
        <w:contextualSpacing w:val="0"/>
        <w:jc w:val="both"/>
        <w:rPr>
          <w:sz w:val="20"/>
        </w:rPr>
      </w:pPr>
      <w:r>
        <w:rPr>
          <w:sz w:val="20"/>
        </w:rPr>
        <w:t>O resultado da negociação será divulgado a todos os licitantes e anexado aos autos do processo licitatório.</w:t>
      </w:r>
    </w:p>
    <w:p w14:paraId="2CF3ABDA">
      <w:pPr>
        <w:pStyle w:val="40"/>
        <w:numPr>
          <w:ilvl w:val="1"/>
          <w:numId w:val="2"/>
        </w:numPr>
        <w:spacing w:before="240" w:after="240"/>
        <w:contextualSpacing w:val="0"/>
        <w:jc w:val="both"/>
        <w:rPr>
          <w:sz w:val="20"/>
        </w:rPr>
      </w:pPr>
      <w:r>
        <w:rPr>
          <w:sz w:val="20"/>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1B148CCF">
      <w:pPr>
        <w:pStyle w:val="40"/>
        <w:numPr>
          <w:ilvl w:val="1"/>
          <w:numId w:val="2"/>
        </w:numPr>
        <w:spacing w:before="240" w:after="240"/>
        <w:contextualSpacing w:val="0"/>
        <w:jc w:val="both"/>
        <w:rPr>
          <w:sz w:val="20"/>
        </w:rPr>
      </w:pPr>
      <w:r>
        <w:rPr>
          <w:sz w:val="20"/>
        </w:rPr>
        <w:t>É facultado ao pregoeiro prorrogar o prazo estabelecido, a partir de solicitação fundamentada feita no chat pelo licitante, antes de findo o prazo.</w:t>
      </w:r>
    </w:p>
    <w:p w14:paraId="7E6AA707">
      <w:pPr>
        <w:pStyle w:val="40"/>
        <w:numPr>
          <w:ilvl w:val="1"/>
          <w:numId w:val="2"/>
        </w:numPr>
        <w:spacing w:before="240" w:after="240"/>
        <w:contextualSpacing w:val="0"/>
        <w:jc w:val="both"/>
        <w:rPr>
          <w:sz w:val="20"/>
        </w:rPr>
      </w:pPr>
      <w:r>
        <w:rPr>
          <w:sz w:val="20"/>
        </w:rPr>
        <w:t>Após a negociação do preço, o Pregoeiro iniciará a fase de aceitação e julgamento da proposta.</w:t>
      </w:r>
    </w:p>
    <w:p w14:paraId="33C76A2F">
      <w:pPr>
        <w:pStyle w:val="40"/>
        <w:numPr>
          <w:ilvl w:val="0"/>
          <w:numId w:val="2"/>
        </w:numPr>
        <w:spacing w:before="240" w:after="240"/>
        <w:contextualSpacing w:val="0"/>
        <w:jc w:val="both"/>
        <w:rPr>
          <w:b/>
          <w:bCs/>
          <w:sz w:val="20"/>
          <w:u w:val="single"/>
        </w:rPr>
      </w:pPr>
      <w:bookmarkStart w:id="25" w:name="_Toc135469229"/>
      <w:r>
        <w:rPr>
          <w:b/>
          <w:bCs/>
          <w:sz w:val="20"/>
          <w:u w:val="single"/>
        </w:rPr>
        <w:t>DA FASE DE JULGAMENTO</w:t>
      </w:r>
      <w:bookmarkEnd w:id="25"/>
    </w:p>
    <w:p w14:paraId="044155D5">
      <w:pPr>
        <w:pStyle w:val="40"/>
        <w:numPr>
          <w:ilvl w:val="1"/>
          <w:numId w:val="2"/>
        </w:numPr>
        <w:spacing w:before="240" w:after="240"/>
        <w:contextualSpacing w:val="0"/>
        <w:jc w:val="both"/>
        <w:rPr>
          <w:sz w:val="20"/>
        </w:rPr>
      </w:pPr>
      <w:bookmarkStart w:id="26" w:name="_Ref117019424"/>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2"/>
          <w:sz w:val="20"/>
        </w:rPr>
        <w:t>art. 14 da Lei nº 14.133/2021</w:t>
      </w:r>
      <w:r>
        <w:rPr>
          <w:rStyle w:val="12"/>
          <w:sz w:val="20"/>
        </w:rPr>
        <w:fldChar w:fldCharType="end"/>
      </w:r>
      <w:r>
        <w:rPr>
          <w:sz w:val="20"/>
        </w:rPr>
        <w:t xml:space="preserve">, legislação correlata e no </w:t>
      </w:r>
      <w:r>
        <w:rPr>
          <w:b/>
          <w:bCs/>
          <w:color w:val="FF0000"/>
          <w:sz w:val="20"/>
        </w:rPr>
        <w:t xml:space="preserve">item </w:t>
      </w:r>
      <w:r>
        <w:rPr>
          <w:b/>
          <w:bCs/>
          <w:color w:val="FF0000"/>
          <w:sz w:val="20"/>
        </w:rPr>
        <w:fldChar w:fldCharType="begin"/>
      </w:r>
      <w:r>
        <w:rPr>
          <w:b/>
          <w:bCs/>
          <w:color w:val="FF0000"/>
          <w:sz w:val="20"/>
        </w:rPr>
        <w:instrText xml:space="preserve"> REF _Ref117000692 \r \h  \* MERGEFORMAT </w:instrText>
      </w:r>
      <w:r>
        <w:rPr>
          <w:b/>
          <w:bCs/>
          <w:color w:val="FF0000"/>
          <w:sz w:val="20"/>
        </w:rPr>
        <w:fldChar w:fldCharType="separate"/>
      </w:r>
      <w:r>
        <w:rPr>
          <w:b/>
          <w:bCs/>
          <w:color w:val="FF0000"/>
          <w:sz w:val="20"/>
        </w:rPr>
        <w:t>2.6</w:t>
      </w:r>
      <w:r>
        <w:rPr>
          <w:b/>
          <w:bCs/>
          <w:color w:val="FF0000"/>
          <w:sz w:val="20"/>
        </w:rPr>
        <w:fldChar w:fldCharType="end"/>
      </w:r>
      <w:r>
        <w:rPr>
          <w:sz w:val="20"/>
        </w:rPr>
        <w:t xml:space="preserve"> do edital, </w:t>
      </w:r>
      <w:bookmarkEnd w:id="26"/>
      <w:r>
        <w:rPr>
          <w:sz w:val="20"/>
        </w:rPr>
        <w:t>especialmente quanto à existência de sanção que impeça a participação no certame ou a futura contratação, mediante a consulta aos seguintes cadastros:</w:t>
      </w:r>
    </w:p>
    <w:p w14:paraId="59868E2A">
      <w:pPr>
        <w:pStyle w:val="40"/>
        <w:numPr>
          <w:ilvl w:val="2"/>
          <w:numId w:val="2"/>
        </w:numPr>
        <w:spacing w:before="240" w:after="240"/>
        <w:contextualSpacing w:val="0"/>
        <w:jc w:val="both"/>
        <w:rPr>
          <w:sz w:val="20"/>
        </w:rPr>
      </w:pPr>
      <w:r>
        <w:rPr>
          <w:sz w:val="20"/>
        </w:rPr>
        <w:t>Cadastro no Portal de Compras Públicas.</w:t>
      </w:r>
    </w:p>
    <w:p w14:paraId="1A08CD88">
      <w:pPr>
        <w:pStyle w:val="40"/>
        <w:numPr>
          <w:ilvl w:val="2"/>
          <w:numId w:val="2"/>
        </w:numPr>
        <w:spacing w:before="240" w:after="240"/>
        <w:contextualSpacing w:val="0"/>
        <w:jc w:val="both"/>
        <w:rPr>
          <w:sz w:val="20"/>
        </w:rPr>
      </w:pPr>
      <w:r>
        <w:rPr>
          <w:sz w:val="20"/>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2"/>
          <w:sz w:val="20"/>
        </w:rPr>
        <w:t>https://www.portaltransparencia.gov.br/sancoes/ceis</w:t>
      </w:r>
      <w:r>
        <w:rPr>
          <w:rStyle w:val="12"/>
          <w:sz w:val="20"/>
        </w:rPr>
        <w:fldChar w:fldCharType="end"/>
      </w:r>
      <w:r>
        <w:rPr>
          <w:sz w:val="20"/>
        </w:rPr>
        <w:t>) e;</w:t>
      </w:r>
    </w:p>
    <w:p w14:paraId="5EC19FF0">
      <w:pPr>
        <w:pStyle w:val="40"/>
        <w:numPr>
          <w:ilvl w:val="2"/>
          <w:numId w:val="2"/>
        </w:numPr>
        <w:spacing w:before="240" w:after="240"/>
        <w:contextualSpacing w:val="0"/>
        <w:jc w:val="both"/>
        <w:rPr>
          <w:sz w:val="20"/>
        </w:rPr>
      </w:pPr>
      <w:r>
        <w:rPr>
          <w:sz w:val="20"/>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2"/>
          <w:sz w:val="20"/>
        </w:rPr>
        <w:t>https://www.portaltransparencia.gov.br/sancoes/cnep</w:t>
      </w:r>
      <w:r>
        <w:rPr>
          <w:rStyle w:val="12"/>
          <w:sz w:val="20"/>
        </w:rPr>
        <w:fldChar w:fldCharType="end"/>
      </w:r>
      <w:r>
        <w:rPr>
          <w:sz w:val="20"/>
        </w:rPr>
        <w:t>)</w:t>
      </w:r>
    </w:p>
    <w:p w14:paraId="4521A99B">
      <w:pPr>
        <w:pStyle w:val="40"/>
        <w:numPr>
          <w:ilvl w:val="1"/>
          <w:numId w:val="2"/>
        </w:numPr>
        <w:spacing w:before="240" w:after="240"/>
        <w:contextualSpacing w:val="0"/>
        <w:jc w:val="both"/>
        <w:rPr>
          <w:sz w:val="20"/>
        </w:rPr>
      </w:pPr>
      <w:r>
        <w:rPr>
          <w:sz w:val="20"/>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2"/>
          <w:sz w:val="20"/>
        </w:rPr>
        <w:t>artigo 12 da Lei n° 8.429, de 1992</w:t>
      </w:r>
      <w:r>
        <w:rPr>
          <w:rStyle w:val="12"/>
          <w:sz w:val="20"/>
        </w:rPr>
        <w:fldChar w:fldCharType="end"/>
      </w:r>
      <w:r>
        <w:rPr>
          <w:sz w:val="20"/>
        </w:rPr>
        <w:t>.</w:t>
      </w:r>
    </w:p>
    <w:p w14:paraId="37747CF8">
      <w:pPr>
        <w:pStyle w:val="40"/>
        <w:numPr>
          <w:ilvl w:val="1"/>
          <w:numId w:val="2"/>
        </w:numPr>
        <w:spacing w:before="240" w:after="240"/>
        <w:contextualSpacing w:val="0"/>
        <w:jc w:val="both"/>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2"/>
          <w:sz w:val="20"/>
        </w:rPr>
        <w:t>IN nº 3/2018, art. 29, caput</w:t>
      </w:r>
      <w:r>
        <w:rPr>
          <w:rStyle w:val="12"/>
          <w:sz w:val="20"/>
        </w:rPr>
        <w:fldChar w:fldCharType="end"/>
      </w:r>
      <w:r>
        <w:rPr>
          <w:sz w:val="20"/>
        </w:rPr>
        <w:t>)</w:t>
      </w:r>
    </w:p>
    <w:p w14:paraId="0AEB11E2">
      <w:pPr>
        <w:pStyle w:val="40"/>
        <w:numPr>
          <w:ilvl w:val="1"/>
          <w:numId w:val="2"/>
        </w:numPr>
        <w:spacing w:before="240" w:after="240"/>
        <w:contextualSpacing w:val="0"/>
        <w:jc w:val="both"/>
        <w:rPr>
          <w:sz w:val="20"/>
        </w:rPr>
      </w:pPr>
      <w:r>
        <w:rPr>
          <w:sz w:val="20"/>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29, §1º</w:t>
      </w:r>
      <w:r>
        <w:rPr>
          <w:rStyle w:val="12"/>
          <w:sz w:val="20"/>
        </w:rPr>
        <w:fldChar w:fldCharType="end"/>
      </w:r>
      <w:r>
        <w:rPr>
          <w:sz w:val="20"/>
        </w:rPr>
        <w:t>).</w:t>
      </w:r>
    </w:p>
    <w:p w14:paraId="7719D221">
      <w:pPr>
        <w:pStyle w:val="40"/>
        <w:numPr>
          <w:ilvl w:val="1"/>
          <w:numId w:val="2"/>
        </w:numPr>
        <w:spacing w:before="240" w:after="240"/>
        <w:contextualSpacing w:val="0"/>
        <w:jc w:val="both"/>
        <w:rPr>
          <w:sz w:val="20"/>
        </w:rPr>
      </w:pPr>
      <w:r>
        <w:rPr>
          <w:sz w:val="20"/>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29, §2º</w:t>
      </w:r>
      <w:r>
        <w:rPr>
          <w:rStyle w:val="12"/>
          <w:sz w:val="20"/>
        </w:rPr>
        <w:fldChar w:fldCharType="end"/>
      </w:r>
      <w:r>
        <w:rPr>
          <w:sz w:val="20"/>
        </w:rPr>
        <w:t>).</w:t>
      </w:r>
    </w:p>
    <w:p w14:paraId="349F43AF">
      <w:pPr>
        <w:pStyle w:val="40"/>
        <w:numPr>
          <w:ilvl w:val="1"/>
          <w:numId w:val="2"/>
        </w:numPr>
        <w:spacing w:before="240" w:after="240"/>
        <w:contextualSpacing w:val="0"/>
        <w:jc w:val="both"/>
        <w:rPr>
          <w:sz w:val="20"/>
        </w:rPr>
      </w:pPr>
      <w:r>
        <w:rPr>
          <w:sz w:val="20"/>
        </w:rPr>
        <w:t>Constatada a existência de sanção, o licitante será reputado inabilitado, por falta de condição de participação.</w:t>
      </w:r>
    </w:p>
    <w:p w14:paraId="5CF4689D">
      <w:pPr>
        <w:pStyle w:val="40"/>
        <w:numPr>
          <w:ilvl w:val="1"/>
          <w:numId w:val="2"/>
        </w:numPr>
        <w:spacing w:before="240" w:after="240"/>
        <w:contextualSpacing w:val="0"/>
        <w:jc w:val="both"/>
        <w:rPr>
          <w:sz w:val="20"/>
        </w:rPr>
      </w:pPr>
      <w:r>
        <w:rPr>
          <w:sz w:val="20"/>
        </w:rPr>
        <w:t>Caso o licitante provisoriamente classificado em primeiro lugar tenha se utilizado de algum tratamento favorecido às ME/EPPs, o pregoeiro verificará se faz jus ao benefício.</w:t>
      </w:r>
    </w:p>
    <w:p w14:paraId="275E3949">
      <w:pPr>
        <w:pStyle w:val="40"/>
        <w:numPr>
          <w:ilvl w:val="1"/>
          <w:numId w:val="2"/>
        </w:numPr>
        <w:spacing w:before="240" w:after="240"/>
        <w:contextualSpacing w:val="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2"/>
          <w:sz w:val="20"/>
        </w:rPr>
        <w:t>artigo 29 a 35 da IN SEGES nº 73, de 30 de setembro de 2022</w:t>
      </w:r>
      <w:r>
        <w:rPr>
          <w:rStyle w:val="12"/>
          <w:sz w:val="20"/>
        </w:rPr>
        <w:fldChar w:fldCharType="end"/>
      </w:r>
      <w:r>
        <w:rPr>
          <w:sz w:val="20"/>
        </w:rPr>
        <w:t>.</w:t>
      </w:r>
    </w:p>
    <w:p w14:paraId="64C86EB9">
      <w:pPr>
        <w:pStyle w:val="40"/>
        <w:numPr>
          <w:ilvl w:val="1"/>
          <w:numId w:val="2"/>
        </w:numPr>
        <w:spacing w:before="240" w:after="240"/>
        <w:contextualSpacing w:val="0"/>
        <w:jc w:val="both"/>
        <w:rPr>
          <w:sz w:val="20"/>
        </w:rPr>
      </w:pPr>
      <w:r>
        <w:rPr>
          <w:sz w:val="20"/>
        </w:rPr>
        <w:t xml:space="preserve">Será desclassificada a proposta vencedora que: </w:t>
      </w:r>
    </w:p>
    <w:p w14:paraId="784C9ACD">
      <w:pPr>
        <w:pStyle w:val="40"/>
        <w:numPr>
          <w:ilvl w:val="2"/>
          <w:numId w:val="2"/>
        </w:numPr>
        <w:spacing w:before="240" w:after="240"/>
        <w:contextualSpacing w:val="0"/>
        <w:jc w:val="both"/>
        <w:rPr>
          <w:sz w:val="20"/>
        </w:rPr>
      </w:pPr>
      <w:r>
        <w:rPr>
          <w:sz w:val="20"/>
        </w:rPr>
        <w:t>contiver vícios insanáveis;</w:t>
      </w:r>
    </w:p>
    <w:p w14:paraId="2DDBA462">
      <w:pPr>
        <w:pStyle w:val="40"/>
        <w:numPr>
          <w:ilvl w:val="2"/>
          <w:numId w:val="2"/>
        </w:numPr>
        <w:spacing w:before="240" w:after="240"/>
        <w:contextualSpacing w:val="0"/>
        <w:jc w:val="both"/>
        <w:rPr>
          <w:sz w:val="20"/>
        </w:rPr>
      </w:pPr>
      <w:r>
        <w:rPr>
          <w:sz w:val="20"/>
        </w:rPr>
        <w:t>não obedecer às especificações técnicas contidas no Termo de Referência;</w:t>
      </w:r>
    </w:p>
    <w:p w14:paraId="5E3E0B75">
      <w:pPr>
        <w:pStyle w:val="40"/>
        <w:numPr>
          <w:ilvl w:val="2"/>
          <w:numId w:val="2"/>
        </w:numPr>
        <w:spacing w:before="240" w:after="240"/>
        <w:contextualSpacing w:val="0"/>
        <w:jc w:val="both"/>
        <w:rPr>
          <w:sz w:val="20"/>
        </w:rPr>
      </w:pPr>
      <w:r>
        <w:rPr>
          <w:sz w:val="20"/>
        </w:rPr>
        <w:t>apresentar preços inexequíveis ou permanecerem acima do preço máximo definido para a contratação;</w:t>
      </w:r>
    </w:p>
    <w:p w14:paraId="0D4A68C4">
      <w:pPr>
        <w:pStyle w:val="40"/>
        <w:numPr>
          <w:ilvl w:val="2"/>
          <w:numId w:val="2"/>
        </w:numPr>
        <w:spacing w:before="240" w:after="240"/>
        <w:contextualSpacing w:val="0"/>
        <w:jc w:val="both"/>
        <w:rPr>
          <w:sz w:val="20"/>
        </w:rPr>
      </w:pPr>
      <w:r>
        <w:rPr>
          <w:sz w:val="20"/>
        </w:rPr>
        <w:t>não tiverem sua exequibilidade demonstrada, quando exigido pela Administração;</w:t>
      </w:r>
    </w:p>
    <w:p w14:paraId="7AA1D1D6">
      <w:pPr>
        <w:pStyle w:val="40"/>
        <w:numPr>
          <w:ilvl w:val="2"/>
          <w:numId w:val="2"/>
        </w:numPr>
        <w:spacing w:before="240" w:after="240"/>
        <w:contextualSpacing w:val="0"/>
        <w:jc w:val="both"/>
        <w:rPr>
          <w:sz w:val="20"/>
        </w:rPr>
      </w:pPr>
      <w:r>
        <w:rPr>
          <w:sz w:val="20"/>
        </w:rPr>
        <w:t>apresentar desconformidade com quaisquer outras exigências deste Edital ou seus anexos, desde que insanável.</w:t>
      </w:r>
    </w:p>
    <w:p w14:paraId="2CFBE625">
      <w:pPr>
        <w:pStyle w:val="40"/>
        <w:numPr>
          <w:ilvl w:val="1"/>
          <w:numId w:val="2"/>
        </w:numPr>
        <w:spacing w:before="240" w:after="240"/>
        <w:contextualSpacing w:val="0"/>
        <w:jc w:val="both"/>
        <w:rPr>
          <w:sz w:val="20"/>
        </w:rPr>
      </w:pPr>
      <w:r>
        <w:rPr>
          <w:sz w:val="20"/>
        </w:rPr>
        <w:t>No caso de bens e serviços em geral, é indício de inexequibilidade das propostas valores inferiores a 50% (cinquenta por cento) do valor orçado pela Administração.</w:t>
      </w:r>
    </w:p>
    <w:p w14:paraId="56B8E664">
      <w:pPr>
        <w:pStyle w:val="40"/>
        <w:numPr>
          <w:ilvl w:val="1"/>
          <w:numId w:val="2"/>
        </w:numPr>
        <w:spacing w:before="240" w:after="240"/>
        <w:contextualSpacing w:val="0"/>
        <w:jc w:val="both"/>
        <w:rPr>
          <w:sz w:val="20"/>
        </w:rPr>
      </w:pPr>
      <w:r>
        <w:rPr>
          <w:sz w:val="20"/>
        </w:rPr>
        <w:t>A inexequibilidade, na hipótese de que trata o caput, só será considerada após diligência do pregoeiro, que comprove:</w:t>
      </w:r>
    </w:p>
    <w:p w14:paraId="0E6B7913">
      <w:pPr>
        <w:pStyle w:val="40"/>
        <w:numPr>
          <w:ilvl w:val="2"/>
          <w:numId w:val="2"/>
        </w:numPr>
        <w:spacing w:before="240" w:after="240"/>
        <w:contextualSpacing w:val="0"/>
        <w:jc w:val="both"/>
        <w:rPr>
          <w:sz w:val="20"/>
        </w:rPr>
      </w:pPr>
      <w:r>
        <w:rPr>
          <w:sz w:val="20"/>
        </w:rPr>
        <w:t>que o custo do licitante ultrapassa o valor da proposta; e</w:t>
      </w:r>
    </w:p>
    <w:p w14:paraId="4C109336">
      <w:pPr>
        <w:pStyle w:val="40"/>
        <w:numPr>
          <w:ilvl w:val="2"/>
          <w:numId w:val="2"/>
        </w:numPr>
        <w:spacing w:before="240" w:after="240"/>
        <w:contextualSpacing w:val="0"/>
        <w:jc w:val="both"/>
        <w:rPr>
          <w:sz w:val="20"/>
        </w:rPr>
      </w:pPr>
      <w:r>
        <w:rPr>
          <w:sz w:val="20"/>
        </w:rPr>
        <w:t>inexistirem custos de oportunidade capazes de justificar o vulto da oferta.</w:t>
      </w:r>
    </w:p>
    <w:p w14:paraId="32EC5922">
      <w:pPr>
        <w:pStyle w:val="40"/>
        <w:numPr>
          <w:ilvl w:val="1"/>
          <w:numId w:val="2"/>
        </w:numPr>
        <w:spacing w:before="240" w:after="240"/>
        <w:contextualSpacing w:val="0"/>
        <w:jc w:val="both"/>
        <w:rPr>
          <w:sz w:val="20"/>
        </w:rPr>
      </w:pPr>
      <w:r>
        <w:rPr>
          <w:sz w:val="20"/>
        </w:rPr>
        <w:t>Caso o Termo de Referência exija a apresentação de amostra, o licitante classificado em primeiro lugar deverá apresentá-la, conforme disciplinado no Termo de Referência, sob pena de não aceitação da proposta.</w:t>
      </w:r>
    </w:p>
    <w:p w14:paraId="30243103">
      <w:pPr>
        <w:pStyle w:val="40"/>
        <w:numPr>
          <w:ilvl w:val="1"/>
          <w:numId w:val="2"/>
        </w:numPr>
        <w:spacing w:before="240" w:after="240"/>
        <w:contextualSpacing w:val="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77791AC0">
      <w:pPr>
        <w:pStyle w:val="40"/>
        <w:numPr>
          <w:ilvl w:val="1"/>
          <w:numId w:val="2"/>
        </w:numPr>
        <w:spacing w:before="240" w:after="240"/>
        <w:contextualSpacing w:val="0"/>
        <w:jc w:val="both"/>
        <w:rPr>
          <w:sz w:val="20"/>
        </w:rPr>
      </w:pPr>
      <w:r>
        <w:rPr>
          <w:sz w:val="20"/>
        </w:rPr>
        <w:t>Os resultados das avaliações serão divulgados por meio de mensagem no sistema.</w:t>
      </w:r>
    </w:p>
    <w:p w14:paraId="7C042FB5">
      <w:pPr>
        <w:pStyle w:val="40"/>
        <w:numPr>
          <w:ilvl w:val="1"/>
          <w:numId w:val="2"/>
        </w:numPr>
        <w:spacing w:before="240" w:after="240"/>
        <w:contextualSpacing w:val="0"/>
        <w:jc w:val="both"/>
        <w:rPr>
          <w:sz w:val="20"/>
        </w:rPr>
      </w:pPr>
      <w:r>
        <w:rPr>
          <w:sz w:val="20"/>
        </w:rPr>
        <w:t>No caso de não haver entrega da amostra ou ocorrer atraso na entrega, sem justificativa aceita pelo Pregoeiro, ou havendo entrega de amostra fora das especificações previstas neste Edital, a proposta do licitante será recusada.</w:t>
      </w:r>
    </w:p>
    <w:p w14:paraId="5D7265AB">
      <w:pPr>
        <w:pStyle w:val="40"/>
        <w:spacing w:before="240" w:after="240"/>
        <w:ind w:left="284"/>
        <w:contextualSpacing w:val="0"/>
        <w:jc w:val="both"/>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C7B6D3">
      <w:pPr>
        <w:pStyle w:val="40"/>
        <w:numPr>
          <w:ilvl w:val="0"/>
          <w:numId w:val="2"/>
        </w:numPr>
        <w:spacing w:before="240" w:after="240"/>
        <w:contextualSpacing w:val="0"/>
        <w:jc w:val="both"/>
        <w:rPr>
          <w:b/>
          <w:bCs/>
          <w:sz w:val="20"/>
          <w:u w:val="single"/>
        </w:rPr>
      </w:pPr>
      <w:bookmarkStart w:id="27" w:name="_Toc135469230"/>
      <w:r>
        <w:rPr>
          <w:b/>
          <w:bCs/>
          <w:sz w:val="20"/>
          <w:u w:val="single"/>
        </w:rPr>
        <w:t>DA FASE DE HABILITAÇÃO</w:t>
      </w:r>
      <w:bookmarkEnd w:id="27"/>
    </w:p>
    <w:p w14:paraId="60BD7D2A">
      <w:pPr>
        <w:pStyle w:val="40"/>
        <w:numPr>
          <w:ilvl w:val="1"/>
          <w:numId w:val="2"/>
        </w:numPr>
        <w:spacing w:before="240" w:after="240"/>
        <w:contextualSpacing w:val="0"/>
        <w:jc w:val="both"/>
        <w:rPr>
          <w:sz w:val="20"/>
        </w:rPr>
      </w:pPr>
      <w:r>
        <w:rPr>
          <w:sz w:val="20"/>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2"/>
          <w:sz w:val="20"/>
        </w:rPr>
        <w:t>arts. 62 a 70 da Lei nº 14.133, de 2021</w:t>
      </w:r>
      <w:r>
        <w:rPr>
          <w:rStyle w:val="12"/>
          <w:sz w:val="20"/>
        </w:rPr>
        <w:fldChar w:fldCharType="end"/>
      </w:r>
      <w:r>
        <w:rPr>
          <w:sz w:val="20"/>
        </w:rPr>
        <w:t>.</w:t>
      </w:r>
    </w:p>
    <w:p w14:paraId="60779D28">
      <w:pPr>
        <w:pStyle w:val="53"/>
        <w:numPr>
          <w:ilvl w:val="2"/>
          <w:numId w:val="2"/>
        </w:numPr>
        <w:jc w:val="both"/>
        <w:rPr>
          <w:rFonts w:ascii="Times New Roman" w:hAnsi="Times New Roman" w:cs="Times New Roman"/>
          <w:sz w:val="20"/>
        </w:rPr>
      </w:pPr>
      <w:bookmarkStart w:id="28" w:name="_Ref114663777"/>
      <w:r>
        <w:rPr>
          <w:rFonts w:ascii="Times New Roman" w:hAnsi="Times New Roman" w:cs="Times New Roman"/>
          <w:sz w:val="20"/>
        </w:rPr>
        <w:t xml:space="preserve"> A documentação exigida para fins de </w:t>
      </w:r>
      <w:r>
        <w:rPr>
          <w:rFonts w:ascii="Times New Roman" w:hAnsi="Times New Roman" w:cs="Times New Roman"/>
          <w:sz w:val="20"/>
          <w:szCs w:val="20"/>
        </w:rPr>
        <w:t xml:space="preserve">habilitação jurídica, fiscal, social e trabalhista e econômico-ﬁnanceira, poderão ser apresentados em original, por cópia ou por meio eletrônico, através da Plataforma </w:t>
      </w:r>
      <w:r>
        <w:fldChar w:fldCharType="begin"/>
      </w:r>
      <w:r>
        <w:instrText xml:space="preserve"> HYPERLINK "http://www.portaldecompraspublicas.com.br" </w:instrText>
      </w:r>
      <w:r>
        <w:fldChar w:fldCharType="separate"/>
      </w:r>
      <w:r>
        <w:rPr>
          <w:rStyle w:val="12"/>
          <w:rFonts w:ascii="Times New Roman" w:hAnsi="Times New Roman" w:cs="Times New Roman"/>
          <w:b/>
          <w:bCs/>
          <w:sz w:val="20"/>
          <w:szCs w:val="20"/>
        </w:rPr>
        <w:t>www.portaldecompraspublicas.com.br</w:t>
      </w:r>
      <w:r>
        <w:rPr>
          <w:rStyle w:val="12"/>
          <w:rFonts w:ascii="Times New Roman" w:hAnsi="Times New Roman" w:cs="Times New Roman"/>
          <w:b/>
          <w:bCs/>
          <w:sz w:val="20"/>
          <w:szCs w:val="20"/>
        </w:rPr>
        <w:fldChar w:fldCharType="end"/>
      </w:r>
      <w:r>
        <w:rPr>
          <w:rFonts w:ascii="Times New Roman" w:hAnsi="Times New Roman" w:cs="Times New Roman"/>
          <w:sz w:val="20"/>
        </w:rPr>
        <w:t>.</w:t>
      </w:r>
    </w:p>
    <w:bookmarkEnd w:id="28"/>
    <w:p w14:paraId="67D4ECC2">
      <w:pPr>
        <w:pStyle w:val="40"/>
        <w:numPr>
          <w:ilvl w:val="1"/>
          <w:numId w:val="2"/>
        </w:numPr>
        <w:spacing w:before="240" w:after="240"/>
        <w:contextualSpacing w:val="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6E8BB786">
      <w:pPr>
        <w:pStyle w:val="40"/>
        <w:numPr>
          <w:ilvl w:val="1"/>
          <w:numId w:val="2"/>
        </w:numPr>
        <w:spacing w:before="240" w:after="240"/>
        <w:contextualSpacing w:val="0"/>
        <w:jc w:val="both"/>
        <w:rPr>
          <w:sz w:val="20"/>
        </w:rPr>
      </w:pPr>
      <w:r>
        <w:rPr>
          <w:sz w:val="20"/>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2"/>
          <w:sz w:val="20"/>
        </w:rPr>
        <w:t>Decreto nº 8.660, de 29 de janeiro de 2016</w:t>
      </w:r>
      <w:r>
        <w:rPr>
          <w:rStyle w:val="12"/>
          <w:sz w:val="20"/>
        </w:rPr>
        <w:fldChar w:fldCharType="end"/>
      </w:r>
      <w:r>
        <w:rPr>
          <w:sz w:val="20"/>
        </w:rPr>
        <w:t>, ou de outro que venha a substituí-lo, ou consularizados pelos respectivos consulados ou embaixadas.</w:t>
      </w:r>
    </w:p>
    <w:p w14:paraId="010C82D9">
      <w:pPr>
        <w:pStyle w:val="40"/>
        <w:numPr>
          <w:ilvl w:val="1"/>
          <w:numId w:val="2"/>
        </w:numPr>
        <w:spacing w:before="240" w:after="240"/>
        <w:contextualSpacing w:val="0"/>
        <w:jc w:val="both"/>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804795A">
      <w:pPr>
        <w:spacing w:before="240" w:after="240"/>
        <w:ind w:left="284"/>
        <w:jc w:val="both"/>
        <w:rPr>
          <w:sz w:val="20"/>
        </w:rPr>
      </w:pPr>
      <w:r>
        <w:rPr>
          <w:sz w:val="20"/>
        </w:rPr>
        <w:t>7.4.1. Se o consórcio não for formado integralmente por microempresas ou empresas de pequeno porte e o termo de referência exigir requisitos de habilitação econômico-financeira, haverá um acréscimo de 30 % (trinta por cento) para o consórcio em relação ao valor exigido para os licitantes individuais.</w:t>
      </w:r>
    </w:p>
    <w:p w14:paraId="3EB04637">
      <w:pPr>
        <w:pStyle w:val="40"/>
        <w:numPr>
          <w:ilvl w:val="1"/>
          <w:numId w:val="2"/>
        </w:numPr>
        <w:spacing w:before="240" w:after="240"/>
        <w:contextualSpacing w:val="0"/>
        <w:jc w:val="both"/>
        <w:rPr>
          <w:sz w:val="20"/>
        </w:rPr>
      </w:pPr>
      <w:r>
        <w:rPr>
          <w:sz w:val="20"/>
        </w:rPr>
        <w:t>Os documentos exigidos para fins de habilitação poderão ser apresentados em original, por cópia.</w:t>
      </w:r>
    </w:p>
    <w:p w14:paraId="0B828D17">
      <w:pPr>
        <w:pStyle w:val="40"/>
        <w:numPr>
          <w:ilvl w:val="1"/>
          <w:numId w:val="2"/>
        </w:numPr>
        <w:spacing w:before="240" w:after="240"/>
        <w:contextualSpacing w:val="0"/>
        <w:jc w:val="both"/>
        <w:rPr>
          <w:sz w:val="20"/>
        </w:rPr>
      </w:pPr>
      <w:r>
        <w:rPr>
          <w:sz w:val="20"/>
        </w:rPr>
        <w:t>Os documentos exigidos para fins de habilitação poderão ser substituídos por registro cadastral emitido por órgão ou entidade pública, desde que o registro tenha sido feito em obediência ao disposto na Lei nº 14.133/2021.</w:t>
      </w:r>
    </w:p>
    <w:p w14:paraId="2A6B6E6B">
      <w:pPr>
        <w:pStyle w:val="40"/>
        <w:numPr>
          <w:ilvl w:val="1"/>
          <w:numId w:val="2"/>
        </w:numPr>
        <w:spacing w:before="240" w:after="240"/>
        <w:contextualSpacing w:val="0"/>
        <w:jc w:val="both"/>
        <w:rPr>
          <w:sz w:val="20"/>
        </w:rPr>
      </w:pPr>
      <w:r>
        <w:rPr>
          <w:sz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677C826">
      <w:pPr>
        <w:pStyle w:val="40"/>
        <w:numPr>
          <w:ilvl w:val="1"/>
          <w:numId w:val="2"/>
        </w:numPr>
        <w:spacing w:before="240" w:after="240"/>
        <w:contextualSpacing w:val="0"/>
        <w:jc w:val="both"/>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C464C5E">
      <w:pPr>
        <w:pStyle w:val="40"/>
        <w:numPr>
          <w:ilvl w:val="1"/>
          <w:numId w:val="2"/>
        </w:numPr>
        <w:spacing w:before="240" w:after="240"/>
        <w:contextualSpacing w:val="0"/>
        <w:jc w:val="both"/>
        <w:rPr>
          <w:sz w:val="20"/>
        </w:rPr>
      </w:pPr>
      <w:r>
        <w:rPr>
          <w:sz w:val="20"/>
        </w:rPr>
        <w:t>A habilitação será verificada por meio do Portal de Compras Públicas, nos documentos por ele abrangidos.</w:t>
      </w:r>
    </w:p>
    <w:p w14:paraId="5FECA802">
      <w:pPr>
        <w:pStyle w:val="40"/>
        <w:numPr>
          <w:ilvl w:val="1"/>
          <w:numId w:val="2"/>
        </w:numPr>
        <w:spacing w:before="240" w:after="240"/>
        <w:contextualSpacing w:val="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2"/>
          <w:sz w:val="20"/>
        </w:rPr>
        <w:t>IN nº 3/2018, art. 4º, §1º, e art. 6º, §4º</w:t>
      </w:r>
      <w:r>
        <w:rPr>
          <w:rStyle w:val="12"/>
          <w:sz w:val="20"/>
        </w:rPr>
        <w:fldChar w:fldCharType="end"/>
      </w:r>
      <w:r>
        <w:rPr>
          <w:sz w:val="20"/>
        </w:rPr>
        <w:t>).</w:t>
      </w:r>
    </w:p>
    <w:p w14:paraId="14F64A4B">
      <w:pPr>
        <w:pStyle w:val="40"/>
        <w:numPr>
          <w:ilvl w:val="1"/>
          <w:numId w:val="2"/>
        </w:numPr>
        <w:spacing w:before="240" w:after="240"/>
        <w:contextualSpacing w:val="0"/>
        <w:jc w:val="both"/>
        <w:rPr>
          <w:sz w:val="20"/>
        </w:rPr>
      </w:pPr>
      <w:r>
        <w:rPr>
          <w:sz w:val="20"/>
        </w:rPr>
        <w:t>É de responsabilidade do licitante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2"/>
          <w:sz w:val="20"/>
        </w:rPr>
        <w:t>IN nº 3/2018, art. 7º, caput</w:t>
      </w:r>
      <w:r>
        <w:rPr>
          <w:rStyle w:val="12"/>
          <w:sz w:val="20"/>
        </w:rPr>
        <w:fldChar w:fldCharType="end"/>
      </w:r>
      <w:r>
        <w:rPr>
          <w:sz w:val="20"/>
        </w:rPr>
        <w:t>).</w:t>
      </w:r>
    </w:p>
    <w:p w14:paraId="478CD27F">
      <w:pPr>
        <w:pStyle w:val="40"/>
        <w:numPr>
          <w:ilvl w:val="1"/>
          <w:numId w:val="2"/>
        </w:numPr>
        <w:spacing w:before="240" w:after="240"/>
        <w:contextualSpacing w:val="0"/>
        <w:jc w:val="both"/>
        <w:rPr>
          <w:sz w:val="20"/>
        </w:rPr>
      </w:pPr>
      <w:r>
        <w:rPr>
          <w:sz w:val="20"/>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7º, parágrafo único</w:t>
      </w:r>
      <w:r>
        <w:rPr>
          <w:rStyle w:val="12"/>
          <w:sz w:val="20"/>
        </w:rPr>
        <w:fldChar w:fldCharType="end"/>
      </w:r>
      <w:r>
        <w:rPr>
          <w:sz w:val="20"/>
        </w:rPr>
        <w:t>).</w:t>
      </w:r>
    </w:p>
    <w:p w14:paraId="00743545">
      <w:pPr>
        <w:pStyle w:val="40"/>
        <w:numPr>
          <w:ilvl w:val="1"/>
          <w:numId w:val="2"/>
        </w:numPr>
        <w:spacing w:before="240" w:after="240"/>
        <w:contextualSpacing w:val="0"/>
        <w:jc w:val="both"/>
        <w:rPr>
          <w:sz w:val="20"/>
        </w:rPr>
      </w:pPr>
      <w:r>
        <w:rPr>
          <w:sz w:val="20"/>
        </w:rPr>
        <w:t>A verificação pelo pregoeiro, em sítios eletrônicos oficiais de órgãos e entidades emissores de certidões constitui meio legal de prova, para fins de habilitação.</w:t>
      </w:r>
    </w:p>
    <w:p w14:paraId="052C5776">
      <w:pPr>
        <w:spacing w:before="240" w:after="240"/>
        <w:ind w:left="284"/>
        <w:jc w:val="both"/>
        <w:rPr>
          <w:sz w:val="20"/>
        </w:rPr>
      </w:pPr>
      <w:bookmarkStart w:id="29" w:name="_Ref114663151"/>
      <w:r>
        <w:rPr>
          <w:sz w:val="20"/>
        </w:rPr>
        <w:t xml:space="preserve">7.13.1. Os documentos exigidos para habilitação que não estejam contemplados no Portal de Compras Públicas serão enviados por meio do sistema, em formato digital, no prazo de </w:t>
      </w:r>
      <w:r>
        <w:rPr>
          <w:b/>
          <w:bCs/>
          <w:sz w:val="20"/>
        </w:rPr>
        <w:t>DUAS HORAS</w:t>
      </w:r>
      <w:r>
        <w:rPr>
          <w:sz w:val="20"/>
        </w:rPr>
        <w:t>, prorrogável por igual período, contado da solicitação do pregoeiro.</w:t>
      </w:r>
      <w:bookmarkEnd w:id="29"/>
    </w:p>
    <w:p w14:paraId="1123F09C">
      <w:pPr>
        <w:spacing w:before="240" w:after="240"/>
        <w:ind w:left="284"/>
        <w:jc w:val="both"/>
        <w:rPr>
          <w:sz w:val="20"/>
        </w:rPr>
      </w:pPr>
      <w:r>
        <w:rPr>
          <w:sz w:val="20"/>
        </w:rPr>
        <w:t xml:space="preserve">7.13.2.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2"/>
          <w:sz w:val="20"/>
        </w:rPr>
        <w:t>§ 1º do art. 36 e no § 1º do art. 39 da Instrução Normativa SEGES nº 73, de 30 de setembro de 2022.</w:t>
      </w:r>
      <w:r>
        <w:rPr>
          <w:rStyle w:val="12"/>
          <w:sz w:val="20"/>
        </w:rPr>
        <w:fldChar w:fldCharType="end"/>
      </w:r>
    </w:p>
    <w:p w14:paraId="2AD24C20">
      <w:pPr>
        <w:pStyle w:val="40"/>
        <w:numPr>
          <w:ilvl w:val="1"/>
          <w:numId w:val="2"/>
        </w:numPr>
        <w:spacing w:before="240" w:after="240"/>
        <w:contextualSpacing w:val="0"/>
        <w:jc w:val="both"/>
        <w:rPr>
          <w:sz w:val="20"/>
        </w:rPr>
      </w:pPr>
      <w:r>
        <w:rPr>
          <w:sz w:val="20"/>
        </w:rPr>
        <w:t>A verificação no Portal de Compras Públicas ou a exigência dos documentos nele não contidos somente será feita em relação ao licitante vencedor.</w:t>
      </w:r>
    </w:p>
    <w:p w14:paraId="60BF2BB7">
      <w:pPr>
        <w:spacing w:before="240" w:after="240"/>
        <w:ind w:left="284"/>
        <w:jc w:val="both"/>
        <w:rPr>
          <w:sz w:val="20"/>
        </w:rPr>
      </w:pPr>
      <w:r>
        <w:rPr>
          <w:sz w:val="20"/>
        </w:rPr>
        <w:t>7.14.1. Os documentos relativos à regularidade fiscal que constem do Termo de Referência somente serão exigidos, em qualquer caso, em momento posterior ao julgamento das propostas, e apenas do licitante mais bem classificado.</w:t>
      </w:r>
    </w:p>
    <w:p w14:paraId="20FCF176">
      <w:pPr>
        <w:spacing w:before="240" w:after="240"/>
        <w:ind w:left="284"/>
        <w:jc w:val="both"/>
        <w:rPr>
          <w:sz w:val="20"/>
        </w:rPr>
      </w:pPr>
      <w:r>
        <w:rPr>
          <w:sz w:val="20"/>
        </w:rPr>
        <w:t>7.14.2.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2C7F783">
      <w:pPr>
        <w:pStyle w:val="40"/>
        <w:numPr>
          <w:ilvl w:val="1"/>
          <w:numId w:val="2"/>
        </w:numPr>
        <w:spacing w:before="240" w:after="240"/>
        <w:contextualSpacing w:val="0"/>
        <w:jc w:val="both"/>
        <w:rPr>
          <w:sz w:val="20"/>
        </w:rPr>
      </w:pPr>
      <w:r>
        <w:rPr>
          <w:sz w:val="20"/>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2"/>
          <w:sz w:val="20"/>
        </w:rPr>
        <w:t>Lei 14.133/21, art. 64</w:t>
      </w:r>
      <w:r>
        <w:rPr>
          <w:rStyle w:val="12"/>
          <w:sz w:val="20"/>
        </w:rPr>
        <w:fldChar w:fldCharType="end"/>
      </w:r>
      <w:r>
        <w:rPr>
          <w:sz w:val="20"/>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2"/>
          <w:sz w:val="20"/>
        </w:rPr>
        <w:t>IN 73/2022, art. 39, §4º</w:t>
      </w:r>
      <w:r>
        <w:rPr>
          <w:rStyle w:val="12"/>
          <w:sz w:val="20"/>
        </w:rPr>
        <w:fldChar w:fldCharType="end"/>
      </w:r>
      <w:r>
        <w:rPr>
          <w:sz w:val="20"/>
        </w:rPr>
        <w:t>).</w:t>
      </w:r>
    </w:p>
    <w:p w14:paraId="6C6F268B">
      <w:pPr>
        <w:pStyle w:val="40"/>
        <w:numPr>
          <w:ilvl w:val="2"/>
          <w:numId w:val="2"/>
        </w:numPr>
        <w:spacing w:before="240" w:after="240"/>
        <w:contextualSpacing w:val="0"/>
        <w:jc w:val="both"/>
        <w:rPr>
          <w:sz w:val="20"/>
        </w:rPr>
      </w:pPr>
      <w:r>
        <w:rPr>
          <w:sz w:val="20"/>
        </w:rPr>
        <w:t>complementação de informações acerca dos documentos já apresentados pelos licitantes e desde que necessária para apurar fatos existentes à época da abertura do certame; e</w:t>
      </w:r>
    </w:p>
    <w:p w14:paraId="7F26870C">
      <w:pPr>
        <w:pStyle w:val="40"/>
        <w:numPr>
          <w:ilvl w:val="2"/>
          <w:numId w:val="2"/>
        </w:numPr>
        <w:spacing w:before="240" w:after="240"/>
        <w:contextualSpacing w:val="0"/>
        <w:jc w:val="both"/>
        <w:rPr>
          <w:sz w:val="20"/>
        </w:rPr>
      </w:pPr>
      <w:r>
        <w:rPr>
          <w:sz w:val="20"/>
        </w:rPr>
        <w:t>atualização de documentos cuja validade tenha expirado após a data de recebimento das propostas;</w:t>
      </w:r>
    </w:p>
    <w:p w14:paraId="0417CE93">
      <w:pPr>
        <w:pStyle w:val="40"/>
        <w:numPr>
          <w:ilvl w:val="1"/>
          <w:numId w:val="2"/>
        </w:numPr>
        <w:spacing w:before="240" w:after="240"/>
        <w:contextualSpacing w:val="0"/>
        <w:jc w:val="both"/>
        <w:rPr>
          <w:sz w:val="20"/>
        </w:rPr>
      </w:pPr>
      <w:bookmarkStart w:id="30" w:name="_Ref114670319"/>
      <w:r>
        <w:rPr>
          <w:sz w:val="20"/>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0"/>
    </w:p>
    <w:p w14:paraId="205C9095">
      <w:pPr>
        <w:pStyle w:val="40"/>
        <w:numPr>
          <w:ilvl w:val="1"/>
          <w:numId w:val="2"/>
        </w:numPr>
        <w:spacing w:before="240" w:after="240"/>
        <w:contextualSpacing w:val="0"/>
        <w:jc w:val="both"/>
        <w:rPr>
          <w:sz w:val="20"/>
        </w:rPr>
      </w:pPr>
      <w:bookmarkStart w:id="31" w:name="_Ref114665528"/>
      <w:r>
        <w:rPr>
          <w:sz w:val="20"/>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7.13.1.</w:t>
      </w:r>
      <w:bookmarkEnd w:id="31"/>
    </w:p>
    <w:p w14:paraId="1A2359EE">
      <w:pPr>
        <w:pStyle w:val="40"/>
        <w:numPr>
          <w:ilvl w:val="1"/>
          <w:numId w:val="2"/>
        </w:numPr>
        <w:spacing w:before="240" w:after="240"/>
        <w:contextualSpacing w:val="0"/>
        <w:jc w:val="both"/>
        <w:rPr>
          <w:sz w:val="20"/>
        </w:rPr>
      </w:pPr>
      <w:bookmarkStart w:id="32" w:name="_Ref114665515"/>
      <w:r>
        <w:rPr>
          <w:sz w:val="20"/>
        </w:rPr>
        <w:t>Somente serão disponibilizados para acesso público os documentos de habilitação do licitante cuja proposta atenda ao edital de licitação, após concluídos os procedimentos de que trata o subitem anterior</w:t>
      </w:r>
      <w:bookmarkEnd w:id="32"/>
      <w:r>
        <w:rPr>
          <w:sz w:val="20"/>
        </w:rPr>
        <w:t>.</w:t>
      </w:r>
    </w:p>
    <w:p w14:paraId="3F8DE5A9">
      <w:pPr>
        <w:pStyle w:val="40"/>
        <w:numPr>
          <w:ilvl w:val="1"/>
          <w:numId w:val="2"/>
        </w:numPr>
        <w:spacing w:before="240" w:after="240"/>
        <w:contextualSpacing w:val="0"/>
        <w:jc w:val="both"/>
        <w:rPr>
          <w:sz w:val="20"/>
        </w:rPr>
      </w:pPr>
      <w:r>
        <w:rPr>
          <w:b/>
          <w:bCs/>
          <w:szCs w:val="24"/>
        </w:rPr>
        <w:t>Considerando o disposto no art. 63, II e III, da Lei nº 14.133/2021, a verificação da validade dos documentos de habilitação ocorrerá, tendo como referência, o dia em que estes forem efetivamente apresentados, e não a data de início da sessão.</w:t>
      </w:r>
    </w:p>
    <w:p w14:paraId="37AE4333">
      <w:pPr>
        <w:pStyle w:val="40"/>
        <w:numPr>
          <w:ilvl w:val="0"/>
          <w:numId w:val="2"/>
        </w:numPr>
        <w:spacing w:before="240" w:after="240"/>
        <w:contextualSpacing w:val="0"/>
        <w:jc w:val="both"/>
        <w:rPr>
          <w:b/>
          <w:bCs/>
          <w:sz w:val="20"/>
          <w:u w:val="single"/>
        </w:rPr>
      </w:pPr>
      <w:bookmarkStart w:id="33" w:name="_Toc135469233"/>
      <w:r>
        <w:rPr>
          <w:b/>
          <w:bCs/>
          <w:sz w:val="20"/>
          <w:u w:val="single"/>
        </w:rPr>
        <w:t>DOS RECURSOS</w:t>
      </w:r>
      <w:bookmarkEnd w:id="33"/>
    </w:p>
    <w:p w14:paraId="3354C21C">
      <w:pPr>
        <w:pStyle w:val="40"/>
        <w:numPr>
          <w:ilvl w:val="1"/>
          <w:numId w:val="2"/>
        </w:numPr>
        <w:spacing w:before="240" w:after="240"/>
        <w:contextualSpacing w:val="0"/>
        <w:jc w:val="both"/>
        <w:rPr>
          <w:sz w:val="20"/>
        </w:rPr>
      </w:pPr>
      <w:r>
        <w:rPr>
          <w:sz w:val="20"/>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2"/>
          <w:sz w:val="20"/>
        </w:rPr>
        <w:t>art. 165 da Lei nº 14.133, de 2021</w:t>
      </w:r>
      <w:r>
        <w:rPr>
          <w:rStyle w:val="12"/>
          <w:sz w:val="20"/>
        </w:rPr>
        <w:fldChar w:fldCharType="end"/>
      </w:r>
      <w:r>
        <w:rPr>
          <w:sz w:val="20"/>
        </w:rPr>
        <w:t>.</w:t>
      </w:r>
    </w:p>
    <w:p w14:paraId="55A78A0E">
      <w:pPr>
        <w:pStyle w:val="40"/>
        <w:numPr>
          <w:ilvl w:val="1"/>
          <w:numId w:val="2"/>
        </w:numPr>
        <w:spacing w:before="240" w:after="240"/>
        <w:contextualSpacing w:val="0"/>
        <w:jc w:val="both"/>
        <w:rPr>
          <w:sz w:val="20"/>
        </w:rPr>
      </w:pPr>
      <w:r>
        <w:rPr>
          <w:sz w:val="20"/>
        </w:rPr>
        <w:t>O prazo recursal é de 3 (três) dias úteis, contados da data de intimação ou de lavratura da ata.</w:t>
      </w:r>
    </w:p>
    <w:p w14:paraId="17682BC8">
      <w:pPr>
        <w:pStyle w:val="40"/>
        <w:numPr>
          <w:ilvl w:val="1"/>
          <w:numId w:val="2"/>
        </w:numPr>
        <w:spacing w:before="240" w:after="240"/>
        <w:contextualSpacing w:val="0"/>
        <w:jc w:val="both"/>
        <w:rPr>
          <w:sz w:val="20"/>
        </w:rPr>
      </w:pPr>
      <w:r>
        <w:rPr>
          <w:sz w:val="20"/>
        </w:rPr>
        <w:t>Quando o recurso apresentado impugnar o julgamento das propostas ou o ato de habilitação ou inabilitação do licitante:</w:t>
      </w:r>
    </w:p>
    <w:p w14:paraId="12645254">
      <w:pPr>
        <w:pStyle w:val="40"/>
        <w:numPr>
          <w:ilvl w:val="2"/>
          <w:numId w:val="2"/>
        </w:numPr>
        <w:spacing w:before="240" w:after="240"/>
        <w:contextualSpacing w:val="0"/>
        <w:jc w:val="both"/>
        <w:rPr>
          <w:sz w:val="20"/>
        </w:rPr>
      </w:pPr>
      <w:r>
        <w:rPr>
          <w:sz w:val="20"/>
        </w:rPr>
        <w:t>a intenção de recorrer deverá ser manifestada imediatamente, sob pena de preclusão;</w:t>
      </w:r>
    </w:p>
    <w:p w14:paraId="2DB71C9C">
      <w:pPr>
        <w:pStyle w:val="40"/>
        <w:numPr>
          <w:ilvl w:val="2"/>
          <w:numId w:val="2"/>
        </w:numPr>
        <w:spacing w:before="240" w:after="240"/>
        <w:contextualSpacing w:val="0"/>
        <w:jc w:val="both"/>
        <w:rPr>
          <w:sz w:val="20"/>
        </w:rPr>
      </w:pPr>
      <w:r>
        <w:rPr>
          <w:sz w:val="20"/>
        </w:rPr>
        <w:t>o prazo para a manifestação da intenção de recorrer não será inferior a 10 (dez) minutos</w:t>
      </w:r>
    </w:p>
    <w:p w14:paraId="64D15A12">
      <w:pPr>
        <w:pStyle w:val="40"/>
        <w:numPr>
          <w:ilvl w:val="2"/>
          <w:numId w:val="2"/>
        </w:numPr>
        <w:spacing w:before="240" w:after="240"/>
        <w:contextualSpacing w:val="0"/>
        <w:jc w:val="both"/>
        <w:rPr>
          <w:sz w:val="20"/>
        </w:rPr>
      </w:pPr>
      <w:r>
        <w:rPr>
          <w:sz w:val="20"/>
        </w:rPr>
        <w:t>o prazo para apresentação das razões recursais será iniciado na data de intimação ou de lavratura da ata de habilitação ou inabilitação;</w:t>
      </w:r>
    </w:p>
    <w:p w14:paraId="4E7956BB">
      <w:pPr>
        <w:pStyle w:val="40"/>
        <w:numPr>
          <w:ilvl w:val="2"/>
          <w:numId w:val="2"/>
        </w:numPr>
        <w:spacing w:before="240" w:after="240"/>
        <w:contextualSpacing w:val="0"/>
        <w:jc w:val="both"/>
        <w:rPr>
          <w:sz w:val="20"/>
        </w:rPr>
      </w:pPr>
      <w:r>
        <w:rPr>
          <w:sz w:val="20"/>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2"/>
          <w:sz w:val="20"/>
        </w:rPr>
        <w:t>§ 1º do art. 17 da Lei nº 14.133, de 2021</w:t>
      </w:r>
      <w:r>
        <w:rPr>
          <w:rStyle w:val="12"/>
          <w:sz w:val="20"/>
        </w:rPr>
        <w:fldChar w:fldCharType="end"/>
      </w:r>
      <w:r>
        <w:rPr>
          <w:sz w:val="20"/>
        </w:rPr>
        <w:t>, o prazo para apresentação das razões recursais será iniciado na data de intimação da ata de julgamento.</w:t>
      </w:r>
    </w:p>
    <w:p w14:paraId="200116E2">
      <w:pPr>
        <w:pStyle w:val="40"/>
        <w:numPr>
          <w:ilvl w:val="1"/>
          <w:numId w:val="2"/>
        </w:numPr>
        <w:spacing w:before="240" w:after="240"/>
        <w:contextualSpacing w:val="0"/>
        <w:jc w:val="both"/>
        <w:rPr>
          <w:sz w:val="20"/>
        </w:rPr>
      </w:pPr>
      <w:r>
        <w:rPr>
          <w:sz w:val="20"/>
        </w:rPr>
        <w:t>Os recursos deverão ser encaminhados em campo próprio do sistema.</w:t>
      </w:r>
    </w:p>
    <w:p w14:paraId="64D7927F">
      <w:pPr>
        <w:pStyle w:val="40"/>
        <w:numPr>
          <w:ilvl w:val="1"/>
          <w:numId w:val="2"/>
        </w:numPr>
        <w:spacing w:before="240" w:after="240"/>
        <w:contextualSpacing w:val="0"/>
        <w:jc w:val="both"/>
        <w:rPr>
          <w:sz w:val="20"/>
        </w:rPr>
      </w:pPr>
      <w:r>
        <w:rPr>
          <w:sz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D1C0D65">
      <w:pPr>
        <w:pStyle w:val="40"/>
        <w:numPr>
          <w:ilvl w:val="1"/>
          <w:numId w:val="2"/>
        </w:numPr>
        <w:spacing w:before="240" w:after="240"/>
        <w:contextualSpacing w:val="0"/>
        <w:jc w:val="both"/>
        <w:rPr>
          <w:sz w:val="20"/>
        </w:rPr>
      </w:pPr>
      <w:r>
        <w:rPr>
          <w:sz w:val="20"/>
        </w:rPr>
        <w:t xml:space="preserve">Os recursos interpostos fora do prazo não serão conhecidos. </w:t>
      </w:r>
    </w:p>
    <w:p w14:paraId="783AADCF">
      <w:pPr>
        <w:pStyle w:val="40"/>
        <w:numPr>
          <w:ilvl w:val="1"/>
          <w:numId w:val="2"/>
        </w:numPr>
        <w:spacing w:before="240" w:after="240"/>
        <w:contextualSpacing w:val="0"/>
        <w:jc w:val="both"/>
        <w:rPr>
          <w:sz w:val="20"/>
        </w:rPr>
      </w:pPr>
      <w:r>
        <w:rPr>
          <w:sz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E2AE165">
      <w:pPr>
        <w:pStyle w:val="40"/>
        <w:numPr>
          <w:ilvl w:val="1"/>
          <w:numId w:val="2"/>
        </w:numPr>
        <w:spacing w:before="240" w:after="240"/>
        <w:contextualSpacing w:val="0"/>
        <w:jc w:val="both"/>
        <w:rPr>
          <w:sz w:val="20"/>
        </w:rPr>
      </w:pPr>
      <w:r>
        <w:rPr>
          <w:sz w:val="20"/>
        </w:rPr>
        <w:t xml:space="preserve">O recurso e o pedido de reconsideração terão efeito suspensivo do ato ou da decisão recorrida até que sobrevenha decisão final da autoridade competente. </w:t>
      </w:r>
    </w:p>
    <w:p w14:paraId="4E15E1FE">
      <w:pPr>
        <w:pStyle w:val="40"/>
        <w:numPr>
          <w:ilvl w:val="1"/>
          <w:numId w:val="2"/>
        </w:numPr>
        <w:spacing w:before="240" w:after="240"/>
        <w:contextualSpacing w:val="0"/>
        <w:jc w:val="both"/>
        <w:rPr>
          <w:sz w:val="20"/>
        </w:rPr>
      </w:pPr>
      <w:r>
        <w:rPr>
          <w:sz w:val="20"/>
        </w:rPr>
        <w:t xml:space="preserve">O acolhimento do recurso invalida tão somente os atos insuscetíveis de aproveitamento. </w:t>
      </w:r>
    </w:p>
    <w:p w14:paraId="388BA251">
      <w:pPr>
        <w:pStyle w:val="40"/>
        <w:numPr>
          <w:ilvl w:val="1"/>
          <w:numId w:val="2"/>
        </w:numPr>
        <w:spacing w:before="240" w:after="240"/>
        <w:contextualSpacing w:val="0"/>
        <w:jc w:val="both"/>
        <w:rPr>
          <w:sz w:val="20"/>
        </w:rPr>
      </w:pPr>
      <w:r>
        <w:rPr>
          <w:sz w:val="20"/>
        </w:rPr>
        <w:t xml:space="preserve">Os autos do processo permanecerão com vista franqueada aos interessados no sítio eletrônico </w:t>
      </w:r>
      <w:r>
        <w:fldChar w:fldCharType="begin"/>
      </w:r>
      <w:r>
        <w:instrText xml:space="preserve"> HYPERLINK "https://www.trizideladovale.ma.gov.br/acessoainformacao.php" </w:instrText>
      </w:r>
      <w:r>
        <w:fldChar w:fldCharType="separate"/>
      </w:r>
      <w:r>
        <w:rPr>
          <w:rStyle w:val="12"/>
          <w:sz w:val="16"/>
          <w:szCs w:val="18"/>
        </w:rPr>
        <w:t>https://www.trizideladovale.ma.gov.br/acessoainformacao.php</w:t>
      </w:r>
      <w:r>
        <w:rPr>
          <w:rStyle w:val="12"/>
          <w:sz w:val="16"/>
          <w:szCs w:val="18"/>
        </w:rPr>
        <w:fldChar w:fldCharType="end"/>
      </w:r>
      <w:r>
        <w:rPr>
          <w:sz w:val="20"/>
        </w:rPr>
        <w:t>.</w:t>
      </w:r>
    </w:p>
    <w:p w14:paraId="5FDEDD7B">
      <w:pPr>
        <w:pStyle w:val="40"/>
        <w:numPr>
          <w:ilvl w:val="0"/>
          <w:numId w:val="2"/>
        </w:numPr>
        <w:spacing w:before="240" w:after="240"/>
        <w:contextualSpacing w:val="0"/>
        <w:jc w:val="both"/>
        <w:rPr>
          <w:b/>
          <w:bCs/>
          <w:sz w:val="20"/>
          <w:u w:val="single"/>
        </w:rPr>
      </w:pPr>
      <w:r>
        <w:rPr>
          <w:b/>
          <w:bCs/>
          <w:sz w:val="20"/>
          <w:u w:val="single"/>
        </w:rPr>
        <w:t>DAS INFRAÇÕES ADMINISTRATIVAS E SANÇÕES</w:t>
      </w:r>
    </w:p>
    <w:p w14:paraId="03E3B2A5">
      <w:pPr>
        <w:pStyle w:val="40"/>
        <w:numPr>
          <w:ilvl w:val="1"/>
          <w:numId w:val="2"/>
        </w:numPr>
        <w:spacing w:before="240" w:after="240"/>
        <w:contextualSpacing w:val="0"/>
        <w:jc w:val="both"/>
        <w:rPr>
          <w:sz w:val="20"/>
        </w:rPr>
      </w:pPr>
      <w:r>
        <w:rPr>
          <w:sz w:val="20"/>
        </w:rPr>
        <w:t xml:space="preserve">Comete infração administrativa, nos termos da lei, o licitante que, com dolo ou culpa: </w:t>
      </w:r>
    </w:p>
    <w:p w14:paraId="51491A30">
      <w:pPr>
        <w:pStyle w:val="40"/>
        <w:numPr>
          <w:ilvl w:val="2"/>
          <w:numId w:val="2"/>
        </w:numPr>
        <w:spacing w:before="240" w:after="240"/>
        <w:contextualSpacing w:val="0"/>
        <w:jc w:val="both"/>
        <w:rPr>
          <w:sz w:val="20"/>
        </w:rPr>
      </w:pPr>
      <w:bookmarkStart w:id="34" w:name="_Ref114668085"/>
      <w:r>
        <w:rPr>
          <w:sz w:val="20"/>
        </w:rPr>
        <w:t>deixar de entregar a documentação exigida para o certame ou não entregar qualquer documento que tenha sido solicitado pelo/a pregoeiro/a durante o certame;</w:t>
      </w:r>
      <w:bookmarkEnd w:id="34"/>
    </w:p>
    <w:p w14:paraId="7C7E90C1">
      <w:pPr>
        <w:pStyle w:val="40"/>
        <w:numPr>
          <w:ilvl w:val="1"/>
          <w:numId w:val="2"/>
        </w:numPr>
        <w:spacing w:before="240" w:after="240"/>
        <w:contextualSpacing w:val="0"/>
        <w:jc w:val="both"/>
        <w:rPr>
          <w:sz w:val="20"/>
        </w:rPr>
      </w:pPr>
      <w:bookmarkStart w:id="35" w:name="_Ref114668108"/>
      <w:r>
        <w:rPr>
          <w:sz w:val="20"/>
        </w:rPr>
        <w:t>Salvo em decorrência de fato superveniente devidamente justificado, não mantiver a proposta em especial quando:</w:t>
      </w:r>
      <w:bookmarkEnd w:id="35"/>
    </w:p>
    <w:p w14:paraId="1E843CD8">
      <w:pPr>
        <w:pStyle w:val="40"/>
        <w:numPr>
          <w:ilvl w:val="2"/>
          <w:numId w:val="2"/>
        </w:numPr>
        <w:spacing w:before="240" w:after="240"/>
        <w:contextualSpacing w:val="0"/>
        <w:jc w:val="both"/>
        <w:rPr>
          <w:sz w:val="20"/>
        </w:rPr>
      </w:pPr>
      <w:r>
        <w:rPr>
          <w:sz w:val="20"/>
        </w:rPr>
        <w:t xml:space="preserve">não enviar a proposta adequada ao último lance ofertado ou após a negociação; </w:t>
      </w:r>
    </w:p>
    <w:p w14:paraId="521EE057">
      <w:pPr>
        <w:pStyle w:val="40"/>
        <w:numPr>
          <w:ilvl w:val="2"/>
          <w:numId w:val="2"/>
        </w:numPr>
        <w:spacing w:before="240" w:after="240"/>
        <w:contextualSpacing w:val="0"/>
        <w:jc w:val="both"/>
        <w:rPr>
          <w:sz w:val="20"/>
        </w:rPr>
      </w:pPr>
      <w:r>
        <w:rPr>
          <w:sz w:val="20"/>
        </w:rPr>
        <w:t xml:space="preserve">recusar-se a enviar o detalhamento da proposta quando exigível; </w:t>
      </w:r>
    </w:p>
    <w:p w14:paraId="05915A74">
      <w:pPr>
        <w:pStyle w:val="40"/>
        <w:numPr>
          <w:ilvl w:val="2"/>
          <w:numId w:val="2"/>
        </w:numPr>
        <w:spacing w:before="240" w:after="240"/>
        <w:contextualSpacing w:val="0"/>
        <w:jc w:val="both"/>
        <w:rPr>
          <w:sz w:val="20"/>
        </w:rPr>
      </w:pPr>
      <w:r>
        <w:rPr>
          <w:sz w:val="20"/>
        </w:rPr>
        <w:t xml:space="preserve">pedir para ser desclassificado quando encerrada a etapa competitiva; ou </w:t>
      </w:r>
    </w:p>
    <w:p w14:paraId="3447B662">
      <w:pPr>
        <w:pStyle w:val="40"/>
        <w:numPr>
          <w:ilvl w:val="2"/>
          <w:numId w:val="2"/>
        </w:numPr>
        <w:spacing w:before="240" w:after="240"/>
        <w:contextualSpacing w:val="0"/>
        <w:jc w:val="both"/>
        <w:rPr>
          <w:sz w:val="20"/>
        </w:rPr>
      </w:pPr>
      <w:r>
        <w:rPr>
          <w:sz w:val="20"/>
        </w:rPr>
        <w:t>deixar de apresentar amostra;</w:t>
      </w:r>
    </w:p>
    <w:p w14:paraId="3E2CA7D1">
      <w:pPr>
        <w:pStyle w:val="40"/>
        <w:numPr>
          <w:ilvl w:val="2"/>
          <w:numId w:val="2"/>
        </w:numPr>
        <w:spacing w:before="240" w:after="240"/>
        <w:contextualSpacing w:val="0"/>
        <w:jc w:val="both"/>
        <w:rPr>
          <w:sz w:val="20"/>
        </w:rPr>
      </w:pPr>
      <w:r>
        <w:rPr>
          <w:sz w:val="20"/>
        </w:rPr>
        <w:t xml:space="preserve">apresentar proposta ou amostra em desacordo com as especificações do edital; </w:t>
      </w:r>
    </w:p>
    <w:p w14:paraId="522ECB13">
      <w:pPr>
        <w:pStyle w:val="40"/>
        <w:numPr>
          <w:ilvl w:val="2"/>
          <w:numId w:val="2"/>
        </w:numPr>
        <w:spacing w:before="240" w:after="240"/>
        <w:contextualSpacing w:val="0"/>
        <w:jc w:val="both"/>
        <w:rPr>
          <w:sz w:val="20"/>
        </w:rPr>
      </w:pPr>
      <w:bookmarkStart w:id="36" w:name="_Ref114668139"/>
      <w:r>
        <w:rPr>
          <w:sz w:val="20"/>
        </w:rPr>
        <w:t>não celebrar o contrato ou não entregar a documentação exigida para a contratação, quando convocado dentro do prazo de validade de sua proposta;</w:t>
      </w:r>
      <w:bookmarkEnd w:id="36"/>
    </w:p>
    <w:p w14:paraId="6831830C">
      <w:pPr>
        <w:pStyle w:val="40"/>
        <w:numPr>
          <w:ilvl w:val="2"/>
          <w:numId w:val="2"/>
        </w:numPr>
        <w:spacing w:before="240" w:after="240"/>
        <w:contextualSpacing w:val="0"/>
        <w:jc w:val="both"/>
        <w:rPr>
          <w:sz w:val="20"/>
        </w:rPr>
      </w:pPr>
      <w:r>
        <w:rPr>
          <w:sz w:val="20"/>
        </w:rPr>
        <w:t>recusar-se, sem justificativa, a assinar o contrato ou a ata de registro de preço, ou a aceitar ou retirar o instrumento equivalente no prazo estabelecido pela Administração;</w:t>
      </w:r>
    </w:p>
    <w:p w14:paraId="4E7D59D2">
      <w:pPr>
        <w:pStyle w:val="40"/>
        <w:numPr>
          <w:ilvl w:val="2"/>
          <w:numId w:val="2"/>
        </w:numPr>
        <w:spacing w:before="240" w:after="240"/>
        <w:contextualSpacing w:val="0"/>
        <w:jc w:val="both"/>
        <w:rPr>
          <w:sz w:val="20"/>
        </w:rPr>
      </w:pPr>
      <w:bookmarkStart w:id="37" w:name="_Ref114668249"/>
      <w:r>
        <w:rPr>
          <w:sz w:val="20"/>
        </w:rPr>
        <w:t>apresentar declaração ou documentação falsa exigida para o certame ou prestar declaração falsa durante a licitação</w:t>
      </w:r>
      <w:bookmarkEnd w:id="37"/>
    </w:p>
    <w:p w14:paraId="39EBADCC">
      <w:pPr>
        <w:pStyle w:val="40"/>
        <w:numPr>
          <w:ilvl w:val="2"/>
          <w:numId w:val="2"/>
        </w:numPr>
        <w:spacing w:before="240" w:after="240"/>
        <w:contextualSpacing w:val="0"/>
        <w:jc w:val="both"/>
        <w:rPr>
          <w:sz w:val="20"/>
        </w:rPr>
      </w:pPr>
      <w:bookmarkStart w:id="38" w:name="_Ref114668245"/>
      <w:r>
        <w:rPr>
          <w:sz w:val="20"/>
        </w:rPr>
        <w:t>fraudar a licitação</w:t>
      </w:r>
      <w:bookmarkEnd w:id="38"/>
    </w:p>
    <w:p w14:paraId="21774327">
      <w:pPr>
        <w:pStyle w:val="40"/>
        <w:numPr>
          <w:ilvl w:val="2"/>
          <w:numId w:val="2"/>
        </w:numPr>
        <w:spacing w:before="240" w:after="240"/>
        <w:contextualSpacing w:val="0"/>
        <w:jc w:val="both"/>
        <w:rPr>
          <w:sz w:val="20"/>
        </w:rPr>
      </w:pPr>
      <w:bookmarkStart w:id="39" w:name="_Ref114668247"/>
      <w:r>
        <w:rPr>
          <w:sz w:val="20"/>
        </w:rPr>
        <w:t>comportar-se de modo inidôneo ou cometer fraude de qualquer natureza, em especial quando:</w:t>
      </w:r>
      <w:bookmarkEnd w:id="39"/>
    </w:p>
    <w:p w14:paraId="7757F30D">
      <w:pPr>
        <w:pStyle w:val="40"/>
        <w:numPr>
          <w:ilvl w:val="3"/>
          <w:numId w:val="2"/>
        </w:numPr>
        <w:spacing w:before="240" w:after="240"/>
        <w:contextualSpacing w:val="0"/>
        <w:jc w:val="both"/>
        <w:rPr>
          <w:sz w:val="20"/>
        </w:rPr>
      </w:pPr>
      <w:r>
        <w:rPr>
          <w:sz w:val="20"/>
        </w:rPr>
        <w:t xml:space="preserve">agir em conluio ou em desconformidade com a lei; </w:t>
      </w:r>
    </w:p>
    <w:p w14:paraId="0414294B">
      <w:pPr>
        <w:pStyle w:val="40"/>
        <w:numPr>
          <w:ilvl w:val="3"/>
          <w:numId w:val="2"/>
        </w:numPr>
        <w:spacing w:before="240" w:after="240"/>
        <w:contextualSpacing w:val="0"/>
        <w:jc w:val="both"/>
        <w:rPr>
          <w:sz w:val="20"/>
        </w:rPr>
      </w:pPr>
      <w:r>
        <w:rPr>
          <w:sz w:val="20"/>
        </w:rPr>
        <w:t xml:space="preserve">induzir deliberadamente a erro no julgamento; </w:t>
      </w:r>
    </w:p>
    <w:p w14:paraId="1480E78F">
      <w:pPr>
        <w:pStyle w:val="40"/>
        <w:numPr>
          <w:ilvl w:val="3"/>
          <w:numId w:val="2"/>
        </w:numPr>
        <w:spacing w:before="240" w:after="240"/>
        <w:contextualSpacing w:val="0"/>
        <w:jc w:val="both"/>
        <w:rPr>
          <w:sz w:val="20"/>
        </w:rPr>
      </w:pPr>
      <w:r>
        <w:rPr>
          <w:sz w:val="20"/>
        </w:rPr>
        <w:t xml:space="preserve">apresentar amostra falsificada ou deteriorada; </w:t>
      </w:r>
    </w:p>
    <w:p w14:paraId="30400D1A">
      <w:pPr>
        <w:pStyle w:val="40"/>
        <w:numPr>
          <w:ilvl w:val="3"/>
          <w:numId w:val="2"/>
        </w:numPr>
        <w:spacing w:before="240" w:after="240"/>
        <w:contextualSpacing w:val="0"/>
        <w:jc w:val="both"/>
        <w:rPr>
          <w:sz w:val="20"/>
        </w:rPr>
      </w:pPr>
      <w:bookmarkStart w:id="40" w:name="_Ref114668251"/>
      <w:r>
        <w:rPr>
          <w:sz w:val="20"/>
        </w:rPr>
        <w:t>praticar atos ilícitos com vistas a frustrar os objetivos da licitação</w:t>
      </w:r>
      <w:bookmarkEnd w:id="40"/>
    </w:p>
    <w:p w14:paraId="2443621C">
      <w:pPr>
        <w:pStyle w:val="40"/>
        <w:numPr>
          <w:ilvl w:val="3"/>
          <w:numId w:val="2"/>
        </w:numPr>
        <w:spacing w:before="240" w:after="240"/>
        <w:contextualSpacing w:val="0"/>
        <w:jc w:val="both"/>
        <w:rPr>
          <w:sz w:val="20"/>
        </w:rPr>
      </w:pPr>
      <w:bookmarkStart w:id="41" w:name="_Ref114668252"/>
      <w:r>
        <w:rPr>
          <w:sz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2"/>
          <w:sz w:val="20"/>
        </w:rPr>
        <w:t>art. 5º da Lei n.º 12.846, de 2013</w:t>
      </w:r>
      <w:r>
        <w:rPr>
          <w:rStyle w:val="12"/>
          <w:sz w:val="20"/>
        </w:rPr>
        <w:fldChar w:fldCharType="end"/>
      </w:r>
      <w:r>
        <w:rPr>
          <w:sz w:val="20"/>
        </w:rPr>
        <w:t>.</w:t>
      </w:r>
      <w:bookmarkEnd w:id="41"/>
    </w:p>
    <w:p w14:paraId="48178079">
      <w:pPr>
        <w:pStyle w:val="40"/>
        <w:numPr>
          <w:ilvl w:val="1"/>
          <w:numId w:val="2"/>
        </w:numPr>
        <w:spacing w:before="240" w:after="240"/>
        <w:contextualSpacing w:val="0"/>
        <w:jc w:val="both"/>
        <w:rPr>
          <w:sz w:val="20"/>
        </w:rPr>
      </w:pPr>
      <w:r>
        <w:rPr>
          <w:sz w:val="20"/>
        </w:rPr>
        <w:t xml:space="preserve">Com fulcro na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xml:space="preserve">, a Administração poderá, garantida a prévia defesa, aplicar aos licitantes e/ou adjudicatários as seguintes sanções, sem prejuízo das responsabilidades civil e criminal: </w:t>
      </w:r>
    </w:p>
    <w:p w14:paraId="48A8738E">
      <w:pPr>
        <w:pStyle w:val="40"/>
        <w:numPr>
          <w:ilvl w:val="2"/>
          <w:numId w:val="2"/>
        </w:numPr>
        <w:spacing w:before="240" w:after="240"/>
        <w:contextualSpacing w:val="0"/>
        <w:jc w:val="both"/>
        <w:rPr>
          <w:sz w:val="20"/>
        </w:rPr>
      </w:pPr>
      <w:r>
        <w:rPr>
          <w:sz w:val="20"/>
        </w:rPr>
        <w:t xml:space="preserve">advertência; </w:t>
      </w:r>
    </w:p>
    <w:p w14:paraId="0165E103">
      <w:pPr>
        <w:pStyle w:val="40"/>
        <w:numPr>
          <w:ilvl w:val="2"/>
          <w:numId w:val="2"/>
        </w:numPr>
        <w:spacing w:before="240" w:after="240"/>
        <w:contextualSpacing w:val="0"/>
        <w:jc w:val="both"/>
        <w:rPr>
          <w:sz w:val="20"/>
        </w:rPr>
      </w:pPr>
      <w:r>
        <w:rPr>
          <w:sz w:val="20"/>
        </w:rPr>
        <w:t>multa;</w:t>
      </w:r>
    </w:p>
    <w:p w14:paraId="3C75DC13">
      <w:pPr>
        <w:pStyle w:val="40"/>
        <w:numPr>
          <w:ilvl w:val="2"/>
          <w:numId w:val="2"/>
        </w:numPr>
        <w:spacing w:before="240" w:after="240"/>
        <w:contextualSpacing w:val="0"/>
        <w:jc w:val="both"/>
        <w:rPr>
          <w:sz w:val="20"/>
        </w:rPr>
      </w:pPr>
      <w:r>
        <w:rPr>
          <w:sz w:val="20"/>
        </w:rPr>
        <w:t>impedimento de licitar e contratar e</w:t>
      </w:r>
    </w:p>
    <w:p w14:paraId="10889049">
      <w:pPr>
        <w:pStyle w:val="40"/>
        <w:numPr>
          <w:ilvl w:val="2"/>
          <w:numId w:val="2"/>
        </w:numPr>
        <w:spacing w:before="240" w:after="240"/>
        <w:contextualSpacing w:val="0"/>
        <w:jc w:val="both"/>
        <w:rPr>
          <w:sz w:val="20"/>
        </w:rPr>
      </w:pPr>
      <w:r>
        <w:rPr>
          <w:sz w:val="20"/>
        </w:rPr>
        <w:t>declaração de inidoneidade para licitar ou contratar, enquanto perdurarem os motivos determinantes da punição ou até que seja promovida sua reabilitação perante a própria autoridade que aplicou a penalidade.</w:t>
      </w:r>
    </w:p>
    <w:p w14:paraId="6213F51E">
      <w:pPr>
        <w:pStyle w:val="40"/>
        <w:numPr>
          <w:ilvl w:val="1"/>
          <w:numId w:val="2"/>
        </w:numPr>
        <w:spacing w:before="240" w:after="240"/>
        <w:contextualSpacing w:val="0"/>
        <w:jc w:val="both"/>
        <w:rPr>
          <w:sz w:val="20"/>
        </w:rPr>
      </w:pPr>
      <w:r>
        <w:rPr>
          <w:sz w:val="20"/>
        </w:rPr>
        <w:t>Na aplicação das sanções serão considerados:</w:t>
      </w:r>
    </w:p>
    <w:p w14:paraId="32AF6D5F">
      <w:pPr>
        <w:pStyle w:val="40"/>
        <w:numPr>
          <w:ilvl w:val="2"/>
          <w:numId w:val="2"/>
        </w:numPr>
        <w:spacing w:before="240" w:after="240"/>
        <w:contextualSpacing w:val="0"/>
        <w:jc w:val="both"/>
        <w:rPr>
          <w:sz w:val="20"/>
        </w:rPr>
      </w:pPr>
      <w:r>
        <w:rPr>
          <w:sz w:val="20"/>
        </w:rPr>
        <w:t>a natureza e a gravidade da infração cometida.</w:t>
      </w:r>
    </w:p>
    <w:p w14:paraId="0F039774">
      <w:pPr>
        <w:pStyle w:val="40"/>
        <w:numPr>
          <w:ilvl w:val="2"/>
          <w:numId w:val="2"/>
        </w:numPr>
        <w:spacing w:before="240" w:after="240"/>
        <w:contextualSpacing w:val="0"/>
        <w:jc w:val="both"/>
        <w:rPr>
          <w:sz w:val="20"/>
        </w:rPr>
      </w:pPr>
      <w:r>
        <w:rPr>
          <w:sz w:val="20"/>
        </w:rPr>
        <w:t>as peculiaridades do caso concreto</w:t>
      </w:r>
    </w:p>
    <w:p w14:paraId="17D5EAA0">
      <w:pPr>
        <w:pStyle w:val="40"/>
        <w:numPr>
          <w:ilvl w:val="2"/>
          <w:numId w:val="2"/>
        </w:numPr>
        <w:spacing w:before="240" w:after="240"/>
        <w:contextualSpacing w:val="0"/>
        <w:jc w:val="both"/>
        <w:rPr>
          <w:sz w:val="20"/>
        </w:rPr>
      </w:pPr>
      <w:r>
        <w:rPr>
          <w:sz w:val="20"/>
        </w:rPr>
        <w:t>as circunstâncias agravantes ou atenuantes</w:t>
      </w:r>
    </w:p>
    <w:p w14:paraId="0496B96C">
      <w:pPr>
        <w:pStyle w:val="40"/>
        <w:numPr>
          <w:ilvl w:val="2"/>
          <w:numId w:val="2"/>
        </w:numPr>
        <w:spacing w:before="240" w:after="240"/>
        <w:contextualSpacing w:val="0"/>
        <w:jc w:val="both"/>
        <w:rPr>
          <w:sz w:val="20"/>
        </w:rPr>
      </w:pPr>
      <w:r>
        <w:rPr>
          <w:sz w:val="20"/>
        </w:rPr>
        <w:t>os danos que dela provierem para a Administração Pública</w:t>
      </w:r>
    </w:p>
    <w:p w14:paraId="255407AD">
      <w:pPr>
        <w:pStyle w:val="40"/>
        <w:numPr>
          <w:ilvl w:val="2"/>
          <w:numId w:val="2"/>
        </w:numPr>
        <w:spacing w:before="240" w:after="240"/>
        <w:contextualSpacing w:val="0"/>
        <w:jc w:val="both"/>
        <w:rPr>
          <w:sz w:val="20"/>
        </w:rPr>
      </w:pPr>
      <w:r>
        <w:rPr>
          <w:sz w:val="20"/>
        </w:rPr>
        <w:t>a implantação ou o aperfeiçoamento de programa de integridade, conforme normas e orientações dos órgãos de controle.</w:t>
      </w:r>
    </w:p>
    <w:p w14:paraId="23B74E78">
      <w:pPr>
        <w:pStyle w:val="40"/>
        <w:numPr>
          <w:ilvl w:val="1"/>
          <w:numId w:val="2"/>
        </w:numPr>
        <w:spacing w:before="240" w:after="240"/>
        <w:contextualSpacing w:val="0"/>
        <w:jc w:val="both"/>
        <w:rPr>
          <w:sz w:val="20"/>
        </w:rPr>
      </w:pPr>
      <w:r>
        <w:rPr>
          <w:sz w:val="20"/>
        </w:rPr>
        <w:t>A multa será recolhida em percentual de 0,5% (cinco por cento) incidente sobre o valor do contrato licitado, recolhida no prazo máximo de 10 (dez) dias úteis, a contar da comunicação oficial.</w:t>
      </w:r>
    </w:p>
    <w:p w14:paraId="4A4A042C">
      <w:pPr>
        <w:pStyle w:val="40"/>
        <w:numPr>
          <w:ilvl w:val="1"/>
          <w:numId w:val="2"/>
        </w:numPr>
        <w:spacing w:before="240" w:after="240"/>
        <w:contextualSpacing w:val="0"/>
        <w:jc w:val="both"/>
        <w:rPr>
          <w:sz w:val="20"/>
        </w:rPr>
      </w:pPr>
      <w:r>
        <w:rPr>
          <w:sz w:val="20"/>
        </w:rPr>
        <w:t xml:space="preserve">Para as infrações previstas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a multa será de 10% (dez por cento) do valor do contrato licitado</w:t>
      </w:r>
    </w:p>
    <w:p w14:paraId="148ED6C4">
      <w:pPr>
        <w:pStyle w:val="40"/>
        <w:numPr>
          <w:ilvl w:val="1"/>
          <w:numId w:val="2"/>
        </w:numPr>
        <w:spacing w:before="240" w:after="240"/>
        <w:contextualSpacing w:val="0"/>
        <w:jc w:val="both"/>
        <w:rPr>
          <w:sz w:val="20"/>
        </w:rPr>
      </w:pPr>
      <w:r>
        <w:rPr>
          <w:sz w:val="20"/>
        </w:rPr>
        <w:t xml:space="preserve">Para as infrações previstas nos itens </w:t>
      </w:r>
      <w:r>
        <w:rPr>
          <w:sz w:val="20"/>
        </w:rPr>
        <w:fldChar w:fldCharType="begin"/>
      </w:r>
      <w:r>
        <w:rPr>
          <w:sz w:val="20"/>
        </w:rPr>
        <w:instrText xml:space="preserve"> REF _Ref114668249 \r \h  \* MERGEFORMAT </w:instrText>
      </w:r>
      <w:r>
        <w:rPr>
          <w:sz w:val="20"/>
        </w:rPr>
        <w:fldChar w:fldCharType="separate"/>
      </w:r>
      <w:r>
        <w:rPr>
          <w:sz w:val="20"/>
        </w:rPr>
        <w:t>9.2.8</w:t>
      </w:r>
      <w:r>
        <w:rPr>
          <w:sz w:val="20"/>
        </w:rPr>
        <w:fldChar w:fldCharType="end"/>
      </w:r>
      <w:r>
        <w:rPr>
          <w:sz w:val="20"/>
        </w:rPr>
        <w:t xml:space="preserve">, </w:t>
      </w:r>
      <w:r>
        <w:rPr>
          <w:sz w:val="20"/>
        </w:rPr>
        <w:fldChar w:fldCharType="begin"/>
      </w:r>
      <w:r>
        <w:rPr>
          <w:sz w:val="20"/>
        </w:rPr>
        <w:instrText xml:space="preserve"> REF _Ref114668245 \r \h  \* MERGEFORMAT </w:instrText>
      </w:r>
      <w:r>
        <w:rPr>
          <w:sz w:val="20"/>
        </w:rPr>
        <w:fldChar w:fldCharType="separate"/>
      </w:r>
      <w:r>
        <w:rPr>
          <w:sz w:val="20"/>
        </w:rPr>
        <w:t>9.2.9</w:t>
      </w:r>
      <w:r>
        <w:rPr>
          <w:sz w:val="20"/>
        </w:rPr>
        <w:fldChar w:fldCharType="end"/>
      </w:r>
      <w:r>
        <w:rPr>
          <w:sz w:val="20"/>
        </w:rPr>
        <w:t xml:space="preserve">, </w:t>
      </w:r>
      <w:r>
        <w:rPr>
          <w:sz w:val="20"/>
        </w:rPr>
        <w:fldChar w:fldCharType="begin"/>
      </w:r>
      <w:r>
        <w:rPr>
          <w:sz w:val="20"/>
        </w:rPr>
        <w:instrText xml:space="preserve"> REF _Ref114668247 \r \h  \* MERGEFORMAT </w:instrText>
      </w:r>
      <w:r>
        <w:rPr>
          <w:sz w:val="20"/>
        </w:rPr>
        <w:fldChar w:fldCharType="separate"/>
      </w:r>
      <w:r>
        <w:rPr>
          <w:sz w:val="20"/>
        </w:rPr>
        <w:t>9.2.10</w:t>
      </w:r>
      <w:r>
        <w:rPr>
          <w:sz w:val="20"/>
        </w:rPr>
        <w:fldChar w:fldCharType="end"/>
      </w:r>
      <w:r>
        <w:rPr>
          <w:sz w:val="20"/>
        </w:rPr>
        <w:t xml:space="preserve">, </w:t>
      </w:r>
      <w:r>
        <w:rPr>
          <w:sz w:val="20"/>
        </w:rPr>
        <w:fldChar w:fldCharType="begin"/>
      </w:r>
      <w:r>
        <w:rPr>
          <w:sz w:val="20"/>
        </w:rPr>
        <w:instrText xml:space="preserve"> REF _Ref114668251 \r \h  \* MERGEFORMAT </w:instrText>
      </w:r>
      <w:r>
        <w:rPr>
          <w:sz w:val="20"/>
        </w:rPr>
        <w:fldChar w:fldCharType="separate"/>
      </w:r>
      <w:r>
        <w:rPr>
          <w:sz w:val="20"/>
        </w:rPr>
        <w:t>9.2.10.4</w:t>
      </w:r>
      <w:r>
        <w:rPr>
          <w:sz w:val="20"/>
        </w:rPr>
        <w:fldChar w:fldCharType="end"/>
      </w:r>
      <w:r>
        <w:rPr>
          <w:sz w:val="20"/>
        </w:rPr>
        <w:t xml:space="preserve"> e </w:t>
      </w:r>
      <w:r>
        <w:rPr>
          <w:sz w:val="20"/>
        </w:rPr>
        <w:fldChar w:fldCharType="begin"/>
      </w:r>
      <w:r>
        <w:rPr>
          <w:sz w:val="20"/>
        </w:rPr>
        <w:instrText xml:space="preserve"> REF _Ref114668252 \r \h  \* MERGEFORMAT </w:instrText>
      </w:r>
      <w:r>
        <w:rPr>
          <w:sz w:val="20"/>
        </w:rPr>
        <w:fldChar w:fldCharType="separate"/>
      </w:r>
      <w:r>
        <w:rPr>
          <w:sz w:val="20"/>
        </w:rPr>
        <w:t>9.2.10.5</w:t>
      </w:r>
      <w:r>
        <w:rPr>
          <w:sz w:val="20"/>
        </w:rPr>
        <w:fldChar w:fldCharType="end"/>
      </w:r>
      <w:r>
        <w:rPr>
          <w:sz w:val="20"/>
        </w:rPr>
        <w:t>, a multa será de 15% (quinze por cento) do valor do contrato licitado.</w:t>
      </w:r>
    </w:p>
    <w:p w14:paraId="46D1DB52">
      <w:pPr>
        <w:pStyle w:val="40"/>
        <w:numPr>
          <w:ilvl w:val="1"/>
          <w:numId w:val="2"/>
        </w:numPr>
        <w:spacing w:before="240" w:after="240"/>
        <w:contextualSpacing w:val="0"/>
        <w:jc w:val="both"/>
        <w:rPr>
          <w:sz w:val="20"/>
        </w:rPr>
      </w:pPr>
      <w:r>
        <w:rPr>
          <w:sz w:val="20"/>
        </w:rPr>
        <w:t>As sanções de advertência, impedimento de licitar e contratar e declaração de inidoneidade para licitar ou contratar poderão ser aplicadas, cumulativamente ou não, à penalidade de multa.</w:t>
      </w:r>
    </w:p>
    <w:p w14:paraId="7BD7A284">
      <w:pPr>
        <w:pStyle w:val="40"/>
        <w:numPr>
          <w:ilvl w:val="1"/>
          <w:numId w:val="2"/>
        </w:numPr>
        <w:spacing w:before="240" w:after="240"/>
        <w:contextualSpacing w:val="0"/>
        <w:jc w:val="both"/>
        <w:rPr>
          <w:sz w:val="20"/>
        </w:rPr>
      </w:pPr>
      <w:r>
        <w:rPr>
          <w:sz w:val="20"/>
        </w:rPr>
        <w:t>Na aplicação da sanção de multa será facultada a defesa do interessado no prazo de 15 (quinze) dias úteis, contado da data de sua intimação.</w:t>
      </w:r>
    </w:p>
    <w:p w14:paraId="1A8297F8">
      <w:pPr>
        <w:pStyle w:val="40"/>
        <w:numPr>
          <w:ilvl w:val="1"/>
          <w:numId w:val="2"/>
        </w:numPr>
        <w:spacing w:before="240" w:after="240"/>
        <w:contextualSpacing w:val="0"/>
        <w:jc w:val="both"/>
        <w:rPr>
          <w:sz w:val="20"/>
        </w:rPr>
      </w:pPr>
      <w:r>
        <w:rPr>
          <w:sz w:val="20"/>
        </w:rPr>
        <w:t xml:space="preserve">A sanção de impedimento de licitar e contratar será aplicada ao responsável em decorrência das infrações administrativas relacionadas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F0CBBDE">
      <w:pPr>
        <w:pStyle w:val="40"/>
        <w:numPr>
          <w:ilvl w:val="1"/>
          <w:numId w:val="2"/>
        </w:numPr>
        <w:spacing w:before="240" w:after="240"/>
        <w:contextualSpacing w:val="0"/>
        <w:jc w:val="both"/>
        <w:rPr>
          <w:sz w:val="20"/>
        </w:rPr>
      </w:pPr>
      <w:r>
        <w:rPr>
          <w:sz w:val="20"/>
        </w:rPr>
        <w:t xml:space="preserve">Poderá ser aplicada ao responsável a sanção de declaração de inidoneidade para licitar ou contratar, em decorrência da prática das infrações dispostas nos itens </w:t>
      </w:r>
      <w:r>
        <w:rPr>
          <w:sz w:val="20"/>
        </w:rPr>
        <w:fldChar w:fldCharType="begin"/>
      </w:r>
      <w:r>
        <w:rPr>
          <w:sz w:val="20"/>
        </w:rPr>
        <w:instrText xml:space="preserve"> REF _Ref114668249 \r \h  \* MERGEFORMAT </w:instrText>
      </w:r>
      <w:r>
        <w:rPr>
          <w:sz w:val="20"/>
        </w:rPr>
        <w:fldChar w:fldCharType="separate"/>
      </w:r>
      <w:r>
        <w:rPr>
          <w:sz w:val="20"/>
        </w:rPr>
        <w:t>9.2.8</w:t>
      </w:r>
      <w:r>
        <w:rPr>
          <w:sz w:val="20"/>
        </w:rPr>
        <w:fldChar w:fldCharType="end"/>
      </w:r>
      <w:r>
        <w:rPr>
          <w:sz w:val="20"/>
        </w:rPr>
        <w:t xml:space="preserve">, </w:t>
      </w:r>
      <w:r>
        <w:rPr>
          <w:sz w:val="20"/>
        </w:rPr>
        <w:fldChar w:fldCharType="begin"/>
      </w:r>
      <w:r>
        <w:rPr>
          <w:sz w:val="20"/>
        </w:rPr>
        <w:instrText xml:space="preserve"> REF _Ref114668245 \r \h  \* MERGEFORMAT </w:instrText>
      </w:r>
      <w:r>
        <w:rPr>
          <w:sz w:val="20"/>
        </w:rPr>
        <w:fldChar w:fldCharType="separate"/>
      </w:r>
      <w:r>
        <w:rPr>
          <w:sz w:val="20"/>
        </w:rPr>
        <w:t>9.2.9</w:t>
      </w:r>
      <w:r>
        <w:rPr>
          <w:sz w:val="20"/>
        </w:rPr>
        <w:fldChar w:fldCharType="end"/>
      </w:r>
      <w:r>
        <w:rPr>
          <w:sz w:val="20"/>
        </w:rPr>
        <w:t xml:space="preserve">, </w:t>
      </w:r>
      <w:r>
        <w:rPr>
          <w:sz w:val="20"/>
        </w:rPr>
        <w:fldChar w:fldCharType="begin"/>
      </w:r>
      <w:r>
        <w:rPr>
          <w:sz w:val="20"/>
        </w:rPr>
        <w:instrText xml:space="preserve"> REF _Ref114668247 \r \h  \* MERGEFORMAT </w:instrText>
      </w:r>
      <w:r>
        <w:rPr>
          <w:sz w:val="20"/>
        </w:rPr>
        <w:fldChar w:fldCharType="separate"/>
      </w:r>
      <w:r>
        <w:rPr>
          <w:sz w:val="20"/>
        </w:rPr>
        <w:t>9.2.10</w:t>
      </w:r>
      <w:r>
        <w:rPr>
          <w:sz w:val="20"/>
        </w:rPr>
        <w:fldChar w:fldCharType="end"/>
      </w:r>
      <w:r>
        <w:rPr>
          <w:sz w:val="20"/>
        </w:rPr>
        <w:t xml:space="preserve">, </w:t>
      </w:r>
      <w:r>
        <w:rPr>
          <w:sz w:val="20"/>
        </w:rPr>
        <w:fldChar w:fldCharType="begin"/>
      </w:r>
      <w:r>
        <w:rPr>
          <w:sz w:val="20"/>
        </w:rPr>
        <w:instrText xml:space="preserve"> REF _Ref114668251 \r \h  \* MERGEFORMAT </w:instrText>
      </w:r>
      <w:r>
        <w:rPr>
          <w:sz w:val="20"/>
        </w:rPr>
        <w:fldChar w:fldCharType="separate"/>
      </w:r>
      <w:r>
        <w:rPr>
          <w:sz w:val="20"/>
        </w:rPr>
        <w:t>9.2.10.4</w:t>
      </w:r>
      <w:r>
        <w:rPr>
          <w:sz w:val="20"/>
        </w:rPr>
        <w:fldChar w:fldCharType="end"/>
      </w:r>
      <w:r>
        <w:rPr>
          <w:sz w:val="20"/>
        </w:rPr>
        <w:t xml:space="preserve"> e </w:t>
      </w:r>
      <w:r>
        <w:rPr>
          <w:sz w:val="20"/>
        </w:rPr>
        <w:fldChar w:fldCharType="begin"/>
      </w:r>
      <w:r>
        <w:rPr>
          <w:sz w:val="20"/>
        </w:rPr>
        <w:instrText xml:space="preserve"> REF _Ref114668252 \r \h  \* MERGEFORMAT </w:instrText>
      </w:r>
      <w:r>
        <w:rPr>
          <w:sz w:val="20"/>
        </w:rPr>
        <w:fldChar w:fldCharType="separate"/>
      </w:r>
      <w:r>
        <w:rPr>
          <w:sz w:val="20"/>
        </w:rPr>
        <w:t>9.2.10.5</w:t>
      </w:r>
      <w:r>
        <w:rPr>
          <w:sz w:val="20"/>
        </w:rPr>
        <w:fldChar w:fldCharType="end"/>
      </w:r>
      <w:r>
        <w:rPr>
          <w:sz w:val="20"/>
        </w:rPr>
        <w:t xml:space="preserve">, bem como pelas infrações administrativas previstas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2"/>
          <w:sz w:val="20"/>
        </w:rPr>
        <w:t>art. 156, §5º, da Lei n.º 14.133/2021</w:t>
      </w:r>
      <w:r>
        <w:rPr>
          <w:rStyle w:val="12"/>
          <w:sz w:val="20"/>
        </w:rPr>
        <w:fldChar w:fldCharType="end"/>
      </w:r>
    </w:p>
    <w:p w14:paraId="46900505">
      <w:pPr>
        <w:pStyle w:val="40"/>
        <w:numPr>
          <w:ilvl w:val="1"/>
          <w:numId w:val="2"/>
        </w:numPr>
        <w:spacing w:before="240" w:after="240"/>
        <w:contextualSpacing w:val="0"/>
        <w:jc w:val="both"/>
        <w:rPr>
          <w:sz w:val="20"/>
        </w:rPr>
      </w:pPr>
      <w:r>
        <w:rPr>
          <w:sz w:val="20"/>
        </w:rPr>
        <w:t xml:space="preserve">A recusa injustificada do adjudicatário em assinar o contrato ou a ata de registro de preço, ou em aceitar ou retirar o instrumento equivalente no prazo estabelecido pela Administração, descrita no item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2"/>
          <w:sz w:val="20"/>
        </w:rPr>
        <w:t>art. 45, §4º da IN SEGES/ME n.º 73, de 2022</w:t>
      </w:r>
      <w:r>
        <w:rPr>
          <w:rStyle w:val="12"/>
          <w:sz w:val="20"/>
        </w:rPr>
        <w:fldChar w:fldCharType="end"/>
      </w:r>
    </w:p>
    <w:p w14:paraId="1E1D74B3">
      <w:pPr>
        <w:pStyle w:val="40"/>
        <w:numPr>
          <w:ilvl w:val="1"/>
          <w:numId w:val="2"/>
        </w:numPr>
        <w:spacing w:before="240" w:after="240"/>
        <w:contextualSpacing w:val="0"/>
        <w:jc w:val="both"/>
        <w:rPr>
          <w:sz w:val="20"/>
        </w:rPr>
      </w:pPr>
      <w:r>
        <w:rPr>
          <w:sz w:val="2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B12AF5F">
      <w:pPr>
        <w:pStyle w:val="40"/>
        <w:numPr>
          <w:ilvl w:val="1"/>
          <w:numId w:val="2"/>
        </w:numPr>
        <w:spacing w:before="240" w:after="240"/>
        <w:contextualSpacing w:val="0"/>
        <w:jc w:val="both"/>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6DEC021">
      <w:pPr>
        <w:pStyle w:val="40"/>
        <w:numPr>
          <w:ilvl w:val="1"/>
          <w:numId w:val="2"/>
        </w:numPr>
        <w:spacing w:before="240" w:after="240"/>
        <w:contextualSpacing w:val="0"/>
        <w:jc w:val="both"/>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A7D8C20">
      <w:pPr>
        <w:pStyle w:val="40"/>
        <w:numPr>
          <w:ilvl w:val="1"/>
          <w:numId w:val="2"/>
        </w:numPr>
        <w:spacing w:before="240" w:after="240"/>
        <w:contextualSpacing w:val="0"/>
        <w:jc w:val="both"/>
        <w:rPr>
          <w:sz w:val="20"/>
        </w:rPr>
      </w:pPr>
      <w:r>
        <w:rPr>
          <w:sz w:val="20"/>
        </w:rPr>
        <w:t>O recurso e o pedido de reconsideração terão efeito suspensivo do ato ou da decisão recorrida até que sobrevenha decisão final da autoridade competente.</w:t>
      </w:r>
    </w:p>
    <w:p w14:paraId="6D75952B">
      <w:pPr>
        <w:pStyle w:val="40"/>
        <w:numPr>
          <w:ilvl w:val="1"/>
          <w:numId w:val="2"/>
        </w:numPr>
        <w:spacing w:before="240" w:after="240"/>
        <w:contextualSpacing w:val="0"/>
        <w:jc w:val="both"/>
      </w:pPr>
      <w:r>
        <w:rPr>
          <w:sz w:val="20"/>
        </w:rPr>
        <w:t>A aplicação das sanções previstas neste edital não exclui, em hipótese alguma, a obrigação de reparação integral dos danos causados.</w:t>
      </w:r>
    </w:p>
    <w:p w14:paraId="52E881E4">
      <w:pPr>
        <w:pStyle w:val="40"/>
        <w:numPr>
          <w:ilvl w:val="0"/>
          <w:numId w:val="2"/>
        </w:numPr>
        <w:spacing w:before="240" w:after="240"/>
        <w:contextualSpacing w:val="0"/>
        <w:jc w:val="both"/>
        <w:rPr>
          <w:b/>
          <w:bCs/>
          <w:sz w:val="20"/>
          <w:u w:val="single"/>
        </w:rPr>
      </w:pPr>
      <w:bookmarkStart w:id="42" w:name="_Toc135469235"/>
      <w:r>
        <w:rPr>
          <w:b/>
          <w:bCs/>
          <w:sz w:val="20"/>
          <w:u w:val="single"/>
        </w:rPr>
        <w:t>DA IMPUGNAÇÃO AO EDITAL E DO PEDIDO DE ESCLARECIMENTO</w:t>
      </w:r>
      <w:bookmarkEnd w:id="42"/>
    </w:p>
    <w:p w14:paraId="3CCBD7A1">
      <w:pPr>
        <w:pStyle w:val="40"/>
        <w:numPr>
          <w:ilvl w:val="1"/>
          <w:numId w:val="2"/>
        </w:numPr>
        <w:spacing w:before="240" w:after="240"/>
        <w:contextualSpacing w:val="0"/>
        <w:jc w:val="both"/>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devendo protocolar o pedido até 3 (três) dias úteis antes da data da abertura do certame.</w:t>
      </w:r>
    </w:p>
    <w:p w14:paraId="731C001F">
      <w:pPr>
        <w:pStyle w:val="40"/>
        <w:numPr>
          <w:ilvl w:val="1"/>
          <w:numId w:val="2"/>
        </w:numPr>
        <w:spacing w:before="240" w:after="240"/>
        <w:contextualSpacing w:val="0"/>
        <w:jc w:val="both"/>
        <w:rPr>
          <w:sz w:val="20"/>
        </w:rPr>
      </w:pPr>
      <w:r>
        <w:rPr>
          <w:sz w:val="20"/>
        </w:rPr>
        <w:t>A resposta à impugnação ou ao pedido de esclarecimento será divulgado em sítio eletrônico oficial no prazo de até 3 (três) dias úteis, limitado ao último dia útil anterior à data da abertura do certame.</w:t>
      </w:r>
    </w:p>
    <w:p w14:paraId="143D8DCA">
      <w:pPr>
        <w:pStyle w:val="40"/>
        <w:numPr>
          <w:ilvl w:val="1"/>
          <w:numId w:val="2"/>
        </w:numPr>
        <w:jc w:val="both"/>
        <w:rPr>
          <w:rFonts w:eastAsia="Arial Unicode MS"/>
          <w:b/>
          <w:caps/>
          <w:sz w:val="20"/>
        </w:rPr>
      </w:pPr>
      <w:r>
        <w:rPr>
          <w:sz w:val="20"/>
        </w:rPr>
        <w:t xml:space="preserve">A impugnação e o pedido de esclarecimento </w:t>
      </w:r>
      <w:r>
        <w:rPr>
          <w:b/>
          <w:bCs/>
          <w:sz w:val="18"/>
          <w:szCs w:val="18"/>
        </w:rPr>
        <w:t>DEVERÃO ser realizada EXCLUSIVAMENTE por FORMA ELETRÔNICA no sistema www.portaldecompraspublicas.com.br</w:t>
      </w:r>
      <w:r>
        <w:rPr>
          <w:sz w:val="20"/>
        </w:rPr>
        <w:t xml:space="preserve"> </w:t>
      </w:r>
    </w:p>
    <w:p w14:paraId="187540D9">
      <w:pPr>
        <w:pStyle w:val="40"/>
        <w:numPr>
          <w:ilvl w:val="1"/>
          <w:numId w:val="2"/>
        </w:numPr>
        <w:spacing w:before="240" w:after="240"/>
        <w:contextualSpacing w:val="0"/>
        <w:jc w:val="both"/>
        <w:rPr>
          <w:sz w:val="20"/>
        </w:rPr>
      </w:pPr>
      <w:r>
        <w:rPr>
          <w:sz w:val="20"/>
        </w:rPr>
        <w:t>As impugnações e pedidos de esclarecimentos não suspendem os prazos previstos no certame.</w:t>
      </w:r>
    </w:p>
    <w:p w14:paraId="65457CBA">
      <w:pPr>
        <w:pStyle w:val="40"/>
        <w:numPr>
          <w:ilvl w:val="1"/>
          <w:numId w:val="2"/>
        </w:numPr>
        <w:spacing w:before="240" w:after="240"/>
        <w:contextualSpacing w:val="0"/>
        <w:jc w:val="both"/>
        <w:rPr>
          <w:sz w:val="20"/>
        </w:rPr>
      </w:pPr>
      <w:r>
        <w:rPr>
          <w:sz w:val="20"/>
        </w:rPr>
        <w:t>A concessão de efeito suspensivo à impugnação é medida excepcional e deverá ser motivada pelo agente de contratação, nos autos do processo de licitação.</w:t>
      </w:r>
    </w:p>
    <w:p w14:paraId="0007CA71">
      <w:pPr>
        <w:pStyle w:val="40"/>
        <w:numPr>
          <w:ilvl w:val="1"/>
          <w:numId w:val="2"/>
        </w:numPr>
        <w:spacing w:before="240" w:after="240"/>
        <w:contextualSpacing w:val="0"/>
        <w:jc w:val="both"/>
        <w:rPr>
          <w:sz w:val="20"/>
        </w:rPr>
      </w:pPr>
      <w:r>
        <w:rPr>
          <w:sz w:val="20"/>
        </w:rPr>
        <w:t>Acolhida a impugnação, será definida e publicada nova data para a realização do certame</w:t>
      </w:r>
    </w:p>
    <w:p w14:paraId="1E7C1A41">
      <w:pPr>
        <w:pStyle w:val="40"/>
        <w:numPr>
          <w:ilvl w:val="0"/>
          <w:numId w:val="2"/>
        </w:numPr>
        <w:spacing w:before="240" w:after="240"/>
        <w:contextualSpacing w:val="0"/>
        <w:jc w:val="both"/>
        <w:rPr>
          <w:b/>
          <w:bCs/>
          <w:sz w:val="20"/>
          <w:u w:val="single"/>
        </w:rPr>
      </w:pPr>
      <w:bookmarkStart w:id="43" w:name="_Toc135469236"/>
      <w:r>
        <w:rPr>
          <w:b/>
          <w:bCs/>
          <w:sz w:val="20"/>
          <w:u w:val="single"/>
        </w:rPr>
        <w:t>DAS DISPOSIÇÕES GERAIS</w:t>
      </w:r>
      <w:bookmarkEnd w:id="43"/>
    </w:p>
    <w:p w14:paraId="1A07FDEA">
      <w:pPr>
        <w:spacing w:before="240" w:after="240"/>
        <w:jc w:val="both"/>
        <w:rPr>
          <w:sz w:val="20"/>
        </w:rPr>
      </w:pPr>
      <w:r>
        <w:rPr>
          <w:sz w:val="20"/>
        </w:rPr>
        <w:t>11.1. Será divulgada ata da sessão pública no sistema eletrônico.</w:t>
      </w:r>
    </w:p>
    <w:p w14:paraId="3FA4CCBB">
      <w:pPr>
        <w:spacing w:before="240" w:after="240"/>
        <w:jc w:val="both"/>
        <w:rPr>
          <w:sz w:val="20"/>
        </w:rPr>
      </w:pPr>
      <w:r>
        <w:rPr>
          <w:sz w:val="20"/>
        </w:rPr>
        <w:t>11.2.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04EE9CB">
      <w:pPr>
        <w:spacing w:before="240" w:after="240"/>
        <w:jc w:val="both"/>
        <w:rPr>
          <w:sz w:val="20"/>
        </w:rPr>
      </w:pPr>
      <w:r>
        <w:rPr>
          <w:sz w:val="20"/>
        </w:rPr>
        <w:t>11.3. Todas as referências de tempo no Edital, no aviso e durante a sessão pública observarão o horário de Brasília - DF.</w:t>
      </w:r>
    </w:p>
    <w:p w14:paraId="5E6BCBA3">
      <w:pPr>
        <w:spacing w:before="240" w:after="240"/>
        <w:jc w:val="both"/>
        <w:rPr>
          <w:sz w:val="20"/>
        </w:rPr>
      </w:pPr>
      <w:r>
        <w:rPr>
          <w:sz w:val="20"/>
        </w:rPr>
        <w:t>11.4. A homologação do resultado desta licitação não implicará direito à contratação.</w:t>
      </w:r>
    </w:p>
    <w:p w14:paraId="68702393">
      <w:pPr>
        <w:spacing w:before="240" w:after="240"/>
        <w:jc w:val="both"/>
        <w:rPr>
          <w:sz w:val="20"/>
        </w:rPr>
      </w:pPr>
      <w:r>
        <w:rPr>
          <w:sz w:val="20"/>
        </w:rPr>
        <w:t xml:space="preserve">11.5. As normas disciplinadoras da licitação serão sempre interpretadas em favor da ampliação da disputa entre os interessados, desde que não comprometam o interesse da Administração, o princípio da isonomia, a finalidade e a segurança da contratação. </w:t>
      </w:r>
    </w:p>
    <w:p w14:paraId="3111A5CE">
      <w:pPr>
        <w:spacing w:before="240" w:after="240"/>
        <w:jc w:val="both"/>
        <w:rPr>
          <w:sz w:val="20"/>
        </w:rPr>
      </w:pPr>
      <w:r>
        <w:rPr>
          <w:sz w:val="20"/>
        </w:rPr>
        <w:t>11.6. Os licitantes assumem todos os custos de preparação e apresentação de suas propostas e a Administração não será, em nenhum caso, responsável por esses custos, independentemente da condução ou do resultado do processo licitatório.</w:t>
      </w:r>
    </w:p>
    <w:p w14:paraId="0D129CCA">
      <w:pPr>
        <w:spacing w:before="240" w:after="240"/>
        <w:jc w:val="both"/>
        <w:rPr>
          <w:sz w:val="20"/>
        </w:rPr>
      </w:pPr>
      <w:r>
        <w:rPr>
          <w:sz w:val="20"/>
        </w:rPr>
        <w:t>11.7. Na contagem dos prazos estabelecidos neste Edital e seus Anexos, excluir-se-á o dia do início e incluir-se-á o do vencimento. Só se iniciam e vencem os prazos em dias de expediente na Administração.</w:t>
      </w:r>
    </w:p>
    <w:p w14:paraId="1E15B9C4">
      <w:pPr>
        <w:spacing w:before="240" w:after="240"/>
        <w:jc w:val="both"/>
        <w:rPr>
          <w:sz w:val="20"/>
        </w:rPr>
      </w:pPr>
      <w:r>
        <w:rPr>
          <w:sz w:val="20"/>
        </w:rPr>
        <w:t>11.8. O desatendimento de exigências formais não essenciais não importará o afastamento do licitante, desde que seja possível o aproveitamento do ato, observados os princípios da isonomia e do interesse público.</w:t>
      </w:r>
    </w:p>
    <w:p w14:paraId="42845983">
      <w:pPr>
        <w:spacing w:before="240" w:after="240"/>
        <w:jc w:val="both"/>
        <w:rPr>
          <w:sz w:val="20"/>
        </w:rPr>
      </w:pPr>
      <w:r>
        <w:rPr>
          <w:sz w:val="20"/>
        </w:rPr>
        <w:t>11.9. Em caso de divergência entre disposições deste Edital e de seus anexos ou demais peças que compõem o processo, prevalecerá as deste Edital.</w:t>
      </w:r>
    </w:p>
    <w:p w14:paraId="6A6AD11A">
      <w:pPr>
        <w:spacing w:before="240" w:after="240"/>
        <w:jc w:val="both"/>
        <w:rPr>
          <w:sz w:val="20"/>
        </w:rPr>
      </w:pPr>
      <w:r>
        <w:rPr>
          <w:sz w:val="20"/>
        </w:rPr>
        <w:t xml:space="preserve">11.10. O Edital e seus anexos estão disponíveis, na íntegra, no Portal Nacional de Contratações Públicas (PNCP) e endereço eletrônico </w:t>
      </w:r>
      <w:r>
        <w:rPr>
          <w:color w:val="000000"/>
          <w:sz w:val="16"/>
          <w:szCs w:val="16"/>
        </w:rPr>
        <w:t xml:space="preserve">no Portal de Compras Públicas: </w:t>
      </w:r>
      <w:r>
        <w:fldChar w:fldCharType="begin"/>
      </w:r>
      <w:r>
        <w:instrText xml:space="preserve"> HYPERLINK "https://www.portaldecompraspublicas.com.br/" </w:instrText>
      </w:r>
      <w:r>
        <w:fldChar w:fldCharType="separate"/>
      </w:r>
      <w:r>
        <w:rPr>
          <w:rStyle w:val="12"/>
          <w:sz w:val="16"/>
          <w:szCs w:val="16"/>
        </w:rPr>
        <w:t>https://www.portaldecompraspublicas.com.br/</w:t>
      </w:r>
      <w:r>
        <w:rPr>
          <w:rStyle w:val="12"/>
          <w:sz w:val="16"/>
          <w:szCs w:val="16"/>
        </w:rPr>
        <w:fldChar w:fldCharType="end"/>
      </w:r>
      <w:r>
        <w:rPr>
          <w:color w:val="000000"/>
          <w:sz w:val="16"/>
          <w:szCs w:val="16"/>
        </w:rPr>
        <w:t xml:space="preserve"> e endereço eletrônico: </w:t>
      </w:r>
      <w:r>
        <w:fldChar w:fldCharType="begin"/>
      </w:r>
      <w:r>
        <w:instrText xml:space="preserve"> HYPERLINK "https://www.trizideladovale.ma.gov.br/acessoainformacao.php" </w:instrText>
      </w:r>
      <w:r>
        <w:fldChar w:fldCharType="separate"/>
      </w:r>
      <w:r>
        <w:rPr>
          <w:rStyle w:val="12"/>
          <w:sz w:val="16"/>
          <w:szCs w:val="18"/>
        </w:rPr>
        <w:t>https://www.trizideladovale.ma.gov.br/acessoainformacao.php</w:t>
      </w:r>
      <w:r>
        <w:rPr>
          <w:rStyle w:val="12"/>
          <w:sz w:val="16"/>
          <w:szCs w:val="18"/>
        </w:rPr>
        <w:fldChar w:fldCharType="end"/>
      </w:r>
      <w:r>
        <w:rPr>
          <w:sz w:val="20"/>
        </w:rPr>
        <w:t xml:space="preserve"> </w:t>
      </w:r>
    </w:p>
    <w:p w14:paraId="1EE4BC79">
      <w:pPr>
        <w:pStyle w:val="40"/>
        <w:numPr>
          <w:ilvl w:val="1"/>
          <w:numId w:val="3"/>
        </w:numPr>
        <w:spacing w:before="240" w:after="240"/>
        <w:jc w:val="both"/>
        <w:rPr>
          <w:sz w:val="20"/>
        </w:rPr>
      </w:pPr>
      <w:r>
        <w:rPr>
          <w:sz w:val="20"/>
        </w:rPr>
        <w:t>Integram este Edital, para todos os fins e efeitos, os seguintes anexos:</w:t>
      </w:r>
    </w:p>
    <w:p w14:paraId="481F2242">
      <w:pPr>
        <w:numPr>
          <w:ilvl w:val="2"/>
          <w:numId w:val="3"/>
        </w:numPr>
        <w:spacing w:before="240" w:after="240"/>
        <w:jc w:val="both"/>
        <w:rPr>
          <w:sz w:val="20"/>
        </w:rPr>
      </w:pPr>
      <w:r>
        <w:rPr>
          <w:sz w:val="20"/>
        </w:rPr>
        <w:t xml:space="preserve">ANEXO </w:t>
      </w:r>
      <w:r>
        <w:rPr>
          <w:b/>
          <w:bCs/>
          <w:sz w:val="20"/>
        </w:rPr>
        <w:t>I</w:t>
      </w:r>
      <w:r>
        <w:rPr>
          <w:sz w:val="20"/>
        </w:rPr>
        <w:t xml:space="preserve"> - Modelo de Carta Proposta de Preço.</w:t>
      </w:r>
    </w:p>
    <w:p w14:paraId="6D720F92">
      <w:pPr>
        <w:numPr>
          <w:ilvl w:val="2"/>
          <w:numId w:val="3"/>
        </w:numPr>
        <w:spacing w:before="240" w:after="240"/>
        <w:jc w:val="both"/>
        <w:rPr>
          <w:sz w:val="20"/>
        </w:rPr>
      </w:pPr>
      <w:r>
        <w:rPr>
          <w:sz w:val="20"/>
        </w:rPr>
        <w:t xml:space="preserve">ANEXO </w:t>
      </w:r>
      <w:r>
        <w:rPr>
          <w:b/>
          <w:bCs/>
          <w:sz w:val="20"/>
        </w:rPr>
        <w:t>II</w:t>
      </w:r>
      <w:r>
        <w:rPr>
          <w:sz w:val="20"/>
        </w:rPr>
        <w:t xml:space="preserve"> – Minuta do Termo de Contrato</w:t>
      </w:r>
    </w:p>
    <w:p w14:paraId="4BCC4CD3">
      <w:pPr>
        <w:numPr>
          <w:ilvl w:val="2"/>
          <w:numId w:val="3"/>
        </w:numPr>
        <w:spacing w:before="240" w:after="240"/>
        <w:jc w:val="both"/>
        <w:rPr>
          <w:sz w:val="20"/>
        </w:rPr>
      </w:pPr>
      <w:r>
        <w:rPr>
          <w:sz w:val="20"/>
        </w:rPr>
        <w:t xml:space="preserve">ANEXO </w:t>
      </w:r>
      <w:r>
        <w:rPr>
          <w:b/>
          <w:bCs/>
          <w:sz w:val="20"/>
        </w:rPr>
        <w:t xml:space="preserve">III - </w:t>
      </w:r>
      <w:r>
        <w:rPr>
          <w:sz w:val="20"/>
        </w:rPr>
        <w:t>Minuta Declarações;</w:t>
      </w:r>
    </w:p>
    <w:p w14:paraId="77AC0CFF">
      <w:pPr>
        <w:numPr>
          <w:ilvl w:val="2"/>
          <w:numId w:val="3"/>
        </w:numPr>
        <w:spacing w:before="240" w:after="240"/>
        <w:jc w:val="both"/>
        <w:rPr>
          <w:sz w:val="20"/>
        </w:rPr>
      </w:pPr>
      <w:r>
        <w:rPr>
          <w:sz w:val="20"/>
        </w:rPr>
        <w:t xml:space="preserve">ANEXO </w:t>
      </w:r>
      <w:r>
        <w:rPr>
          <w:b/>
          <w:bCs/>
          <w:sz w:val="20"/>
        </w:rPr>
        <w:t>IV</w:t>
      </w:r>
      <w:r>
        <w:rPr>
          <w:sz w:val="20"/>
        </w:rPr>
        <w:t xml:space="preserve"> - Termo de Referência;</w:t>
      </w:r>
    </w:p>
    <w:p w14:paraId="1E7B8461">
      <w:pPr>
        <w:spacing w:before="240" w:after="240"/>
        <w:ind w:left="1276"/>
        <w:jc w:val="both"/>
        <w:rPr>
          <w:sz w:val="20"/>
        </w:rPr>
      </w:pPr>
      <w:r>
        <w:rPr>
          <w:sz w:val="20"/>
        </w:rPr>
        <w:t>Apêndice do Anexo IV – Estudo Técnico Preliminar.</w:t>
      </w:r>
    </w:p>
    <w:p w14:paraId="17B4DBC3">
      <w:pPr>
        <w:spacing w:before="240" w:after="240"/>
        <w:jc w:val="center"/>
        <w:rPr>
          <w:sz w:val="20"/>
        </w:rPr>
      </w:pPr>
      <w:r>
        <w:rPr>
          <w:sz w:val="20"/>
        </w:rPr>
        <w:t>Município de Trizidela do Vale (MA), 16 de agosto de 2024.</w:t>
      </w:r>
    </w:p>
    <w:p w14:paraId="4EE8F529">
      <w:pPr>
        <w:tabs>
          <w:tab w:val="left" w:pos="8504"/>
        </w:tabs>
        <w:ind w:right="-1"/>
        <w:jc w:val="center"/>
        <w:rPr>
          <w:sz w:val="20"/>
        </w:rPr>
      </w:pPr>
      <w:r>
        <w:rPr>
          <w:sz w:val="20"/>
        </w:rPr>
        <w:t>______________________________________</w:t>
      </w:r>
    </w:p>
    <w:p w14:paraId="51946EF8">
      <w:pPr>
        <w:tabs>
          <w:tab w:val="left" w:pos="8504"/>
        </w:tabs>
        <w:ind w:right="-1"/>
        <w:jc w:val="center"/>
        <w:rPr>
          <w:bCs/>
          <w:sz w:val="20"/>
        </w:rPr>
      </w:pPr>
      <w:r>
        <w:rPr>
          <w:bCs/>
          <w:sz w:val="20"/>
        </w:rPr>
        <w:t>Fabiana Meireles do Nascimento Medeiros</w:t>
      </w:r>
    </w:p>
    <w:p w14:paraId="46720B2B">
      <w:pPr>
        <w:tabs>
          <w:tab w:val="left" w:pos="8504"/>
        </w:tabs>
        <w:ind w:right="-1"/>
        <w:jc w:val="center"/>
        <w:rPr>
          <w:bCs/>
          <w:sz w:val="20"/>
        </w:rPr>
      </w:pPr>
      <w:r>
        <w:rPr>
          <w:bCs/>
          <w:sz w:val="20"/>
        </w:rPr>
        <w:t>Secretária Municipal de Saúde</w:t>
      </w:r>
    </w:p>
    <w:p w14:paraId="3A176212">
      <w:pPr>
        <w:tabs>
          <w:tab w:val="left" w:pos="8504"/>
        </w:tabs>
        <w:ind w:right="-1"/>
        <w:jc w:val="center"/>
        <w:rPr>
          <w:sz w:val="18"/>
          <w:szCs w:val="18"/>
          <w:highlight w:val="yellow"/>
        </w:rPr>
      </w:pPr>
      <w:r>
        <w:rPr>
          <w:bCs/>
          <w:sz w:val="20"/>
        </w:rPr>
        <w:t>Portaria nº 08/2021 GP</w:t>
      </w:r>
      <w:r>
        <w:rPr>
          <w:sz w:val="18"/>
          <w:szCs w:val="18"/>
          <w:highlight w:val="yellow"/>
        </w:rPr>
        <w:br w:type="page"/>
      </w:r>
    </w:p>
    <w:p w14:paraId="045F539C">
      <w:pPr>
        <w:tabs>
          <w:tab w:val="left" w:pos="8504"/>
        </w:tabs>
        <w:ind w:right="-1"/>
        <w:jc w:val="center"/>
        <w:rPr>
          <w:szCs w:val="24"/>
        </w:rPr>
      </w:pPr>
    </w:p>
    <w:p w14:paraId="24F383CD">
      <w:pPr>
        <w:jc w:val="center"/>
        <w:rPr>
          <w:b/>
          <w:szCs w:val="24"/>
        </w:rPr>
      </w:pPr>
      <w:r>
        <w:rPr>
          <w:b/>
          <w:szCs w:val="24"/>
        </w:rPr>
        <w:t>ANEXO I</w:t>
      </w:r>
    </w:p>
    <w:p w14:paraId="2D140BDE">
      <w:pPr>
        <w:jc w:val="center"/>
        <w:rPr>
          <w:b/>
          <w:szCs w:val="24"/>
        </w:rPr>
      </w:pPr>
      <w:r>
        <w:rPr>
          <w:b/>
          <w:szCs w:val="24"/>
        </w:rPr>
        <w:t>MODELO DE CARTA PROPOSTA DE PREÇO</w:t>
      </w:r>
    </w:p>
    <w:p w14:paraId="7518068E">
      <w:pPr>
        <w:rPr>
          <w:szCs w:val="24"/>
        </w:rPr>
      </w:pPr>
    </w:p>
    <w:p w14:paraId="35C07DA8">
      <w:pPr>
        <w:tabs>
          <w:tab w:val="left" w:pos="6288"/>
        </w:tabs>
        <w:rPr>
          <w:b/>
          <w:szCs w:val="24"/>
        </w:rPr>
      </w:pPr>
      <w:r>
        <w:rPr>
          <w:b/>
          <w:szCs w:val="24"/>
        </w:rPr>
        <w:t>PROCESSO ADMINISTRATIVO Nº 1106001/2024</w:t>
      </w:r>
    </w:p>
    <w:p w14:paraId="34A16A7A">
      <w:pPr>
        <w:rPr>
          <w:b/>
          <w:szCs w:val="24"/>
        </w:rPr>
      </w:pPr>
      <w:r>
        <w:rPr>
          <w:b/>
          <w:szCs w:val="24"/>
        </w:rPr>
        <w:t>PREGÃO ELETRÔNICO Nº PE 19/2024</w:t>
      </w:r>
    </w:p>
    <w:p w14:paraId="2F7E98FF">
      <w:pPr>
        <w:autoSpaceDE w:val="0"/>
        <w:autoSpaceDN w:val="0"/>
        <w:adjustRightInd w:val="0"/>
        <w:rPr>
          <w:b/>
          <w:bCs/>
          <w:szCs w:val="24"/>
        </w:rPr>
      </w:pPr>
    </w:p>
    <w:p w14:paraId="26C03DD6">
      <w:pPr>
        <w:autoSpaceDE w:val="0"/>
        <w:autoSpaceDN w:val="0"/>
        <w:adjustRightInd w:val="0"/>
        <w:rPr>
          <w:b/>
          <w:bCs/>
          <w:szCs w:val="24"/>
        </w:rPr>
      </w:pPr>
      <w:r>
        <w:rPr>
          <w:b/>
          <w:bCs/>
          <w:szCs w:val="24"/>
        </w:rPr>
        <w:t xml:space="preserve">À </w:t>
      </w:r>
    </w:p>
    <w:p w14:paraId="3811145B">
      <w:pPr>
        <w:autoSpaceDE w:val="0"/>
        <w:autoSpaceDN w:val="0"/>
        <w:adjustRightInd w:val="0"/>
        <w:rPr>
          <w:b/>
          <w:bCs/>
          <w:szCs w:val="24"/>
        </w:rPr>
      </w:pPr>
      <w:r>
        <w:rPr>
          <w:b/>
          <w:bCs/>
          <w:szCs w:val="24"/>
        </w:rPr>
        <w:t>Pregoeira do Município de Trizidela do Vale (MA)</w:t>
      </w:r>
    </w:p>
    <w:p w14:paraId="0246CA31">
      <w:pPr>
        <w:autoSpaceDE w:val="0"/>
        <w:autoSpaceDN w:val="0"/>
        <w:adjustRightInd w:val="0"/>
        <w:rPr>
          <w:b/>
          <w:bCs/>
          <w:szCs w:val="24"/>
        </w:rPr>
      </w:pPr>
      <w:r>
        <w:rPr>
          <w:b/>
          <w:bCs/>
          <w:szCs w:val="24"/>
        </w:rPr>
        <w:t>Assunto: Proposta de Preços ref. ao PE nº19/2024</w:t>
      </w:r>
    </w:p>
    <w:p w14:paraId="70C77930">
      <w:pPr>
        <w:autoSpaceDE w:val="0"/>
        <w:autoSpaceDN w:val="0"/>
        <w:adjustRightInd w:val="0"/>
        <w:rPr>
          <w:b/>
          <w:bCs/>
          <w:szCs w:val="24"/>
        </w:rPr>
      </w:pPr>
    </w:p>
    <w:p w14:paraId="2F8119E8">
      <w:pPr>
        <w:autoSpaceDE w:val="0"/>
        <w:autoSpaceDN w:val="0"/>
        <w:adjustRightInd w:val="0"/>
        <w:rPr>
          <w:rFonts w:eastAsiaTheme="minorHAnsi"/>
          <w:szCs w:val="24"/>
          <w:lang w:eastAsia="en-US"/>
        </w:rPr>
      </w:pPr>
    </w:p>
    <w:tbl>
      <w:tblPr>
        <w:tblStyle w:val="25"/>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842"/>
        <w:gridCol w:w="3405"/>
        <w:gridCol w:w="14"/>
        <w:gridCol w:w="17"/>
      </w:tblGrid>
      <w:tr w14:paraId="4CC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6CBA03E">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DADOS DA EMPRESA</w:t>
            </w:r>
          </w:p>
        </w:tc>
      </w:tr>
      <w:tr w14:paraId="76BF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0D2D6C4">
            <w:pPr>
              <w:autoSpaceDE w:val="0"/>
              <w:autoSpaceDN w:val="0"/>
              <w:adjustRightInd w:val="0"/>
              <w:rPr>
                <w:rFonts w:eastAsiaTheme="minorHAnsi"/>
                <w:sz w:val="24"/>
                <w:szCs w:val="24"/>
                <w:lang w:eastAsia="en-US"/>
              </w:rPr>
            </w:pPr>
            <w:r>
              <w:rPr>
                <w:rFonts w:eastAsiaTheme="minorHAnsi"/>
                <w:sz w:val="24"/>
                <w:szCs w:val="24"/>
                <w:lang w:eastAsia="en-US"/>
              </w:rPr>
              <w:t>Razão Social da Empresa:</w:t>
            </w:r>
          </w:p>
          <w:p w14:paraId="7386001B">
            <w:pPr>
              <w:autoSpaceDE w:val="0"/>
              <w:autoSpaceDN w:val="0"/>
              <w:adjustRightInd w:val="0"/>
              <w:rPr>
                <w:rFonts w:eastAsiaTheme="minorHAnsi"/>
                <w:sz w:val="24"/>
                <w:szCs w:val="24"/>
                <w:lang w:eastAsia="en-US"/>
              </w:rPr>
            </w:pPr>
          </w:p>
        </w:tc>
      </w:tr>
      <w:tr w14:paraId="5647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18E3B05C">
            <w:pPr>
              <w:autoSpaceDE w:val="0"/>
              <w:autoSpaceDN w:val="0"/>
              <w:adjustRightInd w:val="0"/>
              <w:rPr>
                <w:rFonts w:eastAsiaTheme="minorHAnsi"/>
                <w:sz w:val="24"/>
                <w:szCs w:val="24"/>
                <w:lang w:eastAsia="en-US"/>
              </w:rPr>
            </w:pPr>
            <w:r>
              <w:rPr>
                <w:rFonts w:eastAsiaTheme="minorHAnsi"/>
                <w:sz w:val="24"/>
                <w:szCs w:val="24"/>
                <w:lang w:eastAsia="en-US"/>
              </w:rPr>
              <w:t>Nome Fantasia:</w:t>
            </w:r>
          </w:p>
          <w:p w14:paraId="71F16F4B">
            <w:pPr>
              <w:autoSpaceDE w:val="0"/>
              <w:autoSpaceDN w:val="0"/>
              <w:adjustRightInd w:val="0"/>
              <w:rPr>
                <w:rFonts w:eastAsiaTheme="minorHAnsi"/>
                <w:sz w:val="24"/>
                <w:szCs w:val="24"/>
                <w:lang w:eastAsia="en-US"/>
              </w:rPr>
            </w:pPr>
          </w:p>
        </w:tc>
      </w:tr>
      <w:tr w14:paraId="19A6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 w:type="dxa"/>
        </w:trPr>
        <w:tc>
          <w:tcPr>
            <w:tcW w:w="5778" w:type="dxa"/>
            <w:gridSpan w:val="2"/>
          </w:tcPr>
          <w:p w14:paraId="1030181D">
            <w:pPr>
              <w:autoSpaceDE w:val="0"/>
              <w:autoSpaceDN w:val="0"/>
              <w:adjustRightInd w:val="0"/>
              <w:rPr>
                <w:rFonts w:eastAsiaTheme="minorHAnsi"/>
                <w:sz w:val="24"/>
                <w:szCs w:val="24"/>
                <w:lang w:eastAsia="en-US"/>
              </w:rPr>
            </w:pPr>
            <w:r>
              <w:rPr>
                <w:rFonts w:eastAsiaTheme="minorHAnsi"/>
                <w:sz w:val="24"/>
                <w:szCs w:val="24"/>
                <w:lang w:eastAsia="en-US"/>
              </w:rPr>
              <w:t>CNPJ:</w:t>
            </w:r>
          </w:p>
        </w:tc>
        <w:tc>
          <w:tcPr>
            <w:tcW w:w="3405" w:type="dxa"/>
          </w:tcPr>
          <w:p w14:paraId="2019D253">
            <w:pPr>
              <w:autoSpaceDE w:val="0"/>
              <w:autoSpaceDN w:val="0"/>
              <w:adjustRightInd w:val="0"/>
              <w:rPr>
                <w:rFonts w:eastAsiaTheme="minorHAnsi"/>
                <w:sz w:val="24"/>
                <w:szCs w:val="24"/>
                <w:lang w:eastAsia="en-US"/>
              </w:rPr>
            </w:pPr>
            <w:r>
              <w:rPr>
                <w:rFonts w:eastAsiaTheme="minorHAnsi"/>
                <w:sz w:val="24"/>
                <w:szCs w:val="24"/>
                <w:lang w:eastAsia="en-US"/>
              </w:rPr>
              <w:t xml:space="preserve">INSCRIÇÃO ESTADUAL: </w:t>
            </w:r>
          </w:p>
        </w:tc>
      </w:tr>
      <w:tr w14:paraId="027E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238BAB59">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40393E63">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6F1B399F">
            <w:pPr>
              <w:autoSpaceDE w:val="0"/>
              <w:autoSpaceDN w:val="0"/>
              <w:adjustRightInd w:val="0"/>
              <w:rPr>
                <w:rFonts w:eastAsiaTheme="minorHAnsi"/>
                <w:sz w:val="24"/>
                <w:szCs w:val="24"/>
                <w:lang w:eastAsia="en-US"/>
              </w:rPr>
            </w:pPr>
            <w:r>
              <w:rPr>
                <w:rFonts w:eastAsiaTheme="minorHAnsi"/>
                <w:sz w:val="24"/>
                <w:szCs w:val="24"/>
                <w:lang w:eastAsia="en-US"/>
              </w:rPr>
              <w:t>MUNICÍPIO:</w:t>
            </w:r>
          </w:p>
        </w:tc>
      </w:tr>
      <w:tr w14:paraId="7942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778" w:type="dxa"/>
            <w:gridSpan w:val="2"/>
          </w:tcPr>
          <w:p w14:paraId="4BA3FA1D">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19" w:type="dxa"/>
            <w:gridSpan w:val="2"/>
          </w:tcPr>
          <w:p w14:paraId="6CBF12D6">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0772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8322999">
            <w:pPr>
              <w:autoSpaceDE w:val="0"/>
              <w:autoSpaceDN w:val="0"/>
              <w:adjustRightInd w:val="0"/>
              <w:jc w:val="center"/>
              <w:rPr>
                <w:rFonts w:eastAsiaTheme="minorHAnsi"/>
                <w:sz w:val="24"/>
                <w:szCs w:val="24"/>
                <w:lang w:eastAsia="en-US"/>
              </w:rPr>
            </w:pPr>
            <w:r>
              <w:rPr>
                <w:rFonts w:eastAsiaTheme="minorHAnsi"/>
                <w:b/>
                <w:bCs/>
                <w:sz w:val="24"/>
                <w:szCs w:val="24"/>
                <w:lang w:eastAsia="en-US"/>
              </w:rPr>
              <w:t>REPRESENTANTE LEGAL P/ ASSINATURA DA ATA/CONTRATO</w:t>
            </w:r>
          </w:p>
        </w:tc>
      </w:tr>
      <w:tr w14:paraId="278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F5FC131">
            <w:pPr>
              <w:autoSpaceDE w:val="0"/>
              <w:autoSpaceDN w:val="0"/>
              <w:adjustRightInd w:val="0"/>
              <w:rPr>
                <w:rFonts w:eastAsiaTheme="minorHAnsi"/>
                <w:sz w:val="24"/>
                <w:szCs w:val="24"/>
                <w:lang w:eastAsia="en-US"/>
              </w:rPr>
            </w:pPr>
            <w:r>
              <w:rPr>
                <w:rFonts w:eastAsiaTheme="minorHAnsi"/>
                <w:sz w:val="24"/>
                <w:szCs w:val="24"/>
                <w:lang w:eastAsia="en-US"/>
              </w:rPr>
              <w:t>NOME COMPLETO:</w:t>
            </w:r>
          </w:p>
        </w:tc>
      </w:tr>
      <w:tr w14:paraId="3E6B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5B702D1C">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797F68C1">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27E2AF4C">
            <w:pPr>
              <w:autoSpaceDE w:val="0"/>
              <w:autoSpaceDN w:val="0"/>
              <w:adjustRightInd w:val="0"/>
              <w:rPr>
                <w:rFonts w:eastAsiaTheme="minorHAnsi"/>
                <w:sz w:val="24"/>
                <w:szCs w:val="24"/>
                <w:lang w:eastAsia="en-US"/>
              </w:rPr>
            </w:pPr>
            <w:r>
              <w:rPr>
                <w:rFonts w:eastAsiaTheme="minorHAnsi"/>
                <w:sz w:val="24"/>
                <w:szCs w:val="24"/>
                <w:lang w:eastAsia="en-US"/>
              </w:rPr>
              <w:t>MUNICIPIO:</w:t>
            </w:r>
          </w:p>
        </w:tc>
      </w:tr>
      <w:tr w14:paraId="757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Pr>
          <w:p w14:paraId="46F536CC">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36" w:type="dxa"/>
            <w:gridSpan w:val="3"/>
          </w:tcPr>
          <w:p w14:paraId="48440B99">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471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73F2DD42">
            <w:pPr>
              <w:autoSpaceDE w:val="0"/>
              <w:autoSpaceDN w:val="0"/>
              <w:adjustRightInd w:val="0"/>
              <w:jc w:val="center"/>
              <w:rPr>
                <w:rFonts w:eastAsiaTheme="minorHAnsi"/>
                <w:sz w:val="24"/>
                <w:szCs w:val="24"/>
                <w:lang w:eastAsia="en-US"/>
              </w:rPr>
            </w:pPr>
            <w:r>
              <w:rPr>
                <w:rFonts w:eastAsiaTheme="minorHAnsi"/>
                <w:b/>
                <w:bCs/>
                <w:sz w:val="24"/>
                <w:szCs w:val="24"/>
                <w:lang w:eastAsia="en-US"/>
              </w:rPr>
              <w:t>DADOS DA BANCÁRIO</w:t>
            </w:r>
          </w:p>
        </w:tc>
      </w:tr>
      <w:tr w14:paraId="285C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1969527">
            <w:pPr>
              <w:autoSpaceDE w:val="0"/>
              <w:autoSpaceDN w:val="0"/>
              <w:adjustRightInd w:val="0"/>
              <w:rPr>
                <w:rFonts w:eastAsiaTheme="minorHAnsi"/>
                <w:sz w:val="24"/>
                <w:szCs w:val="24"/>
                <w:lang w:eastAsia="en-US"/>
              </w:rPr>
            </w:pPr>
            <w:r>
              <w:rPr>
                <w:rFonts w:eastAsiaTheme="minorHAnsi"/>
                <w:sz w:val="24"/>
                <w:szCs w:val="24"/>
                <w:lang w:eastAsia="en-US"/>
              </w:rPr>
              <w:t>BANCO</w:t>
            </w:r>
          </w:p>
        </w:tc>
        <w:tc>
          <w:tcPr>
            <w:tcW w:w="1842" w:type="dxa"/>
          </w:tcPr>
          <w:p w14:paraId="58E4A8AC">
            <w:pPr>
              <w:autoSpaceDE w:val="0"/>
              <w:autoSpaceDN w:val="0"/>
              <w:adjustRightInd w:val="0"/>
              <w:rPr>
                <w:rFonts w:eastAsiaTheme="minorHAnsi"/>
                <w:sz w:val="24"/>
                <w:szCs w:val="24"/>
                <w:lang w:eastAsia="en-US"/>
              </w:rPr>
            </w:pPr>
            <w:r>
              <w:rPr>
                <w:rFonts w:eastAsiaTheme="minorHAnsi"/>
                <w:sz w:val="24"/>
                <w:szCs w:val="24"/>
                <w:lang w:eastAsia="en-US"/>
              </w:rPr>
              <w:t>AGÊNCIA</w:t>
            </w:r>
          </w:p>
        </w:tc>
        <w:tc>
          <w:tcPr>
            <w:tcW w:w="3436" w:type="dxa"/>
            <w:gridSpan w:val="3"/>
          </w:tcPr>
          <w:p w14:paraId="5727AE77">
            <w:pPr>
              <w:autoSpaceDE w:val="0"/>
              <w:autoSpaceDN w:val="0"/>
              <w:adjustRightInd w:val="0"/>
              <w:rPr>
                <w:rFonts w:eastAsiaTheme="minorHAnsi"/>
                <w:sz w:val="24"/>
                <w:szCs w:val="24"/>
                <w:lang w:eastAsia="en-US"/>
              </w:rPr>
            </w:pPr>
            <w:r>
              <w:rPr>
                <w:rFonts w:eastAsiaTheme="minorHAnsi"/>
                <w:sz w:val="24"/>
                <w:szCs w:val="24"/>
                <w:lang w:eastAsia="en-US"/>
              </w:rPr>
              <w:t>C/C:</w:t>
            </w:r>
          </w:p>
        </w:tc>
      </w:tr>
    </w:tbl>
    <w:p w14:paraId="12B7E814">
      <w:pPr>
        <w:autoSpaceDE w:val="0"/>
        <w:autoSpaceDN w:val="0"/>
        <w:adjustRightInd w:val="0"/>
        <w:rPr>
          <w:rFonts w:eastAsiaTheme="minorHAnsi"/>
          <w:szCs w:val="24"/>
          <w:lang w:eastAsia="en-US"/>
        </w:rPr>
      </w:pPr>
    </w:p>
    <w:p w14:paraId="344F0DD9">
      <w:pPr>
        <w:autoSpaceDE w:val="0"/>
        <w:autoSpaceDN w:val="0"/>
        <w:adjustRightInd w:val="0"/>
        <w:jc w:val="both"/>
        <w:rPr>
          <w:rFonts w:eastAsiaTheme="minorHAnsi"/>
          <w:szCs w:val="24"/>
          <w:lang w:eastAsia="en-US"/>
        </w:rPr>
      </w:pPr>
      <w:r>
        <w:rPr>
          <w:rFonts w:eastAsiaTheme="minorHAnsi"/>
          <w:szCs w:val="24"/>
          <w:lang w:eastAsia="en-US"/>
        </w:rPr>
        <w:t>Apresentamos a pregoeira e sua equipe de apoio, nossa proposta objetivando a c</w:t>
      </w:r>
      <w:r>
        <w:t xml:space="preserve">ontratação </w:t>
      </w:r>
      <w:r>
        <w:rPr>
          <w:szCs w:val="22"/>
        </w:rPr>
        <w:t>de empresa para o fornecimento de medicamentos hospitalar, de forma parcelada, de interesse do Fundo Municipal de Saúde, do município de Trizidela do Vale (MA</w:t>
      </w:r>
      <w:r>
        <w:rPr>
          <w:szCs w:val="24"/>
        </w:rPr>
        <w:t xml:space="preserve">), </w:t>
      </w:r>
      <w:r>
        <w:rPr>
          <w:rFonts w:eastAsiaTheme="minorHAnsi"/>
          <w:szCs w:val="24"/>
          <w:lang w:eastAsia="en-US"/>
        </w:rPr>
        <w:t>conforme licitado pelo PREGÃO ELETRÔNICO Nº XXX/2024. Segue proposta com descrição dos itens na planilha abaixo:</w:t>
      </w:r>
    </w:p>
    <w:p w14:paraId="57D31BB7">
      <w:pPr>
        <w:autoSpaceDE w:val="0"/>
        <w:autoSpaceDN w:val="0"/>
        <w:adjustRightInd w:val="0"/>
        <w:rPr>
          <w:rFonts w:eastAsiaTheme="minorHAnsi"/>
          <w:szCs w:val="24"/>
          <w:lang w:eastAsia="en-US"/>
        </w:rPr>
      </w:pPr>
    </w:p>
    <w:tbl>
      <w:tblPr>
        <w:tblStyle w:val="9"/>
        <w:tblW w:w="8859" w:type="dxa"/>
        <w:tblInd w:w="212" w:type="dxa"/>
        <w:tblLayout w:type="autofit"/>
        <w:tblCellMar>
          <w:top w:w="0" w:type="dxa"/>
          <w:left w:w="70" w:type="dxa"/>
          <w:bottom w:w="0" w:type="dxa"/>
          <w:right w:w="70" w:type="dxa"/>
        </w:tblCellMar>
      </w:tblPr>
      <w:tblGrid>
        <w:gridCol w:w="781"/>
        <w:gridCol w:w="2382"/>
        <w:gridCol w:w="1060"/>
        <w:gridCol w:w="1276"/>
        <w:gridCol w:w="883"/>
        <w:gridCol w:w="1367"/>
        <w:gridCol w:w="1110"/>
      </w:tblGrid>
      <w:tr w14:paraId="056BEF6C">
        <w:tblPrEx>
          <w:tblCellMar>
            <w:top w:w="0" w:type="dxa"/>
            <w:left w:w="70" w:type="dxa"/>
            <w:bottom w:w="0" w:type="dxa"/>
            <w:right w:w="70" w:type="dxa"/>
          </w:tblCellMar>
        </w:tblPrEx>
        <w:trPr>
          <w:trHeight w:val="48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B2C2C">
            <w:pPr>
              <w:jc w:val="center"/>
              <w:rPr>
                <w:b/>
                <w:szCs w:val="24"/>
              </w:rPr>
            </w:pPr>
            <w:r>
              <w:rPr>
                <w:b/>
                <w:szCs w:val="24"/>
              </w:rPr>
              <w:t>ITEM</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B3A7504">
            <w:pPr>
              <w:jc w:val="center"/>
              <w:rPr>
                <w:b/>
                <w:szCs w:val="24"/>
              </w:rPr>
            </w:pPr>
            <w:r>
              <w:rPr>
                <w:b/>
                <w:szCs w:val="24"/>
              </w:rPr>
              <w:t>DESCRIÇÃO</w:t>
            </w:r>
          </w:p>
        </w:tc>
        <w:tc>
          <w:tcPr>
            <w:tcW w:w="999" w:type="dxa"/>
            <w:tcBorders>
              <w:top w:val="single" w:color="auto" w:sz="4" w:space="0"/>
              <w:left w:val="nil"/>
              <w:bottom w:val="single" w:color="auto" w:sz="4" w:space="0"/>
              <w:right w:val="single" w:color="auto" w:sz="4" w:space="0"/>
            </w:tcBorders>
            <w:vAlign w:val="center"/>
          </w:tcPr>
          <w:p w14:paraId="3CA7FCE9">
            <w:pPr>
              <w:jc w:val="center"/>
              <w:rPr>
                <w:b/>
                <w:szCs w:val="24"/>
              </w:rPr>
            </w:pPr>
            <w:r>
              <w:rPr>
                <w:b/>
                <w:szCs w:val="24"/>
              </w:rPr>
              <w:t>MARCA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E4433">
            <w:pPr>
              <w:jc w:val="center"/>
              <w:rPr>
                <w:b/>
                <w:szCs w:val="24"/>
              </w:rPr>
            </w:pPr>
            <w:r>
              <w:rPr>
                <w:b/>
                <w:szCs w:val="24"/>
              </w:rPr>
              <w:t>QTDE</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39AB0BEE">
            <w:pPr>
              <w:jc w:val="center"/>
              <w:rPr>
                <w:b/>
                <w:szCs w:val="24"/>
              </w:rPr>
            </w:pPr>
            <w:r>
              <w:rPr>
                <w:b/>
                <w:szCs w:val="24"/>
              </w:rPr>
              <w:t>UND</w:t>
            </w:r>
          </w:p>
        </w:tc>
        <w:tc>
          <w:tcPr>
            <w:tcW w:w="1196" w:type="dxa"/>
            <w:tcBorders>
              <w:top w:val="single" w:color="auto" w:sz="4" w:space="0"/>
              <w:left w:val="nil"/>
              <w:bottom w:val="single" w:color="auto" w:sz="4" w:space="0"/>
              <w:right w:val="single" w:color="auto" w:sz="4" w:space="0"/>
            </w:tcBorders>
            <w:shd w:val="clear" w:color="auto" w:fill="auto"/>
            <w:vAlign w:val="center"/>
          </w:tcPr>
          <w:p w14:paraId="71F57429">
            <w:pPr>
              <w:jc w:val="center"/>
              <w:rPr>
                <w:b/>
                <w:szCs w:val="24"/>
              </w:rPr>
            </w:pPr>
            <w:r>
              <w:rPr>
                <w:b/>
                <w:szCs w:val="24"/>
              </w:rPr>
              <w:t>PREÇO UNITÁRIO R$</w:t>
            </w:r>
          </w:p>
        </w:tc>
        <w:tc>
          <w:tcPr>
            <w:tcW w:w="1110" w:type="dxa"/>
            <w:tcBorders>
              <w:top w:val="single" w:color="auto" w:sz="4" w:space="0"/>
              <w:left w:val="nil"/>
              <w:bottom w:val="single" w:color="auto" w:sz="4" w:space="0"/>
              <w:right w:val="single" w:color="auto" w:sz="4" w:space="0"/>
            </w:tcBorders>
            <w:shd w:val="clear" w:color="auto" w:fill="auto"/>
            <w:vAlign w:val="center"/>
          </w:tcPr>
          <w:p w14:paraId="70764CC4">
            <w:pPr>
              <w:jc w:val="center"/>
              <w:rPr>
                <w:b/>
                <w:szCs w:val="24"/>
              </w:rPr>
            </w:pPr>
            <w:r>
              <w:rPr>
                <w:b/>
                <w:szCs w:val="24"/>
              </w:rPr>
              <w:t>PREÇO TOTAL R$</w:t>
            </w:r>
          </w:p>
        </w:tc>
      </w:tr>
      <w:tr w14:paraId="09DC8579">
        <w:tblPrEx>
          <w:tblCellMar>
            <w:top w:w="0" w:type="dxa"/>
            <w:left w:w="70" w:type="dxa"/>
            <w:bottom w:w="0" w:type="dxa"/>
            <w:right w:w="70" w:type="dxa"/>
          </w:tblCellMar>
        </w:tblPrEx>
        <w:trPr>
          <w:trHeight w:val="49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8CCAB39">
            <w:pPr>
              <w:jc w:val="center"/>
              <w:rPr>
                <w:szCs w:val="24"/>
              </w:rPr>
            </w:pPr>
            <w:r>
              <w:rPr>
                <w:szCs w:val="24"/>
              </w:rPr>
              <w:t>1</w:t>
            </w:r>
          </w:p>
        </w:tc>
        <w:tc>
          <w:tcPr>
            <w:tcW w:w="2715" w:type="dxa"/>
            <w:tcBorders>
              <w:top w:val="nil"/>
              <w:left w:val="single" w:color="auto" w:sz="4" w:space="0"/>
              <w:bottom w:val="single" w:color="auto" w:sz="4" w:space="0"/>
              <w:right w:val="single" w:color="auto" w:sz="4" w:space="0"/>
            </w:tcBorders>
            <w:shd w:val="clear" w:color="auto" w:fill="auto"/>
            <w:vAlign w:val="center"/>
          </w:tcPr>
          <w:p w14:paraId="7ED16AE4">
            <w:pPr>
              <w:rPr>
                <w:szCs w:val="24"/>
              </w:rPr>
            </w:pPr>
          </w:p>
        </w:tc>
        <w:tc>
          <w:tcPr>
            <w:tcW w:w="999" w:type="dxa"/>
            <w:tcBorders>
              <w:top w:val="single" w:color="auto" w:sz="4" w:space="0"/>
              <w:left w:val="nil"/>
              <w:bottom w:val="single" w:color="auto" w:sz="4" w:space="0"/>
              <w:right w:val="single" w:color="auto" w:sz="4" w:space="0"/>
            </w:tcBorders>
            <w:vAlign w:val="center"/>
          </w:tcPr>
          <w:p w14:paraId="42FEAE14">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F691BD8">
            <w:pPr>
              <w:jc w:val="right"/>
              <w:rPr>
                <w:szCs w:val="24"/>
              </w:rPr>
            </w:pPr>
          </w:p>
        </w:tc>
        <w:tc>
          <w:tcPr>
            <w:tcW w:w="883" w:type="dxa"/>
            <w:tcBorders>
              <w:top w:val="nil"/>
              <w:left w:val="nil"/>
              <w:bottom w:val="single" w:color="auto" w:sz="4" w:space="0"/>
              <w:right w:val="single" w:color="auto" w:sz="4" w:space="0"/>
            </w:tcBorders>
            <w:shd w:val="clear" w:color="auto" w:fill="auto"/>
            <w:noWrap/>
            <w:vAlign w:val="center"/>
          </w:tcPr>
          <w:p w14:paraId="3E5DFA7F">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365FA97D">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0EF5E19A">
            <w:pPr>
              <w:jc w:val="right"/>
              <w:rPr>
                <w:szCs w:val="24"/>
              </w:rPr>
            </w:pPr>
          </w:p>
        </w:tc>
      </w:tr>
      <w:tr w14:paraId="6C7C006B">
        <w:tblPrEx>
          <w:tblCellMar>
            <w:top w:w="0" w:type="dxa"/>
            <w:left w:w="70" w:type="dxa"/>
            <w:bottom w:w="0" w:type="dxa"/>
            <w:right w:w="70" w:type="dxa"/>
          </w:tblCellMar>
        </w:tblPrEx>
        <w:trPr>
          <w:trHeight w:val="28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BF93318">
            <w:pPr>
              <w:jc w:val="center"/>
              <w:rPr>
                <w:szCs w:val="24"/>
              </w:rPr>
            </w:pPr>
            <w:r>
              <w:rPr>
                <w:szCs w:val="24"/>
              </w:rPr>
              <w:t> </w:t>
            </w:r>
          </w:p>
        </w:tc>
        <w:tc>
          <w:tcPr>
            <w:tcW w:w="2715" w:type="dxa"/>
            <w:tcBorders>
              <w:top w:val="nil"/>
              <w:left w:val="single" w:color="auto" w:sz="4" w:space="0"/>
              <w:bottom w:val="single" w:color="auto" w:sz="4" w:space="0"/>
              <w:right w:val="single" w:color="auto" w:sz="4" w:space="0"/>
            </w:tcBorders>
            <w:shd w:val="clear" w:color="auto" w:fill="auto"/>
            <w:vAlign w:val="center"/>
          </w:tcPr>
          <w:p w14:paraId="522A0C24">
            <w:pPr>
              <w:jc w:val="center"/>
              <w:rPr>
                <w:szCs w:val="24"/>
              </w:rPr>
            </w:pPr>
            <w:r>
              <w:rPr>
                <w:szCs w:val="24"/>
              </w:rPr>
              <w:t>TOTALGERAL</w:t>
            </w:r>
          </w:p>
        </w:tc>
        <w:tc>
          <w:tcPr>
            <w:tcW w:w="999" w:type="dxa"/>
            <w:tcBorders>
              <w:top w:val="single" w:color="auto" w:sz="4" w:space="0"/>
              <w:left w:val="nil"/>
              <w:bottom w:val="single" w:color="auto" w:sz="4" w:space="0"/>
              <w:right w:val="single" w:color="auto" w:sz="4" w:space="0"/>
            </w:tcBorders>
            <w:vAlign w:val="center"/>
          </w:tcPr>
          <w:p w14:paraId="322094A0">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6F285E8">
            <w:pPr>
              <w:jc w:val="right"/>
              <w:rPr>
                <w:szCs w:val="24"/>
              </w:rPr>
            </w:pPr>
            <w:r>
              <w:rPr>
                <w:szCs w:val="24"/>
              </w:rPr>
              <w:t> </w:t>
            </w:r>
          </w:p>
        </w:tc>
        <w:tc>
          <w:tcPr>
            <w:tcW w:w="883" w:type="dxa"/>
            <w:tcBorders>
              <w:top w:val="nil"/>
              <w:left w:val="nil"/>
              <w:bottom w:val="single" w:color="auto" w:sz="4" w:space="0"/>
              <w:right w:val="single" w:color="auto" w:sz="4" w:space="0"/>
            </w:tcBorders>
            <w:shd w:val="clear" w:color="auto" w:fill="auto"/>
            <w:noWrap/>
            <w:vAlign w:val="center"/>
          </w:tcPr>
          <w:p w14:paraId="4107EF92">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687E8928">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5960AA8E">
            <w:pPr>
              <w:jc w:val="right"/>
              <w:rPr>
                <w:szCs w:val="24"/>
              </w:rPr>
            </w:pPr>
          </w:p>
        </w:tc>
      </w:tr>
    </w:tbl>
    <w:p w14:paraId="6C290C38">
      <w:pPr>
        <w:jc w:val="both"/>
        <w:rPr>
          <w:szCs w:val="24"/>
        </w:rPr>
      </w:pPr>
    </w:p>
    <w:p w14:paraId="7DC6AA37">
      <w:pPr>
        <w:autoSpaceDE w:val="0"/>
        <w:autoSpaceDN w:val="0"/>
        <w:adjustRightInd w:val="0"/>
        <w:rPr>
          <w:rFonts w:eastAsiaTheme="minorHAnsi"/>
          <w:szCs w:val="24"/>
          <w:lang w:eastAsia="en-US"/>
        </w:rPr>
      </w:pPr>
      <w:r>
        <w:rPr>
          <w:rFonts w:eastAsiaTheme="minorHAnsi"/>
          <w:szCs w:val="24"/>
          <w:lang w:eastAsia="en-US"/>
        </w:rPr>
        <w:t>Nossa proposta tem preço total de R$=......................(valor numérico e por extenso).</w:t>
      </w:r>
    </w:p>
    <w:p w14:paraId="497CF325">
      <w:pPr>
        <w:autoSpaceDE w:val="0"/>
        <w:autoSpaceDN w:val="0"/>
        <w:adjustRightInd w:val="0"/>
        <w:rPr>
          <w:rFonts w:eastAsiaTheme="minorHAnsi"/>
          <w:szCs w:val="24"/>
          <w:lang w:eastAsia="en-US"/>
        </w:rPr>
      </w:pPr>
      <w:r>
        <w:rPr>
          <w:rFonts w:eastAsiaTheme="minorHAnsi"/>
          <w:szCs w:val="24"/>
          <w:lang w:eastAsia="en-US"/>
        </w:rPr>
        <w:t>Condições de Pagamento: ____________________________</w:t>
      </w:r>
    </w:p>
    <w:p w14:paraId="5988B353">
      <w:pPr>
        <w:autoSpaceDE w:val="0"/>
        <w:autoSpaceDN w:val="0"/>
        <w:adjustRightInd w:val="0"/>
        <w:rPr>
          <w:rFonts w:eastAsiaTheme="minorHAnsi"/>
          <w:szCs w:val="24"/>
          <w:lang w:eastAsia="en-US"/>
        </w:rPr>
      </w:pPr>
      <w:r>
        <w:rPr>
          <w:rFonts w:eastAsiaTheme="minorHAnsi"/>
          <w:szCs w:val="24"/>
          <w:lang w:eastAsia="en-US"/>
        </w:rPr>
        <w:t>Prazo de Entrega: __________________________________</w:t>
      </w:r>
    </w:p>
    <w:p w14:paraId="6C544BAB">
      <w:pPr>
        <w:autoSpaceDE w:val="0"/>
        <w:autoSpaceDN w:val="0"/>
        <w:adjustRightInd w:val="0"/>
        <w:rPr>
          <w:rFonts w:eastAsiaTheme="minorHAnsi"/>
          <w:szCs w:val="24"/>
          <w:lang w:eastAsia="en-US"/>
        </w:rPr>
      </w:pPr>
      <w:r>
        <w:rPr>
          <w:rFonts w:eastAsiaTheme="minorHAnsi"/>
          <w:szCs w:val="24"/>
          <w:lang w:eastAsia="en-US"/>
        </w:rPr>
        <w:t>Validade da Proposta: ______________________________</w:t>
      </w:r>
    </w:p>
    <w:p w14:paraId="78E7DB20">
      <w:pPr>
        <w:autoSpaceDE w:val="0"/>
        <w:autoSpaceDN w:val="0"/>
        <w:adjustRightInd w:val="0"/>
        <w:jc w:val="both"/>
        <w:rPr>
          <w:rFonts w:eastAsiaTheme="minorHAnsi"/>
          <w:szCs w:val="24"/>
          <w:lang w:eastAsia="en-US"/>
        </w:rPr>
      </w:pPr>
      <w:r>
        <w:rPr>
          <w:rFonts w:eastAsiaTheme="minorHAnsi"/>
          <w:szCs w:val="24"/>
          <w:lang w:eastAsia="en-US"/>
        </w:rPr>
        <w:t>Declaro para fins de participação no PREGÃO ELETRÔNICO Nº XXXX/2024 que nos preços propostos encontram-se incluídos todos os tributos, encargos sociais e quaisquer outros ônus que porventura possam recair sobre o objeto do presente Pregão, bem como as despesas de transporte e entrega dos produtos.</w:t>
      </w:r>
    </w:p>
    <w:p w14:paraId="71CE4C23">
      <w:pPr>
        <w:autoSpaceDE w:val="0"/>
        <w:autoSpaceDN w:val="0"/>
        <w:adjustRightInd w:val="0"/>
        <w:jc w:val="both"/>
        <w:rPr>
          <w:rFonts w:eastAsiaTheme="minorHAnsi"/>
          <w:szCs w:val="24"/>
          <w:lang w:eastAsia="en-US"/>
        </w:rPr>
      </w:pPr>
    </w:p>
    <w:p w14:paraId="124BE21D">
      <w:pPr>
        <w:autoSpaceDE w:val="0"/>
        <w:autoSpaceDN w:val="0"/>
        <w:adjustRightInd w:val="0"/>
        <w:rPr>
          <w:szCs w:val="24"/>
        </w:rPr>
      </w:pPr>
    </w:p>
    <w:p w14:paraId="042E2EB5">
      <w:pPr>
        <w:jc w:val="center"/>
        <w:rPr>
          <w:szCs w:val="24"/>
        </w:rPr>
      </w:pPr>
      <w:r>
        <w:rPr>
          <w:szCs w:val="24"/>
        </w:rPr>
        <w:t>Localidade, data, mês e ano</w:t>
      </w:r>
    </w:p>
    <w:p w14:paraId="7AC283C2">
      <w:pPr>
        <w:jc w:val="center"/>
        <w:rPr>
          <w:szCs w:val="24"/>
        </w:rPr>
      </w:pPr>
    </w:p>
    <w:p w14:paraId="1345978D">
      <w:pPr>
        <w:jc w:val="center"/>
        <w:rPr>
          <w:szCs w:val="24"/>
        </w:rPr>
      </w:pPr>
      <w:r>
        <w:rPr>
          <w:szCs w:val="24"/>
        </w:rPr>
        <w:t>________________________________</w:t>
      </w:r>
    </w:p>
    <w:p w14:paraId="6FD3A941">
      <w:pPr>
        <w:jc w:val="center"/>
        <w:rPr>
          <w:szCs w:val="24"/>
        </w:rPr>
      </w:pPr>
      <w:r>
        <w:rPr>
          <w:szCs w:val="24"/>
        </w:rPr>
        <w:t>Assinatura do Representante da Empresa</w:t>
      </w:r>
    </w:p>
    <w:p w14:paraId="75A614D1">
      <w:pPr>
        <w:spacing w:after="200" w:line="276" w:lineRule="auto"/>
        <w:rPr>
          <w:szCs w:val="24"/>
        </w:rPr>
      </w:pPr>
      <w:r>
        <w:rPr>
          <w:b/>
          <w:i/>
          <w:szCs w:val="24"/>
          <w:u w:val="single"/>
        </w:rPr>
        <w:br w:type="page"/>
      </w:r>
    </w:p>
    <w:p w14:paraId="7656DA83">
      <w:pPr>
        <w:tabs>
          <w:tab w:val="left" w:pos="0"/>
        </w:tabs>
        <w:jc w:val="center"/>
        <w:rPr>
          <w:b/>
          <w:szCs w:val="24"/>
        </w:rPr>
      </w:pPr>
      <w:r>
        <w:rPr>
          <w:b/>
          <w:szCs w:val="24"/>
        </w:rPr>
        <w:t>ANEXO II</w:t>
      </w:r>
    </w:p>
    <w:p w14:paraId="7D09BA9D">
      <w:pPr>
        <w:tabs>
          <w:tab w:val="left" w:pos="0"/>
        </w:tabs>
        <w:jc w:val="center"/>
        <w:rPr>
          <w:b/>
          <w:szCs w:val="24"/>
        </w:rPr>
      </w:pPr>
    </w:p>
    <w:p w14:paraId="79490FF1">
      <w:pPr>
        <w:jc w:val="center"/>
        <w:rPr>
          <w:szCs w:val="24"/>
          <w:lang w:eastAsia="ar-SA"/>
        </w:rPr>
      </w:pPr>
      <w:r>
        <w:rPr>
          <w:szCs w:val="24"/>
          <w:lang w:eastAsia="ar-SA"/>
        </w:rPr>
        <w:t>MINUTA DO TERMO DE CONTRATO ADMINISTRATIVO Nº      /2024</w:t>
      </w:r>
    </w:p>
    <w:p w14:paraId="02F59AF3">
      <w:pPr>
        <w:jc w:val="center"/>
        <w:rPr>
          <w:szCs w:val="24"/>
          <w:lang w:eastAsia="ar-SA"/>
        </w:rPr>
      </w:pPr>
      <w:r>
        <w:rPr>
          <w:szCs w:val="24"/>
          <w:lang w:eastAsia="ar-SA"/>
        </w:rPr>
        <w:t>Lei nº 14.133, de 1º de abril de 2021</w:t>
      </w:r>
    </w:p>
    <w:p w14:paraId="2345FC46">
      <w:pPr>
        <w:jc w:val="center"/>
        <w:rPr>
          <w:szCs w:val="24"/>
          <w:lang w:eastAsia="ar-SA"/>
        </w:rPr>
      </w:pPr>
    </w:p>
    <w:p w14:paraId="4EEBD269">
      <w:pPr>
        <w:spacing w:line="360" w:lineRule="auto"/>
        <w:jc w:val="both"/>
        <w:rPr>
          <w:b/>
          <w:bCs/>
          <w:szCs w:val="24"/>
          <w:lang w:eastAsia="ar-SA"/>
        </w:rPr>
      </w:pPr>
      <w:r>
        <w:rPr>
          <w:szCs w:val="24"/>
          <w:lang w:eastAsia="ar-SA"/>
        </w:rPr>
        <w:t xml:space="preserve">PROCESSO ADMINISTRATIVO Nº </w:t>
      </w:r>
      <w:r>
        <w:rPr>
          <w:b/>
          <w:bCs/>
          <w:szCs w:val="24"/>
          <w:lang w:eastAsia="ar-SA"/>
        </w:rPr>
        <w:t>XXXX</w:t>
      </w:r>
    </w:p>
    <w:p w14:paraId="47F3F3D7">
      <w:pPr>
        <w:spacing w:line="360" w:lineRule="auto"/>
        <w:jc w:val="both"/>
        <w:rPr>
          <w:b/>
          <w:szCs w:val="24"/>
          <w:lang w:eastAsia="ar-SA"/>
        </w:rPr>
      </w:pPr>
      <w:r>
        <w:rPr>
          <w:bCs/>
          <w:szCs w:val="24"/>
          <w:lang w:eastAsia="ar-SA"/>
        </w:rPr>
        <w:t>PREGÃO ELETRÔNICO Nº .</w:t>
      </w:r>
      <w:r>
        <w:rPr>
          <w:b/>
          <w:bCs/>
          <w:szCs w:val="24"/>
          <w:lang w:eastAsia="ar-SA"/>
        </w:rPr>
        <w:t>XXX/XXXX</w:t>
      </w:r>
    </w:p>
    <w:p w14:paraId="74DE55F2">
      <w:pPr>
        <w:spacing w:line="360" w:lineRule="auto"/>
        <w:jc w:val="both"/>
        <w:rPr>
          <w:b/>
          <w:bCs/>
          <w:szCs w:val="24"/>
          <w:lang w:eastAsia="ar-SA"/>
        </w:rPr>
      </w:pPr>
      <w:r>
        <w:rPr>
          <w:szCs w:val="24"/>
          <w:lang w:eastAsia="ar-SA"/>
        </w:rPr>
        <w:t xml:space="preserve">TERMO DE CONTRATO Nº </w:t>
      </w:r>
      <w:r>
        <w:rPr>
          <w:b/>
          <w:bCs/>
          <w:szCs w:val="24"/>
          <w:lang w:eastAsia="ar-SA"/>
        </w:rPr>
        <w:t>XXXX/XXXX</w:t>
      </w:r>
    </w:p>
    <w:p w14:paraId="109412C3">
      <w:pPr>
        <w:spacing w:after="360"/>
        <w:ind w:left="4253"/>
        <w:jc w:val="both"/>
        <w:rPr>
          <w:szCs w:val="24"/>
          <w:lang w:eastAsia="ar-SA"/>
        </w:rPr>
      </w:pPr>
      <w:r>
        <w:rPr>
          <w:szCs w:val="24"/>
          <w:lang w:eastAsia="ar-SA"/>
        </w:rPr>
        <w:t xml:space="preserve">CONTRATO ADMNISTRATIVO Nº ___/2024, QUE ENTRE SI CELEBRAM O MUNICIPIO DE TRIZIDELA DO VALE, POR INTERMÉDIO DO </w:t>
      </w:r>
      <w:r>
        <w:rPr>
          <w:b/>
          <w:bCs/>
          <w:szCs w:val="24"/>
          <w:lang w:eastAsia="ar-SA"/>
        </w:rPr>
        <w:t xml:space="preserve">FUNDO </w:t>
      </w:r>
      <w:r>
        <w:rPr>
          <w:b/>
          <w:szCs w:val="24"/>
          <w:lang w:eastAsia="ar-SA"/>
        </w:rPr>
        <w:t>MUNICIPAL DE _______</w:t>
      </w:r>
      <w:r>
        <w:rPr>
          <w:szCs w:val="24"/>
          <w:lang w:eastAsia="ar-SA"/>
        </w:rPr>
        <w:t xml:space="preserve"> E A EMPRESA </w:t>
      </w:r>
      <w:r>
        <w:rPr>
          <w:b/>
          <w:bCs/>
          <w:szCs w:val="24"/>
          <w:lang w:eastAsia="ar-SA"/>
        </w:rPr>
        <w:t>XXXX</w:t>
      </w:r>
      <w:r>
        <w:rPr>
          <w:szCs w:val="24"/>
          <w:lang w:eastAsia="ar-SA"/>
        </w:rPr>
        <w:t>.</w:t>
      </w:r>
    </w:p>
    <w:p w14:paraId="2DA24FA4">
      <w:pPr>
        <w:pStyle w:val="40"/>
        <w:spacing w:before="240" w:after="240"/>
        <w:ind w:left="0"/>
        <w:contextualSpacing w:val="0"/>
        <w:jc w:val="both"/>
        <w:rPr>
          <w:szCs w:val="24"/>
        </w:rPr>
      </w:pPr>
      <w:r>
        <w:rPr>
          <w:szCs w:val="24"/>
          <w:lang w:eastAsia="ar-SA"/>
        </w:rPr>
        <w:t xml:space="preserve">O Município de Trizidela do Vale, por intermédio do </w:t>
      </w:r>
      <w:r>
        <w:rPr>
          <w:b/>
          <w:bCs/>
          <w:szCs w:val="24"/>
          <w:lang w:eastAsia="ar-SA"/>
        </w:rPr>
        <w:t>Fundo</w:t>
      </w:r>
      <w:r>
        <w:rPr>
          <w:b/>
          <w:szCs w:val="24"/>
          <w:lang w:eastAsia="ar-SA"/>
        </w:rPr>
        <w:t xml:space="preserve"> Municipal de _______</w:t>
      </w:r>
      <w:r>
        <w:rPr>
          <w:szCs w:val="24"/>
          <w:lang w:eastAsia="ar-SA"/>
        </w:rPr>
        <w:t xml:space="preserve">, com sede na rua _______, centro, nesta cidade, inscrito no CNPJ sob o nº ________, neste ato representado pelo </w:t>
      </w:r>
      <w:r>
        <w:rPr>
          <w:b/>
          <w:bCs/>
          <w:szCs w:val="24"/>
          <w:lang w:eastAsia="ar-SA"/>
        </w:rPr>
        <w:t>(NOME DA AUTORIDADE E CARGO)</w:t>
      </w:r>
      <w:r>
        <w:rPr>
          <w:szCs w:val="24"/>
          <w:lang w:eastAsia="ar-SA"/>
        </w:rPr>
        <w:t xml:space="preserve">, nomeado pela Portaria nº </w:t>
      </w:r>
      <w:r>
        <w:rPr>
          <w:b/>
          <w:bCs/>
          <w:szCs w:val="24"/>
          <w:lang w:eastAsia="ar-SA"/>
        </w:rPr>
        <w:t>XXXX</w:t>
      </w:r>
      <w:r>
        <w:rPr>
          <w:szCs w:val="24"/>
          <w:lang w:eastAsia="ar-SA"/>
        </w:rPr>
        <w:t xml:space="preserve">, de </w:t>
      </w:r>
      <w:r>
        <w:rPr>
          <w:b/>
          <w:bCs/>
          <w:szCs w:val="24"/>
          <w:lang w:eastAsia="ar-SA"/>
        </w:rPr>
        <w:t>XX/XX/XXXX</w:t>
      </w:r>
      <w:r>
        <w:rPr>
          <w:szCs w:val="24"/>
          <w:lang w:eastAsia="ar-SA"/>
        </w:rPr>
        <w:t xml:space="preserve">, , e em conformidade com as atribuições que lhe foram delegadas, doravante denominado simplesmente </w:t>
      </w:r>
      <w:r>
        <w:rPr>
          <w:iCs/>
          <w:szCs w:val="24"/>
          <w:lang w:eastAsia="ar-SA"/>
        </w:rPr>
        <w:t>CONTRATANTE,</w:t>
      </w:r>
      <w:r>
        <w:rPr>
          <w:szCs w:val="24"/>
          <w:lang w:eastAsia="ar-SA"/>
        </w:rPr>
        <w:t xml:space="preserve"> e a empresa </w:t>
      </w:r>
      <w:r>
        <w:rPr>
          <w:b/>
          <w:bCs/>
          <w:szCs w:val="24"/>
          <w:lang w:eastAsia="ar-SA"/>
        </w:rPr>
        <w:t>XXXX</w:t>
      </w:r>
      <w:r>
        <w:rPr>
          <w:szCs w:val="24"/>
          <w:lang w:eastAsia="ar-SA"/>
        </w:rPr>
        <w:t>, inscrita no CNPJ</w:t>
      </w:r>
      <w:r>
        <w:rPr>
          <w:iCs/>
          <w:szCs w:val="24"/>
          <w:lang w:eastAsia="ar-SA"/>
        </w:rPr>
        <w:t xml:space="preserve"> nº </w:t>
      </w:r>
      <w:r>
        <w:rPr>
          <w:b/>
          <w:bCs/>
          <w:iCs/>
          <w:szCs w:val="24"/>
          <w:lang w:eastAsia="ar-SA"/>
        </w:rPr>
        <w:t>XXXX</w:t>
      </w:r>
      <w:r>
        <w:rPr>
          <w:iCs/>
          <w:szCs w:val="24"/>
          <w:lang w:eastAsia="ar-SA"/>
        </w:rPr>
        <w:t xml:space="preserve">, com sede na </w:t>
      </w:r>
      <w:r>
        <w:rPr>
          <w:b/>
          <w:bCs/>
          <w:iCs/>
          <w:szCs w:val="24"/>
          <w:lang w:eastAsia="ar-SA"/>
        </w:rPr>
        <w:t>XXXX</w:t>
      </w:r>
      <w:r>
        <w:rPr>
          <w:iCs/>
          <w:szCs w:val="24"/>
          <w:lang w:eastAsia="ar-SA"/>
        </w:rPr>
        <w:t xml:space="preserve">, CEP </w:t>
      </w:r>
      <w:r>
        <w:rPr>
          <w:b/>
          <w:bCs/>
          <w:iCs/>
          <w:szCs w:val="24"/>
          <w:lang w:eastAsia="ar-SA"/>
        </w:rPr>
        <w:t>XXXX</w:t>
      </w:r>
      <w:r>
        <w:rPr>
          <w:iCs/>
          <w:szCs w:val="24"/>
          <w:lang w:eastAsia="ar-SA"/>
        </w:rPr>
        <w:t xml:space="preserve">, no Município de </w:t>
      </w:r>
      <w:r>
        <w:rPr>
          <w:b/>
          <w:bCs/>
          <w:iCs/>
          <w:szCs w:val="24"/>
          <w:lang w:eastAsia="ar-SA"/>
        </w:rPr>
        <w:t>XXXX</w:t>
      </w:r>
      <w:r>
        <w:rPr>
          <w:iCs/>
          <w:szCs w:val="24"/>
          <w:lang w:eastAsia="ar-SA"/>
        </w:rPr>
        <w:t xml:space="preserve">, denominada </w:t>
      </w:r>
      <w:r>
        <w:rPr>
          <w:szCs w:val="24"/>
          <w:lang w:eastAsia="ar-SA"/>
        </w:rPr>
        <w:t xml:space="preserve">CONTRATADA, neste ato representada pelo Senhor </w:t>
      </w:r>
      <w:r>
        <w:rPr>
          <w:b/>
          <w:bCs/>
          <w:szCs w:val="24"/>
          <w:lang w:eastAsia="ar-SA"/>
        </w:rPr>
        <w:t>XXXX</w:t>
      </w:r>
      <w:r>
        <w:rPr>
          <w:szCs w:val="24"/>
          <w:lang w:eastAsia="ar-SA"/>
        </w:rPr>
        <w:t xml:space="preserve">, tendo em vista o que consta no Processo nº </w:t>
      </w:r>
      <w:r>
        <w:rPr>
          <w:b/>
          <w:bCs/>
          <w:szCs w:val="24"/>
          <w:lang w:eastAsia="ar-SA"/>
        </w:rPr>
        <w:t>XXXX</w:t>
      </w:r>
      <w:r>
        <w:rPr>
          <w:szCs w:val="24"/>
          <w:lang w:eastAsia="ar-SA"/>
        </w:rPr>
        <w:t xml:space="preserve">, e o resultado final do </w:t>
      </w:r>
      <w:r>
        <w:rPr>
          <w:b/>
          <w:szCs w:val="24"/>
          <w:lang w:eastAsia="ar-SA"/>
        </w:rPr>
        <w:t>Pregão n° XXXX/XXXX</w:t>
      </w:r>
      <w:r>
        <w:rPr>
          <w:szCs w:val="24"/>
          <w:lang w:eastAsia="ar-SA"/>
        </w:rPr>
        <w:t xml:space="preserve">, </w:t>
      </w:r>
      <w:r>
        <w:rPr>
          <w:szCs w:val="24"/>
        </w:rPr>
        <w:t xml:space="preserve">com fundamento na Lei nº 14.133/2021, e demais legislações correlatas, resolvem celebrar o presente instrumento, mediante as cláusulas e as condições seguintes: </w:t>
      </w:r>
    </w:p>
    <w:p w14:paraId="46D61BB2">
      <w:pPr>
        <w:pStyle w:val="40"/>
        <w:numPr>
          <w:ilvl w:val="0"/>
          <w:numId w:val="4"/>
        </w:numPr>
        <w:spacing w:before="240" w:after="240"/>
        <w:contextualSpacing w:val="0"/>
        <w:jc w:val="both"/>
        <w:rPr>
          <w:b/>
          <w:szCs w:val="24"/>
          <w:lang w:eastAsia="en-US"/>
        </w:rPr>
      </w:pPr>
      <w:r>
        <w:rPr>
          <w:b/>
          <w:szCs w:val="24"/>
          <w:lang w:eastAsia="en-US"/>
        </w:rPr>
        <w:t xml:space="preserve">CLÁUSULA PRIMEIRA – DO OBJETO </w:t>
      </w:r>
      <w:r>
        <w:rPr>
          <w:b/>
          <w:szCs w:val="24"/>
        </w:rPr>
        <w:t>(</w:t>
      </w:r>
      <w:r>
        <w:fldChar w:fldCharType="begin"/>
      </w:r>
      <w:r>
        <w:instrText xml:space="preserve"> HYPERLINK "http://www.planalto.gov.br/ccivil_03/_ato2019-2022/2021/lei/L14133.htm" \l "art92" </w:instrText>
      </w:r>
      <w:r>
        <w:fldChar w:fldCharType="separate"/>
      </w:r>
      <w:r>
        <w:rPr>
          <w:rStyle w:val="12"/>
          <w:b/>
          <w:szCs w:val="24"/>
        </w:rPr>
        <w:t>art. 92, I e II</w:t>
      </w:r>
      <w:r>
        <w:rPr>
          <w:rStyle w:val="12"/>
          <w:b/>
          <w:szCs w:val="24"/>
        </w:rPr>
        <w:fldChar w:fldCharType="end"/>
      </w:r>
      <w:r>
        <w:rPr>
          <w:b/>
          <w:szCs w:val="24"/>
        </w:rPr>
        <w:t>)</w:t>
      </w:r>
    </w:p>
    <w:p w14:paraId="1EF162B1">
      <w:pPr>
        <w:pStyle w:val="40"/>
        <w:widowControl w:val="0"/>
        <w:numPr>
          <w:ilvl w:val="1"/>
          <w:numId w:val="4"/>
        </w:numPr>
        <w:suppressAutoHyphens/>
        <w:spacing w:before="240" w:after="240"/>
        <w:contextualSpacing w:val="0"/>
        <w:jc w:val="both"/>
        <w:rPr>
          <w:szCs w:val="24"/>
          <w:u w:val="single"/>
          <w:shd w:val="clear" w:color="auto" w:fill="C0C0C0"/>
        </w:rPr>
      </w:pPr>
      <w:r>
        <w:rPr>
          <w:szCs w:val="24"/>
        </w:rPr>
        <w:t>O contrato tem como objeto o fornecimento de medicamentos hospitalar, de forma parcelada, de interesse do Fundo Municipal de Saúde, do município de Trizidela do Vale (MA), conforme e quantitativos estabelecidos no Edital do Pregão identificado no preâmbulo e na proposta vencedora, os quais integram este instrumento, independente de transcrição.</w:t>
      </w:r>
    </w:p>
    <w:p w14:paraId="2D63F0C6">
      <w:pPr>
        <w:pStyle w:val="40"/>
        <w:numPr>
          <w:ilvl w:val="1"/>
          <w:numId w:val="4"/>
        </w:numPr>
        <w:spacing w:after="360"/>
        <w:jc w:val="both"/>
        <w:rPr>
          <w:szCs w:val="24"/>
        </w:rPr>
      </w:pPr>
      <w:r>
        <w:rPr>
          <w:szCs w:val="24"/>
        </w:rPr>
        <w:t xml:space="preserve">Objeto da Contratação </w:t>
      </w:r>
    </w:p>
    <w:tbl>
      <w:tblPr>
        <w:tblStyle w:val="9"/>
        <w:tblW w:w="864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7"/>
        <w:gridCol w:w="1135"/>
        <w:gridCol w:w="992"/>
        <w:gridCol w:w="851"/>
        <w:gridCol w:w="1205"/>
        <w:gridCol w:w="1346"/>
      </w:tblGrid>
      <w:tr w14:paraId="10AE0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51" w:type="dxa"/>
            <w:vAlign w:val="center"/>
          </w:tcPr>
          <w:p w14:paraId="6E18B8EA">
            <w:pPr>
              <w:widowControl w:val="0"/>
              <w:suppressAutoHyphens/>
              <w:jc w:val="center"/>
              <w:rPr>
                <w:b/>
                <w:sz w:val="16"/>
                <w:szCs w:val="16"/>
              </w:rPr>
            </w:pPr>
            <w:r>
              <w:rPr>
                <w:b/>
                <w:bCs/>
                <w:sz w:val="16"/>
                <w:szCs w:val="16"/>
              </w:rPr>
              <w:t>ITEM DO T.R.</w:t>
            </w:r>
          </w:p>
        </w:tc>
        <w:tc>
          <w:tcPr>
            <w:tcW w:w="2267" w:type="dxa"/>
            <w:vAlign w:val="center"/>
          </w:tcPr>
          <w:p w14:paraId="457AD2CE">
            <w:pPr>
              <w:jc w:val="center"/>
              <w:rPr>
                <w:b/>
                <w:bCs/>
                <w:sz w:val="16"/>
                <w:szCs w:val="16"/>
              </w:rPr>
            </w:pPr>
            <w:r>
              <w:rPr>
                <w:b/>
                <w:bCs/>
                <w:sz w:val="16"/>
                <w:szCs w:val="16"/>
              </w:rPr>
              <w:t>DESCRIÇÃO/</w:t>
            </w:r>
          </w:p>
          <w:p w14:paraId="13F614F6">
            <w:pPr>
              <w:widowControl w:val="0"/>
              <w:suppressAutoHyphens/>
              <w:jc w:val="center"/>
              <w:rPr>
                <w:sz w:val="16"/>
                <w:szCs w:val="16"/>
              </w:rPr>
            </w:pPr>
            <w:r>
              <w:rPr>
                <w:b/>
                <w:bCs/>
                <w:sz w:val="16"/>
                <w:szCs w:val="16"/>
              </w:rPr>
              <w:t>ESPECIFICAÇÃO</w:t>
            </w:r>
          </w:p>
        </w:tc>
        <w:tc>
          <w:tcPr>
            <w:tcW w:w="1135" w:type="dxa"/>
            <w:vAlign w:val="center"/>
          </w:tcPr>
          <w:p w14:paraId="628ED8F6">
            <w:pPr>
              <w:widowControl w:val="0"/>
              <w:suppressAutoHyphens/>
              <w:jc w:val="center"/>
              <w:rPr>
                <w:b/>
                <w:bCs/>
                <w:sz w:val="16"/>
                <w:szCs w:val="16"/>
              </w:rPr>
            </w:pPr>
            <w:r>
              <w:rPr>
                <w:b/>
                <w:bCs/>
                <w:sz w:val="16"/>
                <w:szCs w:val="16"/>
              </w:rPr>
              <w:t>MARCA</w:t>
            </w:r>
          </w:p>
        </w:tc>
        <w:tc>
          <w:tcPr>
            <w:tcW w:w="992" w:type="dxa"/>
            <w:vAlign w:val="center"/>
          </w:tcPr>
          <w:p w14:paraId="1D264D08">
            <w:pPr>
              <w:widowControl w:val="0"/>
              <w:suppressAutoHyphens/>
              <w:jc w:val="center"/>
              <w:rPr>
                <w:sz w:val="16"/>
                <w:szCs w:val="16"/>
              </w:rPr>
            </w:pPr>
            <w:r>
              <w:rPr>
                <w:b/>
                <w:bCs/>
                <w:sz w:val="16"/>
                <w:szCs w:val="16"/>
              </w:rPr>
              <w:t>QTDE</w:t>
            </w:r>
          </w:p>
        </w:tc>
        <w:tc>
          <w:tcPr>
            <w:tcW w:w="851" w:type="dxa"/>
            <w:vAlign w:val="center"/>
          </w:tcPr>
          <w:p w14:paraId="6165E274">
            <w:pPr>
              <w:widowControl w:val="0"/>
              <w:suppressAutoHyphens/>
              <w:jc w:val="center"/>
              <w:rPr>
                <w:sz w:val="16"/>
                <w:szCs w:val="16"/>
              </w:rPr>
            </w:pPr>
            <w:r>
              <w:rPr>
                <w:b/>
                <w:bCs/>
                <w:sz w:val="16"/>
                <w:szCs w:val="16"/>
              </w:rPr>
              <w:t>UNIDADE DE MEDIDA</w:t>
            </w:r>
          </w:p>
        </w:tc>
        <w:tc>
          <w:tcPr>
            <w:tcW w:w="1205" w:type="dxa"/>
            <w:vAlign w:val="center"/>
          </w:tcPr>
          <w:p w14:paraId="1CAD5EF9">
            <w:pPr>
              <w:widowControl w:val="0"/>
              <w:suppressAutoHyphens/>
              <w:jc w:val="center"/>
              <w:rPr>
                <w:b/>
                <w:bCs/>
                <w:sz w:val="16"/>
                <w:szCs w:val="16"/>
              </w:rPr>
            </w:pPr>
            <w:r>
              <w:rPr>
                <w:b/>
                <w:bCs/>
                <w:sz w:val="16"/>
                <w:szCs w:val="16"/>
              </w:rPr>
              <w:t>VALOR UNITÁRIO R$</w:t>
            </w:r>
          </w:p>
        </w:tc>
        <w:tc>
          <w:tcPr>
            <w:tcW w:w="1346" w:type="dxa"/>
            <w:vAlign w:val="center"/>
          </w:tcPr>
          <w:p w14:paraId="42214056">
            <w:pPr>
              <w:widowControl w:val="0"/>
              <w:suppressAutoHyphens/>
              <w:jc w:val="center"/>
              <w:rPr>
                <w:b/>
                <w:bCs/>
                <w:sz w:val="16"/>
                <w:szCs w:val="16"/>
              </w:rPr>
            </w:pPr>
            <w:r>
              <w:rPr>
                <w:b/>
                <w:bCs/>
                <w:sz w:val="16"/>
                <w:szCs w:val="16"/>
              </w:rPr>
              <w:t>VALOR TOTAL R$</w:t>
            </w:r>
          </w:p>
        </w:tc>
      </w:tr>
      <w:tr w14:paraId="4AD8C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51" w:type="dxa"/>
            <w:vAlign w:val="center"/>
          </w:tcPr>
          <w:p w14:paraId="7E6299D5">
            <w:pPr>
              <w:widowControl w:val="0"/>
              <w:suppressAutoHyphens/>
              <w:spacing w:after="120" w:line="276" w:lineRule="auto"/>
              <w:jc w:val="center"/>
              <w:rPr>
                <w:b/>
                <w:sz w:val="16"/>
                <w:szCs w:val="16"/>
              </w:rPr>
            </w:pPr>
            <w:r>
              <w:rPr>
                <w:b/>
                <w:sz w:val="16"/>
                <w:szCs w:val="16"/>
              </w:rPr>
              <w:t>1</w:t>
            </w:r>
          </w:p>
        </w:tc>
        <w:tc>
          <w:tcPr>
            <w:tcW w:w="2267" w:type="dxa"/>
            <w:vAlign w:val="center"/>
          </w:tcPr>
          <w:p w14:paraId="27B471E6">
            <w:pPr>
              <w:widowControl w:val="0"/>
              <w:suppressAutoHyphens/>
              <w:spacing w:after="120" w:line="276" w:lineRule="auto"/>
              <w:rPr>
                <w:sz w:val="16"/>
                <w:szCs w:val="16"/>
              </w:rPr>
            </w:pPr>
          </w:p>
        </w:tc>
        <w:tc>
          <w:tcPr>
            <w:tcW w:w="1135" w:type="dxa"/>
            <w:vAlign w:val="center"/>
          </w:tcPr>
          <w:p w14:paraId="50823F39">
            <w:pPr>
              <w:widowControl w:val="0"/>
              <w:suppressAutoHyphens/>
              <w:spacing w:after="120" w:line="276" w:lineRule="auto"/>
              <w:jc w:val="center"/>
              <w:rPr>
                <w:sz w:val="16"/>
                <w:szCs w:val="16"/>
              </w:rPr>
            </w:pPr>
          </w:p>
        </w:tc>
        <w:tc>
          <w:tcPr>
            <w:tcW w:w="992" w:type="dxa"/>
            <w:vAlign w:val="center"/>
          </w:tcPr>
          <w:p w14:paraId="2FC0502A">
            <w:pPr>
              <w:widowControl w:val="0"/>
              <w:suppressAutoHyphens/>
              <w:spacing w:after="120" w:line="276" w:lineRule="auto"/>
              <w:jc w:val="center"/>
              <w:rPr>
                <w:sz w:val="16"/>
                <w:szCs w:val="16"/>
              </w:rPr>
            </w:pPr>
          </w:p>
        </w:tc>
        <w:tc>
          <w:tcPr>
            <w:tcW w:w="851" w:type="dxa"/>
            <w:vAlign w:val="center"/>
          </w:tcPr>
          <w:p w14:paraId="7FD028A8">
            <w:pPr>
              <w:widowControl w:val="0"/>
              <w:suppressAutoHyphens/>
              <w:spacing w:after="120" w:line="276" w:lineRule="auto"/>
              <w:jc w:val="right"/>
              <w:rPr>
                <w:sz w:val="16"/>
                <w:szCs w:val="16"/>
              </w:rPr>
            </w:pPr>
          </w:p>
        </w:tc>
        <w:tc>
          <w:tcPr>
            <w:tcW w:w="1205" w:type="dxa"/>
            <w:vAlign w:val="center"/>
          </w:tcPr>
          <w:p w14:paraId="6FB4A738">
            <w:pPr>
              <w:widowControl w:val="0"/>
              <w:suppressAutoHyphens/>
              <w:spacing w:after="120" w:line="276" w:lineRule="auto"/>
              <w:jc w:val="right"/>
              <w:rPr>
                <w:sz w:val="16"/>
                <w:szCs w:val="16"/>
              </w:rPr>
            </w:pPr>
          </w:p>
        </w:tc>
        <w:tc>
          <w:tcPr>
            <w:tcW w:w="1346" w:type="dxa"/>
            <w:vAlign w:val="center"/>
          </w:tcPr>
          <w:p w14:paraId="008008A8">
            <w:pPr>
              <w:widowControl w:val="0"/>
              <w:suppressAutoHyphens/>
              <w:spacing w:after="120" w:line="276" w:lineRule="auto"/>
              <w:jc w:val="right"/>
              <w:rPr>
                <w:sz w:val="16"/>
                <w:szCs w:val="16"/>
              </w:rPr>
            </w:pPr>
          </w:p>
        </w:tc>
      </w:tr>
      <w:tr w14:paraId="4B77D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851" w:type="dxa"/>
            <w:vAlign w:val="center"/>
          </w:tcPr>
          <w:p w14:paraId="7A03EFB9">
            <w:pPr>
              <w:widowControl w:val="0"/>
              <w:suppressAutoHyphens/>
              <w:spacing w:after="120" w:line="276" w:lineRule="auto"/>
              <w:jc w:val="center"/>
              <w:rPr>
                <w:b/>
                <w:sz w:val="16"/>
                <w:szCs w:val="16"/>
              </w:rPr>
            </w:pPr>
            <w:r>
              <w:rPr>
                <w:b/>
                <w:sz w:val="16"/>
                <w:szCs w:val="16"/>
              </w:rPr>
              <w:t>2</w:t>
            </w:r>
          </w:p>
        </w:tc>
        <w:tc>
          <w:tcPr>
            <w:tcW w:w="2267" w:type="dxa"/>
            <w:vAlign w:val="center"/>
          </w:tcPr>
          <w:p w14:paraId="04108C0A">
            <w:pPr>
              <w:widowControl w:val="0"/>
              <w:suppressAutoHyphens/>
              <w:spacing w:after="120" w:line="276" w:lineRule="auto"/>
              <w:rPr>
                <w:sz w:val="16"/>
                <w:szCs w:val="16"/>
              </w:rPr>
            </w:pPr>
          </w:p>
        </w:tc>
        <w:tc>
          <w:tcPr>
            <w:tcW w:w="1135" w:type="dxa"/>
            <w:vAlign w:val="center"/>
          </w:tcPr>
          <w:p w14:paraId="09D90A9E">
            <w:pPr>
              <w:widowControl w:val="0"/>
              <w:suppressAutoHyphens/>
              <w:spacing w:after="120" w:line="276" w:lineRule="auto"/>
              <w:jc w:val="center"/>
              <w:rPr>
                <w:sz w:val="16"/>
                <w:szCs w:val="16"/>
              </w:rPr>
            </w:pPr>
          </w:p>
        </w:tc>
        <w:tc>
          <w:tcPr>
            <w:tcW w:w="992" w:type="dxa"/>
            <w:vAlign w:val="center"/>
          </w:tcPr>
          <w:p w14:paraId="6678FE9A">
            <w:pPr>
              <w:widowControl w:val="0"/>
              <w:suppressAutoHyphens/>
              <w:spacing w:after="120" w:line="276" w:lineRule="auto"/>
              <w:jc w:val="center"/>
              <w:rPr>
                <w:sz w:val="16"/>
                <w:szCs w:val="16"/>
              </w:rPr>
            </w:pPr>
          </w:p>
        </w:tc>
        <w:tc>
          <w:tcPr>
            <w:tcW w:w="851" w:type="dxa"/>
            <w:vAlign w:val="center"/>
          </w:tcPr>
          <w:p w14:paraId="4ACC446B">
            <w:pPr>
              <w:widowControl w:val="0"/>
              <w:suppressAutoHyphens/>
              <w:spacing w:after="120" w:line="276" w:lineRule="auto"/>
              <w:jc w:val="right"/>
              <w:rPr>
                <w:sz w:val="16"/>
                <w:szCs w:val="16"/>
              </w:rPr>
            </w:pPr>
          </w:p>
        </w:tc>
        <w:tc>
          <w:tcPr>
            <w:tcW w:w="1205" w:type="dxa"/>
            <w:vAlign w:val="center"/>
          </w:tcPr>
          <w:p w14:paraId="19699AFC">
            <w:pPr>
              <w:widowControl w:val="0"/>
              <w:suppressAutoHyphens/>
              <w:spacing w:after="120" w:line="276" w:lineRule="auto"/>
              <w:jc w:val="right"/>
              <w:rPr>
                <w:sz w:val="16"/>
                <w:szCs w:val="16"/>
              </w:rPr>
            </w:pPr>
          </w:p>
        </w:tc>
        <w:tc>
          <w:tcPr>
            <w:tcW w:w="1346" w:type="dxa"/>
            <w:vAlign w:val="center"/>
          </w:tcPr>
          <w:p w14:paraId="036B6E6C">
            <w:pPr>
              <w:widowControl w:val="0"/>
              <w:suppressAutoHyphens/>
              <w:spacing w:after="120" w:line="276" w:lineRule="auto"/>
              <w:jc w:val="right"/>
              <w:rPr>
                <w:sz w:val="16"/>
                <w:szCs w:val="16"/>
              </w:rPr>
            </w:pPr>
          </w:p>
        </w:tc>
      </w:tr>
      <w:tr w14:paraId="537F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851" w:type="dxa"/>
            <w:vAlign w:val="center"/>
          </w:tcPr>
          <w:p w14:paraId="4EFB38B6">
            <w:pPr>
              <w:widowControl w:val="0"/>
              <w:suppressAutoHyphens/>
              <w:spacing w:after="120" w:line="276" w:lineRule="auto"/>
              <w:jc w:val="center"/>
              <w:rPr>
                <w:b/>
                <w:sz w:val="16"/>
                <w:szCs w:val="16"/>
              </w:rPr>
            </w:pPr>
            <w:r>
              <w:rPr>
                <w:b/>
                <w:sz w:val="16"/>
                <w:szCs w:val="16"/>
              </w:rPr>
              <w:t>...</w:t>
            </w:r>
          </w:p>
        </w:tc>
        <w:tc>
          <w:tcPr>
            <w:tcW w:w="2267" w:type="dxa"/>
            <w:vAlign w:val="center"/>
          </w:tcPr>
          <w:p w14:paraId="16BB8752">
            <w:pPr>
              <w:widowControl w:val="0"/>
              <w:suppressAutoHyphens/>
              <w:spacing w:after="120" w:line="276" w:lineRule="auto"/>
              <w:rPr>
                <w:sz w:val="16"/>
                <w:szCs w:val="16"/>
              </w:rPr>
            </w:pPr>
          </w:p>
        </w:tc>
        <w:tc>
          <w:tcPr>
            <w:tcW w:w="1135" w:type="dxa"/>
            <w:vAlign w:val="center"/>
          </w:tcPr>
          <w:p w14:paraId="3343092A">
            <w:pPr>
              <w:widowControl w:val="0"/>
              <w:suppressAutoHyphens/>
              <w:spacing w:after="120" w:line="276" w:lineRule="auto"/>
              <w:jc w:val="center"/>
              <w:rPr>
                <w:sz w:val="16"/>
                <w:szCs w:val="16"/>
              </w:rPr>
            </w:pPr>
          </w:p>
        </w:tc>
        <w:tc>
          <w:tcPr>
            <w:tcW w:w="992" w:type="dxa"/>
            <w:vAlign w:val="center"/>
          </w:tcPr>
          <w:p w14:paraId="2DC368D3">
            <w:pPr>
              <w:widowControl w:val="0"/>
              <w:suppressAutoHyphens/>
              <w:spacing w:after="120" w:line="276" w:lineRule="auto"/>
              <w:jc w:val="center"/>
              <w:rPr>
                <w:sz w:val="16"/>
                <w:szCs w:val="16"/>
              </w:rPr>
            </w:pPr>
          </w:p>
        </w:tc>
        <w:tc>
          <w:tcPr>
            <w:tcW w:w="851" w:type="dxa"/>
            <w:vAlign w:val="center"/>
          </w:tcPr>
          <w:p w14:paraId="3C9934F4">
            <w:pPr>
              <w:widowControl w:val="0"/>
              <w:suppressAutoHyphens/>
              <w:spacing w:after="120" w:line="276" w:lineRule="auto"/>
              <w:jc w:val="right"/>
              <w:rPr>
                <w:sz w:val="16"/>
                <w:szCs w:val="16"/>
              </w:rPr>
            </w:pPr>
          </w:p>
        </w:tc>
        <w:tc>
          <w:tcPr>
            <w:tcW w:w="1205" w:type="dxa"/>
            <w:vAlign w:val="center"/>
          </w:tcPr>
          <w:p w14:paraId="5C91475C">
            <w:pPr>
              <w:widowControl w:val="0"/>
              <w:suppressAutoHyphens/>
              <w:spacing w:after="120" w:line="276" w:lineRule="auto"/>
              <w:jc w:val="right"/>
              <w:rPr>
                <w:sz w:val="16"/>
                <w:szCs w:val="16"/>
              </w:rPr>
            </w:pPr>
          </w:p>
        </w:tc>
        <w:tc>
          <w:tcPr>
            <w:tcW w:w="1346" w:type="dxa"/>
            <w:vAlign w:val="center"/>
          </w:tcPr>
          <w:p w14:paraId="4C6B82A4">
            <w:pPr>
              <w:widowControl w:val="0"/>
              <w:suppressAutoHyphens/>
              <w:spacing w:after="120" w:line="276" w:lineRule="auto"/>
              <w:jc w:val="right"/>
              <w:rPr>
                <w:sz w:val="16"/>
                <w:szCs w:val="16"/>
              </w:rPr>
            </w:pPr>
          </w:p>
        </w:tc>
      </w:tr>
    </w:tbl>
    <w:p w14:paraId="646318BD">
      <w:pPr>
        <w:pStyle w:val="40"/>
        <w:numPr>
          <w:ilvl w:val="1"/>
          <w:numId w:val="4"/>
        </w:numPr>
        <w:spacing w:before="240" w:after="240"/>
        <w:jc w:val="both"/>
        <w:rPr>
          <w:szCs w:val="24"/>
        </w:rPr>
      </w:pPr>
      <w:r>
        <w:rPr>
          <w:szCs w:val="24"/>
        </w:rPr>
        <w:t>Vinculam esta contratação, independentemente de transcrição:</w:t>
      </w:r>
    </w:p>
    <w:p w14:paraId="48B8F210">
      <w:pPr>
        <w:pStyle w:val="40"/>
        <w:numPr>
          <w:ilvl w:val="2"/>
          <w:numId w:val="4"/>
        </w:numPr>
        <w:spacing w:before="240" w:after="240"/>
        <w:jc w:val="both"/>
        <w:rPr>
          <w:szCs w:val="24"/>
        </w:rPr>
      </w:pPr>
      <w:r>
        <w:rPr>
          <w:szCs w:val="24"/>
        </w:rPr>
        <w:t>O Termo de Referência;</w:t>
      </w:r>
    </w:p>
    <w:p w14:paraId="7A2B1CC3">
      <w:pPr>
        <w:pStyle w:val="40"/>
        <w:numPr>
          <w:ilvl w:val="2"/>
          <w:numId w:val="4"/>
        </w:numPr>
        <w:spacing w:before="240" w:after="240"/>
        <w:jc w:val="both"/>
        <w:rPr>
          <w:szCs w:val="24"/>
        </w:rPr>
      </w:pPr>
      <w:r>
        <w:rPr>
          <w:szCs w:val="24"/>
        </w:rPr>
        <w:t>O Edital da Licitação;</w:t>
      </w:r>
    </w:p>
    <w:p w14:paraId="62FB5395">
      <w:pPr>
        <w:pStyle w:val="40"/>
        <w:numPr>
          <w:ilvl w:val="2"/>
          <w:numId w:val="4"/>
        </w:numPr>
        <w:spacing w:before="240" w:after="240"/>
        <w:jc w:val="both"/>
        <w:rPr>
          <w:szCs w:val="24"/>
        </w:rPr>
      </w:pPr>
      <w:r>
        <w:rPr>
          <w:szCs w:val="24"/>
        </w:rPr>
        <w:t>A Proposta do contratado;</w:t>
      </w:r>
    </w:p>
    <w:p w14:paraId="5EC266F3">
      <w:pPr>
        <w:pStyle w:val="40"/>
        <w:numPr>
          <w:ilvl w:val="2"/>
          <w:numId w:val="4"/>
        </w:numPr>
        <w:spacing w:before="240" w:after="240"/>
        <w:jc w:val="both"/>
        <w:rPr>
          <w:szCs w:val="24"/>
        </w:rPr>
      </w:pPr>
      <w:r>
        <w:rPr>
          <w:szCs w:val="24"/>
        </w:rPr>
        <w:t>Eventuais anexos dos documentos supracitados.</w:t>
      </w:r>
    </w:p>
    <w:p w14:paraId="62F460BA">
      <w:pPr>
        <w:spacing w:before="240" w:after="240"/>
        <w:rPr>
          <w:szCs w:val="24"/>
        </w:rPr>
      </w:pPr>
      <w:r>
        <w:rPr>
          <w:b/>
          <w:bCs/>
          <w:szCs w:val="24"/>
        </w:rPr>
        <w:t>CLÁUSULA SEGUNDA – DA VIGÊNCIA E PRORROGAÇÃO</w:t>
      </w:r>
    </w:p>
    <w:p w14:paraId="2BB3DE2C">
      <w:pPr>
        <w:spacing w:before="240" w:after="240"/>
        <w:jc w:val="both"/>
        <w:rPr>
          <w:szCs w:val="24"/>
        </w:rPr>
      </w:pPr>
      <w:r>
        <w:rPr>
          <w:szCs w:val="24"/>
        </w:rPr>
        <w:t>2.1. O prazo de vigência da contratação é de __(____) meses contados da data da assinatura, na forma do artigo 105 da Lei n° 14.133, de 2021.</w:t>
      </w:r>
    </w:p>
    <w:p w14:paraId="2E5F0B29">
      <w:pPr>
        <w:spacing w:before="240" w:after="240"/>
        <w:jc w:val="both"/>
        <w:rPr>
          <w:b/>
          <w:bCs/>
          <w:szCs w:val="24"/>
        </w:rPr>
      </w:pPr>
      <w:r>
        <w:rPr>
          <w:b/>
          <w:bCs/>
          <w:szCs w:val="24"/>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2"/>
          <w:b/>
          <w:bCs/>
          <w:szCs w:val="24"/>
        </w:rPr>
        <w:t>art. 92, IV, VII e XVIII)</w:t>
      </w:r>
      <w:r>
        <w:rPr>
          <w:rStyle w:val="12"/>
          <w:b/>
          <w:bCs/>
          <w:szCs w:val="24"/>
        </w:rPr>
        <w:fldChar w:fldCharType="end"/>
      </w:r>
    </w:p>
    <w:p w14:paraId="0F3C012F">
      <w:pPr>
        <w:spacing w:before="240" w:after="240"/>
        <w:jc w:val="both"/>
        <w:rPr>
          <w:szCs w:val="24"/>
        </w:rPr>
      </w:pPr>
      <w:r>
        <w:rPr>
          <w:szCs w:val="24"/>
        </w:rPr>
        <w:t>3.1. O regime de execução contratual, os modelos de gestão e de execução, assim como os prazos e condições de conclusão, entrega, observação e recebimento do objeto constam no Termo de Referência, anexo a este Contrato.</w:t>
      </w:r>
    </w:p>
    <w:p w14:paraId="0C062106">
      <w:pPr>
        <w:spacing w:before="240" w:after="240"/>
        <w:jc w:val="both"/>
        <w:rPr>
          <w:b/>
          <w:bCs/>
          <w:szCs w:val="24"/>
        </w:rPr>
      </w:pPr>
      <w:r>
        <w:rPr>
          <w:b/>
          <w:bCs/>
          <w:szCs w:val="24"/>
        </w:rPr>
        <w:t>CLÁUSULA QUARTA – SUBCONTRATAÇÃO</w:t>
      </w:r>
    </w:p>
    <w:p w14:paraId="622D9874">
      <w:pPr>
        <w:spacing w:before="240" w:after="240"/>
        <w:jc w:val="both"/>
        <w:rPr>
          <w:szCs w:val="24"/>
        </w:rPr>
      </w:pPr>
      <w:r>
        <w:rPr>
          <w:szCs w:val="24"/>
        </w:rPr>
        <w:t>4.1. Não será admitida a subcontratação do objeto contratual.</w:t>
      </w:r>
    </w:p>
    <w:p w14:paraId="0A3E799A">
      <w:pPr>
        <w:spacing w:before="240" w:after="240"/>
        <w:jc w:val="both"/>
        <w:rPr>
          <w:b/>
          <w:bCs/>
          <w:szCs w:val="24"/>
        </w:rPr>
      </w:pPr>
      <w:r>
        <w:rPr>
          <w:b/>
          <w:bCs/>
          <w:szCs w:val="24"/>
        </w:rPr>
        <w:t>CLÁUSULA QUINTA - PREÇO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r>
        <w:rPr>
          <w:b/>
          <w:bCs/>
          <w:szCs w:val="24"/>
        </w:rPr>
        <w:t>)</w:t>
      </w:r>
    </w:p>
    <w:p w14:paraId="19CBCC29">
      <w:pPr>
        <w:spacing w:before="240" w:after="240"/>
        <w:jc w:val="both"/>
        <w:rPr>
          <w:szCs w:val="24"/>
        </w:rPr>
      </w:pPr>
      <w:r>
        <w:rPr>
          <w:szCs w:val="24"/>
        </w:rPr>
        <w:t>5.1. O valor total da contratação é de R$..........(.......).</w:t>
      </w:r>
    </w:p>
    <w:p w14:paraId="3A63F1C0">
      <w:pPr>
        <w:spacing w:before="240" w:after="240"/>
        <w:jc w:val="both"/>
        <w:rPr>
          <w:szCs w:val="24"/>
        </w:rPr>
      </w:pPr>
      <w:r>
        <w:rPr>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73E16B6">
      <w:pPr>
        <w:spacing w:before="240" w:after="240"/>
        <w:jc w:val="both"/>
        <w:rPr>
          <w:b/>
          <w:bCs/>
          <w:szCs w:val="24"/>
        </w:rPr>
      </w:pPr>
      <w:r>
        <w:rPr>
          <w:b/>
          <w:bCs/>
          <w:szCs w:val="24"/>
        </w:rPr>
        <w:t>CLÁUSULA SEXTA – DO PAGAMENTO (</w:t>
      </w:r>
      <w:r>
        <w:fldChar w:fldCharType="begin"/>
      </w:r>
      <w:r>
        <w:instrText xml:space="preserve"> HYPERLINK "http://www.planalto.gov.br/ccivil_03/_ato2019-2022/2021/lei/L14133.htm" \l "art92" </w:instrText>
      </w:r>
      <w:r>
        <w:fldChar w:fldCharType="separate"/>
      </w:r>
      <w:r>
        <w:rPr>
          <w:rStyle w:val="12"/>
          <w:b/>
          <w:bCs/>
          <w:szCs w:val="24"/>
        </w:rPr>
        <w:t>art. 92, V e VI</w:t>
      </w:r>
      <w:r>
        <w:rPr>
          <w:rStyle w:val="12"/>
          <w:b/>
          <w:bCs/>
          <w:szCs w:val="24"/>
        </w:rPr>
        <w:fldChar w:fldCharType="end"/>
      </w:r>
      <w:r>
        <w:rPr>
          <w:b/>
          <w:bCs/>
          <w:szCs w:val="24"/>
        </w:rPr>
        <w:t>)</w:t>
      </w:r>
    </w:p>
    <w:p w14:paraId="13FA144B">
      <w:pPr>
        <w:spacing w:before="240" w:after="240"/>
        <w:jc w:val="both"/>
        <w:rPr>
          <w:szCs w:val="24"/>
        </w:rPr>
      </w:pPr>
      <w:r>
        <w:rPr>
          <w:szCs w:val="24"/>
        </w:rPr>
        <w:t>6.1. O prazo para pagamento ao contratado e demais condições a ele referentes encontram-se definidos no Termo de Referência, anexo a este Contrato</w:t>
      </w:r>
    </w:p>
    <w:p w14:paraId="1E4A105A">
      <w:pPr>
        <w:spacing w:before="240" w:after="240"/>
        <w:jc w:val="both"/>
        <w:rPr>
          <w:b/>
          <w:bCs/>
          <w:szCs w:val="24"/>
        </w:rPr>
      </w:pPr>
      <w:r>
        <w:rPr>
          <w:b/>
          <w:bCs/>
          <w:szCs w:val="24"/>
        </w:rPr>
        <w:t>CLÁUSULA SÉTIMA - DO REAJUSTE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p>
    <w:p w14:paraId="1A6217B3">
      <w:pPr>
        <w:spacing w:before="240" w:after="240"/>
        <w:jc w:val="both"/>
        <w:rPr>
          <w:szCs w:val="24"/>
        </w:rPr>
      </w:pPr>
      <w:r>
        <w:rPr>
          <w:szCs w:val="24"/>
        </w:rPr>
        <w:t xml:space="preserve">7.1. Os preços inicialmente contratados são fixos e irreajustáveis no prazo de um ano contado da data do orçamento estimado, </w:t>
      </w:r>
      <w:r>
        <w:rPr>
          <w:b/>
          <w:bCs/>
          <w:color w:val="FF0000"/>
          <w:szCs w:val="24"/>
        </w:rPr>
        <w:t>em 02/07/2024</w:t>
      </w:r>
      <w:r>
        <w:rPr>
          <w:szCs w:val="24"/>
        </w:rPr>
        <w:t>.</w:t>
      </w:r>
    </w:p>
    <w:p w14:paraId="4034010C">
      <w:pPr>
        <w:spacing w:before="240" w:after="240"/>
        <w:jc w:val="both"/>
        <w:rPr>
          <w:b/>
          <w:bCs/>
          <w:szCs w:val="24"/>
        </w:rPr>
      </w:pPr>
      <w:r>
        <w:rPr>
          <w:b/>
          <w:bCs/>
          <w:szCs w:val="24"/>
        </w:rPr>
        <w:t>CLÁUSULA OITAVA - DA GARANTIA DA EXECUÇÃO (</w:t>
      </w:r>
      <w:r>
        <w:fldChar w:fldCharType="begin"/>
      </w:r>
      <w:r>
        <w:instrText xml:space="preserve"> HYPERLINK "http://www.planalto.gov.br/ccivil_03/_ato2019-2022/2021/lei/L14133.htm" \l "art92" </w:instrText>
      </w:r>
      <w:r>
        <w:fldChar w:fldCharType="separate"/>
      </w:r>
      <w:r>
        <w:rPr>
          <w:rStyle w:val="12"/>
          <w:b/>
          <w:bCs/>
          <w:szCs w:val="24"/>
        </w:rPr>
        <w:t>art. 92, XII</w:t>
      </w:r>
      <w:r>
        <w:rPr>
          <w:rStyle w:val="12"/>
          <w:b/>
          <w:bCs/>
          <w:szCs w:val="24"/>
        </w:rPr>
        <w:fldChar w:fldCharType="end"/>
      </w:r>
    </w:p>
    <w:p w14:paraId="26190D17">
      <w:pPr>
        <w:spacing w:before="240" w:after="240"/>
        <w:jc w:val="both"/>
        <w:rPr>
          <w:szCs w:val="24"/>
        </w:rPr>
      </w:pPr>
      <w:r>
        <w:rPr>
          <w:szCs w:val="24"/>
        </w:rPr>
        <w:t>8.1. Não haverá exigência de garantia contratual da execução.</w:t>
      </w:r>
    </w:p>
    <w:p w14:paraId="2A17FC21">
      <w:pPr>
        <w:spacing w:before="240" w:after="240"/>
        <w:jc w:val="both"/>
        <w:rPr>
          <w:b/>
          <w:bCs/>
          <w:szCs w:val="24"/>
        </w:rPr>
      </w:pPr>
      <w:r>
        <w:rPr>
          <w:b/>
          <w:bCs/>
          <w:szCs w:val="24"/>
        </w:rPr>
        <w:t xml:space="preserve">CLÁUSULA NONA - OBRIGAÇÕES DA CONTRATANTE </w:t>
      </w:r>
      <w:r>
        <w:fldChar w:fldCharType="begin"/>
      </w:r>
      <w:r>
        <w:instrText xml:space="preserve"> HYPERLINK "http://www.planalto.gov.br/ccivil_03/_ato2019-2022/2021/lei/L14133.htm" \l "art92" </w:instrText>
      </w:r>
      <w:r>
        <w:fldChar w:fldCharType="separate"/>
      </w:r>
      <w:r>
        <w:rPr>
          <w:rStyle w:val="12"/>
          <w:b/>
          <w:bCs/>
          <w:szCs w:val="24"/>
        </w:rPr>
        <w:t>(art. 92, X, XI e XIV</w:t>
      </w:r>
      <w:r>
        <w:rPr>
          <w:rStyle w:val="12"/>
          <w:b/>
          <w:bCs/>
          <w:szCs w:val="24"/>
        </w:rPr>
        <w:fldChar w:fldCharType="end"/>
      </w:r>
    </w:p>
    <w:p w14:paraId="7530507B">
      <w:pPr>
        <w:spacing w:before="240" w:after="240"/>
        <w:jc w:val="both"/>
        <w:rPr>
          <w:szCs w:val="24"/>
        </w:rPr>
      </w:pPr>
      <w:r>
        <w:rPr>
          <w:szCs w:val="24"/>
        </w:rPr>
        <w:t>9.1. São obrigações do Contratante:</w:t>
      </w:r>
    </w:p>
    <w:p w14:paraId="598C7E5C">
      <w:pPr>
        <w:spacing w:before="240" w:after="240"/>
        <w:jc w:val="both"/>
        <w:rPr>
          <w:szCs w:val="24"/>
        </w:rPr>
      </w:pPr>
      <w:r>
        <w:rPr>
          <w:szCs w:val="24"/>
        </w:rPr>
        <w:t>9.1.1. Exigir o cumprimento de todas as obrigações assumidas pelo Contratado, de acordo com o contrato e seus anexos;</w:t>
      </w:r>
    </w:p>
    <w:p w14:paraId="7DD87D0A">
      <w:pPr>
        <w:spacing w:before="240" w:after="240"/>
        <w:jc w:val="both"/>
        <w:rPr>
          <w:szCs w:val="24"/>
        </w:rPr>
      </w:pPr>
      <w:r>
        <w:rPr>
          <w:szCs w:val="24"/>
        </w:rPr>
        <w:t>9.1.2. Receber o objeto no prazo e condições estabelecidas no Termo de Referência;</w:t>
      </w:r>
    </w:p>
    <w:p w14:paraId="7541DEDE">
      <w:pPr>
        <w:spacing w:before="240" w:after="240"/>
        <w:jc w:val="both"/>
        <w:rPr>
          <w:szCs w:val="24"/>
        </w:rPr>
      </w:pPr>
      <w:r>
        <w:rPr>
          <w:szCs w:val="24"/>
        </w:rPr>
        <w:t>9.1.3. Notificar o Contratado, por escrito, sobre vícios, defeitos ou incorreções verificadas no objeto fornecido, para que seja por ele substituído, reparado ou corrigido, no total ou em parte, às suas expensas;</w:t>
      </w:r>
    </w:p>
    <w:p w14:paraId="7B0FDCC3">
      <w:pPr>
        <w:spacing w:before="240" w:after="240"/>
        <w:jc w:val="both"/>
        <w:rPr>
          <w:szCs w:val="24"/>
        </w:rPr>
      </w:pPr>
      <w:r>
        <w:rPr>
          <w:szCs w:val="24"/>
        </w:rPr>
        <w:t>9.1.4. Acompanhar e fiscalizar a execução do contrato e o cumprimento das obrigações pelo Contratado;</w:t>
      </w:r>
    </w:p>
    <w:p w14:paraId="2A951742">
      <w:pPr>
        <w:spacing w:before="240" w:after="240"/>
        <w:jc w:val="both"/>
        <w:rPr>
          <w:szCs w:val="24"/>
        </w:rPr>
      </w:pPr>
      <w:r>
        <w:rPr>
          <w:szCs w:val="24"/>
        </w:rPr>
        <w:t>9.1.5.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34AA008A">
      <w:pPr>
        <w:spacing w:before="240" w:after="240"/>
        <w:jc w:val="both"/>
        <w:rPr>
          <w:szCs w:val="24"/>
        </w:rPr>
      </w:pPr>
      <w:r>
        <w:rPr>
          <w:szCs w:val="24"/>
        </w:rPr>
        <w:t>9.1.6. Efetuar o pagamento ao Contratado do valor correspondente à execução do objeto, no prazo, forma e condições estabelecidos no presente Contrato e no Termo de Referência;</w:t>
      </w:r>
    </w:p>
    <w:p w14:paraId="78E3857F">
      <w:pPr>
        <w:spacing w:before="240" w:after="240"/>
        <w:jc w:val="both"/>
        <w:rPr>
          <w:szCs w:val="24"/>
        </w:rPr>
      </w:pPr>
      <w:r>
        <w:rPr>
          <w:szCs w:val="24"/>
        </w:rPr>
        <w:t xml:space="preserve">9.1.7. Aplicar ao Contratado as sanções previstas na lei e neste Contrato; </w:t>
      </w:r>
    </w:p>
    <w:p w14:paraId="4B855165">
      <w:pPr>
        <w:spacing w:before="240" w:after="240"/>
        <w:jc w:val="both"/>
        <w:rPr>
          <w:szCs w:val="24"/>
        </w:rPr>
      </w:pPr>
      <w:r>
        <w:rPr>
          <w:szCs w:val="24"/>
        </w:rPr>
        <w:t>9.1.8. Cientificar a Procuradoria Geral do Município de Trizidela do Vale/MA para adoção das medidas cabíveis quando do descumprimento de obrigações pelo Contratado;</w:t>
      </w:r>
    </w:p>
    <w:p w14:paraId="54907E0F">
      <w:pPr>
        <w:spacing w:before="240" w:after="240"/>
        <w:jc w:val="both"/>
        <w:rPr>
          <w:szCs w:val="24"/>
        </w:rPr>
      </w:pPr>
      <w:r>
        <w:rPr>
          <w:szCs w:val="24"/>
        </w:rPr>
        <w:t>9.1.9.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40F4A5">
      <w:pPr>
        <w:spacing w:before="240" w:after="240"/>
        <w:jc w:val="both"/>
        <w:rPr>
          <w:szCs w:val="24"/>
        </w:rPr>
      </w:pPr>
      <w:r>
        <w:rPr>
          <w:szCs w:val="24"/>
        </w:rPr>
        <w:t xml:space="preserve">9.1.10. 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2"/>
          <w:szCs w:val="24"/>
        </w:rPr>
        <w:t>do art. 93, §2º, da Lei nº 14.133, de 2021</w:t>
      </w:r>
      <w:r>
        <w:rPr>
          <w:rStyle w:val="12"/>
          <w:szCs w:val="24"/>
        </w:rPr>
        <w:fldChar w:fldCharType="end"/>
      </w:r>
      <w:r>
        <w:rPr>
          <w:szCs w:val="24"/>
        </w:rPr>
        <w:t>.</w:t>
      </w:r>
    </w:p>
    <w:p w14:paraId="44F626B2">
      <w:pPr>
        <w:spacing w:before="240" w:after="240"/>
        <w:jc w:val="both"/>
        <w:rPr>
          <w:szCs w:val="24"/>
        </w:rPr>
      </w:pPr>
      <w:r>
        <w:rPr>
          <w:szCs w:val="24"/>
        </w:rPr>
        <w:t>9.1.11.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23762D1">
      <w:pPr>
        <w:spacing w:before="240" w:after="240"/>
        <w:jc w:val="both"/>
        <w:rPr>
          <w:b/>
          <w:bCs/>
          <w:szCs w:val="24"/>
        </w:rPr>
      </w:pPr>
      <w:r>
        <w:rPr>
          <w:b/>
          <w:bCs/>
          <w:szCs w:val="24"/>
        </w:rPr>
        <w:t>CLÁUSULA DÉCIMA – DAS OBRIGAÇÕES DO CONTRATADO (</w:t>
      </w:r>
      <w:r>
        <w:fldChar w:fldCharType="begin"/>
      </w:r>
      <w:r>
        <w:instrText xml:space="preserve"> HYPERLINK "http://www.planalto.gov.br/ccivil_03/_ato2019-2022/2021/lei/L14133.htm" \l "art92" </w:instrText>
      </w:r>
      <w:r>
        <w:fldChar w:fldCharType="separate"/>
      </w:r>
      <w:r>
        <w:rPr>
          <w:rStyle w:val="12"/>
          <w:b/>
          <w:bCs/>
          <w:szCs w:val="24"/>
        </w:rPr>
        <w:t>art. 92, XIV, XVI e XVII</w:t>
      </w:r>
      <w:r>
        <w:rPr>
          <w:rStyle w:val="12"/>
          <w:b/>
          <w:bCs/>
          <w:szCs w:val="24"/>
        </w:rPr>
        <w:fldChar w:fldCharType="end"/>
      </w:r>
      <w:r>
        <w:rPr>
          <w:b/>
          <w:bCs/>
          <w:szCs w:val="24"/>
        </w:rPr>
        <w:t>)</w:t>
      </w:r>
    </w:p>
    <w:p w14:paraId="11D6B1D6">
      <w:pPr>
        <w:spacing w:before="240" w:after="240"/>
        <w:jc w:val="both"/>
        <w:rPr>
          <w:szCs w:val="24"/>
        </w:rPr>
      </w:pPr>
      <w:r>
        <w:rPr>
          <w:szCs w:val="24"/>
        </w:rPr>
        <w:t>10.1. O Contratado deve cumprir todas as obrigações constantes deste Contrato e de seus anexos, assumindo como exclusivamente seus os riscos e as despesas decorrentes da boa e perfeita execução do objeto, observando, ainda, as obrigações a seguir dispostas:</w:t>
      </w:r>
    </w:p>
    <w:p w14:paraId="74712446">
      <w:pPr>
        <w:spacing w:before="240" w:after="240"/>
        <w:jc w:val="both"/>
        <w:rPr>
          <w:szCs w:val="24"/>
        </w:rPr>
      </w:pPr>
      <w:r>
        <w:rPr>
          <w:szCs w:val="24"/>
        </w:rPr>
        <w:t>10.2. Responsabilizar-se pelos vícios e danos decorrentes do objeto, de acordo com o Código de Defesa do Consumidor (Lei nº 8.078, de 1990).</w:t>
      </w:r>
    </w:p>
    <w:p w14:paraId="338980D9">
      <w:pPr>
        <w:spacing w:before="240" w:after="240"/>
        <w:jc w:val="both"/>
        <w:rPr>
          <w:szCs w:val="24"/>
        </w:rPr>
      </w:pPr>
      <w:r>
        <w:rPr>
          <w:szCs w:val="24"/>
        </w:rPr>
        <w:t>10.3. Comunicar ao contratante, no prazo máximo de 24 (vinte e quatro) horas que antecede a data da entrega, os motivos que impossibilitem o cumprimento do prazo previsto, com a devida comprovação.</w:t>
      </w:r>
    </w:p>
    <w:p w14:paraId="3D20E291">
      <w:pPr>
        <w:spacing w:before="240" w:after="240"/>
        <w:jc w:val="both"/>
        <w:rPr>
          <w:szCs w:val="24"/>
        </w:rPr>
      </w:pPr>
      <w:r>
        <w:rPr>
          <w:szCs w:val="24"/>
        </w:rPr>
        <w:t>10.4. 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2"/>
          <w:szCs w:val="24"/>
        </w:rPr>
        <w:t>art. 137, II</w:t>
      </w:r>
      <w:r>
        <w:rPr>
          <w:rStyle w:val="12"/>
          <w:szCs w:val="24"/>
        </w:rPr>
        <w:fldChar w:fldCharType="end"/>
      </w:r>
      <w:r>
        <w:rPr>
          <w:rStyle w:val="12"/>
          <w:szCs w:val="24"/>
        </w:rPr>
        <w:t>, da Lei nº 14.133, de 2021</w:t>
      </w:r>
      <w:r>
        <w:rPr>
          <w:szCs w:val="24"/>
        </w:rPr>
        <w:t>) e prestar todo esclarecimento ou informação por eles solicitados;</w:t>
      </w:r>
    </w:p>
    <w:p w14:paraId="31A0B76F">
      <w:pPr>
        <w:spacing w:before="240" w:after="240"/>
        <w:jc w:val="both"/>
        <w:rPr>
          <w:szCs w:val="24"/>
        </w:rPr>
      </w:pPr>
      <w:r>
        <w:rPr>
          <w:szCs w:val="24"/>
        </w:rPr>
        <w:t>10.5. Reparar, corrigir, remover, reconstruir ou substituir, às suas expensas, no total ou em parte, no prazo fixado pelo fiscal do contrato, os serviços nos quais se verificarem vícios, defeitos ou incorreções resultantes da execução ou dos materiais empregados.</w:t>
      </w:r>
    </w:p>
    <w:p w14:paraId="7DA9E03B">
      <w:pPr>
        <w:spacing w:before="240" w:after="240"/>
        <w:jc w:val="both"/>
        <w:rPr>
          <w:szCs w:val="24"/>
        </w:rPr>
      </w:pPr>
      <w:r>
        <w:rPr>
          <w:szCs w:val="24"/>
        </w:rPr>
        <w:t>10.7. Responsabilizar-se pelos vícios e danos decorrentes da execução do objeto, de acordo com 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90C3F80">
      <w:pPr>
        <w:spacing w:before="240" w:after="240"/>
        <w:jc w:val="both"/>
        <w:rPr>
          <w:szCs w:val="24"/>
        </w:rPr>
      </w:pPr>
      <w:r>
        <w:rPr>
          <w:szCs w:val="24"/>
        </w:rPr>
        <w:t>10.9. Quando não for possível a verificação da regularidade no Sistema de Cadastro de Fornecedores – SICAF, o contratado deverá entregar ao setor responsável pela fiscalização do contrato, até o dia trinta do mês seguinte ao da prestação dos serviços/entrega dos bens,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65ED0C4E">
      <w:pPr>
        <w:spacing w:before="240" w:after="240"/>
        <w:jc w:val="both"/>
        <w:rPr>
          <w:szCs w:val="24"/>
        </w:rPr>
      </w:pPr>
      <w:r>
        <w:rPr>
          <w:szCs w:val="24"/>
        </w:rPr>
        <w:t xml:space="preserve">10.10. Responsabilizar-se pelo cumprimento de todas as obrigações trabalhistas, sociais, previdenciárias, tributárias e as demais previstas em legislação específica, cuja inadimplência não transfere a responsabilidade ao Contratante; </w:t>
      </w:r>
    </w:p>
    <w:p w14:paraId="51FE0173">
      <w:pPr>
        <w:spacing w:before="240" w:after="240"/>
        <w:jc w:val="both"/>
        <w:rPr>
          <w:szCs w:val="24"/>
        </w:rPr>
      </w:pPr>
      <w:r>
        <w:rPr>
          <w:szCs w:val="24"/>
        </w:rPr>
        <w:t>10.11. Comunicar ao Fiscal do contrato, no prazo de 24 (vinte e quatro) horas, qualquer ocorrência anormal ou acidente que se verifique no local dos serviços.</w:t>
      </w:r>
    </w:p>
    <w:p w14:paraId="188A6EF3">
      <w:pPr>
        <w:spacing w:before="240" w:after="240"/>
        <w:jc w:val="both"/>
        <w:rPr>
          <w:szCs w:val="24"/>
        </w:rPr>
      </w:pPr>
      <w:r>
        <w:rPr>
          <w:szCs w:val="24"/>
        </w:rPr>
        <w:t>10.12. Prestar todo esclarecimento ou informação solicitada pelo Contratante ou por seus prepostos, garantindo-lhes o acesso, a qualquer tempo, ao local dos trabalhos, bem como aos documentos relativos à execução do empreendimento.</w:t>
      </w:r>
    </w:p>
    <w:p w14:paraId="11CF0F69">
      <w:pPr>
        <w:spacing w:before="240" w:after="240"/>
        <w:jc w:val="both"/>
        <w:rPr>
          <w:szCs w:val="24"/>
        </w:rPr>
      </w:pPr>
      <w:r>
        <w:rPr>
          <w:szCs w:val="24"/>
        </w:rPr>
        <w:t>10.13. Paralisar, por determinação do Contratante, qualquer atividade que não esteja sendo executada de acordo com a boa técnica ou que ponha em risco a segurança de pessoas ou bens de terceiros.</w:t>
      </w:r>
    </w:p>
    <w:p w14:paraId="4F8EEC49">
      <w:pPr>
        <w:spacing w:before="240" w:after="240"/>
        <w:jc w:val="both"/>
        <w:rPr>
          <w:szCs w:val="24"/>
        </w:rPr>
      </w:pPr>
      <w:r>
        <w:rPr>
          <w:szCs w:val="24"/>
        </w:rPr>
        <w:t>10.19.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2"/>
          <w:szCs w:val="24"/>
        </w:rPr>
        <w:t>art. 116</w:t>
      </w:r>
      <w:r>
        <w:rPr>
          <w:rStyle w:val="12"/>
          <w:szCs w:val="24"/>
        </w:rPr>
        <w:fldChar w:fldCharType="end"/>
      </w:r>
      <w:r>
        <w:rPr>
          <w:szCs w:val="24"/>
        </w:rPr>
        <w:t>);</w:t>
      </w:r>
    </w:p>
    <w:p w14:paraId="390B8EC0">
      <w:pPr>
        <w:spacing w:before="240" w:after="240"/>
        <w:jc w:val="both"/>
        <w:rPr>
          <w:szCs w:val="24"/>
        </w:rPr>
      </w:pPr>
      <w:r>
        <w:rPr>
          <w:szCs w:val="24"/>
        </w:rPr>
        <w:t>10.20. 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2"/>
          <w:szCs w:val="24"/>
        </w:rPr>
        <w:t>art. 116, parágrafo único</w:t>
      </w:r>
      <w:r>
        <w:rPr>
          <w:rStyle w:val="12"/>
          <w:szCs w:val="24"/>
        </w:rPr>
        <w:fldChar w:fldCharType="end"/>
      </w:r>
      <w:r>
        <w:rPr>
          <w:szCs w:val="24"/>
        </w:rPr>
        <w:t>);</w:t>
      </w:r>
    </w:p>
    <w:p w14:paraId="0B703A9D">
      <w:pPr>
        <w:spacing w:before="240" w:after="240"/>
        <w:jc w:val="both"/>
        <w:rPr>
          <w:szCs w:val="24"/>
        </w:rPr>
      </w:pPr>
      <w:r>
        <w:rPr>
          <w:szCs w:val="24"/>
        </w:rPr>
        <w:t>10.21. Guardar sigilo sobre todas as informações obtidas em decorrência do cumprimento do contrato;</w:t>
      </w:r>
    </w:p>
    <w:p w14:paraId="6B854ADC">
      <w:pPr>
        <w:spacing w:before="240" w:after="240"/>
        <w:jc w:val="both"/>
        <w:rPr>
          <w:szCs w:val="24"/>
        </w:rPr>
      </w:pPr>
      <w:r>
        <w:rPr>
          <w:szCs w:val="24"/>
        </w:rPr>
        <w:t xml:space="preserve">10.22.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2"/>
          <w:szCs w:val="24"/>
        </w:rPr>
        <w:t>art. 124, II, d, da Lei nº 14.133, de 2021</w:t>
      </w:r>
      <w:r>
        <w:rPr>
          <w:rStyle w:val="12"/>
          <w:szCs w:val="24"/>
        </w:rPr>
        <w:fldChar w:fldCharType="end"/>
      </w:r>
      <w:r>
        <w:rPr>
          <w:szCs w:val="24"/>
        </w:rPr>
        <w:t>;</w:t>
      </w:r>
    </w:p>
    <w:p w14:paraId="7395D21B">
      <w:pPr>
        <w:widowControl w:val="0"/>
        <w:suppressAutoHyphens/>
        <w:spacing w:before="240" w:after="240"/>
        <w:jc w:val="both"/>
        <w:rPr>
          <w:szCs w:val="24"/>
        </w:rPr>
      </w:pPr>
      <w:r>
        <w:rPr>
          <w:szCs w:val="24"/>
        </w:rPr>
        <w:t>10.23. Cumprir, além dos postulados legais vigentes de âmbito federal, estadual ou municipal, as normas de segurança do Contratante;</w:t>
      </w:r>
    </w:p>
    <w:p w14:paraId="55AA3D22">
      <w:pPr>
        <w:spacing w:before="240" w:after="240"/>
        <w:jc w:val="both"/>
        <w:rPr>
          <w:b/>
          <w:bCs/>
          <w:szCs w:val="24"/>
        </w:rPr>
      </w:pPr>
      <w:r>
        <w:rPr>
          <w:b/>
          <w:bCs/>
          <w:szCs w:val="24"/>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2"/>
          <w:b/>
          <w:bCs/>
          <w:szCs w:val="24"/>
        </w:rPr>
        <w:t>art. 92, XIV</w:t>
      </w:r>
      <w:r>
        <w:rPr>
          <w:rStyle w:val="12"/>
          <w:b/>
          <w:bCs/>
          <w:szCs w:val="24"/>
        </w:rPr>
        <w:fldChar w:fldCharType="end"/>
      </w:r>
      <w:r>
        <w:rPr>
          <w:b/>
          <w:bCs/>
          <w:szCs w:val="24"/>
        </w:rPr>
        <w:t>)</w:t>
      </w:r>
    </w:p>
    <w:p w14:paraId="7EF82DC5">
      <w:pPr>
        <w:spacing w:before="240" w:after="240"/>
        <w:jc w:val="both"/>
        <w:rPr>
          <w:szCs w:val="24"/>
        </w:rPr>
      </w:pPr>
      <w:r>
        <w:rPr>
          <w:szCs w:val="24"/>
        </w:rPr>
        <w:t xml:space="preserve">11.1. Comete infração administrativa, nos termos da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o contratado que:</w:t>
      </w:r>
    </w:p>
    <w:p w14:paraId="1200D867">
      <w:pPr>
        <w:spacing w:before="240" w:after="240"/>
        <w:jc w:val="both"/>
        <w:rPr>
          <w:rFonts w:eastAsia="Arial"/>
          <w:szCs w:val="24"/>
        </w:rPr>
      </w:pPr>
      <w:r>
        <w:rPr>
          <w:rFonts w:eastAsia="Arial"/>
          <w:szCs w:val="24"/>
        </w:rPr>
        <w:t>a) der causa à inexecução parcial do contrato;</w:t>
      </w:r>
    </w:p>
    <w:p w14:paraId="457AA861">
      <w:pPr>
        <w:spacing w:before="240" w:after="240"/>
        <w:jc w:val="both"/>
        <w:rPr>
          <w:rFonts w:eastAsia="Arial"/>
          <w:szCs w:val="24"/>
        </w:rPr>
      </w:pPr>
      <w:r>
        <w:rPr>
          <w:rFonts w:eastAsia="Arial"/>
          <w:szCs w:val="24"/>
        </w:rPr>
        <w:t>b) der causa à inexecução parcial do contrato que cause grave dano à Administração ou ao funcionamento dos serviços públicos ou ao interesse coletivo;</w:t>
      </w:r>
    </w:p>
    <w:p w14:paraId="0D9A7D97">
      <w:pPr>
        <w:spacing w:before="240" w:after="240"/>
        <w:jc w:val="both"/>
        <w:rPr>
          <w:rFonts w:eastAsia="Arial"/>
          <w:szCs w:val="24"/>
        </w:rPr>
      </w:pPr>
      <w:r>
        <w:rPr>
          <w:rFonts w:eastAsia="Arial"/>
          <w:szCs w:val="24"/>
        </w:rPr>
        <w:t>c) der causa à inexecução total do contrato;</w:t>
      </w:r>
    </w:p>
    <w:p w14:paraId="7AD0AFFE">
      <w:pPr>
        <w:spacing w:before="240" w:after="240"/>
        <w:jc w:val="both"/>
        <w:rPr>
          <w:rFonts w:eastAsia="Arial"/>
          <w:szCs w:val="24"/>
        </w:rPr>
      </w:pPr>
      <w:r>
        <w:rPr>
          <w:rFonts w:eastAsia="Arial"/>
          <w:szCs w:val="24"/>
        </w:rPr>
        <w:t>d) ensejar o retardamento da execução ou da entrega do objeto da contratação sem motivo justificado;</w:t>
      </w:r>
    </w:p>
    <w:p w14:paraId="32FC8E92">
      <w:pPr>
        <w:spacing w:before="240" w:after="240"/>
        <w:jc w:val="both"/>
        <w:rPr>
          <w:rFonts w:eastAsia="Arial"/>
          <w:szCs w:val="24"/>
        </w:rPr>
      </w:pPr>
      <w:r>
        <w:rPr>
          <w:rFonts w:eastAsia="Arial"/>
          <w:szCs w:val="24"/>
        </w:rPr>
        <w:t>e) apresentar documentação falsa ou prestar declaração falsa durante a execução do contrato;</w:t>
      </w:r>
    </w:p>
    <w:p w14:paraId="1DF65514">
      <w:pPr>
        <w:spacing w:before="240" w:after="240"/>
        <w:jc w:val="both"/>
        <w:rPr>
          <w:rFonts w:eastAsia="Arial"/>
          <w:szCs w:val="24"/>
        </w:rPr>
      </w:pPr>
      <w:r>
        <w:rPr>
          <w:rFonts w:eastAsia="Arial"/>
          <w:szCs w:val="24"/>
        </w:rPr>
        <w:t>f) praticar ato fraudulento na execução do contrato;</w:t>
      </w:r>
    </w:p>
    <w:p w14:paraId="0E2A922C">
      <w:pPr>
        <w:spacing w:before="240" w:after="240"/>
        <w:jc w:val="both"/>
        <w:rPr>
          <w:rFonts w:eastAsia="Arial"/>
          <w:szCs w:val="24"/>
        </w:rPr>
      </w:pPr>
      <w:r>
        <w:rPr>
          <w:rFonts w:eastAsia="Arial"/>
          <w:szCs w:val="24"/>
        </w:rPr>
        <w:t>g) comportar-se de modo inidôneo ou cometer fraude de qualquer natureza;</w:t>
      </w:r>
    </w:p>
    <w:p w14:paraId="1236546A">
      <w:pPr>
        <w:spacing w:before="240" w:after="240"/>
        <w:jc w:val="both"/>
        <w:rPr>
          <w:rFonts w:eastAsia="Arial"/>
          <w:szCs w:val="24"/>
        </w:rPr>
      </w:pPr>
      <w:r>
        <w:rPr>
          <w:rFonts w:eastAsia="Arial"/>
          <w:szCs w:val="24"/>
        </w:rPr>
        <w:t>h) praticar ato lesivo previsto no art. 5º da Lei nº 12.846, de 1º de agosto de 2013.</w:t>
      </w:r>
    </w:p>
    <w:p w14:paraId="49512359">
      <w:pPr>
        <w:spacing w:before="240" w:after="240"/>
        <w:jc w:val="both"/>
        <w:rPr>
          <w:szCs w:val="24"/>
        </w:rPr>
      </w:pPr>
      <w:r>
        <w:rPr>
          <w:szCs w:val="24"/>
        </w:rPr>
        <w:t>11.2. Serão aplicadas ao contratado que incorrer nas infrações acima descritas as seguintes sanções:</w:t>
      </w:r>
    </w:p>
    <w:p w14:paraId="48C5FA0E">
      <w:pPr>
        <w:spacing w:before="240" w:after="240"/>
        <w:jc w:val="both"/>
        <w:rPr>
          <w:rFonts w:eastAsia="Arial"/>
          <w:szCs w:val="24"/>
        </w:rPr>
      </w:pPr>
      <w:r>
        <w:rPr>
          <w:rFonts w:eastAsia="Arial"/>
          <w:szCs w:val="24"/>
        </w:rPr>
        <w:t>i) Advertência,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2"/>
          <w:rFonts w:eastAsia="Arial"/>
          <w:szCs w:val="24"/>
        </w:rPr>
        <w:t xml:space="preserve">art. 156, §2º, da </w:t>
      </w:r>
      <w:bookmarkStart w:id="44" w:name="_Hlk114504069"/>
      <w:r>
        <w:rPr>
          <w:rStyle w:val="12"/>
          <w:rFonts w:eastAsia="Arial"/>
          <w:szCs w:val="24"/>
        </w:rPr>
        <w:t>Lei nº 14.133, de 2021</w:t>
      </w:r>
      <w:bookmarkEnd w:id="44"/>
      <w:r>
        <w:rPr>
          <w:rStyle w:val="12"/>
          <w:rFonts w:eastAsia="Arial"/>
          <w:szCs w:val="24"/>
        </w:rPr>
        <w:fldChar w:fldCharType="end"/>
      </w:r>
      <w:r>
        <w:rPr>
          <w:rFonts w:eastAsia="Arial"/>
          <w:szCs w:val="24"/>
        </w:rPr>
        <w:t>);</w:t>
      </w:r>
    </w:p>
    <w:p w14:paraId="6E16B410">
      <w:pPr>
        <w:spacing w:before="240" w:after="240"/>
        <w:jc w:val="both"/>
        <w:rPr>
          <w:rFonts w:eastAsia="Arial"/>
          <w:szCs w:val="24"/>
        </w:rPr>
      </w:pPr>
      <w:r>
        <w:rPr>
          <w:rFonts w:eastAsia="Arial"/>
          <w:szCs w:val="24"/>
        </w:rPr>
        <w:t>ii) Impedimento de licitar e contratar,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2"/>
          <w:rFonts w:eastAsia="Arial"/>
          <w:szCs w:val="24"/>
        </w:rPr>
        <w:t>art. 156, § 4º, da Lei nº 14.133, de 2021</w:t>
      </w:r>
      <w:r>
        <w:rPr>
          <w:rStyle w:val="12"/>
          <w:rFonts w:eastAsia="Arial"/>
          <w:szCs w:val="24"/>
        </w:rPr>
        <w:fldChar w:fldCharType="end"/>
      </w:r>
      <w:r>
        <w:rPr>
          <w:rFonts w:eastAsia="Arial"/>
          <w:szCs w:val="24"/>
        </w:rPr>
        <w:t>);</w:t>
      </w:r>
    </w:p>
    <w:p w14:paraId="7806C6DD">
      <w:pPr>
        <w:spacing w:before="240" w:after="240"/>
        <w:jc w:val="both"/>
        <w:rPr>
          <w:rFonts w:eastAsia="Arial"/>
          <w:szCs w:val="24"/>
        </w:rPr>
      </w:pPr>
      <w:r>
        <w:rPr>
          <w:rFonts w:eastAsia="Arial"/>
          <w:szCs w:val="24"/>
        </w:rPr>
        <w:t>iii) Declaração de inidoneidade para licitar e contratar,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2"/>
          <w:rFonts w:eastAsia="Arial"/>
          <w:szCs w:val="24"/>
        </w:rPr>
        <w:t>art. 156, §5º, da Lei nº 14.133, de 2021</w:t>
      </w:r>
      <w:r>
        <w:rPr>
          <w:rStyle w:val="12"/>
          <w:rFonts w:eastAsia="Arial"/>
          <w:szCs w:val="24"/>
        </w:rPr>
        <w:fldChar w:fldCharType="end"/>
      </w:r>
      <w:r>
        <w:rPr>
          <w:rFonts w:eastAsia="Arial"/>
          <w:szCs w:val="24"/>
        </w:rPr>
        <w:t>).</w:t>
      </w:r>
    </w:p>
    <w:p w14:paraId="370812A2">
      <w:pPr>
        <w:spacing w:before="240" w:after="240"/>
        <w:jc w:val="both"/>
        <w:rPr>
          <w:rFonts w:eastAsia="Arial"/>
          <w:szCs w:val="24"/>
        </w:rPr>
      </w:pPr>
      <w:r>
        <w:rPr>
          <w:rFonts w:eastAsia="Arial"/>
          <w:szCs w:val="24"/>
        </w:rPr>
        <w:t>iv) Multa:</w:t>
      </w:r>
    </w:p>
    <w:p w14:paraId="4BBF9E8D">
      <w:pPr>
        <w:spacing w:before="240" w:after="240"/>
        <w:jc w:val="both"/>
        <w:rPr>
          <w:rFonts w:eastAsia="Arial"/>
          <w:szCs w:val="24"/>
        </w:rPr>
      </w:pPr>
      <w:r>
        <w:rPr>
          <w:rFonts w:eastAsia="Arial"/>
          <w:szCs w:val="24"/>
        </w:rPr>
        <w:t>(1) Moratória de 0,5% (cinco décimo por cento) por dia de atraso injustificado sobre o valor da parcela inadimplida, até o limite de 20 (vinte) dias,</w:t>
      </w:r>
    </w:p>
    <w:p w14:paraId="11326EED">
      <w:pPr>
        <w:spacing w:before="240" w:after="240"/>
        <w:jc w:val="both"/>
        <w:rPr>
          <w:rFonts w:eastAsia="Arial"/>
          <w:szCs w:val="24"/>
        </w:rPr>
      </w:pPr>
      <w:r>
        <w:rPr>
          <w:rFonts w:eastAsia="Arial"/>
          <w:szCs w:val="24"/>
        </w:rPr>
        <w:t>(2) Compensatória, para as infrações descritas nas alíneas “e” a “h” do subitem 12.1, de 10 % (dez por cento) do valor do Contrato.</w:t>
      </w:r>
    </w:p>
    <w:p w14:paraId="56D63C8F">
      <w:pPr>
        <w:spacing w:before="240" w:after="240"/>
        <w:jc w:val="both"/>
        <w:rPr>
          <w:rFonts w:eastAsia="Arial"/>
          <w:szCs w:val="24"/>
        </w:rPr>
      </w:pPr>
      <w:r>
        <w:rPr>
          <w:rFonts w:eastAsia="Arial"/>
          <w:szCs w:val="24"/>
        </w:rPr>
        <w:t>(3) Compensatória, para a inexecução total do contrato prevista na alínea “c” do subitem 12.1, de 20 .% (vinte por cento) do valor do Contrato.</w:t>
      </w:r>
    </w:p>
    <w:p w14:paraId="73DE1835">
      <w:pPr>
        <w:spacing w:before="240" w:after="240"/>
        <w:jc w:val="both"/>
        <w:rPr>
          <w:szCs w:val="24"/>
        </w:rPr>
      </w:pPr>
      <w:r>
        <w:rPr>
          <w:rFonts w:eastAsia="Arial"/>
          <w:szCs w:val="24"/>
        </w:rPr>
        <w:t>(4) Para infração descrita na alínea “b” do subitem 12.1, a multa será de 10 % (dez por cento) do valor do Contrato.</w:t>
      </w:r>
    </w:p>
    <w:p w14:paraId="2A53966D">
      <w:pPr>
        <w:spacing w:before="240" w:after="240"/>
        <w:jc w:val="both"/>
        <w:rPr>
          <w:rFonts w:eastAsia="Arial"/>
          <w:szCs w:val="24"/>
        </w:rPr>
      </w:pPr>
      <w:r>
        <w:rPr>
          <w:rFonts w:eastAsia="Arial"/>
          <w:szCs w:val="24"/>
        </w:rPr>
        <w:t>(5) Para infrações descritas na alínea “d” do subitem 12.1, a multa será de 15.% (quinze por cento) do valor do Contrato.</w:t>
      </w:r>
    </w:p>
    <w:p w14:paraId="63BEA019">
      <w:pPr>
        <w:spacing w:before="240" w:after="240"/>
        <w:jc w:val="both"/>
        <w:rPr>
          <w:szCs w:val="24"/>
        </w:rPr>
      </w:pPr>
      <w:r>
        <w:rPr>
          <w:rFonts w:eastAsia="Arial"/>
          <w:szCs w:val="24"/>
        </w:rPr>
        <w:t>(6) Para a infração descrita na alínea “a” do subitem 12.1, a multa será de 10 % (dez por cento) do valor do Contrato, ressalvadas as seguintes infrações</w:t>
      </w:r>
    </w:p>
    <w:p w14:paraId="2310CA62">
      <w:pPr>
        <w:spacing w:before="240" w:after="240"/>
        <w:jc w:val="both"/>
        <w:rPr>
          <w:szCs w:val="24"/>
        </w:rPr>
      </w:pPr>
      <w:r>
        <w:rPr>
          <w:szCs w:val="24"/>
        </w:rPr>
        <w:t>11.3. 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2"/>
          <w:szCs w:val="24"/>
        </w:rPr>
        <w:t>art. 156, §9º, da Lei nº 14.133, de 2021</w:t>
      </w:r>
      <w:r>
        <w:rPr>
          <w:rStyle w:val="12"/>
          <w:szCs w:val="24"/>
        </w:rPr>
        <w:fldChar w:fldCharType="end"/>
      </w:r>
      <w:r>
        <w:rPr>
          <w:szCs w:val="24"/>
        </w:rPr>
        <w:t>)</w:t>
      </w:r>
    </w:p>
    <w:p w14:paraId="5630C946">
      <w:pPr>
        <w:spacing w:before="240" w:after="240"/>
        <w:jc w:val="both"/>
        <w:rPr>
          <w:szCs w:val="24"/>
        </w:rPr>
      </w:pPr>
      <w:r>
        <w:rPr>
          <w:szCs w:val="24"/>
        </w:rPr>
        <w:t>11.4. 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2"/>
          <w:szCs w:val="24"/>
        </w:rPr>
        <w:t>art. 156, §7º, da Lei nº 14.133, de 2021</w:t>
      </w:r>
      <w:r>
        <w:rPr>
          <w:rStyle w:val="12"/>
          <w:szCs w:val="24"/>
        </w:rPr>
        <w:fldChar w:fldCharType="end"/>
      </w:r>
      <w:r>
        <w:rPr>
          <w:szCs w:val="24"/>
        </w:rPr>
        <w:t>).</w:t>
      </w:r>
    </w:p>
    <w:p w14:paraId="28A65AB2">
      <w:pPr>
        <w:spacing w:before="240" w:after="240"/>
        <w:jc w:val="both"/>
        <w:rPr>
          <w:szCs w:val="24"/>
        </w:rPr>
      </w:pPr>
      <w:r>
        <w:rPr>
          <w:szCs w:val="24"/>
        </w:rPr>
        <w:t>11.4.1. 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2"/>
          <w:szCs w:val="24"/>
        </w:rPr>
        <w:t>art. 157, da Lei nº 14.133, de 2021</w:t>
      </w:r>
      <w:r>
        <w:rPr>
          <w:rStyle w:val="12"/>
          <w:szCs w:val="24"/>
        </w:rPr>
        <w:fldChar w:fldCharType="end"/>
      </w:r>
      <w:r>
        <w:rPr>
          <w:szCs w:val="24"/>
        </w:rPr>
        <w:t>)</w:t>
      </w:r>
    </w:p>
    <w:p w14:paraId="10F23775">
      <w:pPr>
        <w:spacing w:before="240" w:after="240"/>
        <w:jc w:val="both"/>
        <w:rPr>
          <w:szCs w:val="24"/>
        </w:rPr>
      </w:pPr>
      <w:r>
        <w:rPr>
          <w:szCs w:val="24"/>
        </w:rPr>
        <w:t>11.5.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2"/>
          <w:szCs w:val="24"/>
        </w:rPr>
        <w:t>art. 156, §8º, da Lei nº 14.133, de 2021</w:t>
      </w:r>
      <w:r>
        <w:rPr>
          <w:rStyle w:val="12"/>
          <w:szCs w:val="24"/>
        </w:rPr>
        <w:fldChar w:fldCharType="end"/>
      </w:r>
      <w:r>
        <w:rPr>
          <w:szCs w:val="24"/>
        </w:rPr>
        <w:t>).</w:t>
      </w:r>
    </w:p>
    <w:p w14:paraId="37464059">
      <w:pPr>
        <w:spacing w:before="240" w:after="240"/>
        <w:jc w:val="both"/>
        <w:rPr>
          <w:szCs w:val="24"/>
        </w:rPr>
      </w:pPr>
      <w:r>
        <w:rPr>
          <w:szCs w:val="24"/>
        </w:rPr>
        <w:t>11.6. Previamente ao encaminhamento à cobrança judicial, a multa poderá ser recolhida administrativamente no prazo máximo de 15 (quinze) dias, a contar da data do recebimento da comunicação enviada pela autoridade competente.</w:t>
      </w:r>
      <w:bookmarkStart w:id="45" w:name="_Hlk78351618"/>
      <w:bookmarkEnd w:id="45"/>
    </w:p>
    <w:p w14:paraId="1D1F5CB1">
      <w:pPr>
        <w:spacing w:before="240" w:after="240"/>
        <w:jc w:val="both"/>
        <w:rPr>
          <w:szCs w:val="24"/>
        </w:rPr>
      </w:pPr>
      <w:r>
        <w:rPr>
          <w:szCs w:val="24"/>
        </w:rPr>
        <w:t xml:space="preserve">11.7. A aplicação das sanções realizar-se-á em processo administrativo que assegure o contraditório e a ampla defesa ao Contratado, observando-se o procedimento previsto no caput e parágrafos do </w:t>
      </w:r>
      <w:r>
        <w:fldChar w:fldCharType="begin"/>
      </w:r>
      <w:r>
        <w:instrText xml:space="preserve"> HYPERLINK "http://www.planalto.gov.br/ccivil_03/_ato2019-2022/2021/lei/L14133.htm" \l "art158" </w:instrText>
      </w:r>
      <w:r>
        <w:fldChar w:fldCharType="separate"/>
      </w:r>
      <w:r>
        <w:rPr>
          <w:rStyle w:val="12"/>
          <w:szCs w:val="24"/>
        </w:rPr>
        <w:t>art. 158 da Lei nº 14.133, de 2021</w:t>
      </w:r>
      <w:r>
        <w:rPr>
          <w:rStyle w:val="12"/>
          <w:szCs w:val="24"/>
        </w:rPr>
        <w:fldChar w:fldCharType="end"/>
      </w:r>
      <w:r>
        <w:rPr>
          <w:szCs w:val="24"/>
        </w:rPr>
        <w:t>, para as penalidades de impedimento de licitar e contratar e de declaração de inidoneidade para licitar ou contratar.</w:t>
      </w:r>
    </w:p>
    <w:p w14:paraId="5733BB48">
      <w:pPr>
        <w:spacing w:before="240" w:after="240"/>
        <w:jc w:val="both"/>
        <w:rPr>
          <w:szCs w:val="24"/>
        </w:rPr>
      </w:pPr>
      <w:r>
        <w:rPr>
          <w:szCs w:val="24"/>
        </w:rPr>
        <w:t>11.8. Na aplicação das sanções serão considerados (</w:t>
      </w:r>
      <w:r>
        <w:fldChar w:fldCharType="begin"/>
      </w:r>
      <w:r>
        <w:instrText xml:space="preserve"> HYPERLINK "http://www.planalto.gov.br/ccivil_03/_ato2019-2022/2021/lei/L14133.htm" \l "art156§1" </w:instrText>
      </w:r>
      <w:r>
        <w:fldChar w:fldCharType="separate"/>
      </w:r>
      <w:r>
        <w:rPr>
          <w:rStyle w:val="12"/>
          <w:szCs w:val="24"/>
        </w:rPr>
        <w:t>art. 156, §1º, da Lei nº 14.133, de 2021</w:t>
      </w:r>
      <w:r>
        <w:rPr>
          <w:rStyle w:val="12"/>
          <w:szCs w:val="24"/>
        </w:rPr>
        <w:fldChar w:fldCharType="end"/>
      </w:r>
      <w:r>
        <w:rPr>
          <w:szCs w:val="24"/>
        </w:rPr>
        <w:t>):</w:t>
      </w:r>
    </w:p>
    <w:p w14:paraId="76A48FD8">
      <w:pPr>
        <w:spacing w:before="240" w:after="240"/>
        <w:jc w:val="both"/>
        <w:rPr>
          <w:rFonts w:eastAsia="Arial"/>
          <w:szCs w:val="24"/>
        </w:rPr>
      </w:pPr>
      <w:r>
        <w:rPr>
          <w:rFonts w:eastAsia="Arial"/>
          <w:szCs w:val="24"/>
        </w:rPr>
        <w:t>a) a natureza e a gravidade da infração cometida;</w:t>
      </w:r>
    </w:p>
    <w:p w14:paraId="222F57BE">
      <w:pPr>
        <w:spacing w:before="240" w:after="240"/>
        <w:jc w:val="both"/>
        <w:rPr>
          <w:rFonts w:eastAsia="Arial"/>
          <w:szCs w:val="24"/>
        </w:rPr>
      </w:pPr>
      <w:r>
        <w:rPr>
          <w:rFonts w:eastAsia="Arial"/>
          <w:szCs w:val="24"/>
        </w:rPr>
        <w:t>b) as peculiaridades do caso concreto;</w:t>
      </w:r>
    </w:p>
    <w:p w14:paraId="0D45DAAF">
      <w:pPr>
        <w:spacing w:before="240" w:after="240"/>
        <w:jc w:val="both"/>
        <w:rPr>
          <w:rFonts w:eastAsia="Arial"/>
          <w:szCs w:val="24"/>
        </w:rPr>
      </w:pPr>
      <w:r>
        <w:rPr>
          <w:rFonts w:eastAsia="Arial"/>
          <w:szCs w:val="24"/>
        </w:rPr>
        <w:t>c) as circunstâncias agravantes ou atenuantes;</w:t>
      </w:r>
    </w:p>
    <w:p w14:paraId="4BE32A10">
      <w:pPr>
        <w:spacing w:before="240" w:after="240"/>
        <w:jc w:val="both"/>
        <w:rPr>
          <w:rFonts w:eastAsia="Arial"/>
          <w:szCs w:val="24"/>
        </w:rPr>
      </w:pPr>
      <w:r>
        <w:rPr>
          <w:rFonts w:eastAsia="Arial"/>
          <w:szCs w:val="24"/>
        </w:rPr>
        <w:t>d) os danos que dela provierem para o Contratante;</w:t>
      </w:r>
    </w:p>
    <w:p w14:paraId="64D19462">
      <w:pPr>
        <w:spacing w:before="240" w:after="240"/>
        <w:jc w:val="both"/>
        <w:rPr>
          <w:rFonts w:eastAsia="Arial"/>
          <w:szCs w:val="24"/>
        </w:rPr>
      </w:pPr>
      <w:r>
        <w:rPr>
          <w:rFonts w:eastAsia="Arial"/>
          <w:szCs w:val="24"/>
        </w:rPr>
        <w:t>e) a implantação ou o aperfeiçoamento de programa de integridade, conforme normas e orientações dos órgãos de controle.</w:t>
      </w:r>
    </w:p>
    <w:p w14:paraId="57365502">
      <w:pPr>
        <w:spacing w:before="240" w:after="240"/>
        <w:jc w:val="both"/>
        <w:rPr>
          <w:szCs w:val="24"/>
        </w:rPr>
      </w:pPr>
      <w:r>
        <w:rPr>
          <w:szCs w:val="24"/>
        </w:rPr>
        <w:t xml:space="preserve">11.8. Os atos previstos como infrações administrativas na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2"/>
          <w:szCs w:val="24"/>
        </w:rPr>
        <w:t>na Lei nº 12.846, de 2013</w:t>
      </w:r>
      <w:r>
        <w:rPr>
          <w:rStyle w:val="12"/>
          <w:szCs w:val="24"/>
        </w:rPr>
        <w:fldChar w:fldCharType="end"/>
      </w:r>
      <w:r>
        <w:rPr>
          <w:szCs w:val="24"/>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2"/>
          <w:szCs w:val="24"/>
        </w:rPr>
        <w:t>Lei (art. 159</w:t>
      </w:r>
      <w:r>
        <w:rPr>
          <w:rStyle w:val="12"/>
          <w:szCs w:val="24"/>
        </w:rPr>
        <w:fldChar w:fldCharType="end"/>
      </w:r>
      <w:r>
        <w:rPr>
          <w:szCs w:val="24"/>
        </w:rPr>
        <w:t>).</w:t>
      </w:r>
    </w:p>
    <w:p w14:paraId="5A680CA9">
      <w:pPr>
        <w:spacing w:before="240" w:after="240"/>
        <w:jc w:val="both"/>
        <w:rPr>
          <w:szCs w:val="24"/>
        </w:rPr>
      </w:pPr>
      <w:r>
        <w:rPr>
          <w:szCs w:val="24"/>
        </w:rPr>
        <w:t>11.9.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2"/>
          <w:szCs w:val="24"/>
        </w:rPr>
        <w:t>art. 160, da Lei nº 14.133, de 2021</w:t>
      </w:r>
      <w:r>
        <w:rPr>
          <w:rStyle w:val="12"/>
          <w:szCs w:val="24"/>
        </w:rPr>
        <w:fldChar w:fldCharType="end"/>
      </w:r>
      <w:r>
        <w:rPr>
          <w:szCs w:val="24"/>
        </w:rPr>
        <w:t>)</w:t>
      </w:r>
    </w:p>
    <w:p w14:paraId="64BA8E8D">
      <w:pPr>
        <w:spacing w:before="240" w:after="240"/>
        <w:jc w:val="both"/>
        <w:rPr>
          <w:szCs w:val="24"/>
        </w:rPr>
      </w:pPr>
      <w:r>
        <w:rPr>
          <w:szCs w:val="24"/>
        </w:rPr>
        <w:t>11.10.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2"/>
          <w:szCs w:val="24"/>
        </w:rPr>
        <w:t>Art. 161, da Lei nº 14.133, de 2021</w:t>
      </w:r>
      <w:r>
        <w:rPr>
          <w:rStyle w:val="12"/>
          <w:szCs w:val="24"/>
        </w:rPr>
        <w:fldChar w:fldCharType="end"/>
      </w:r>
      <w:r>
        <w:rPr>
          <w:szCs w:val="24"/>
        </w:rPr>
        <w:t>)</w:t>
      </w:r>
    </w:p>
    <w:p w14:paraId="63FBAB49">
      <w:pPr>
        <w:spacing w:before="240" w:after="240"/>
        <w:jc w:val="both"/>
        <w:rPr>
          <w:szCs w:val="24"/>
        </w:rPr>
      </w:pPr>
      <w:r>
        <w:rPr>
          <w:szCs w:val="24"/>
        </w:rPr>
        <w:t xml:space="preserve">11.11. 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2"/>
          <w:szCs w:val="24"/>
        </w:rPr>
        <w:t>art. 163 da Lei nº 14.133/21.</w:t>
      </w:r>
      <w:r>
        <w:rPr>
          <w:rStyle w:val="12"/>
          <w:szCs w:val="24"/>
        </w:rPr>
        <w:fldChar w:fldCharType="end"/>
      </w:r>
    </w:p>
    <w:p w14:paraId="48E6F738">
      <w:pPr>
        <w:spacing w:before="240" w:after="240"/>
        <w:jc w:val="both"/>
        <w:rPr>
          <w:szCs w:val="24"/>
        </w:rPr>
      </w:pPr>
      <w:r>
        <w:rPr>
          <w:szCs w:val="24"/>
        </w:rPr>
        <w:t xml:space="preserve">11.12.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2"/>
          <w:szCs w:val="24"/>
        </w:rPr>
        <w:t>Instrução Normativa SEGES/ME nº 26, de 13 de abril de 2022</w:t>
      </w:r>
      <w:r>
        <w:rPr>
          <w:rStyle w:val="12"/>
          <w:szCs w:val="24"/>
        </w:rPr>
        <w:fldChar w:fldCharType="end"/>
      </w:r>
      <w:r>
        <w:rPr>
          <w:szCs w:val="24"/>
        </w:rPr>
        <w:t xml:space="preserve">. </w:t>
      </w:r>
    </w:p>
    <w:p w14:paraId="5FA7082B">
      <w:pPr>
        <w:spacing w:before="240" w:after="240"/>
        <w:jc w:val="both"/>
        <w:rPr>
          <w:b/>
          <w:bCs/>
          <w:szCs w:val="24"/>
        </w:rPr>
      </w:pPr>
      <w:r>
        <w:rPr>
          <w:b/>
          <w:bCs/>
          <w:szCs w:val="24"/>
        </w:rPr>
        <w:t>CLÁUSULA DÉCIMA SEGUNDA - DA EXTINÇÃO CONTRATUAL (art. 2, XIX)</w:t>
      </w:r>
    </w:p>
    <w:p w14:paraId="25F137E2">
      <w:pPr>
        <w:spacing w:before="240" w:after="240"/>
        <w:jc w:val="both"/>
        <w:rPr>
          <w:szCs w:val="24"/>
        </w:rPr>
      </w:pPr>
      <w:r>
        <w:rPr>
          <w:szCs w:val="24"/>
        </w:rPr>
        <w:t>12.1. O contrato será extinto quando vencido o prazo nele estipulado, independentemente de terem sido cumpridas ou não as obrigações de ambas as partes contraentes.</w:t>
      </w:r>
    </w:p>
    <w:p w14:paraId="31F99FE9">
      <w:pPr>
        <w:spacing w:before="240" w:after="240"/>
        <w:jc w:val="both"/>
        <w:rPr>
          <w:szCs w:val="24"/>
        </w:rPr>
      </w:pPr>
      <w:r>
        <w:rPr>
          <w:szCs w:val="24"/>
        </w:rPr>
        <w:t>12.2. O contrato poderá ser extinto antes do prazo nele fixado, sem ônus para o contratante, quando esta não dispuser de créditos orçamentários para sua continuidade ou quando entender que o contrato não mais lhe oferece vantagem.</w:t>
      </w:r>
    </w:p>
    <w:p w14:paraId="50787A12">
      <w:pPr>
        <w:spacing w:before="240" w:after="240"/>
        <w:jc w:val="both"/>
        <w:rPr>
          <w:szCs w:val="24"/>
        </w:rPr>
      </w:pPr>
      <w:r>
        <w:rPr>
          <w:szCs w:val="24"/>
        </w:rPr>
        <w:t>12.3. A extinção nesta hipótese ocorrerá na próxima data de aniversário do contrato, desde que haja a notificação do contratado pelo contratante nesse sentido com pelo menos 2 (dois) meses de antecedência desse dia.</w:t>
      </w:r>
    </w:p>
    <w:p w14:paraId="38EFE8DE">
      <w:pPr>
        <w:spacing w:before="240" w:after="240"/>
        <w:jc w:val="both"/>
        <w:rPr>
          <w:szCs w:val="24"/>
        </w:rPr>
      </w:pPr>
      <w:r>
        <w:rPr>
          <w:szCs w:val="24"/>
        </w:rPr>
        <w:t>12.4. Caso a notificação da não-continuidade do contrato de que trata este subitem ocorra com menos de 2 (dois) meses da data de aniversário, a extinção contratual ocorrerá após 2 (dois) meses da data da comunicação.</w:t>
      </w:r>
    </w:p>
    <w:p w14:paraId="66C56ECD">
      <w:pPr>
        <w:spacing w:before="240" w:after="240"/>
        <w:jc w:val="both"/>
        <w:rPr>
          <w:szCs w:val="24"/>
        </w:rPr>
      </w:pPr>
      <w:r>
        <w:rPr>
          <w:szCs w:val="24"/>
        </w:rPr>
        <w:t xml:space="preserve">12.5.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2"/>
          <w:szCs w:val="24"/>
        </w:rPr>
        <w:t>artigo 137 da Lei nº 14.133/21</w:t>
      </w:r>
      <w:r>
        <w:rPr>
          <w:rStyle w:val="12"/>
          <w:szCs w:val="24"/>
        </w:rPr>
        <w:fldChar w:fldCharType="end"/>
      </w:r>
      <w:r>
        <w:rPr>
          <w:szCs w:val="24"/>
        </w:rPr>
        <w:t>, bem como amigavelmente, assegurados o contraditório e a ampla defesa.</w:t>
      </w:r>
    </w:p>
    <w:p w14:paraId="3F38ACBA">
      <w:pPr>
        <w:spacing w:before="240" w:after="240"/>
        <w:jc w:val="both"/>
        <w:rPr>
          <w:szCs w:val="24"/>
        </w:rPr>
      </w:pPr>
      <w:r>
        <w:rPr>
          <w:szCs w:val="24"/>
        </w:rPr>
        <w:t xml:space="preserve">12.6. Nesta hipótese, aplicam-se também os </w:t>
      </w:r>
      <w:r>
        <w:fldChar w:fldCharType="begin"/>
      </w:r>
      <w:r>
        <w:instrText xml:space="preserve"> HYPERLINK "http://www.planalto.gov.br/ccivil_03/_ato2019-2022/2021/lei/L14133.htm" \l "art138" </w:instrText>
      </w:r>
      <w:r>
        <w:fldChar w:fldCharType="separate"/>
      </w:r>
      <w:r>
        <w:rPr>
          <w:rStyle w:val="12"/>
          <w:szCs w:val="24"/>
        </w:rPr>
        <w:t>artigos 138 e 139</w:t>
      </w:r>
      <w:r>
        <w:rPr>
          <w:rStyle w:val="12"/>
          <w:szCs w:val="24"/>
        </w:rPr>
        <w:fldChar w:fldCharType="end"/>
      </w:r>
      <w:r>
        <w:rPr>
          <w:szCs w:val="24"/>
        </w:rPr>
        <w:t xml:space="preserve"> da mesma Lei.</w:t>
      </w:r>
    </w:p>
    <w:p w14:paraId="7C4737E1">
      <w:pPr>
        <w:spacing w:before="240" w:after="240"/>
        <w:jc w:val="both"/>
        <w:rPr>
          <w:szCs w:val="24"/>
        </w:rPr>
      </w:pPr>
      <w:r>
        <w:rPr>
          <w:szCs w:val="24"/>
        </w:rPr>
        <w:t>12.7. A alteração social ou a modificação da finalidade ou da estrutura da empresa não ensejará a extinção se não restringir sua capacidade de concluir o contrato.</w:t>
      </w:r>
    </w:p>
    <w:p w14:paraId="5337AA8C">
      <w:pPr>
        <w:spacing w:before="240" w:after="240"/>
        <w:jc w:val="both"/>
        <w:rPr>
          <w:szCs w:val="24"/>
        </w:rPr>
      </w:pPr>
      <w:r>
        <w:rPr>
          <w:szCs w:val="24"/>
        </w:rPr>
        <w:t>12.8. Se a operação implicar mudança da pessoa jurídica contratada, deverá ser formalizado termo aditivo para alteração subjetiva.</w:t>
      </w:r>
    </w:p>
    <w:p w14:paraId="1996A7C9">
      <w:pPr>
        <w:spacing w:before="240" w:after="240"/>
        <w:jc w:val="both"/>
        <w:rPr>
          <w:szCs w:val="24"/>
        </w:rPr>
      </w:pPr>
      <w:r>
        <w:rPr>
          <w:szCs w:val="24"/>
        </w:rPr>
        <w:t>12.9. O termo de extinção, sempre que possível, será precedido:</w:t>
      </w:r>
    </w:p>
    <w:p w14:paraId="43AF8537">
      <w:pPr>
        <w:spacing w:before="240" w:after="240"/>
        <w:jc w:val="both"/>
        <w:rPr>
          <w:szCs w:val="24"/>
        </w:rPr>
      </w:pPr>
      <w:r>
        <w:rPr>
          <w:szCs w:val="24"/>
        </w:rPr>
        <w:t>a) Balanço dos eventos contratuais já cumpridos ou parcialmente cumpridos;</w:t>
      </w:r>
    </w:p>
    <w:p w14:paraId="3F96557D">
      <w:pPr>
        <w:spacing w:before="240" w:after="240"/>
        <w:jc w:val="both"/>
        <w:rPr>
          <w:szCs w:val="24"/>
        </w:rPr>
      </w:pPr>
      <w:r>
        <w:rPr>
          <w:szCs w:val="24"/>
        </w:rPr>
        <w:t>b) Relação dos pagamentos já efetuados e ainda devidos;</w:t>
      </w:r>
    </w:p>
    <w:p w14:paraId="055A7355">
      <w:pPr>
        <w:spacing w:before="240" w:after="240"/>
        <w:jc w:val="both"/>
        <w:rPr>
          <w:szCs w:val="24"/>
        </w:rPr>
      </w:pPr>
      <w:r>
        <w:rPr>
          <w:szCs w:val="24"/>
        </w:rPr>
        <w:t>c) Indenizações e multas.</w:t>
      </w:r>
    </w:p>
    <w:p w14:paraId="7A072BF6">
      <w:pPr>
        <w:spacing w:before="240" w:after="240"/>
        <w:jc w:val="both"/>
        <w:rPr>
          <w:szCs w:val="24"/>
        </w:rPr>
      </w:pPr>
      <w:r>
        <w:rPr>
          <w:szCs w:val="24"/>
        </w:rPr>
        <w:t>12.10. 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2"/>
          <w:szCs w:val="24"/>
        </w:rPr>
        <w:t>art. 131, caput, da Lei n.º 14.133, de 2021).</w:t>
      </w:r>
      <w:r>
        <w:rPr>
          <w:rStyle w:val="12"/>
          <w:szCs w:val="24"/>
        </w:rPr>
        <w:fldChar w:fldCharType="end"/>
      </w:r>
      <w:r>
        <w:rPr>
          <w:szCs w:val="24"/>
        </w:rPr>
        <w:t xml:space="preserve"> </w:t>
      </w:r>
    </w:p>
    <w:p w14:paraId="002E8364">
      <w:pPr>
        <w:spacing w:before="240" w:after="240"/>
        <w:jc w:val="both"/>
        <w:rPr>
          <w:szCs w:val="24"/>
        </w:rPr>
      </w:pPr>
      <w:r>
        <w:rPr>
          <w:szCs w:val="24"/>
        </w:rPr>
        <w:t>12.11.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3735318">
      <w:pPr>
        <w:pStyle w:val="40"/>
        <w:widowControl w:val="0"/>
        <w:suppressAutoHyphens/>
        <w:spacing w:before="240" w:after="240"/>
        <w:ind w:left="0"/>
        <w:jc w:val="both"/>
        <w:rPr>
          <w:b/>
          <w:szCs w:val="24"/>
        </w:rPr>
      </w:pPr>
      <w:r>
        <w:rPr>
          <w:b/>
          <w:szCs w:val="24"/>
        </w:rPr>
        <w:t>CLÁUSULA DÉCIMA TERCEIRA – DA DOTAÇÃO ORÇAMENTÁRIA (</w:t>
      </w:r>
      <w:r>
        <w:fldChar w:fldCharType="begin"/>
      </w:r>
      <w:r>
        <w:instrText xml:space="preserve"> HYPERLINK "http://www.planalto.gov.br/ccivil_03/_ato2019-2022/2021/lei/L14133.htm" \l "art92" \h </w:instrText>
      </w:r>
      <w:r>
        <w:fldChar w:fldCharType="separate"/>
      </w:r>
      <w:r>
        <w:rPr>
          <w:rStyle w:val="12"/>
          <w:b/>
          <w:szCs w:val="24"/>
        </w:rPr>
        <w:t>art. 92, VIII</w:t>
      </w:r>
      <w:r>
        <w:rPr>
          <w:rStyle w:val="12"/>
          <w:b/>
          <w:szCs w:val="24"/>
        </w:rPr>
        <w:fldChar w:fldCharType="end"/>
      </w:r>
      <w:r>
        <w:rPr>
          <w:b/>
          <w:szCs w:val="24"/>
        </w:rPr>
        <w:t>)</w:t>
      </w:r>
    </w:p>
    <w:p w14:paraId="4A47894D">
      <w:pPr>
        <w:spacing w:before="240" w:after="240"/>
        <w:jc w:val="both"/>
        <w:rPr>
          <w:szCs w:val="24"/>
        </w:rPr>
      </w:pPr>
      <w:r>
        <w:rPr>
          <w:szCs w:val="24"/>
        </w:rPr>
        <w:t>13.1. As despesas decorrentes da presente contratação correrão à conta de recursos específicos consignados no Orçamento Geral do Município do exercício de 202__, na dotação abaixo discriminada:</w:t>
      </w:r>
    </w:p>
    <w:p w14:paraId="356B1F0E">
      <w:pPr>
        <w:spacing w:line="360" w:lineRule="auto"/>
        <w:ind w:left="1134"/>
        <w:jc w:val="both"/>
        <w:rPr>
          <w:b/>
          <w:szCs w:val="24"/>
          <w:u w:val="single"/>
          <w:shd w:val="clear" w:color="auto" w:fill="B3B3B3"/>
        </w:rPr>
      </w:pPr>
      <w:r>
        <w:rPr>
          <w:b/>
          <w:szCs w:val="24"/>
        </w:rPr>
        <w:t>Órgão/Unidade:</w:t>
      </w:r>
    </w:p>
    <w:p w14:paraId="69931E18">
      <w:pPr>
        <w:spacing w:line="360" w:lineRule="auto"/>
        <w:ind w:left="1134"/>
        <w:jc w:val="both"/>
        <w:rPr>
          <w:b/>
          <w:szCs w:val="24"/>
        </w:rPr>
      </w:pPr>
      <w:r>
        <w:rPr>
          <w:b/>
          <w:szCs w:val="24"/>
        </w:rPr>
        <w:t>Função:</w:t>
      </w:r>
    </w:p>
    <w:p w14:paraId="4BF67FE5">
      <w:pPr>
        <w:spacing w:line="360" w:lineRule="auto"/>
        <w:ind w:left="1134"/>
        <w:jc w:val="both"/>
        <w:rPr>
          <w:b/>
          <w:szCs w:val="24"/>
        </w:rPr>
      </w:pPr>
      <w:r>
        <w:rPr>
          <w:b/>
          <w:szCs w:val="24"/>
        </w:rPr>
        <w:t>Subfunção:</w:t>
      </w:r>
    </w:p>
    <w:p w14:paraId="4A9553BA">
      <w:pPr>
        <w:spacing w:line="360" w:lineRule="auto"/>
        <w:ind w:left="1134"/>
        <w:jc w:val="both"/>
        <w:rPr>
          <w:b/>
          <w:szCs w:val="24"/>
        </w:rPr>
      </w:pPr>
      <w:r>
        <w:rPr>
          <w:b/>
          <w:szCs w:val="24"/>
        </w:rPr>
        <w:t xml:space="preserve">Programa: </w:t>
      </w:r>
    </w:p>
    <w:p w14:paraId="5DB9D0BF">
      <w:pPr>
        <w:spacing w:line="360" w:lineRule="auto"/>
        <w:ind w:left="1134"/>
        <w:jc w:val="both"/>
        <w:rPr>
          <w:b/>
          <w:szCs w:val="24"/>
        </w:rPr>
      </w:pPr>
      <w:r>
        <w:rPr>
          <w:b/>
          <w:szCs w:val="24"/>
        </w:rPr>
        <w:t xml:space="preserve">Atividade:  </w:t>
      </w:r>
    </w:p>
    <w:p w14:paraId="3C8A28D9">
      <w:pPr>
        <w:spacing w:line="360" w:lineRule="auto"/>
        <w:ind w:left="1134"/>
        <w:jc w:val="both"/>
        <w:rPr>
          <w:b/>
          <w:szCs w:val="24"/>
        </w:rPr>
      </w:pPr>
      <w:r>
        <w:rPr>
          <w:b/>
          <w:szCs w:val="24"/>
        </w:rPr>
        <w:t xml:space="preserve">Elemento de Despesa:  </w:t>
      </w:r>
    </w:p>
    <w:p w14:paraId="1B4DD12B">
      <w:pPr>
        <w:spacing w:line="360" w:lineRule="auto"/>
        <w:ind w:left="1134"/>
        <w:jc w:val="both"/>
        <w:rPr>
          <w:b/>
          <w:szCs w:val="24"/>
        </w:rPr>
      </w:pPr>
      <w:r>
        <w:rPr>
          <w:b/>
          <w:szCs w:val="24"/>
        </w:rPr>
        <w:t xml:space="preserve">Fonte: </w:t>
      </w:r>
    </w:p>
    <w:p w14:paraId="135E2B47">
      <w:pPr>
        <w:spacing w:before="240" w:after="240"/>
        <w:jc w:val="both"/>
        <w:rPr>
          <w:b/>
          <w:bCs/>
          <w:szCs w:val="24"/>
        </w:rPr>
      </w:pPr>
      <w:r>
        <w:rPr>
          <w:b/>
          <w:bCs/>
          <w:szCs w:val="24"/>
        </w:rPr>
        <w:t>CLÁUSULA DÉCIMA QUARTA – DOS CASOS OMISSOS (</w:t>
      </w:r>
      <w:r>
        <w:fldChar w:fldCharType="begin"/>
      </w:r>
      <w:r>
        <w:instrText xml:space="preserve"> HYPERLINK "http://www.planalto.gov.br/ccivil_03/_ato2019-2022/2021/lei/L14133.htm" \l "art92" \h </w:instrText>
      </w:r>
      <w:r>
        <w:fldChar w:fldCharType="separate"/>
      </w:r>
      <w:r>
        <w:rPr>
          <w:rStyle w:val="12"/>
          <w:b/>
          <w:bCs/>
          <w:szCs w:val="24"/>
        </w:rPr>
        <w:t>art. 92, III</w:t>
      </w:r>
      <w:r>
        <w:rPr>
          <w:rStyle w:val="12"/>
          <w:b/>
          <w:bCs/>
          <w:szCs w:val="24"/>
        </w:rPr>
        <w:fldChar w:fldCharType="end"/>
      </w:r>
      <w:r>
        <w:rPr>
          <w:b/>
          <w:bCs/>
          <w:szCs w:val="24"/>
        </w:rPr>
        <w:t>)</w:t>
      </w:r>
    </w:p>
    <w:p w14:paraId="1EAEEF4E">
      <w:pPr>
        <w:spacing w:before="240" w:after="240"/>
        <w:jc w:val="both"/>
        <w:rPr>
          <w:szCs w:val="24"/>
        </w:rPr>
      </w:pPr>
      <w:r>
        <w:rPr>
          <w:szCs w:val="24"/>
        </w:rPr>
        <w:t xml:space="preserve">14.1. 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12"/>
          <w:szCs w:val="24"/>
        </w:rPr>
        <w:t>Lei nº 14.133, de 2021</w:t>
      </w:r>
      <w:r>
        <w:rPr>
          <w:rStyle w:val="12"/>
          <w:szCs w:val="24"/>
        </w:rPr>
        <w:fldChar w:fldCharType="end"/>
      </w:r>
      <w:r>
        <w:rPr>
          <w:szCs w:val="24"/>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2"/>
          <w:szCs w:val="24"/>
        </w:rPr>
        <w:t>Lei nº 8.078, de 1990 – Código de Defesa do Consumidor</w:t>
      </w:r>
      <w:r>
        <w:rPr>
          <w:rStyle w:val="12"/>
          <w:szCs w:val="24"/>
        </w:rPr>
        <w:fldChar w:fldCharType="end"/>
      </w:r>
      <w:r>
        <w:rPr>
          <w:szCs w:val="24"/>
        </w:rPr>
        <w:t xml:space="preserve"> – e normas e princípios gerais dos contratos.</w:t>
      </w:r>
    </w:p>
    <w:p w14:paraId="381F32C4">
      <w:pPr>
        <w:spacing w:before="240" w:after="240"/>
        <w:jc w:val="both"/>
        <w:rPr>
          <w:b/>
          <w:bCs/>
          <w:szCs w:val="24"/>
        </w:rPr>
      </w:pPr>
      <w:r>
        <w:rPr>
          <w:b/>
          <w:bCs/>
          <w:szCs w:val="24"/>
        </w:rPr>
        <w:t>CLAUSULA DÉCIMA QUINTA – DAS ALTERAÇÕES</w:t>
      </w:r>
    </w:p>
    <w:p w14:paraId="1FEB6238">
      <w:pPr>
        <w:spacing w:before="240" w:after="240"/>
        <w:jc w:val="both"/>
        <w:rPr>
          <w:szCs w:val="24"/>
        </w:rPr>
      </w:pPr>
      <w:r>
        <w:rPr>
          <w:szCs w:val="24"/>
        </w:rPr>
        <w:t xml:space="preserve">15.1. 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2"/>
          <w:szCs w:val="24"/>
        </w:rPr>
        <w:t>arts. 124 e seguintes da Lei nº 14.133, de 2021</w:t>
      </w:r>
      <w:r>
        <w:rPr>
          <w:rStyle w:val="12"/>
          <w:szCs w:val="24"/>
        </w:rPr>
        <w:fldChar w:fldCharType="end"/>
      </w:r>
      <w:r>
        <w:rPr>
          <w:szCs w:val="24"/>
        </w:rPr>
        <w:t>.</w:t>
      </w:r>
    </w:p>
    <w:p w14:paraId="2423D018">
      <w:pPr>
        <w:spacing w:before="240" w:after="240"/>
        <w:jc w:val="both"/>
        <w:rPr>
          <w:szCs w:val="24"/>
        </w:rPr>
      </w:pPr>
      <w:r>
        <w:rPr>
          <w:szCs w:val="24"/>
        </w:rPr>
        <w:t>15.2. O contratado é obrigado a aceitar, nas mesmas condições contratuais, os acréscimos ou supressões que se fizerem necessários, até o limite de 25% (vinte e cinco por cento) do valor inicial atualizado do contrato.</w:t>
      </w:r>
    </w:p>
    <w:p w14:paraId="0CF2E2B7">
      <w:pPr>
        <w:spacing w:before="240" w:after="240"/>
        <w:jc w:val="both"/>
        <w:rPr>
          <w:szCs w:val="24"/>
        </w:rPr>
      </w:pPr>
      <w:r>
        <w:rPr>
          <w:szCs w:val="24"/>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CF05095">
      <w:pPr>
        <w:spacing w:before="240" w:after="240"/>
        <w:jc w:val="both"/>
        <w:rPr>
          <w:szCs w:val="24"/>
        </w:rPr>
      </w:pPr>
      <w:r>
        <w:rPr>
          <w:szCs w:val="24"/>
        </w:rPr>
        <w:t xml:space="preserve">15.4. 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2"/>
          <w:szCs w:val="24"/>
        </w:rPr>
        <w:t>art. 136 da Lei nº 14.133, de 2021</w:t>
      </w:r>
      <w:r>
        <w:rPr>
          <w:rStyle w:val="12"/>
          <w:szCs w:val="24"/>
        </w:rPr>
        <w:fldChar w:fldCharType="end"/>
      </w:r>
    </w:p>
    <w:p w14:paraId="0A50569F">
      <w:pPr>
        <w:spacing w:before="240" w:after="240"/>
        <w:jc w:val="both"/>
        <w:rPr>
          <w:b/>
          <w:bCs/>
          <w:szCs w:val="24"/>
        </w:rPr>
      </w:pPr>
      <w:r>
        <w:rPr>
          <w:b/>
          <w:bCs/>
          <w:szCs w:val="24"/>
        </w:rPr>
        <w:t>CLÁUSULA DÉCIMA SEXTA – DA PUBLICAÇÃO</w:t>
      </w:r>
    </w:p>
    <w:p w14:paraId="4717DA38">
      <w:pPr>
        <w:spacing w:before="240" w:after="240"/>
        <w:jc w:val="both"/>
        <w:rPr>
          <w:szCs w:val="24"/>
        </w:rPr>
      </w:pPr>
      <w:r>
        <w:rPr>
          <w:szCs w:val="24"/>
        </w:rPr>
        <w:t xml:space="preserve">16.1. 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2"/>
          <w:szCs w:val="24"/>
        </w:rPr>
        <w:t>art. 94 da Lei 14.133, de 2021</w:t>
      </w:r>
      <w:r>
        <w:rPr>
          <w:rStyle w:val="12"/>
          <w:szCs w:val="24"/>
        </w:rPr>
        <w:fldChar w:fldCharType="end"/>
      </w:r>
      <w:r>
        <w:rPr>
          <w:szCs w:val="24"/>
        </w:rPr>
        <w:t xml:space="preserve">, bem como no respectivo sítio oficial na Internet, em atenção ao art. 91, caput, da Lei n.º 14.133, de 2021, e ao </w:t>
      </w:r>
      <w:r>
        <w:fldChar w:fldCharType="begin"/>
      </w:r>
      <w:r>
        <w:instrText xml:space="preserve"> HYPERLINK "https://www.planalto.gov.br/ccivil_03/_ato2011-2014/2011/lei/l12527.htm" \l "art8§2" \h </w:instrText>
      </w:r>
      <w:r>
        <w:fldChar w:fldCharType="separate"/>
      </w:r>
      <w:r>
        <w:rPr>
          <w:rStyle w:val="12"/>
          <w:szCs w:val="24"/>
        </w:rPr>
        <w:t>art. 8º, §2º, da Lei n. 12.527, de 2011</w:t>
      </w:r>
      <w:r>
        <w:rPr>
          <w:rStyle w:val="12"/>
          <w:szCs w:val="24"/>
        </w:rPr>
        <w:fldChar w:fldCharType="end"/>
      </w:r>
      <w:r>
        <w:rPr>
          <w:szCs w:val="24"/>
        </w:rPr>
        <w:t xml:space="preserve">, c/c </w:t>
      </w:r>
      <w:r>
        <w:fldChar w:fldCharType="begin"/>
      </w:r>
      <w:r>
        <w:instrText xml:space="preserve"> HYPERLINK "https://www.planalto.gov.br/ccivil_03/_ato2011-2014/2012/decreto/d7724.htm" \l "art7§3" \h </w:instrText>
      </w:r>
      <w:r>
        <w:fldChar w:fldCharType="separate"/>
      </w:r>
      <w:r>
        <w:rPr>
          <w:rStyle w:val="12"/>
          <w:szCs w:val="24"/>
        </w:rPr>
        <w:t>art. 7º, §3º, inciso V, do Decreto n. 7.724, de 2012.</w:t>
      </w:r>
      <w:r>
        <w:rPr>
          <w:rStyle w:val="12"/>
          <w:szCs w:val="24"/>
        </w:rPr>
        <w:fldChar w:fldCharType="end"/>
      </w:r>
      <w:r>
        <w:rPr>
          <w:szCs w:val="24"/>
        </w:rPr>
        <w:t xml:space="preserve">. </w:t>
      </w:r>
    </w:p>
    <w:p w14:paraId="791B629E">
      <w:pPr>
        <w:pStyle w:val="40"/>
        <w:autoSpaceDE w:val="0"/>
        <w:autoSpaceDN w:val="0"/>
        <w:adjustRightInd w:val="0"/>
        <w:spacing w:before="240" w:after="240"/>
        <w:ind w:left="0"/>
        <w:contextualSpacing w:val="0"/>
        <w:jc w:val="both"/>
        <w:rPr>
          <w:szCs w:val="24"/>
        </w:rPr>
      </w:pPr>
      <w:r>
        <w:rPr>
          <w:b/>
          <w:szCs w:val="24"/>
          <w:u w:val="single"/>
        </w:rPr>
        <w:t>CLÁUSULA DÉCIMA SÉTIMA – DO FORO</w:t>
      </w:r>
    </w:p>
    <w:p w14:paraId="2AA34428">
      <w:pPr>
        <w:pStyle w:val="40"/>
        <w:widowControl w:val="0"/>
        <w:numPr>
          <w:ilvl w:val="1"/>
          <w:numId w:val="5"/>
        </w:numPr>
        <w:suppressAutoHyphens/>
        <w:spacing w:before="240" w:after="240"/>
        <w:jc w:val="both"/>
        <w:rPr>
          <w:szCs w:val="24"/>
        </w:rPr>
      </w:pPr>
      <w:r>
        <w:rPr>
          <w:szCs w:val="24"/>
        </w:rPr>
        <w:t xml:space="preserve">Fica eleito o foro da Comarca de Pedreiras (MA), com exclusão de qualquer outro, por mais privilegiado que seja, para dirimir quaisquer questões oriundas do presente Contrato. </w:t>
      </w:r>
    </w:p>
    <w:p w14:paraId="547A76A4">
      <w:pPr>
        <w:spacing w:before="240" w:after="240"/>
        <w:ind w:firstLine="1418"/>
        <w:jc w:val="both"/>
        <w:rPr>
          <w:szCs w:val="24"/>
        </w:rPr>
      </w:pPr>
      <w:r>
        <w:rPr>
          <w:szCs w:val="24"/>
        </w:rPr>
        <w:t>E assim, por estarem de acordo, ajustados e contratados, após lido e achado conforme, as partes a seguir firmam o presente Contrato em 03 (três) vias, de igual teor e forma, para um só efeito, na presença de 02 (duas) testemunhas abaixo assinadas.</w:t>
      </w:r>
    </w:p>
    <w:p w14:paraId="773F4153">
      <w:pPr>
        <w:spacing w:after="360"/>
        <w:jc w:val="center"/>
        <w:rPr>
          <w:szCs w:val="24"/>
        </w:rPr>
      </w:pPr>
      <w:r>
        <w:rPr>
          <w:szCs w:val="24"/>
        </w:rPr>
        <w:t>Município de</w:t>
      </w:r>
      <w:r>
        <w:rPr>
          <w:b/>
          <w:bCs/>
          <w:szCs w:val="24"/>
        </w:rPr>
        <w:t xml:space="preserve"> </w:t>
      </w:r>
      <w:r>
        <w:rPr>
          <w:szCs w:val="24"/>
        </w:rPr>
        <w:t>Trizidela do Vale (MA), XX de XXXX de XXXX.</w:t>
      </w:r>
    </w:p>
    <w:p w14:paraId="50B9FCB8">
      <w:pPr>
        <w:jc w:val="center"/>
        <w:rPr>
          <w:bCs/>
          <w:szCs w:val="24"/>
        </w:rPr>
      </w:pPr>
      <w:r>
        <w:rPr>
          <w:bCs/>
          <w:szCs w:val="24"/>
        </w:rPr>
        <w:t>_________________________________</w:t>
      </w:r>
    </w:p>
    <w:p w14:paraId="0A210A85">
      <w:pPr>
        <w:jc w:val="center"/>
        <w:rPr>
          <w:bCs/>
          <w:szCs w:val="24"/>
        </w:rPr>
      </w:pPr>
      <w:r>
        <w:rPr>
          <w:bCs/>
          <w:szCs w:val="24"/>
        </w:rPr>
        <w:t>Pela CONTRATANTE</w:t>
      </w:r>
    </w:p>
    <w:p w14:paraId="1C587342">
      <w:pPr>
        <w:jc w:val="center"/>
        <w:rPr>
          <w:szCs w:val="24"/>
        </w:rPr>
      </w:pPr>
      <w:r>
        <w:rPr>
          <w:szCs w:val="24"/>
        </w:rPr>
        <w:t>_________________________________</w:t>
      </w:r>
    </w:p>
    <w:p w14:paraId="084A5F48">
      <w:pPr>
        <w:jc w:val="center"/>
        <w:rPr>
          <w:szCs w:val="24"/>
        </w:rPr>
      </w:pPr>
      <w:r>
        <w:rPr>
          <w:szCs w:val="24"/>
        </w:rPr>
        <w:t>Pela CONTRATADA</w:t>
      </w:r>
    </w:p>
    <w:p w14:paraId="2835F864">
      <w:pPr>
        <w:jc w:val="center"/>
        <w:rPr>
          <w:szCs w:val="24"/>
        </w:rPr>
      </w:pPr>
    </w:p>
    <w:p w14:paraId="074F261A">
      <w:pPr>
        <w:jc w:val="both"/>
        <w:rPr>
          <w:szCs w:val="24"/>
        </w:rPr>
      </w:pPr>
      <w:r>
        <w:rPr>
          <w:szCs w:val="24"/>
        </w:rPr>
        <w:t>TESTEMUNHAS:</w:t>
      </w:r>
    </w:p>
    <w:p w14:paraId="6ACF765D">
      <w:pPr>
        <w:jc w:val="both"/>
        <w:rPr>
          <w:bCs/>
          <w:szCs w:val="24"/>
        </w:rPr>
      </w:pPr>
      <w:r>
        <w:rPr>
          <w:bCs/>
          <w:szCs w:val="24"/>
        </w:rPr>
        <w:t>_________________________________</w:t>
      </w:r>
    </w:p>
    <w:p w14:paraId="02DC3E28">
      <w:pPr>
        <w:jc w:val="both"/>
        <w:rPr>
          <w:bCs/>
          <w:szCs w:val="24"/>
        </w:rPr>
      </w:pPr>
      <w:r>
        <w:rPr>
          <w:bCs/>
          <w:szCs w:val="24"/>
        </w:rPr>
        <w:t>Nome:</w:t>
      </w:r>
    </w:p>
    <w:p w14:paraId="02B18CF1">
      <w:pPr>
        <w:jc w:val="both"/>
        <w:rPr>
          <w:szCs w:val="24"/>
        </w:rPr>
      </w:pPr>
      <w:r>
        <w:rPr>
          <w:szCs w:val="24"/>
        </w:rPr>
        <w:t>_________________________________</w:t>
      </w:r>
    </w:p>
    <w:p w14:paraId="3B28BD50">
      <w:pPr>
        <w:jc w:val="both"/>
        <w:rPr>
          <w:szCs w:val="24"/>
        </w:rPr>
      </w:pPr>
      <w:r>
        <w:rPr>
          <w:bCs/>
          <w:szCs w:val="24"/>
        </w:rPr>
        <w:t>Nome:</w:t>
      </w:r>
      <w:r>
        <w:rPr>
          <w:szCs w:val="24"/>
        </w:rPr>
        <w:br w:type="page"/>
      </w:r>
    </w:p>
    <w:p w14:paraId="0C7ABF2E">
      <w:pPr>
        <w:tabs>
          <w:tab w:val="left" w:pos="8504"/>
        </w:tabs>
        <w:ind w:right="-1"/>
        <w:jc w:val="center"/>
        <w:rPr>
          <w:b/>
          <w:bCs/>
          <w:sz w:val="20"/>
        </w:rPr>
      </w:pPr>
    </w:p>
    <w:p w14:paraId="5C0502FA">
      <w:pPr>
        <w:autoSpaceDE w:val="0"/>
        <w:autoSpaceDN w:val="0"/>
        <w:adjustRightInd w:val="0"/>
        <w:jc w:val="center"/>
        <w:rPr>
          <w:rFonts w:eastAsiaTheme="minorHAnsi"/>
          <w:b/>
          <w:bCs/>
          <w:sz w:val="20"/>
          <w:lang w:eastAsia="en-US"/>
        </w:rPr>
      </w:pPr>
      <w:r>
        <w:rPr>
          <w:rFonts w:eastAsiaTheme="minorHAnsi"/>
          <w:b/>
          <w:bCs/>
          <w:sz w:val="20"/>
          <w:lang w:eastAsia="en-US"/>
        </w:rPr>
        <w:t>ANEXO III</w:t>
      </w:r>
    </w:p>
    <w:p w14:paraId="475024A9">
      <w:pPr>
        <w:autoSpaceDE w:val="0"/>
        <w:autoSpaceDN w:val="0"/>
        <w:adjustRightInd w:val="0"/>
        <w:jc w:val="center"/>
        <w:rPr>
          <w:rFonts w:eastAsiaTheme="minorHAnsi"/>
          <w:b/>
          <w:bCs/>
          <w:sz w:val="20"/>
          <w:lang w:eastAsia="en-US"/>
        </w:rPr>
      </w:pPr>
      <w:r>
        <w:rPr>
          <w:rFonts w:eastAsiaTheme="minorHAnsi"/>
          <w:b/>
          <w:bCs/>
          <w:sz w:val="20"/>
          <w:lang w:eastAsia="en-US"/>
        </w:rPr>
        <w:t>MODELO REFERENCIAL DE DECLARAÇÕES</w:t>
      </w:r>
    </w:p>
    <w:p w14:paraId="689B3A30">
      <w:pPr>
        <w:autoSpaceDE w:val="0"/>
        <w:autoSpaceDN w:val="0"/>
        <w:adjustRightInd w:val="0"/>
        <w:jc w:val="center"/>
        <w:rPr>
          <w:rFonts w:eastAsiaTheme="minorHAnsi"/>
          <w:b/>
          <w:bCs/>
          <w:sz w:val="20"/>
          <w:lang w:eastAsia="en-US"/>
        </w:rPr>
      </w:pPr>
      <w:r>
        <w:rPr>
          <w:rFonts w:eastAsiaTheme="minorHAnsi"/>
          <w:b/>
          <w:bCs/>
          <w:sz w:val="20"/>
          <w:lang w:eastAsia="en-US"/>
        </w:rPr>
        <w:t>(PAPEL TIMBRADO DA EMPRESA)</w:t>
      </w:r>
    </w:p>
    <w:p w14:paraId="261438A1">
      <w:pPr>
        <w:autoSpaceDE w:val="0"/>
        <w:autoSpaceDN w:val="0"/>
        <w:adjustRightInd w:val="0"/>
        <w:jc w:val="center"/>
        <w:rPr>
          <w:rFonts w:eastAsiaTheme="minorHAnsi"/>
          <w:b/>
          <w:bCs/>
          <w:sz w:val="20"/>
          <w:lang w:eastAsia="en-US"/>
        </w:rPr>
      </w:pPr>
    </w:p>
    <w:p w14:paraId="70CD2F42">
      <w:pPr>
        <w:tabs>
          <w:tab w:val="left" w:pos="6288"/>
        </w:tabs>
        <w:rPr>
          <w:b/>
          <w:sz w:val="20"/>
        </w:rPr>
      </w:pPr>
      <w:r>
        <w:rPr>
          <w:b/>
          <w:sz w:val="20"/>
        </w:rPr>
        <w:t>PROCESSO ADMINISTRATIVO Nº 1106001/2024</w:t>
      </w:r>
    </w:p>
    <w:p w14:paraId="0A9AEEB7">
      <w:pPr>
        <w:rPr>
          <w:b/>
          <w:sz w:val="20"/>
        </w:rPr>
      </w:pPr>
      <w:r>
        <w:rPr>
          <w:b/>
          <w:sz w:val="20"/>
        </w:rPr>
        <w:t>PREGÃO ELETRÔNICO Nº 19/2024</w:t>
      </w:r>
    </w:p>
    <w:p w14:paraId="74C4A025">
      <w:pPr>
        <w:autoSpaceDE w:val="0"/>
        <w:autoSpaceDN w:val="0"/>
        <w:adjustRightInd w:val="0"/>
        <w:spacing w:before="240" w:after="240"/>
        <w:jc w:val="both"/>
        <w:rPr>
          <w:rFonts w:eastAsiaTheme="minorHAnsi"/>
          <w:b/>
          <w:bCs/>
          <w:sz w:val="20"/>
          <w:lang w:eastAsia="en-US"/>
        </w:rPr>
      </w:pPr>
    </w:p>
    <w:p w14:paraId="36409817">
      <w:pPr>
        <w:autoSpaceDE w:val="0"/>
        <w:autoSpaceDN w:val="0"/>
        <w:adjustRightInd w:val="0"/>
        <w:spacing w:before="240" w:after="240"/>
        <w:jc w:val="both"/>
        <w:rPr>
          <w:rFonts w:eastAsiaTheme="minorHAnsi"/>
          <w:sz w:val="20"/>
          <w:lang w:eastAsia="en-US"/>
        </w:rPr>
      </w:pPr>
      <w:r>
        <w:rPr>
          <w:rFonts w:eastAsiaTheme="minorHAnsi"/>
          <w:sz w:val="20"/>
          <w:lang w:eastAsia="en-US"/>
        </w:rPr>
        <w:t>A __________________________inscrita no CNPJ sob nº ________________________, por intermédio de seu representante legal o(a) Sr(a).______________________, DECLARA:</w:t>
      </w:r>
    </w:p>
    <w:p w14:paraId="67176C84">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1) </w:t>
      </w:r>
      <w:r>
        <w:rPr>
          <w:rFonts w:eastAsiaTheme="minorHAnsi"/>
          <w:sz w:val="20"/>
          <w:lang w:eastAsia="en-US"/>
        </w:rPr>
        <w:t>Que está ciente e concorda com as condições contidas neste Edital e seus anexos, bem como de que cumpre plenamente os requisitos de habilitação definidos no referido documento, para todos os efeitos legais, sob pena de aplicação das sanções cabíveis.</w:t>
      </w:r>
    </w:p>
    <w:p w14:paraId="08AAECB5">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2) </w:t>
      </w:r>
      <w:r>
        <w:rPr>
          <w:rFonts w:eastAsiaTheme="minorHAnsi"/>
          <w:sz w:val="20"/>
          <w:lang w:eastAsia="en-US"/>
        </w:rPr>
        <w:t>Que cumpre as exigências de reserva de cargos para pessoa com deficiência e para reabilitado da Previdência Social, previstas em lei e em outras normas específicas.</w:t>
      </w:r>
    </w:p>
    <w:p w14:paraId="20478CAF">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3) </w:t>
      </w:r>
      <w:r>
        <w:rPr>
          <w:rFonts w:eastAsiaTheme="minorHAnsi"/>
          <w:sz w:val="20"/>
          <w:lang w:eastAsia="en-US"/>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ECE080">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4) </w:t>
      </w:r>
      <w:r>
        <w:rPr>
          <w:rFonts w:eastAsiaTheme="minorHAnsi"/>
          <w:sz w:val="20"/>
          <w:lang w:eastAsia="en-US"/>
        </w:rPr>
        <w:t>Que não possui em seu quadro de pessoal e societário, servidor público do Poder Executivo Municipal exercendo funções de gerência ou administração, ou servidor do contratante em qualquer função, nos termos do art. 9º, § 1º da Lei nº 14.133/2021.</w:t>
      </w:r>
    </w:p>
    <w:p w14:paraId="616D80EA">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5) </w:t>
      </w:r>
      <w:r>
        <w:rPr>
          <w:rFonts w:eastAsiaTheme="minorHAnsi"/>
          <w:sz w:val="20"/>
          <w:lang w:eastAsia="en-US"/>
        </w:rPr>
        <w:t>Que não há sanções vigentes que legalmente proíbam a participante de licitar e/ou contratar com o contratante.</w:t>
      </w:r>
    </w:p>
    <w:p w14:paraId="40F778EF">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6) </w:t>
      </w:r>
      <w:r>
        <w:rPr>
          <w:rFonts w:eastAsiaTheme="minorHAnsi"/>
          <w:sz w:val="20"/>
          <w:lang w:eastAsia="en-US"/>
        </w:rPr>
        <w:t>Que não possui, em sua cadeia produtiva, empregados executando trabalho degradante ou forçado, observando o disposto nos incisos III e IV do art. 1º e no inciso III do art. 5º da Constituição Federal, bem como no art. 14, inciso VI da Lei nº 14.133/2021.</w:t>
      </w:r>
    </w:p>
    <w:p w14:paraId="70E74030">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7) </w:t>
      </w:r>
      <w:r>
        <w:rPr>
          <w:rFonts w:eastAsiaTheme="minorHAnsi"/>
          <w:sz w:val="20"/>
          <w:lang w:eastAsia="en-US"/>
        </w:rPr>
        <w:t xml:space="preserve">Que é (   ) </w:t>
      </w:r>
      <w:r>
        <w:rPr>
          <w:rFonts w:eastAsiaTheme="minorHAnsi"/>
          <w:b/>
          <w:bCs/>
          <w:sz w:val="20"/>
          <w:lang w:eastAsia="en-US"/>
        </w:rPr>
        <w:t xml:space="preserve">ME, (   ) EPP ou (   ) MEI </w:t>
      </w:r>
      <w:r>
        <w:rPr>
          <w:rFonts w:eastAsiaTheme="minorHAnsi"/>
          <w:sz w:val="20"/>
          <w:lang w:eastAsia="en-US"/>
        </w:rPr>
        <w:t>e não se encontra em nenhuma das situações do § 4º, art. 3º, da Lei Complementar nº 124/2006, está apto a usufruir do tratamento estabelecido nos arts. 42 a 49 da Lei Complementar nº 124/2006.</w:t>
      </w:r>
    </w:p>
    <w:p w14:paraId="729669B2">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8) </w:t>
      </w:r>
      <w:r>
        <w:rPr>
          <w:rFonts w:eastAsiaTheme="minorHAnsi"/>
          <w:sz w:val="20"/>
          <w:lang w:eastAsia="en-US"/>
        </w:rPr>
        <w:t>Que no ano-calendário de realização desta licitação, os valores somados dos contratos celebrados com a Administração Pública não extrapolam a receita bruta máxima admitida para fins de enquadramento como empresa de pequeno porte, nos termos do art. 4º, § 2º da Lei nº 14.133/2021.</w:t>
      </w:r>
    </w:p>
    <w:p w14:paraId="6E8EEB8A">
      <w:pPr>
        <w:autoSpaceDE w:val="0"/>
        <w:autoSpaceDN w:val="0"/>
        <w:adjustRightInd w:val="0"/>
        <w:spacing w:before="240" w:after="240"/>
        <w:jc w:val="both"/>
        <w:rPr>
          <w:rFonts w:eastAsiaTheme="minorHAnsi"/>
          <w:sz w:val="20"/>
          <w:lang w:eastAsia="en-US"/>
        </w:rPr>
      </w:pPr>
      <w:r>
        <w:rPr>
          <w:rFonts w:eastAsiaTheme="minorHAnsi"/>
          <w:b/>
          <w:bCs/>
          <w:sz w:val="20"/>
          <w:lang w:eastAsia="en-US"/>
        </w:rPr>
        <w:t>9)</w:t>
      </w:r>
      <w:r>
        <w:rPr>
          <w:rFonts w:eastAsiaTheme="minorHAnsi"/>
          <w:sz w:val="20"/>
          <w:lang w:eastAsia="en-US"/>
        </w:rPr>
        <w:t xml:space="preserve"> Que </w:t>
      </w:r>
      <w:r>
        <w:rPr>
          <w:sz w:val="20"/>
        </w:rPr>
        <w:t>não emprega menor de 18 anos em trabalho noturno, perigoso ou insalubre e não emprega menor de 16 anos, salvo menor, a partir de 14 anos, na condição de aprendiz, nos termos do artigo 7°, XXXIII, da Constituição.</w:t>
      </w:r>
    </w:p>
    <w:p w14:paraId="0F61C009">
      <w:pPr>
        <w:jc w:val="center"/>
        <w:rPr>
          <w:sz w:val="20"/>
        </w:rPr>
      </w:pPr>
      <w:r>
        <w:rPr>
          <w:sz w:val="20"/>
        </w:rPr>
        <w:t>Localidade, data, mês e ano</w:t>
      </w:r>
    </w:p>
    <w:p w14:paraId="3410E22D">
      <w:pPr>
        <w:jc w:val="center"/>
        <w:rPr>
          <w:sz w:val="20"/>
        </w:rPr>
      </w:pPr>
    </w:p>
    <w:p w14:paraId="06C1A813">
      <w:pPr>
        <w:jc w:val="center"/>
        <w:rPr>
          <w:sz w:val="20"/>
        </w:rPr>
      </w:pPr>
      <w:r>
        <w:rPr>
          <w:sz w:val="20"/>
        </w:rPr>
        <w:t>________________________________</w:t>
      </w:r>
    </w:p>
    <w:p w14:paraId="4E599E91">
      <w:pPr>
        <w:jc w:val="center"/>
        <w:rPr>
          <w:sz w:val="20"/>
        </w:rPr>
      </w:pPr>
      <w:r>
        <w:rPr>
          <w:sz w:val="20"/>
        </w:rPr>
        <w:t>Assinatura do Representante da Empresa</w:t>
      </w:r>
    </w:p>
    <w:p w14:paraId="2B7CEB2A">
      <w:pPr>
        <w:spacing w:after="200" w:line="276" w:lineRule="auto"/>
        <w:rPr>
          <w:sz w:val="20"/>
        </w:rPr>
      </w:pPr>
      <w:r>
        <w:rPr>
          <w:sz w:val="20"/>
        </w:rPr>
        <w:br w:type="page"/>
      </w:r>
    </w:p>
    <w:p w14:paraId="4144848A">
      <w:pPr>
        <w:jc w:val="center"/>
        <w:rPr>
          <w:szCs w:val="24"/>
        </w:rPr>
      </w:pPr>
    </w:p>
    <w:p w14:paraId="7C9D8376">
      <w:pPr>
        <w:jc w:val="center"/>
        <w:rPr>
          <w:szCs w:val="24"/>
        </w:rPr>
      </w:pPr>
      <w:r>
        <w:rPr>
          <w:szCs w:val="24"/>
        </w:rPr>
        <w:t>TERMO DE REFERÊNCIA</w:t>
      </w:r>
    </w:p>
    <w:p w14:paraId="41C94432">
      <w:pPr>
        <w:jc w:val="center"/>
        <w:rPr>
          <w:b/>
          <w:szCs w:val="24"/>
        </w:rPr>
      </w:pPr>
      <w:r>
        <w:rPr>
          <w:b/>
          <w:szCs w:val="24"/>
        </w:rPr>
        <w:t>Lei 14.133, 1º de abril de 2021</w:t>
      </w:r>
    </w:p>
    <w:p w14:paraId="614A1598">
      <w:pPr>
        <w:jc w:val="center"/>
        <w:rPr>
          <w:szCs w:val="24"/>
        </w:rPr>
      </w:pPr>
      <w:r>
        <w:rPr>
          <w:szCs w:val="24"/>
        </w:rPr>
        <w:t>Processo Administrativo nº 1106001/2024</w:t>
      </w:r>
    </w:p>
    <w:p w14:paraId="722B437B">
      <w:pPr>
        <w:jc w:val="center"/>
        <w:rPr>
          <w:b/>
          <w:szCs w:val="24"/>
        </w:rPr>
      </w:pPr>
    </w:p>
    <w:p w14:paraId="00C8A8AB">
      <w:pPr>
        <w:jc w:val="center"/>
        <w:rPr>
          <w:b/>
          <w:szCs w:val="24"/>
        </w:rPr>
      </w:pPr>
    </w:p>
    <w:p w14:paraId="2CFB59A6">
      <w:pPr>
        <w:spacing w:before="240" w:after="240"/>
        <w:jc w:val="both"/>
        <w:rPr>
          <w:b/>
          <w:szCs w:val="24"/>
        </w:rPr>
      </w:pPr>
      <w:r>
        <w:rPr>
          <w:b/>
          <w:szCs w:val="24"/>
        </w:rPr>
        <w:t>1. CONDIÇÕES GERAIS DE CONTRATAÇÃO</w:t>
      </w:r>
    </w:p>
    <w:p w14:paraId="41AB119E">
      <w:pPr>
        <w:numPr>
          <w:ilvl w:val="1"/>
          <w:numId w:val="6"/>
        </w:numPr>
        <w:spacing w:before="240" w:after="240"/>
        <w:jc w:val="both"/>
        <w:rPr>
          <w:szCs w:val="24"/>
        </w:rPr>
      </w:pPr>
      <w:bookmarkStart w:id="46" w:name="_Hlk164073676"/>
      <w:r>
        <w:rPr>
          <w:szCs w:val="24"/>
        </w:rPr>
        <w:t xml:space="preserve">Contratação </w:t>
      </w:r>
      <w:bookmarkEnd w:id="46"/>
      <w:r>
        <w:rPr>
          <w:szCs w:val="24"/>
        </w:rPr>
        <w:t>de empresa para o fornecimento de medicamentos hospitalar, de forma parcelada, de interesse do Fundo Municipal de Saúde, do município de Trizidela do Vale (MA).</w:t>
      </w:r>
    </w:p>
    <w:p w14:paraId="5ACFB758">
      <w:pPr>
        <w:numPr>
          <w:ilvl w:val="1"/>
          <w:numId w:val="6"/>
        </w:numPr>
        <w:spacing w:before="240" w:after="240"/>
        <w:jc w:val="both"/>
        <w:rPr>
          <w:szCs w:val="24"/>
        </w:rPr>
      </w:pPr>
      <w:r>
        <w:rPr>
          <w:szCs w:val="24"/>
        </w:rPr>
        <w:t>A demanda de consumo previsto encontra-se demonstrando abaixo:</w:t>
      </w:r>
    </w:p>
    <w:tbl>
      <w:tblPr>
        <w:tblStyle w:val="9"/>
        <w:tblW w:w="8926"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853"/>
        <w:gridCol w:w="3124"/>
        <w:gridCol w:w="913"/>
        <w:gridCol w:w="1441"/>
        <w:gridCol w:w="1230"/>
        <w:gridCol w:w="8"/>
        <w:gridCol w:w="1357"/>
      </w:tblGrid>
      <w:tr w14:paraId="7800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4603C4DF">
            <w:pPr>
              <w:jc w:val="center"/>
              <w:rPr>
                <w:b/>
                <w:bCs/>
                <w:color w:val="000000"/>
                <w:sz w:val="20"/>
              </w:rPr>
            </w:pPr>
            <w:r>
              <w:rPr>
                <w:b/>
                <w:bCs/>
                <w:color w:val="000000"/>
                <w:sz w:val="20"/>
              </w:rPr>
              <w:t>ITEM</w:t>
            </w:r>
          </w:p>
        </w:tc>
        <w:tc>
          <w:tcPr>
            <w:tcW w:w="3124" w:type="dxa"/>
            <w:shd w:val="clear" w:color="auto" w:fill="auto"/>
            <w:noWrap/>
            <w:vAlign w:val="center"/>
          </w:tcPr>
          <w:p w14:paraId="19A47110">
            <w:pPr>
              <w:jc w:val="center"/>
              <w:rPr>
                <w:b/>
                <w:bCs/>
                <w:color w:val="000000"/>
                <w:sz w:val="20"/>
              </w:rPr>
            </w:pPr>
            <w:r>
              <w:rPr>
                <w:b/>
                <w:bCs/>
                <w:color w:val="000000"/>
                <w:sz w:val="20"/>
              </w:rPr>
              <w:t>DESCRIÇÃO</w:t>
            </w:r>
          </w:p>
        </w:tc>
        <w:tc>
          <w:tcPr>
            <w:tcW w:w="913" w:type="dxa"/>
            <w:shd w:val="clear" w:color="auto" w:fill="auto"/>
            <w:vAlign w:val="center"/>
          </w:tcPr>
          <w:p w14:paraId="54922251">
            <w:pPr>
              <w:jc w:val="center"/>
              <w:rPr>
                <w:b/>
                <w:bCs/>
                <w:color w:val="000000"/>
                <w:sz w:val="20"/>
              </w:rPr>
            </w:pPr>
            <w:r>
              <w:rPr>
                <w:b/>
                <w:bCs/>
                <w:color w:val="000000"/>
                <w:sz w:val="20"/>
              </w:rPr>
              <w:t>QUANT.</w:t>
            </w:r>
          </w:p>
        </w:tc>
        <w:tc>
          <w:tcPr>
            <w:tcW w:w="1441" w:type="dxa"/>
            <w:shd w:val="clear" w:color="auto" w:fill="auto"/>
            <w:vAlign w:val="center"/>
          </w:tcPr>
          <w:p w14:paraId="053B5D6A">
            <w:pPr>
              <w:jc w:val="center"/>
              <w:rPr>
                <w:b/>
                <w:bCs/>
                <w:color w:val="000000"/>
                <w:sz w:val="20"/>
              </w:rPr>
            </w:pPr>
            <w:r>
              <w:rPr>
                <w:b/>
                <w:bCs/>
                <w:color w:val="000000"/>
                <w:sz w:val="20"/>
              </w:rPr>
              <w:t>UNIDADE</w:t>
            </w:r>
          </w:p>
        </w:tc>
        <w:tc>
          <w:tcPr>
            <w:tcW w:w="1230" w:type="dxa"/>
            <w:shd w:val="clear" w:color="auto" w:fill="auto"/>
            <w:vAlign w:val="center"/>
          </w:tcPr>
          <w:p w14:paraId="517B52C5">
            <w:pPr>
              <w:jc w:val="center"/>
              <w:rPr>
                <w:b/>
                <w:bCs/>
                <w:color w:val="000000"/>
                <w:sz w:val="20"/>
              </w:rPr>
            </w:pPr>
            <w:r>
              <w:rPr>
                <w:b/>
                <w:bCs/>
                <w:color w:val="000000"/>
                <w:sz w:val="20"/>
              </w:rPr>
              <w:t>VALOR UNITÁRIO ESTIMADO R$</w:t>
            </w:r>
          </w:p>
        </w:tc>
        <w:tc>
          <w:tcPr>
            <w:tcW w:w="1365" w:type="dxa"/>
            <w:gridSpan w:val="2"/>
            <w:shd w:val="clear" w:color="auto" w:fill="auto"/>
            <w:vAlign w:val="center"/>
          </w:tcPr>
          <w:p w14:paraId="0323304E">
            <w:pPr>
              <w:jc w:val="center"/>
              <w:rPr>
                <w:b/>
                <w:bCs/>
                <w:color w:val="000000"/>
                <w:sz w:val="20"/>
              </w:rPr>
            </w:pPr>
            <w:r>
              <w:rPr>
                <w:b/>
                <w:bCs/>
                <w:color w:val="000000"/>
                <w:sz w:val="20"/>
              </w:rPr>
              <w:t>VALOR TOTAL ESTIMADO R$</w:t>
            </w:r>
          </w:p>
        </w:tc>
      </w:tr>
      <w:tr w14:paraId="2344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4FE7E579">
            <w:pPr>
              <w:jc w:val="center"/>
              <w:rPr>
                <w:color w:val="000000"/>
                <w:sz w:val="20"/>
              </w:rPr>
            </w:pPr>
            <w:r>
              <w:rPr>
                <w:color w:val="000000"/>
                <w:sz w:val="20"/>
              </w:rPr>
              <w:t>1</w:t>
            </w:r>
          </w:p>
        </w:tc>
        <w:tc>
          <w:tcPr>
            <w:tcW w:w="3124" w:type="dxa"/>
            <w:shd w:val="clear" w:color="auto" w:fill="auto"/>
            <w:noWrap/>
            <w:vAlign w:val="center"/>
          </w:tcPr>
          <w:p w14:paraId="0E5B344B">
            <w:pPr>
              <w:jc w:val="both"/>
              <w:rPr>
                <w:color w:val="000000"/>
                <w:sz w:val="20"/>
              </w:rPr>
            </w:pPr>
            <w:r>
              <w:rPr>
                <w:color w:val="000000"/>
                <w:sz w:val="20"/>
              </w:rPr>
              <w:t>AMBROXOL, COMPOSIÇÃO SAL CLORIDRATO, CONCENTRAÇÃO 3 MG/ML, APLICAÇÃO XAROPE INFANTIL, FRASCO COM 120 ML.</w:t>
            </w:r>
          </w:p>
        </w:tc>
        <w:tc>
          <w:tcPr>
            <w:tcW w:w="913" w:type="dxa"/>
            <w:shd w:val="clear" w:color="auto" w:fill="auto"/>
            <w:vAlign w:val="center"/>
          </w:tcPr>
          <w:p w14:paraId="5BF1D2D9">
            <w:pPr>
              <w:jc w:val="center"/>
              <w:rPr>
                <w:color w:val="000000"/>
                <w:sz w:val="20"/>
              </w:rPr>
            </w:pPr>
            <w:r>
              <w:rPr>
                <w:color w:val="000000"/>
                <w:sz w:val="20"/>
              </w:rPr>
              <w:t>500</w:t>
            </w:r>
          </w:p>
        </w:tc>
        <w:tc>
          <w:tcPr>
            <w:tcW w:w="1441" w:type="dxa"/>
            <w:shd w:val="clear" w:color="auto" w:fill="auto"/>
            <w:vAlign w:val="center"/>
          </w:tcPr>
          <w:p w14:paraId="6732B21C">
            <w:pPr>
              <w:jc w:val="center"/>
              <w:rPr>
                <w:color w:val="000000"/>
                <w:sz w:val="20"/>
              </w:rPr>
            </w:pPr>
            <w:r>
              <w:rPr>
                <w:color w:val="000000"/>
                <w:sz w:val="20"/>
              </w:rPr>
              <w:t>FRASCO</w:t>
            </w:r>
          </w:p>
        </w:tc>
        <w:tc>
          <w:tcPr>
            <w:tcW w:w="1230" w:type="dxa"/>
            <w:shd w:val="clear" w:color="auto" w:fill="auto"/>
            <w:vAlign w:val="center"/>
          </w:tcPr>
          <w:p w14:paraId="1EE7CFDD">
            <w:pPr>
              <w:jc w:val="right"/>
              <w:rPr>
                <w:color w:val="000000"/>
                <w:sz w:val="20"/>
              </w:rPr>
            </w:pPr>
            <w:r>
              <w:rPr>
                <w:color w:val="000000"/>
                <w:sz w:val="20"/>
              </w:rPr>
              <w:t>6,39</w:t>
            </w:r>
          </w:p>
        </w:tc>
        <w:tc>
          <w:tcPr>
            <w:tcW w:w="1365" w:type="dxa"/>
            <w:gridSpan w:val="2"/>
            <w:shd w:val="clear" w:color="auto" w:fill="auto"/>
            <w:noWrap/>
            <w:vAlign w:val="center"/>
          </w:tcPr>
          <w:p w14:paraId="3E1E1625">
            <w:pPr>
              <w:jc w:val="right"/>
              <w:rPr>
                <w:color w:val="000000"/>
                <w:sz w:val="20"/>
              </w:rPr>
            </w:pPr>
            <w:r>
              <w:rPr>
                <w:color w:val="000000"/>
                <w:sz w:val="20"/>
              </w:rPr>
              <w:t>3.195,00</w:t>
            </w:r>
          </w:p>
        </w:tc>
      </w:tr>
      <w:tr w14:paraId="2BEB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1137379E">
            <w:pPr>
              <w:jc w:val="center"/>
              <w:rPr>
                <w:color w:val="000000"/>
                <w:sz w:val="20"/>
              </w:rPr>
            </w:pPr>
            <w:r>
              <w:rPr>
                <w:color w:val="000000"/>
                <w:sz w:val="20"/>
              </w:rPr>
              <w:t>2</w:t>
            </w:r>
          </w:p>
        </w:tc>
        <w:tc>
          <w:tcPr>
            <w:tcW w:w="3124" w:type="dxa"/>
            <w:shd w:val="clear" w:color="auto" w:fill="auto"/>
            <w:noWrap/>
            <w:vAlign w:val="center"/>
          </w:tcPr>
          <w:p w14:paraId="0E5D5A74">
            <w:pPr>
              <w:jc w:val="both"/>
              <w:rPr>
                <w:color w:val="000000"/>
                <w:sz w:val="20"/>
              </w:rPr>
            </w:pPr>
            <w:r>
              <w:rPr>
                <w:color w:val="000000"/>
                <w:sz w:val="20"/>
              </w:rPr>
              <w:t>AMOXICILINA, CONCENTRAÇÃO 250MG, FRASCO COM 150 ML.</w:t>
            </w:r>
          </w:p>
        </w:tc>
        <w:tc>
          <w:tcPr>
            <w:tcW w:w="913" w:type="dxa"/>
            <w:shd w:val="clear" w:color="auto" w:fill="auto"/>
            <w:vAlign w:val="center"/>
          </w:tcPr>
          <w:p w14:paraId="2E63D481">
            <w:pPr>
              <w:jc w:val="center"/>
              <w:rPr>
                <w:color w:val="000000"/>
                <w:sz w:val="20"/>
              </w:rPr>
            </w:pPr>
            <w:r>
              <w:rPr>
                <w:color w:val="000000"/>
                <w:sz w:val="20"/>
              </w:rPr>
              <w:t>200</w:t>
            </w:r>
          </w:p>
        </w:tc>
        <w:tc>
          <w:tcPr>
            <w:tcW w:w="1441" w:type="dxa"/>
            <w:shd w:val="clear" w:color="auto" w:fill="auto"/>
            <w:vAlign w:val="center"/>
          </w:tcPr>
          <w:p w14:paraId="46DC33D3">
            <w:pPr>
              <w:jc w:val="center"/>
              <w:rPr>
                <w:color w:val="000000"/>
                <w:sz w:val="20"/>
              </w:rPr>
            </w:pPr>
            <w:r>
              <w:rPr>
                <w:color w:val="000000"/>
                <w:sz w:val="20"/>
              </w:rPr>
              <w:t>FRASCO</w:t>
            </w:r>
          </w:p>
        </w:tc>
        <w:tc>
          <w:tcPr>
            <w:tcW w:w="1230" w:type="dxa"/>
            <w:shd w:val="clear" w:color="auto" w:fill="auto"/>
            <w:vAlign w:val="center"/>
          </w:tcPr>
          <w:p w14:paraId="08BD1320">
            <w:pPr>
              <w:jc w:val="right"/>
              <w:rPr>
                <w:color w:val="000000"/>
                <w:sz w:val="20"/>
              </w:rPr>
            </w:pPr>
            <w:r>
              <w:rPr>
                <w:color w:val="000000"/>
                <w:sz w:val="20"/>
              </w:rPr>
              <w:t>6,87</w:t>
            </w:r>
          </w:p>
        </w:tc>
        <w:tc>
          <w:tcPr>
            <w:tcW w:w="1365" w:type="dxa"/>
            <w:gridSpan w:val="2"/>
            <w:shd w:val="clear" w:color="auto" w:fill="auto"/>
            <w:noWrap/>
            <w:vAlign w:val="center"/>
          </w:tcPr>
          <w:p w14:paraId="58937490">
            <w:pPr>
              <w:jc w:val="right"/>
              <w:rPr>
                <w:color w:val="000000"/>
                <w:sz w:val="20"/>
              </w:rPr>
            </w:pPr>
            <w:r>
              <w:rPr>
                <w:color w:val="000000"/>
                <w:sz w:val="20"/>
              </w:rPr>
              <w:t>1.374,00</w:t>
            </w:r>
          </w:p>
        </w:tc>
      </w:tr>
      <w:tr w14:paraId="723D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066CBE31">
            <w:pPr>
              <w:jc w:val="center"/>
              <w:rPr>
                <w:color w:val="000000"/>
                <w:sz w:val="20"/>
              </w:rPr>
            </w:pPr>
            <w:r>
              <w:rPr>
                <w:color w:val="000000"/>
                <w:sz w:val="20"/>
              </w:rPr>
              <w:t>3</w:t>
            </w:r>
          </w:p>
        </w:tc>
        <w:tc>
          <w:tcPr>
            <w:tcW w:w="3124" w:type="dxa"/>
            <w:shd w:val="clear" w:color="auto" w:fill="auto"/>
            <w:noWrap/>
            <w:vAlign w:val="center"/>
          </w:tcPr>
          <w:p w14:paraId="14C9013F">
            <w:pPr>
              <w:jc w:val="both"/>
              <w:rPr>
                <w:color w:val="000000"/>
                <w:sz w:val="20"/>
              </w:rPr>
            </w:pPr>
            <w:r>
              <w:rPr>
                <w:color w:val="000000"/>
                <w:sz w:val="20"/>
              </w:rPr>
              <w:t>AMPICILINA, DOSAGEM 1 G, TIPO USO INJETÁVEL.</w:t>
            </w:r>
          </w:p>
        </w:tc>
        <w:tc>
          <w:tcPr>
            <w:tcW w:w="913" w:type="dxa"/>
            <w:shd w:val="clear" w:color="auto" w:fill="auto"/>
            <w:vAlign w:val="center"/>
          </w:tcPr>
          <w:p w14:paraId="7E417E23">
            <w:pPr>
              <w:jc w:val="center"/>
              <w:rPr>
                <w:color w:val="000000"/>
                <w:sz w:val="20"/>
              </w:rPr>
            </w:pPr>
            <w:r>
              <w:rPr>
                <w:color w:val="000000"/>
                <w:sz w:val="20"/>
              </w:rPr>
              <w:t>2000</w:t>
            </w:r>
          </w:p>
        </w:tc>
        <w:tc>
          <w:tcPr>
            <w:tcW w:w="1441" w:type="dxa"/>
            <w:shd w:val="clear" w:color="auto" w:fill="auto"/>
            <w:vAlign w:val="center"/>
          </w:tcPr>
          <w:p w14:paraId="31910405">
            <w:pPr>
              <w:jc w:val="center"/>
              <w:rPr>
                <w:color w:val="000000"/>
                <w:sz w:val="20"/>
              </w:rPr>
            </w:pPr>
            <w:r>
              <w:rPr>
                <w:color w:val="000000"/>
                <w:sz w:val="20"/>
              </w:rPr>
              <w:t>FRASCO</w:t>
            </w:r>
          </w:p>
        </w:tc>
        <w:tc>
          <w:tcPr>
            <w:tcW w:w="1230" w:type="dxa"/>
            <w:shd w:val="clear" w:color="auto" w:fill="auto"/>
            <w:vAlign w:val="center"/>
          </w:tcPr>
          <w:p w14:paraId="2353FEAC">
            <w:pPr>
              <w:jc w:val="right"/>
              <w:rPr>
                <w:color w:val="000000"/>
                <w:sz w:val="20"/>
              </w:rPr>
            </w:pPr>
            <w:r>
              <w:rPr>
                <w:color w:val="000000"/>
                <w:sz w:val="20"/>
              </w:rPr>
              <w:t>8,51</w:t>
            </w:r>
          </w:p>
        </w:tc>
        <w:tc>
          <w:tcPr>
            <w:tcW w:w="1365" w:type="dxa"/>
            <w:gridSpan w:val="2"/>
            <w:shd w:val="clear" w:color="auto" w:fill="auto"/>
            <w:noWrap/>
            <w:vAlign w:val="center"/>
          </w:tcPr>
          <w:p w14:paraId="685DD191">
            <w:pPr>
              <w:jc w:val="right"/>
              <w:rPr>
                <w:color w:val="000000"/>
                <w:sz w:val="20"/>
              </w:rPr>
            </w:pPr>
            <w:r>
              <w:rPr>
                <w:color w:val="000000"/>
                <w:sz w:val="20"/>
              </w:rPr>
              <w:t>17.020,00</w:t>
            </w:r>
          </w:p>
        </w:tc>
      </w:tr>
      <w:tr w14:paraId="0EC5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3F561754">
            <w:pPr>
              <w:jc w:val="center"/>
              <w:rPr>
                <w:color w:val="000000"/>
                <w:sz w:val="20"/>
              </w:rPr>
            </w:pPr>
            <w:r>
              <w:rPr>
                <w:color w:val="000000"/>
                <w:sz w:val="20"/>
              </w:rPr>
              <w:t>4</w:t>
            </w:r>
          </w:p>
        </w:tc>
        <w:tc>
          <w:tcPr>
            <w:tcW w:w="3124" w:type="dxa"/>
            <w:shd w:val="clear" w:color="auto" w:fill="auto"/>
            <w:noWrap/>
            <w:vAlign w:val="center"/>
          </w:tcPr>
          <w:p w14:paraId="64C9CB0E">
            <w:pPr>
              <w:jc w:val="both"/>
              <w:rPr>
                <w:color w:val="000000"/>
                <w:sz w:val="20"/>
              </w:rPr>
            </w:pPr>
            <w:r>
              <w:rPr>
                <w:color w:val="000000"/>
                <w:sz w:val="20"/>
              </w:rPr>
              <w:t>ATENOLOL 25 MG.</w:t>
            </w:r>
          </w:p>
        </w:tc>
        <w:tc>
          <w:tcPr>
            <w:tcW w:w="913" w:type="dxa"/>
            <w:shd w:val="clear" w:color="auto" w:fill="auto"/>
            <w:vAlign w:val="center"/>
          </w:tcPr>
          <w:p w14:paraId="2C7FB440">
            <w:pPr>
              <w:jc w:val="center"/>
              <w:rPr>
                <w:color w:val="000000"/>
                <w:sz w:val="20"/>
              </w:rPr>
            </w:pPr>
            <w:r>
              <w:rPr>
                <w:color w:val="000000"/>
                <w:sz w:val="20"/>
              </w:rPr>
              <w:t>2000</w:t>
            </w:r>
          </w:p>
        </w:tc>
        <w:tc>
          <w:tcPr>
            <w:tcW w:w="1441" w:type="dxa"/>
            <w:shd w:val="clear" w:color="auto" w:fill="auto"/>
            <w:vAlign w:val="center"/>
          </w:tcPr>
          <w:p w14:paraId="3A32BEC3">
            <w:pPr>
              <w:jc w:val="center"/>
              <w:rPr>
                <w:color w:val="000000"/>
                <w:sz w:val="20"/>
              </w:rPr>
            </w:pPr>
            <w:r>
              <w:rPr>
                <w:color w:val="000000"/>
                <w:sz w:val="20"/>
              </w:rPr>
              <w:t>COMPRIMIDO</w:t>
            </w:r>
          </w:p>
        </w:tc>
        <w:tc>
          <w:tcPr>
            <w:tcW w:w="1230" w:type="dxa"/>
            <w:shd w:val="clear" w:color="auto" w:fill="auto"/>
            <w:vAlign w:val="center"/>
          </w:tcPr>
          <w:p w14:paraId="47CD0B91">
            <w:pPr>
              <w:jc w:val="right"/>
              <w:rPr>
                <w:color w:val="000000"/>
                <w:sz w:val="20"/>
              </w:rPr>
            </w:pPr>
            <w:r>
              <w:rPr>
                <w:color w:val="000000"/>
                <w:sz w:val="20"/>
              </w:rPr>
              <w:t>0,10</w:t>
            </w:r>
          </w:p>
        </w:tc>
        <w:tc>
          <w:tcPr>
            <w:tcW w:w="1365" w:type="dxa"/>
            <w:gridSpan w:val="2"/>
            <w:shd w:val="clear" w:color="auto" w:fill="auto"/>
            <w:noWrap/>
            <w:vAlign w:val="center"/>
          </w:tcPr>
          <w:p w14:paraId="20419384">
            <w:pPr>
              <w:jc w:val="right"/>
              <w:rPr>
                <w:color w:val="000000"/>
                <w:sz w:val="20"/>
              </w:rPr>
            </w:pPr>
            <w:r>
              <w:rPr>
                <w:color w:val="000000"/>
                <w:sz w:val="20"/>
              </w:rPr>
              <w:t>200,00</w:t>
            </w:r>
          </w:p>
        </w:tc>
      </w:tr>
      <w:tr w14:paraId="53F0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36B5D384">
            <w:pPr>
              <w:jc w:val="center"/>
              <w:rPr>
                <w:color w:val="000000"/>
                <w:sz w:val="20"/>
              </w:rPr>
            </w:pPr>
            <w:r>
              <w:rPr>
                <w:color w:val="000000"/>
                <w:sz w:val="20"/>
              </w:rPr>
              <w:t>5</w:t>
            </w:r>
          </w:p>
        </w:tc>
        <w:tc>
          <w:tcPr>
            <w:tcW w:w="3124" w:type="dxa"/>
            <w:shd w:val="clear" w:color="auto" w:fill="auto"/>
            <w:noWrap/>
            <w:vAlign w:val="center"/>
          </w:tcPr>
          <w:p w14:paraId="78803D2D">
            <w:pPr>
              <w:jc w:val="both"/>
              <w:rPr>
                <w:color w:val="000000"/>
                <w:sz w:val="20"/>
              </w:rPr>
            </w:pPr>
            <w:r>
              <w:rPr>
                <w:color w:val="000000"/>
                <w:sz w:val="20"/>
              </w:rPr>
              <w:t>ATROVENT (IPRATRÓPIO BROMETO), DOSAGEM 0,25 MG/ML, USO SOLUÇÃO PARA INALAÇÃO, FRASCO COM 20 ML.</w:t>
            </w:r>
          </w:p>
        </w:tc>
        <w:tc>
          <w:tcPr>
            <w:tcW w:w="913" w:type="dxa"/>
            <w:shd w:val="clear" w:color="auto" w:fill="auto"/>
            <w:vAlign w:val="center"/>
          </w:tcPr>
          <w:p w14:paraId="6AB7D976">
            <w:pPr>
              <w:jc w:val="center"/>
              <w:rPr>
                <w:color w:val="000000"/>
                <w:sz w:val="20"/>
              </w:rPr>
            </w:pPr>
            <w:r>
              <w:rPr>
                <w:color w:val="000000"/>
                <w:sz w:val="20"/>
              </w:rPr>
              <w:t>250</w:t>
            </w:r>
          </w:p>
        </w:tc>
        <w:tc>
          <w:tcPr>
            <w:tcW w:w="1441" w:type="dxa"/>
            <w:shd w:val="clear" w:color="auto" w:fill="auto"/>
            <w:vAlign w:val="center"/>
          </w:tcPr>
          <w:p w14:paraId="2A1E7649">
            <w:pPr>
              <w:jc w:val="center"/>
              <w:rPr>
                <w:color w:val="000000"/>
                <w:sz w:val="20"/>
              </w:rPr>
            </w:pPr>
            <w:r>
              <w:rPr>
                <w:color w:val="000000"/>
                <w:sz w:val="20"/>
              </w:rPr>
              <w:t>FRASCO</w:t>
            </w:r>
          </w:p>
        </w:tc>
        <w:tc>
          <w:tcPr>
            <w:tcW w:w="1230" w:type="dxa"/>
            <w:shd w:val="clear" w:color="auto" w:fill="auto"/>
            <w:vAlign w:val="center"/>
          </w:tcPr>
          <w:p w14:paraId="6DAC9001">
            <w:pPr>
              <w:jc w:val="right"/>
              <w:rPr>
                <w:color w:val="000000"/>
                <w:sz w:val="20"/>
              </w:rPr>
            </w:pPr>
            <w:r>
              <w:rPr>
                <w:color w:val="000000"/>
                <w:sz w:val="20"/>
              </w:rPr>
              <w:t>4,98</w:t>
            </w:r>
          </w:p>
        </w:tc>
        <w:tc>
          <w:tcPr>
            <w:tcW w:w="1365" w:type="dxa"/>
            <w:gridSpan w:val="2"/>
            <w:shd w:val="clear" w:color="auto" w:fill="auto"/>
            <w:noWrap/>
            <w:vAlign w:val="center"/>
          </w:tcPr>
          <w:p w14:paraId="101D6D21">
            <w:pPr>
              <w:jc w:val="right"/>
              <w:rPr>
                <w:color w:val="000000"/>
                <w:sz w:val="20"/>
              </w:rPr>
            </w:pPr>
            <w:r>
              <w:rPr>
                <w:color w:val="000000"/>
                <w:sz w:val="20"/>
              </w:rPr>
              <w:t>1.245,00</w:t>
            </w:r>
          </w:p>
        </w:tc>
      </w:tr>
      <w:tr w14:paraId="07F4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4209735E">
            <w:pPr>
              <w:jc w:val="center"/>
              <w:rPr>
                <w:color w:val="000000"/>
                <w:sz w:val="20"/>
              </w:rPr>
            </w:pPr>
            <w:r>
              <w:rPr>
                <w:color w:val="000000"/>
                <w:sz w:val="20"/>
              </w:rPr>
              <w:t>6</w:t>
            </w:r>
          </w:p>
        </w:tc>
        <w:tc>
          <w:tcPr>
            <w:tcW w:w="3124" w:type="dxa"/>
            <w:shd w:val="clear" w:color="auto" w:fill="auto"/>
            <w:noWrap/>
            <w:vAlign w:val="center"/>
          </w:tcPr>
          <w:p w14:paraId="7F9BC4C5">
            <w:pPr>
              <w:jc w:val="both"/>
              <w:rPr>
                <w:color w:val="000000"/>
                <w:sz w:val="20"/>
              </w:rPr>
            </w:pPr>
            <w:r>
              <w:rPr>
                <w:color w:val="000000"/>
                <w:sz w:val="20"/>
              </w:rPr>
              <w:t>BISSULFATO DE CLOPIDOGREL 75 MG.</w:t>
            </w:r>
          </w:p>
        </w:tc>
        <w:tc>
          <w:tcPr>
            <w:tcW w:w="913" w:type="dxa"/>
            <w:shd w:val="clear" w:color="auto" w:fill="auto"/>
            <w:vAlign w:val="center"/>
          </w:tcPr>
          <w:p w14:paraId="15D8C1CA">
            <w:pPr>
              <w:jc w:val="center"/>
              <w:rPr>
                <w:color w:val="000000"/>
                <w:sz w:val="20"/>
              </w:rPr>
            </w:pPr>
            <w:r>
              <w:rPr>
                <w:color w:val="000000"/>
                <w:sz w:val="20"/>
              </w:rPr>
              <w:t>1080</w:t>
            </w:r>
          </w:p>
        </w:tc>
        <w:tc>
          <w:tcPr>
            <w:tcW w:w="1441" w:type="dxa"/>
            <w:shd w:val="clear" w:color="auto" w:fill="auto"/>
            <w:vAlign w:val="center"/>
          </w:tcPr>
          <w:p w14:paraId="378F1E8D">
            <w:pPr>
              <w:jc w:val="center"/>
              <w:rPr>
                <w:color w:val="000000"/>
                <w:sz w:val="20"/>
              </w:rPr>
            </w:pPr>
            <w:r>
              <w:rPr>
                <w:color w:val="000000"/>
                <w:sz w:val="20"/>
              </w:rPr>
              <w:t>COMPRIMIDO</w:t>
            </w:r>
          </w:p>
        </w:tc>
        <w:tc>
          <w:tcPr>
            <w:tcW w:w="1230" w:type="dxa"/>
            <w:shd w:val="clear" w:color="auto" w:fill="auto"/>
            <w:vAlign w:val="center"/>
          </w:tcPr>
          <w:p w14:paraId="0893DB98">
            <w:pPr>
              <w:jc w:val="right"/>
              <w:rPr>
                <w:color w:val="000000"/>
                <w:sz w:val="20"/>
              </w:rPr>
            </w:pPr>
            <w:r>
              <w:rPr>
                <w:color w:val="000000"/>
                <w:sz w:val="20"/>
              </w:rPr>
              <w:t>0,42</w:t>
            </w:r>
          </w:p>
        </w:tc>
        <w:tc>
          <w:tcPr>
            <w:tcW w:w="1365" w:type="dxa"/>
            <w:gridSpan w:val="2"/>
            <w:shd w:val="clear" w:color="auto" w:fill="auto"/>
            <w:noWrap/>
            <w:vAlign w:val="center"/>
          </w:tcPr>
          <w:p w14:paraId="2B5C1DED">
            <w:pPr>
              <w:jc w:val="right"/>
              <w:rPr>
                <w:color w:val="000000"/>
                <w:sz w:val="20"/>
              </w:rPr>
            </w:pPr>
            <w:r>
              <w:rPr>
                <w:color w:val="000000"/>
                <w:sz w:val="20"/>
              </w:rPr>
              <w:t>453,60</w:t>
            </w:r>
          </w:p>
        </w:tc>
      </w:tr>
      <w:tr w14:paraId="79F7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5852421C">
            <w:pPr>
              <w:jc w:val="center"/>
              <w:rPr>
                <w:color w:val="000000"/>
                <w:sz w:val="20"/>
              </w:rPr>
            </w:pPr>
            <w:r>
              <w:rPr>
                <w:color w:val="000000"/>
                <w:sz w:val="20"/>
              </w:rPr>
              <w:t>7</w:t>
            </w:r>
          </w:p>
        </w:tc>
        <w:tc>
          <w:tcPr>
            <w:tcW w:w="3124" w:type="dxa"/>
            <w:shd w:val="clear" w:color="auto" w:fill="auto"/>
            <w:noWrap/>
            <w:vAlign w:val="center"/>
          </w:tcPr>
          <w:p w14:paraId="66BF12D2">
            <w:pPr>
              <w:jc w:val="both"/>
              <w:rPr>
                <w:color w:val="000000"/>
                <w:sz w:val="20"/>
              </w:rPr>
            </w:pPr>
            <w:r>
              <w:rPr>
                <w:color w:val="000000"/>
                <w:sz w:val="20"/>
              </w:rPr>
              <w:t>BROMOPRIDA, DOSAGEM 5 MG/ML, APRESENTAÇÃO INJETÁVEL, AMPOLA COM 2 ML.</w:t>
            </w:r>
          </w:p>
        </w:tc>
        <w:tc>
          <w:tcPr>
            <w:tcW w:w="913" w:type="dxa"/>
            <w:shd w:val="clear" w:color="auto" w:fill="auto"/>
            <w:vAlign w:val="center"/>
          </w:tcPr>
          <w:p w14:paraId="4B41FCA6">
            <w:pPr>
              <w:jc w:val="center"/>
              <w:rPr>
                <w:color w:val="000000"/>
                <w:sz w:val="20"/>
              </w:rPr>
            </w:pPr>
            <w:r>
              <w:rPr>
                <w:color w:val="000000"/>
                <w:sz w:val="20"/>
              </w:rPr>
              <w:t>5000</w:t>
            </w:r>
          </w:p>
        </w:tc>
        <w:tc>
          <w:tcPr>
            <w:tcW w:w="1441" w:type="dxa"/>
            <w:shd w:val="clear" w:color="auto" w:fill="auto"/>
            <w:vAlign w:val="center"/>
          </w:tcPr>
          <w:p w14:paraId="3D863788">
            <w:pPr>
              <w:jc w:val="center"/>
              <w:rPr>
                <w:color w:val="000000"/>
                <w:sz w:val="20"/>
              </w:rPr>
            </w:pPr>
            <w:r>
              <w:rPr>
                <w:color w:val="000000"/>
                <w:sz w:val="20"/>
              </w:rPr>
              <w:t>AMPOLA</w:t>
            </w:r>
          </w:p>
        </w:tc>
        <w:tc>
          <w:tcPr>
            <w:tcW w:w="1230" w:type="dxa"/>
            <w:shd w:val="clear" w:color="auto" w:fill="auto"/>
            <w:vAlign w:val="center"/>
          </w:tcPr>
          <w:p w14:paraId="610D4455">
            <w:pPr>
              <w:jc w:val="right"/>
              <w:rPr>
                <w:color w:val="000000"/>
                <w:sz w:val="20"/>
              </w:rPr>
            </w:pPr>
            <w:r>
              <w:rPr>
                <w:color w:val="000000"/>
                <w:sz w:val="20"/>
              </w:rPr>
              <w:t>3,75</w:t>
            </w:r>
          </w:p>
        </w:tc>
        <w:tc>
          <w:tcPr>
            <w:tcW w:w="1365" w:type="dxa"/>
            <w:gridSpan w:val="2"/>
            <w:shd w:val="clear" w:color="auto" w:fill="auto"/>
            <w:noWrap/>
            <w:vAlign w:val="center"/>
          </w:tcPr>
          <w:p w14:paraId="5503483F">
            <w:pPr>
              <w:jc w:val="right"/>
              <w:rPr>
                <w:color w:val="000000"/>
                <w:sz w:val="20"/>
              </w:rPr>
            </w:pPr>
            <w:r>
              <w:rPr>
                <w:color w:val="000000"/>
                <w:sz w:val="20"/>
              </w:rPr>
              <w:t>18.750,00</w:t>
            </w:r>
          </w:p>
        </w:tc>
      </w:tr>
      <w:tr w14:paraId="386C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23C868F4">
            <w:pPr>
              <w:jc w:val="center"/>
              <w:rPr>
                <w:color w:val="000000"/>
                <w:sz w:val="20"/>
              </w:rPr>
            </w:pPr>
            <w:r>
              <w:rPr>
                <w:color w:val="000000"/>
                <w:sz w:val="20"/>
              </w:rPr>
              <w:t>8</w:t>
            </w:r>
          </w:p>
        </w:tc>
        <w:tc>
          <w:tcPr>
            <w:tcW w:w="3124" w:type="dxa"/>
            <w:shd w:val="clear" w:color="auto" w:fill="auto"/>
            <w:noWrap/>
            <w:vAlign w:val="center"/>
          </w:tcPr>
          <w:p w14:paraId="5A6F1A80">
            <w:pPr>
              <w:jc w:val="both"/>
              <w:rPr>
                <w:color w:val="000000"/>
                <w:sz w:val="20"/>
              </w:rPr>
            </w:pPr>
            <w:r>
              <w:rPr>
                <w:color w:val="000000"/>
                <w:sz w:val="20"/>
              </w:rPr>
              <w:t>CETAMINA CLORIDRATO (KETALAR), DOSAGEM 50 MG/ML, APLICAÇÃO SOLUÇÃO INJETÁVEL, FRASCO 10 ML.</w:t>
            </w:r>
          </w:p>
        </w:tc>
        <w:tc>
          <w:tcPr>
            <w:tcW w:w="913" w:type="dxa"/>
            <w:shd w:val="clear" w:color="auto" w:fill="auto"/>
            <w:vAlign w:val="center"/>
          </w:tcPr>
          <w:p w14:paraId="735893BD">
            <w:pPr>
              <w:jc w:val="center"/>
              <w:rPr>
                <w:color w:val="000000"/>
                <w:sz w:val="20"/>
              </w:rPr>
            </w:pPr>
            <w:r>
              <w:rPr>
                <w:color w:val="000000"/>
                <w:sz w:val="20"/>
              </w:rPr>
              <w:t>150</w:t>
            </w:r>
          </w:p>
        </w:tc>
        <w:tc>
          <w:tcPr>
            <w:tcW w:w="1441" w:type="dxa"/>
            <w:shd w:val="clear" w:color="auto" w:fill="auto"/>
            <w:vAlign w:val="center"/>
          </w:tcPr>
          <w:p w14:paraId="2828A170">
            <w:pPr>
              <w:jc w:val="center"/>
              <w:rPr>
                <w:color w:val="000000"/>
                <w:sz w:val="20"/>
              </w:rPr>
            </w:pPr>
            <w:r>
              <w:rPr>
                <w:color w:val="000000"/>
                <w:sz w:val="20"/>
              </w:rPr>
              <w:t>FRASCO</w:t>
            </w:r>
          </w:p>
        </w:tc>
        <w:tc>
          <w:tcPr>
            <w:tcW w:w="1230" w:type="dxa"/>
            <w:shd w:val="clear" w:color="auto" w:fill="auto"/>
            <w:vAlign w:val="center"/>
          </w:tcPr>
          <w:p w14:paraId="39C60F31">
            <w:pPr>
              <w:jc w:val="right"/>
              <w:rPr>
                <w:color w:val="000000"/>
                <w:sz w:val="20"/>
              </w:rPr>
            </w:pPr>
            <w:r>
              <w:rPr>
                <w:color w:val="000000"/>
                <w:sz w:val="20"/>
              </w:rPr>
              <w:t>67,82</w:t>
            </w:r>
          </w:p>
        </w:tc>
        <w:tc>
          <w:tcPr>
            <w:tcW w:w="1365" w:type="dxa"/>
            <w:gridSpan w:val="2"/>
            <w:shd w:val="clear" w:color="auto" w:fill="auto"/>
            <w:noWrap/>
            <w:vAlign w:val="center"/>
          </w:tcPr>
          <w:p w14:paraId="7E41ABE8">
            <w:pPr>
              <w:jc w:val="right"/>
              <w:rPr>
                <w:color w:val="000000"/>
                <w:sz w:val="20"/>
              </w:rPr>
            </w:pPr>
            <w:r>
              <w:rPr>
                <w:color w:val="000000"/>
                <w:sz w:val="20"/>
              </w:rPr>
              <w:t>10.173,00</w:t>
            </w:r>
          </w:p>
        </w:tc>
      </w:tr>
      <w:tr w14:paraId="078C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40F6051C">
            <w:pPr>
              <w:jc w:val="center"/>
              <w:rPr>
                <w:color w:val="000000"/>
                <w:sz w:val="20"/>
              </w:rPr>
            </w:pPr>
            <w:r>
              <w:rPr>
                <w:color w:val="000000"/>
                <w:sz w:val="20"/>
              </w:rPr>
              <w:t>9</w:t>
            </w:r>
          </w:p>
        </w:tc>
        <w:tc>
          <w:tcPr>
            <w:tcW w:w="3124" w:type="dxa"/>
            <w:shd w:val="clear" w:color="auto" w:fill="auto"/>
            <w:noWrap/>
            <w:vAlign w:val="center"/>
          </w:tcPr>
          <w:p w14:paraId="392ED658">
            <w:pPr>
              <w:jc w:val="both"/>
              <w:rPr>
                <w:color w:val="000000"/>
                <w:sz w:val="20"/>
              </w:rPr>
            </w:pPr>
            <w:r>
              <w:rPr>
                <w:color w:val="000000"/>
                <w:sz w:val="20"/>
              </w:rPr>
              <w:t>CETOPROFENO DE 50MG/ML, AMPOLA DE 2ML.</w:t>
            </w:r>
          </w:p>
        </w:tc>
        <w:tc>
          <w:tcPr>
            <w:tcW w:w="913" w:type="dxa"/>
            <w:shd w:val="clear" w:color="auto" w:fill="auto"/>
            <w:vAlign w:val="center"/>
          </w:tcPr>
          <w:p w14:paraId="54E1B945">
            <w:pPr>
              <w:jc w:val="center"/>
              <w:rPr>
                <w:color w:val="000000"/>
                <w:sz w:val="20"/>
              </w:rPr>
            </w:pPr>
            <w:r>
              <w:rPr>
                <w:color w:val="000000"/>
                <w:sz w:val="20"/>
              </w:rPr>
              <w:t>4500</w:t>
            </w:r>
          </w:p>
        </w:tc>
        <w:tc>
          <w:tcPr>
            <w:tcW w:w="1441" w:type="dxa"/>
            <w:shd w:val="clear" w:color="auto" w:fill="auto"/>
            <w:vAlign w:val="center"/>
          </w:tcPr>
          <w:p w14:paraId="728D7AF5">
            <w:pPr>
              <w:jc w:val="center"/>
              <w:rPr>
                <w:color w:val="000000"/>
                <w:sz w:val="20"/>
              </w:rPr>
            </w:pPr>
            <w:r>
              <w:rPr>
                <w:color w:val="000000"/>
                <w:sz w:val="20"/>
              </w:rPr>
              <w:t>AMPOLA</w:t>
            </w:r>
          </w:p>
        </w:tc>
        <w:tc>
          <w:tcPr>
            <w:tcW w:w="1230" w:type="dxa"/>
            <w:shd w:val="clear" w:color="auto" w:fill="auto"/>
            <w:vAlign w:val="center"/>
          </w:tcPr>
          <w:p w14:paraId="38B3029D">
            <w:pPr>
              <w:jc w:val="right"/>
              <w:rPr>
                <w:color w:val="000000"/>
                <w:sz w:val="20"/>
              </w:rPr>
            </w:pPr>
            <w:r>
              <w:rPr>
                <w:color w:val="000000"/>
                <w:sz w:val="20"/>
              </w:rPr>
              <w:t>3,18</w:t>
            </w:r>
          </w:p>
        </w:tc>
        <w:tc>
          <w:tcPr>
            <w:tcW w:w="1365" w:type="dxa"/>
            <w:gridSpan w:val="2"/>
            <w:shd w:val="clear" w:color="auto" w:fill="auto"/>
            <w:noWrap/>
            <w:vAlign w:val="center"/>
          </w:tcPr>
          <w:p w14:paraId="46781362">
            <w:pPr>
              <w:jc w:val="right"/>
              <w:rPr>
                <w:color w:val="000000"/>
                <w:sz w:val="20"/>
              </w:rPr>
            </w:pPr>
            <w:r>
              <w:rPr>
                <w:color w:val="000000"/>
                <w:sz w:val="20"/>
              </w:rPr>
              <w:t>14.310,00</w:t>
            </w:r>
          </w:p>
        </w:tc>
      </w:tr>
      <w:tr w14:paraId="09D6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2F97A9AF">
            <w:pPr>
              <w:jc w:val="center"/>
              <w:rPr>
                <w:color w:val="000000"/>
                <w:sz w:val="20"/>
              </w:rPr>
            </w:pPr>
            <w:r>
              <w:rPr>
                <w:color w:val="000000"/>
                <w:sz w:val="20"/>
              </w:rPr>
              <w:t>10</w:t>
            </w:r>
          </w:p>
        </w:tc>
        <w:tc>
          <w:tcPr>
            <w:tcW w:w="3124" w:type="dxa"/>
            <w:shd w:val="clear" w:color="auto" w:fill="auto"/>
            <w:noWrap/>
            <w:vAlign w:val="center"/>
          </w:tcPr>
          <w:p w14:paraId="68556DB2">
            <w:pPr>
              <w:jc w:val="both"/>
              <w:rPr>
                <w:color w:val="000000"/>
                <w:sz w:val="20"/>
              </w:rPr>
            </w:pPr>
            <w:r>
              <w:rPr>
                <w:color w:val="000000"/>
                <w:sz w:val="20"/>
              </w:rPr>
              <w:t>CETOPROFENO DE 100MG, PÓ LIOFILO P/INJ.</w:t>
            </w:r>
          </w:p>
        </w:tc>
        <w:tc>
          <w:tcPr>
            <w:tcW w:w="913" w:type="dxa"/>
            <w:shd w:val="clear" w:color="auto" w:fill="auto"/>
            <w:vAlign w:val="center"/>
          </w:tcPr>
          <w:p w14:paraId="305E3EAD">
            <w:pPr>
              <w:jc w:val="center"/>
              <w:rPr>
                <w:color w:val="000000"/>
                <w:sz w:val="20"/>
              </w:rPr>
            </w:pPr>
            <w:r>
              <w:rPr>
                <w:color w:val="000000"/>
                <w:sz w:val="20"/>
              </w:rPr>
              <w:t>8000</w:t>
            </w:r>
          </w:p>
        </w:tc>
        <w:tc>
          <w:tcPr>
            <w:tcW w:w="1441" w:type="dxa"/>
            <w:shd w:val="clear" w:color="auto" w:fill="auto"/>
            <w:vAlign w:val="center"/>
          </w:tcPr>
          <w:p w14:paraId="2A9733BD">
            <w:pPr>
              <w:jc w:val="center"/>
              <w:rPr>
                <w:color w:val="000000"/>
                <w:sz w:val="20"/>
              </w:rPr>
            </w:pPr>
            <w:r>
              <w:rPr>
                <w:color w:val="000000"/>
                <w:sz w:val="20"/>
              </w:rPr>
              <w:t>AMPOLA</w:t>
            </w:r>
          </w:p>
        </w:tc>
        <w:tc>
          <w:tcPr>
            <w:tcW w:w="1230" w:type="dxa"/>
            <w:shd w:val="clear" w:color="auto" w:fill="auto"/>
            <w:vAlign w:val="center"/>
          </w:tcPr>
          <w:p w14:paraId="05A898AE">
            <w:pPr>
              <w:jc w:val="right"/>
              <w:rPr>
                <w:color w:val="000000"/>
                <w:sz w:val="20"/>
              </w:rPr>
            </w:pPr>
            <w:r>
              <w:rPr>
                <w:color w:val="000000"/>
                <w:sz w:val="20"/>
              </w:rPr>
              <w:t>5,84</w:t>
            </w:r>
          </w:p>
        </w:tc>
        <w:tc>
          <w:tcPr>
            <w:tcW w:w="1365" w:type="dxa"/>
            <w:gridSpan w:val="2"/>
            <w:shd w:val="clear" w:color="auto" w:fill="auto"/>
            <w:noWrap/>
            <w:vAlign w:val="center"/>
          </w:tcPr>
          <w:p w14:paraId="2FF5F579">
            <w:pPr>
              <w:jc w:val="right"/>
              <w:rPr>
                <w:color w:val="000000"/>
                <w:sz w:val="20"/>
              </w:rPr>
            </w:pPr>
            <w:r>
              <w:rPr>
                <w:color w:val="000000"/>
                <w:sz w:val="20"/>
              </w:rPr>
              <w:t>46.720,00</w:t>
            </w:r>
          </w:p>
        </w:tc>
      </w:tr>
      <w:tr w14:paraId="4D37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147C9483">
            <w:pPr>
              <w:jc w:val="center"/>
              <w:rPr>
                <w:color w:val="000000"/>
                <w:sz w:val="20"/>
              </w:rPr>
            </w:pPr>
            <w:r>
              <w:rPr>
                <w:color w:val="000000"/>
                <w:sz w:val="20"/>
              </w:rPr>
              <w:t>11</w:t>
            </w:r>
          </w:p>
        </w:tc>
        <w:tc>
          <w:tcPr>
            <w:tcW w:w="3124" w:type="dxa"/>
            <w:shd w:val="clear" w:color="auto" w:fill="auto"/>
            <w:noWrap/>
            <w:vAlign w:val="center"/>
          </w:tcPr>
          <w:p w14:paraId="0A5A2C1A">
            <w:pPr>
              <w:jc w:val="both"/>
              <w:rPr>
                <w:color w:val="000000"/>
                <w:sz w:val="20"/>
              </w:rPr>
            </w:pPr>
            <w:r>
              <w:rPr>
                <w:color w:val="000000"/>
                <w:sz w:val="20"/>
              </w:rPr>
              <w:t>CIPROFLOXACINO CLORIDRATO, DOSAGEM 2 MG/ML, APRESENTAÇÃO SOLUÇÃO INJETÁVEL, BOLSA DE 100 ML.</w:t>
            </w:r>
          </w:p>
        </w:tc>
        <w:tc>
          <w:tcPr>
            <w:tcW w:w="913" w:type="dxa"/>
            <w:shd w:val="clear" w:color="auto" w:fill="auto"/>
            <w:vAlign w:val="center"/>
          </w:tcPr>
          <w:p w14:paraId="405A9200">
            <w:pPr>
              <w:jc w:val="center"/>
              <w:rPr>
                <w:color w:val="000000"/>
                <w:sz w:val="20"/>
              </w:rPr>
            </w:pPr>
            <w:r>
              <w:rPr>
                <w:color w:val="000000"/>
                <w:sz w:val="20"/>
              </w:rPr>
              <w:t>2000</w:t>
            </w:r>
          </w:p>
        </w:tc>
        <w:tc>
          <w:tcPr>
            <w:tcW w:w="1441" w:type="dxa"/>
            <w:shd w:val="clear" w:color="auto" w:fill="auto"/>
            <w:vAlign w:val="center"/>
          </w:tcPr>
          <w:p w14:paraId="6D9FD873">
            <w:pPr>
              <w:jc w:val="center"/>
              <w:rPr>
                <w:color w:val="000000"/>
                <w:sz w:val="20"/>
              </w:rPr>
            </w:pPr>
            <w:r>
              <w:rPr>
                <w:color w:val="000000"/>
                <w:sz w:val="20"/>
              </w:rPr>
              <w:t>BOLSA</w:t>
            </w:r>
          </w:p>
        </w:tc>
        <w:tc>
          <w:tcPr>
            <w:tcW w:w="1230" w:type="dxa"/>
            <w:shd w:val="clear" w:color="auto" w:fill="auto"/>
            <w:vAlign w:val="center"/>
          </w:tcPr>
          <w:p w14:paraId="283F9470">
            <w:pPr>
              <w:jc w:val="right"/>
              <w:rPr>
                <w:color w:val="000000"/>
                <w:sz w:val="20"/>
              </w:rPr>
            </w:pPr>
            <w:r>
              <w:rPr>
                <w:color w:val="000000"/>
                <w:sz w:val="20"/>
              </w:rPr>
              <w:t>15,44</w:t>
            </w:r>
          </w:p>
        </w:tc>
        <w:tc>
          <w:tcPr>
            <w:tcW w:w="1365" w:type="dxa"/>
            <w:gridSpan w:val="2"/>
            <w:shd w:val="clear" w:color="auto" w:fill="auto"/>
            <w:noWrap/>
            <w:vAlign w:val="center"/>
          </w:tcPr>
          <w:p w14:paraId="2A2E4C74">
            <w:pPr>
              <w:jc w:val="right"/>
              <w:rPr>
                <w:color w:val="000000"/>
                <w:sz w:val="20"/>
              </w:rPr>
            </w:pPr>
            <w:r>
              <w:rPr>
                <w:color w:val="000000"/>
                <w:sz w:val="20"/>
              </w:rPr>
              <w:t>30.880,00</w:t>
            </w:r>
          </w:p>
        </w:tc>
      </w:tr>
      <w:tr w14:paraId="57EE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6FF5C5EB">
            <w:pPr>
              <w:jc w:val="center"/>
              <w:rPr>
                <w:color w:val="000000"/>
                <w:sz w:val="20"/>
              </w:rPr>
            </w:pPr>
            <w:r>
              <w:rPr>
                <w:color w:val="000000"/>
                <w:sz w:val="20"/>
              </w:rPr>
              <w:t>12</w:t>
            </w:r>
          </w:p>
        </w:tc>
        <w:tc>
          <w:tcPr>
            <w:tcW w:w="3124" w:type="dxa"/>
            <w:shd w:val="clear" w:color="auto" w:fill="auto"/>
            <w:noWrap/>
            <w:vAlign w:val="center"/>
          </w:tcPr>
          <w:p w14:paraId="42B6ADAD">
            <w:pPr>
              <w:jc w:val="both"/>
              <w:rPr>
                <w:color w:val="000000"/>
                <w:sz w:val="20"/>
              </w:rPr>
            </w:pPr>
            <w:r>
              <w:rPr>
                <w:color w:val="000000"/>
                <w:sz w:val="20"/>
              </w:rPr>
              <w:t>DESLANÓSIDO, DOSAGEM 0,2 MG/ML, APRESENTAÇÃO SOLUÇÃO INJETÁVEL, AMPOLA DE 2 ML.</w:t>
            </w:r>
          </w:p>
        </w:tc>
        <w:tc>
          <w:tcPr>
            <w:tcW w:w="913" w:type="dxa"/>
            <w:shd w:val="clear" w:color="auto" w:fill="auto"/>
            <w:vAlign w:val="center"/>
          </w:tcPr>
          <w:p w14:paraId="75318F80">
            <w:pPr>
              <w:jc w:val="center"/>
              <w:rPr>
                <w:color w:val="000000"/>
                <w:sz w:val="20"/>
              </w:rPr>
            </w:pPr>
            <w:r>
              <w:rPr>
                <w:color w:val="000000"/>
                <w:sz w:val="20"/>
              </w:rPr>
              <w:t>1500</w:t>
            </w:r>
          </w:p>
        </w:tc>
        <w:tc>
          <w:tcPr>
            <w:tcW w:w="1441" w:type="dxa"/>
            <w:shd w:val="clear" w:color="auto" w:fill="auto"/>
            <w:vAlign w:val="center"/>
          </w:tcPr>
          <w:p w14:paraId="095B108C">
            <w:pPr>
              <w:jc w:val="center"/>
              <w:rPr>
                <w:color w:val="000000"/>
                <w:sz w:val="20"/>
              </w:rPr>
            </w:pPr>
            <w:r>
              <w:rPr>
                <w:color w:val="000000"/>
                <w:sz w:val="20"/>
              </w:rPr>
              <w:t>AMPOLA</w:t>
            </w:r>
          </w:p>
        </w:tc>
        <w:tc>
          <w:tcPr>
            <w:tcW w:w="1230" w:type="dxa"/>
            <w:shd w:val="clear" w:color="auto" w:fill="auto"/>
            <w:vAlign w:val="center"/>
          </w:tcPr>
          <w:p w14:paraId="059685D5">
            <w:pPr>
              <w:jc w:val="right"/>
              <w:rPr>
                <w:color w:val="000000"/>
                <w:sz w:val="20"/>
              </w:rPr>
            </w:pPr>
            <w:r>
              <w:rPr>
                <w:color w:val="000000"/>
                <w:sz w:val="20"/>
              </w:rPr>
              <w:t>4,86</w:t>
            </w:r>
          </w:p>
        </w:tc>
        <w:tc>
          <w:tcPr>
            <w:tcW w:w="1365" w:type="dxa"/>
            <w:gridSpan w:val="2"/>
            <w:shd w:val="clear" w:color="auto" w:fill="auto"/>
            <w:noWrap/>
            <w:vAlign w:val="center"/>
          </w:tcPr>
          <w:p w14:paraId="7A98EDFA">
            <w:pPr>
              <w:jc w:val="right"/>
              <w:rPr>
                <w:color w:val="000000"/>
                <w:sz w:val="20"/>
              </w:rPr>
            </w:pPr>
            <w:r>
              <w:rPr>
                <w:color w:val="000000"/>
                <w:sz w:val="20"/>
              </w:rPr>
              <w:t>7.290,00</w:t>
            </w:r>
          </w:p>
        </w:tc>
      </w:tr>
      <w:tr w14:paraId="714C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778237A1">
            <w:pPr>
              <w:jc w:val="center"/>
              <w:rPr>
                <w:color w:val="000000"/>
                <w:sz w:val="20"/>
              </w:rPr>
            </w:pPr>
            <w:r>
              <w:rPr>
                <w:color w:val="000000"/>
                <w:sz w:val="20"/>
              </w:rPr>
              <w:t>13</w:t>
            </w:r>
          </w:p>
        </w:tc>
        <w:tc>
          <w:tcPr>
            <w:tcW w:w="3124" w:type="dxa"/>
            <w:shd w:val="clear" w:color="auto" w:fill="auto"/>
            <w:noWrap/>
            <w:vAlign w:val="center"/>
          </w:tcPr>
          <w:p w14:paraId="599D0DAE">
            <w:pPr>
              <w:jc w:val="both"/>
              <w:rPr>
                <w:color w:val="000000"/>
                <w:sz w:val="20"/>
              </w:rPr>
            </w:pPr>
            <w:r>
              <w:rPr>
                <w:color w:val="000000"/>
                <w:sz w:val="20"/>
              </w:rPr>
              <w:t>DEXAMETASONA, CONCENTRAÇÃO 2 MG/ML, FORMA FARMACÊUTICA SOLUÇÃO INJETÁVEL, AMPOLA COM 1 ML.</w:t>
            </w:r>
          </w:p>
        </w:tc>
        <w:tc>
          <w:tcPr>
            <w:tcW w:w="913" w:type="dxa"/>
            <w:shd w:val="clear" w:color="auto" w:fill="auto"/>
            <w:vAlign w:val="center"/>
          </w:tcPr>
          <w:p w14:paraId="79229F27">
            <w:pPr>
              <w:jc w:val="center"/>
              <w:rPr>
                <w:color w:val="000000"/>
                <w:sz w:val="20"/>
              </w:rPr>
            </w:pPr>
            <w:r>
              <w:rPr>
                <w:color w:val="000000"/>
                <w:sz w:val="20"/>
              </w:rPr>
              <w:t>4500</w:t>
            </w:r>
          </w:p>
        </w:tc>
        <w:tc>
          <w:tcPr>
            <w:tcW w:w="1441" w:type="dxa"/>
            <w:shd w:val="clear" w:color="auto" w:fill="auto"/>
            <w:vAlign w:val="center"/>
          </w:tcPr>
          <w:p w14:paraId="40409E4B">
            <w:pPr>
              <w:jc w:val="center"/>
              <w:rPr>
                <w:color w:val="000000"/>
                <w:sz w:val="20"/>
              </w:rPr>
            </w:pPr>
            <w:r>
              <w:rPr>
                <w:color w:val="000000"/>
                <w:sz w:val="20"/>
              </w:rPr>
              <w:t>AMPOLA</w:t>
            </w:r>
          </w:p>
        </w:tc>
        <w:tc>
          <w:tcPr>
            <w:tcW w:w="1230" w:type="dxa"/>
            <w:shd w:val="clear" w:color="auto" w:fill="auto"/>
            <w:vAlign w:val="center"/>
          </w:tcPr>
          <w:p w14:paraId="0A05784B">
            <w:pPr>
              <w:jc w:val="right"/>
              <w:rPr>
                <w:color w:val="000000"/>
                <w:sz w:val="20"/>
              </w:rPr>
            </w:pPr>
            <w:r>
              <w:rPr>
                <w:color w:val="000000"/>
                <w:sz w:val="20"/>
              </w:rPr>
              <w:t>2,42</w:t>
            </w:r>
          </w:p>
        </w:tc>
        <w:tc>
          <w:tcPr>
            <w:tcW w:w="1365" w:type="dxa"/>
            <w:gridSpan w:val="2"/>
            <w:shd w:val="clear" w:color="auto" w:fill="auto"/>
            <w:noWrap/>
            <w:vAlign w:val="center"/>
          </w:tcPr>
          <w:p w14:paraId="0EE48EF2">
            <w:pPr>
              <w:jc w:val="right"/>
              <w:rPr>
                <w:color w:val="000000"/>
                <w:sz w:val="20"/>
              </w:rPr>
            </w:pPr>
            <w:r>
              <w:rPr>
                <w:color w:val="000000"/>
                <w:sz w:val="20"/>
              </w:rPr>
              <w:t>10.890,00</w:t>
            </w:r>
          </w:p>
        </w:tc>
      </w:tr>
      <w:tr w14:paraId="7490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200FD00E">
            <w:pPr>
              <w:jc w:val="center"/>
              <w:rPr>
                <w:color w:val="000000"/>
                <w:sz w:val="20"/>
              </w:rPr>
            </w:pPr>
            <w:r>
              <w:rPr>
                <w:color w:val="000000"/>
                <w:sz w:val="20"/>
              </w:rPr>
              <w:t>14</w:t>
            </w:r>
          </w:p>
        </w:tc>
        <w:tc>
          <w:tcPr>
            <w:tcW w:w="3124" w:type="dxa"/>
            <w:shd w:val="clear" w:color="auto" w:fill="auto"/>
            <w:noWrap/>
            <w:vAlign w:val="center"/>
          </w:tcPr>
          <w:p w14:paraId="19AD700C">
            <w:pPr>
              <w:jc w:val="both"/>
              <w:rPr>
                <w:color w:val="000000"/>
                <w:sz w:val="20"/>
              </w:rPr>
            </w:pPr>
            <w:r>
              <w:rPr>
                <w:color w:val="000000"/>
                <w:sz w:val="20"/>
              </w:rPr>
              <w:t>DEXAMETASONA, DOSAGEM 4 MG/ML, FORMA FARMACÊUTICA SOLUÇÃO INJETÁVEL, AMPOLA 2,5ML.</w:t>
            </w:r>
          </w:p>
        </w:tc>
        <w:tc>
          <w:tcPr>
            <w:tcW w:w="913" w:type="dxa"/>
            <w:shd w:val="clear" w:color="auto" w:fill="auto"/>
            <w:vAlign w:val="center"/>
          </w:tcPr>
          <w:p w14:paraId="2DB0305C">
            <w:pPr>
              <w:jc w:val="center"/>
              <w:rPr>
                <w:color w:val="000000"/>
                <w:sz w:val="20"/>
              </w:rPr>
            </w:pPr>
            <w:r>
              <w:rPr>
                <w:color w:val="000000"/>
                <w:sz w:val="20"/>
              </w:rPr>
              <w:t>15000</w:t>
            </w:r>
          </w:p>
        </w:tc>
        <w:tc>
          <w:tcPr>
            <w:tcW w:w="1441" w:type="dxa"/>
            <w:shd w:val="clear" w:color="auto" w:fill="auto"/>
            <w:vAlign w:val="center"/>
          </w:tcPr>
          <w:p w14:paraId="5B3C1582">
            <w:pPr>
              <w:jc w:val="center"/>
              <w:rPr>
                <w:color w:val="000000"/>
                <w:sz w:val="20"/>
              </w:rPr>
            </w:pPr>
            <w:r>
              <w:rPr>
                <w:color w:val="000000"/>
                <w:sz w:val="20"/>
              </w:rPr>
              <w:t>AMPOLA</w:t>
            </w:r>
          </w:p>
        </w:tc>
        <w:tc>
          <w:tcPr>
            <w:tcW w:w="1230" w:type="dxa"/>
            <w:shd w:val="clear" w:color="auto" w:fill="auto"/>
            <w:vAlign w:val="center"/>
          </w:tcPr>
          <w:p w14:paraId="2B11FF22">
            <w:pPr>
              <w:jc w:val="right"/>
              <w:rPr>
                <w:color w:val="000000"/>
                <w:sz w:val="20"/>
              </w:rPr>
            </w:pPr>
            <w:r>
              <w:rPr>
                <w:color w:val="000000"/>
                <w:sz w:val="20"/>
              </w:rPr>
              <w:t>3,75</w:t>
            </w:r>
          </w:p>
        </w:tc>
        <w:tc>
          <w:tcPr>
            <w:tcW w:w="1365" w:type="dxa"/>
            <w:gridSpan w:val="2"/>
            <w:shd w:val="clear" w:color="auto" w:fill="auto"/>
            <w:noWrap/>
            <w:vAlign w:val="center"/>
          </w:tcPr>
          <w:p w14:paraId="6C758C32">
            <w:pPr>
              <w:jc w:val="right"/>
              <w:rPr>
                <w:color w:val="000000"/>
                <w:sz w:val="20"/>
              </w:rPr>
            </w:pPr>
            <w:r>
              <w:rPr>
                <w:color w:val="000000"/>
                <w:sz w:val="20"/>
              </w:rPr>
              <w:t>56.250,00</w:t>
            </w:r>
          </w:p>
        </w:tc>
      </w:tr>
      <w:tr w14:paraId="79EB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853" w:type="dxa"/>
            <w:shd w:val="clear" w:color="auto" w:fill="auto"/>
            <w:vAlign w:val="center"/>
          </w:tcPr>
          <w:p w14:paraId="60D93A9D">
            <w:pPr>
              <w:jc w:val="center"/>
              <w:rPr>
                <w:color w:val="000000"/>
                <w:sz w:val="20"/>
              </w:rPr>
            </w:pPr>
            <w:r>
              <w:rPr>
                <w:color w:val="000000"/>
                <w:sz w:val="20"/>
              </w:rPr>
              <w:t>15</w:t>
            </w:r>
          </w:p>
        </w:tc>
        <w:tc>
          <w:tcPr>
            <w:tcW w:w="3124" w:type="dxa"/>
            <w:shd w:val="clear" w:color="auto" w:fill="auto"/>
            <w:noWrap/>
            <w:vAlign w:val="center"/>
          </w:tcPr>
          <w:p w14:paraId="08AA950C">
            <w:pPr>
              <w:jc w:val="both"/>
              <w:rPr>
                <w:color w:val="000000"/>
                <w:sz w:val="20"/>
              </w:rPr>
            </w:pPr>
            <w:r>
              <w:rPr>
                <w:color w:val="000000"/>
                <w:sz w:val="20"/>
              </w:rPr>
              <w:t>DICLOFENACO, COMPOSIÇÃO SAL RESINATO, CONCENTRAÇÃO 15 MG/ML, FORMA FARMACÊUTICA SUSPENSÃO ORAL - GOTAS, FRASCO DE 20 ML.</w:t>
            </w:r>
          </w:p>
        </w:tc>
        <w:tc>
          <w:tcPr>
            <w:tcW w:w="913" w:type="dxa"/>
            <w:shd w:val="clear" w:color="auto" w:fill="auto"/>
            <w:vAlign w:val="center"/>
          </w:tcPr>
          <w:p w14:paraId="13249214">
            <w:pPr>
              <w:jc w:val="center"/>
              <w:rPr>
                <w:color w:val="000000"/>
                <w:sz w:val="20"/>
              </w:rPr>
            </w:pPr>
            <w:r>
              <w:rPr>
                <w:color w:val="000000"/>
                <w:sz w:val="20"/>
              </w:rPr>
              <w:t>200</w:t>
            </w:r>
          </w:p>
        </w:tc>
        <w:tc>
          <w:tcPr>
            <w:tcW w:w="1441" w:type="dxa"/>
            <w:shd w:val="clear" w:color="auto" w:fill="auto"/>
            <w:vAlign w:val="center"/>
          </w:tcPr>
          <w:p w14:paraId="7D04BCE3">
            <w:pPr>
              <w:jc w:val="center"/>
              <w:rPr>
                <w:color w:val="000000"/>
                <w:sz w:val="20"/>
              </w:rPr>
            </w:pPr>
            <w:r>
              <w:rPr>
                <w:color w:val="000000"/>
                <w:sz w:val="20"/>
              </w:rPr>
              <w:t>FRASCO</w:t>
            </w:r>
          </w:p>
        </w:tc>
        <w:tc>
          <w:tcPr>
            <w:tcW w:w="1230" w:type="dxa"/>
            <w:shd w:val="clear" w:color="auto" w:fill="auto"/>
            <w:vAlign w:val="center"/>
          </w:tcPr>
          <w:p w14:paraId="39CF5670">
            <w:pPr>
              <w:jc w:val="right"/>
              <w:rPr>
                <w:color w:val="000000"/>
                <w:sz w:val="20"/>
              </w:rPr>
            </w:pPr>
            <w:r>
              <w:rPr>
                <w:color w:val="000000"/>
                <w:sz w:val="20"/>
              </w:rPr>
              <w:t>4,39</w:t>
            </w:r>
          </w:p>
        </w:tc>
        <w:tc>
          <w:tcPr>
            <w:tcW w:w="1365" w:type="dxa"/>
            <w:gridSpan w:val="2"/>
            <w:shd w:val="clear" w:color="auto" w:fill="auto"/>
            <w:noWrap/>
            <w:vAlign w:val="center"/>
          </w:tcPr>
          <w:p w14:paraId="6233D7D5">
            <w:pPr>
              <w:jc w:val="right"/>
              <w:rPr>
                <w:color w:val="000000"/>
                <w:sz w:val="20"/>
              </w:rPr>
            </w:pPr>
            <w:r>
              <w:rPr>
                <w:color w:val="000000"/>
                <w:sz w:val="20"/>
              </w:rPr>
              <w:t>878,00</w:t>
            </w:r>
          </w:p>
        </w:tc>
      </w:tr>
      <w:tr w14:paraId="22FA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6D24868D">
            <w:pPr>
              <w:jc w:val="center"/>
              <w:rPr>
                <w:color w:val="000000"/>
                <w:sz w:val="20"/>
              </w:rPr>
            </w:pPr>
            <w:r>
              <w:rPr>
                <w:color w:val="000000"/>
                <w:sz w:val="20"/>
              </w:rPr>
              <w:t>16</w:t>
            </w:r>
          </w:p>
        </w:tc>
        <w:tc>
          <w:tcPr>
            <w:tcW w:w="3124" w:type="dxa"/>
            <w:shd w:val="clear" w:color="auto" w:fill="auto"/>
            <w:noWrap/>
            <w:vAlign w:val="center"/>
          </w:tcPr>
          <w:p w14:paraId="2D4ABECB">
            <w:pPr>
              <w:jc w:val="both"/>
              <w:rPr>
                <w:color w:val="000000"/>
                <w:sz w:val="20"/>
              </w:rPr>
            </w:pPr>
            <w:r>
              <w:rPr>
                <w:color w:val="000000"/>
                <w:sz w:val="20"/>
              </w:rPr>
              <w:t>DIMETICONA, CONCENTRAÇÃO 75 MG/ML, FORMA FARMACEUTICA EMULSÃO ORAL- GOTAS, FRASCO DE COM NO MINIMO 10 ML.</w:t>
            </w:r>
          </w:p>
        </w:tc>
        <w:tc>
          <w:tcPr>
            <w:tcW w:w="913" w:type="dxa"/>
            <w:shd w:val="clear" w:color="auto" w:fill="auto"/>
            <w:vAlign w:val="center"/>
          </w:tcPr>
          <w:p w14:paraId="2786370E">
            <w:pPr>
              <w:jc w:val="center"/>
              <w:rPr>
                <w:color w:val="000000"/>
                <w:sz w:val="20"/>
              </w:rPr>
            </w:pPr>
            <w:r>
              <w:rPr>
                <w:color w:val="000000"/>
                <w:sz w:val="20"/>
              </w:rPr>
              <w:t>400</w:t>
            </w:r>
          </w:p>
        </w:tc>
        <w:tc>
          <w:tcPr>
            <w:tcW w:w="1441" w:type="dxa"/>
            <w:shd w:val="clear" w:color="auto" w:fill="auto"/>
            <w:vAlign w:val="center"/>
          </w:tcPr>
          <w:p w14:paraId="62FAEE99">
            <w:pPr>
              <w:jc w:val="center"/>
              <w:rPr>
                <w:color w:val="000000"/>
                <w:sz w:val="20"/>
              </w:rPr>
            </w:pPr>
            <w:r>
              <w:rPr>
                <w:color w:val="000000"/>
                <w:sz w:val="20"/>
              </w:rPr>
              <w:t>FRASCO</w:t>
            </w:r>
          </w:p>
        </w:tc>
        <w:tc>
          <w:tcPr>
            <w:tcW w:w="1230" w:type="dxa"/>
            <w:shd w:val="clear" w:color="auto" w:fill="auto"/>
            <w:vAlign w:val="center"/>
          </w:tcPr>
          <w:p w14:paraId="4FA04D9B">
            <w:pPr>
              <w:jc w:val="right"/>
              <w:rPr>
                <w:color w:val="000000"/>
                <w:sz w:val="20"/>
              </w:rPr>
            </w:pPr>
            <w:r>
              <w:rPr>
                <w:color w:val="000000"/>
                <w:sz w:val="20"/>
              </w:rPr>
              <w:t>2,57</w:t>
            </w:r>
          </w:p>
        </w:tc>
        <w:tc>
          <w:tcPr>
            <w:tcW w:w="1365" w:type="dxa"/>
            <w:gridSpan w:val="2"/>
            <w:shd w:val="clear" w:color="auto" w:fill="auto"/>
            <w:noWrap/>
            <w:vAlign w:val="center"/>
          </w:tcPr>
          <w:p w14:paraId="53CE0DF9">
            <w:pPr>
              <w:jc w:val="right"/>
              <w:rPr>
                <w:color w:val="000000"/>
                <w:sz w:val="20"/>
              </w:rPr>
            </w:pPr>
            <w:r>
              <w:rPr>
                <w:color w:val="000000"/>
                <w:sz w:val="20"/>
              </w:rPr>
              <w:t>1.028,00</w:t>
            </w:r>
          </w:p>
        </w:tc>
      </w:tr>
      <w:tr w14:paraId="35E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0CB27A83">
            <w:pPr>
              <w:jc w:val="center"/>
              <w:rPr>
                <w:color w:val="000000"/>
                <w:sz w:val="20"/>
              </w:rPr>
            </w:pPr>
            <w:r>
              <w:rPr>
                <w:color w:val="000000"/>
                <w:sz w:val="20"/>
              </w:rPr>
              <w:t>17</w:t>
            </w:r>
          </w:p>
        </w:tc>
        <w:tc>
          <w:tcPr>
            <w:tcW w:w="3124" w:type="dxa"/>
            <w:shd w:val="clear" w:color="auto" w:fill="auto"/>
            <w:noWrap/>
            <w:vAlign w:val="center"/>
          </w:tcPr>
          <w:p w14:paraId="36129F93">
            <w:pPr>
              <w:jc w:val="both"/>
              <w:rPr>
                <w:color w:val="000000"/>
                <w:sz w:val="20"/>
              </w:rPr>
            </w:pPr>
            <w:r>
              <w:rPr>
                <w:color w:val="000000"/>
                <w:sz w:val="20"/>
              </w:rPr>
              <w:t>DIPIRONA SÓDICA, CONCENTRAÇÃO 1G, AMPOLA COM 2 ML.</w:t>
            </w:r>
          </w:p>
        </w:tc>
        <w:tc>
          <w:tcPr>
            <w:tcW w:w="913" w:type="dxa"/>
            <w:shd w:val="clear" w:color="auto" w:fill="auto"/>
            <w:vAlign w:val="center"/>
          </w:tcPr>
          <w:p w14:paraId="038095C9">
            <w:pPr>
              <w:jc w:val="center"/>
              <w:rPr>
                <w:color w:val="000000"/>
                <w:sz w:val="20"/>
              </w:rPr>
            </w:pPr>
            <w:r>
              <w:rPr>
                <w:color w:val="000000"/>
                <w:sz w:val="20"/>
              </w:rPr>
              <w:t>15000</w:t>
            </w:r>
          </w:p>
        </w:tc>
        <w:tc>
          <w:tcPr>
            <w:tcW w:w="1441" w:type="dxa"/>
            <w:shd w:val="clear" w:color="auto" w:fill="auto"/>
            <w:vAlign w:val="center"/>
          </w:tcPr>
          <w:p w14:paraId="76FEE927">
            <w:pPr>
              <w:jc w:val="center"/>
              <w:rPr>
                <w:color w:val="000000"/>
                <w:sz w:val="20"/>
              </w:rPr>
            </w:pPr>
            <w:r>
              <w:rPr>
                <w:color w:val="000000"/>
                <w:sz w:val="20"/>
              </w:rPr>
              <w:t>AMPOLA</w:t>
            </w:r>
          </w:p>
        </w:tc>
        <w:tc>
          <w:tcPr>
            <w:tcW w:w="1230" w:type="dxa"/>
            <w:shd w:val="clear" w:color="auto" w:fill="auto"/>
            <w:vAlign w:val="center"/>
          </w:tcPr>
          <w:p w14:paraId="2C4372A8">
            <w:pPr>
              <w:jc w:val="right"/>
              <w:rPr>
                <w:color w:val="000000"/>
                <w:sz w:val="20"/>
              </w:rPr>
            </w:pPr>
            <w:r>
              <w:rPr>
                <w:color w:val="000000"/>
                <w:sz w:val="20"/>
              </w:rPr>
              <w:t>1,64</w:t>
            </w:r>
          </w:p>
        </w:tc>
        <w:tc>
          <w:tcPr>
            <w:tcW w:w="1365" w:type="dxa"/>
            <w:gridSpan w:val="2"/>
            <w:shd w:val="clear" w:color="auto" w:fill="auto"/>
            <w:noWrap/>
            <w:vAlign w:val="center"/>
          </w:tcPr>
          <w:p w14:paraId="329269AE">
            <w:pPr>
              <w:jc w:val="right"/>
              <w:rPr>
                <w:color w:val="000000"/>
                <w:sz w:val="20"/>
              </w:rPr>
            </w:pPr>
            <w:r>
              <w:rPr>
                <w:color w:val="000000"/>
                <w:sz w:val="20"/>
              </w:rPr>
              <w:t>24.600,00</w:t>
            </w:r>
          </w:p>
        </w:tc>
      </w:tr>
      <w:tr w14:paraId="6A5D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5F1D1975">
            <w:pPr>
              <w:jc w:val="center"/>
              <w:rPr>
                <w:color w:val="000000"/>
                <w:sz w:val="20"/>
              </w:rPr>
            </w:pPr>
            <w:r>
              <w:rPr>
                <w:color w:val="000000"/>
                <w:sz w:val="20"/>
              </w:rPr>
              <w:t>18</w:t>
            </w:r>
          </w:p>
        </w:tc>
        <w:tc>
          <w:tcPr>
            <w:tcW w:w="3124" w:type="dxa"/>
            <w:shd w:val="clear" w:color="auto" w:fill="auto"/>
            <w:noWrap/>
            <w:vAlign w:val="center"/>
          </w:tcPr>
          <w:p w14:paraId="7A66947D">
            <w:pPr>
              <w:jc w:val="both"/>
              <w:rPr>
                <w:color w:val="000000"/>
                <w:sz w:val="20"/>
              </w:rPr>
            </w:pPr>
            <w:r>
              <w:rPr>
                <w:color w:val="000000"/>
                <w:sz w:val="20"/>
              </w:rPr>
              <w:t>DIPIRONA SÓDICA, DOSAGEM 500 MG/ML, APRESENTAÇÃO SOLUÇÃO ORAL (GOTAS), FRASCO DE 10 ML.</w:t>
            </w:r>
          </w:p>
        </w:tc>
        <w:tc>
          <w:tcPr>
            <w:tcW w:w="913" w:type="dxa"/>
            <w:shd w:val="clear" w:color="auto" w:fill="auto"/>
            <w:vAlign w:val="center"/>
          </w:tcPr>
          <w:p w14:paraId="4C5B6A55">
            <w:pPr>
              <w:jc w:val="center"/>
              <w:rPr>
                <w:color w:val="000000"/>
                <w:sz w:val="20"/>
              </w:rPr>
            </w:pPr>
            <w:r>
              <w:rPr>
                <w:color w:val="000000"/>
                <w:sz w:val="20"/>
              </w:rPr>
              <w:t>300</w:t>
            </w:r>
          </w:p>
        </w:tc>
        <w:tc>
          <w:tcPr>
            <w:tcW w:w="1441" w:type="dxa"/>
            <w:shd w:val="clear" w:color="auto" w:fill="auto"/>
            <w:vAlign w:val="center"/>
          </w:tcPr>
          <w:p w14:paraId="6A0B2082">
            <w:pPr>
              <w:jc w:val="center"/>
              <w:rPr>
                <w:color w:val="000000"/>
                <w:sz w:val="20"/>
              </w:rPr>
            </w:pPr>
            <w:r>
              <w:rPr>
                <w:color w:val="000000"/>
                <w:sz w:val="20"/>
              </w:rPr>
              <w:t>FRASCO</w:t>
            </w:r>
          </w:p>
        </w:tc>
        <w:tc>
          <w:tcPr>
            <w:tcW w:w="1230" w:type="dxa"/>
            <w:shd w:val="clear" w:color="auto" w:fill="auto"/>
            <w:vAlign w:val="center"/>
          </w:tcPr>
          <w:p w14:paraId="47EB0F11">
            <w:pPr>
              <w:jc w:val="right"/>
              <w:rPr>
                <w:color w:val="000000"/>
                <w:sz w:val="20"/>
              </w:rPr>
            </w:pPr>
            <w:r>
              <w:rPr>
                <w:color w:val="000000"/>
                <w:sz w:val="20"/>
              </w:rPr>
              <w:t>2,08</w:t>
            </w:r>
          </w:p>
        </w:tc>
        <w:tc>
          <w:tcPr>
            <w:tcW w:w="1365" w:type="dxa"/>
            <w:gridSpan w:val="2"/>
            <w:shd w:val="clear" w:color="auto" w:fill="auto"/>
            <w:noWrap/>
            <w:vAlign w:val="center"/>
          </w:tcPr>
          <w:p w14:paraId="1FADD1F9">
            <w:pPr>
              <w:jc w:val="right"/>
              <w:rPr>
                <w:color w:val="000000"/>
                <w:sz w:val="20"/>
              </w:rPr>
            </w:pPr>
            <w:r>
              <w:rPr>
                <w:color w:val="000000"/>
                <w:sz w:val="20"/>
              </w:rPr>
              <w:t>624,00</w:t>
            </w:r>
          </w:p>
        </w:tc>
      </w:tr>
      <w:tr w14:paraId="0935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0EAD034C">
            <w:pPr>
              <w:jc w:val="center"/>
              <w:rPr>
                <w:color w:val="000000"/>
                <w:sz w:val="20"/>
              </w:rPr>
            </w:pPr>
            <w:r>
              <w:rPr>
                <w:color w:val="000000"/>
                <w:sz w:val="20"/>
              </w:rPr>
              <w:t>19</w:t>
            </w:r>
          </w:p>
        </w:tc>
        <w:tc>
          <w:tcPr>
            <w:tcW w:w="3124" w:type="dxa"/>
            <w:shd w:val="clear" w:color="auto" w:fill="auto"/>
            <w:noWrap/>
            <w:vAlign w:val="center"/>
          </w:tcPr>
          <w:p w14:paraId="1E64259F">
            <w:pPr>
              <w:jc w:val="both"/>
              <w:rPr>
                <w:color w:val="000000"/>
                <w:sz w:val="20"/>
              </w:rPr>
            </w:pPr>
            <w:r>
              <w:rPr>
                <w:color w:val="000000"/>
                <w:sz w:val="20"/>
              </w:rPr>
              <w:t>DOPAMINA, DOSAGEM 5 MG/ML, APRESENTAÇÃO SOLUÇÃO INJETÁVEL, AMPOLA COM 10 ML.</w:t>
            </w:r>
          </w:p>
        </w:tc>
        <w:tc>
          <w:tcPr>
            <w:tcW w:w="913" w:type="dxa"/>
            <w:shd w:val="clear" w:color="auto" w:fill="auto"/>
            <w:vAlign w:val="center"/>
          </w:tcPr>
          <w:p w14:paraId="03040248">
            <w:pPr>
              <w:jc w:val="center"/>
              <w:rPr>
                <w:color w:val="000000"/>
                <w:sz w:val="20"/>
              </w:rPr>
            </w:pPr>
            <w:r>
              <w:rPr>
                <w:color w:val="000000"/>
                <w:sz w:val="20"/>
              </w:rPr>
              <w:t>750</w:t>
            </w:r>
          </w:p>
        </w:tc>
        <w:tc>
          <w:tcPr>
            <w:tcW w:w="1441" w:type="dxa"/>
            <w:shd w:val="clear" w:color="auto" w:fill="auto"/>
            <w:vAlign w:val="center"/>
          </w:tcPr>
          <w:p w14:paraId="4BD83C80">
            <w:pPr>
              <w:jc w:val="center"/>
              <w:rPr>
                <w:color w:val="000000"/>
                <w:sz w:val="20"/>
              </w:rPr>
            </w:pPr>
            <w:r>
              <w:rPr>
                <w:color w:val="000000"/>
                <w:sz w:val="20"/>
              </w:rPr>
              <w:t>AMPOLA</w:t>
            </w:r>
          </w:p>
        </w:tc>
        <w:tc>
          <w:tcPr>
            <w:tcW w:w="1230" w:type="dxa"/>
            <w:shd w:val="clear" w:color="auto" w:fill="auto"/>
            <w:vAlign w:val="center"/>
          </w:tcPr>
          <w:p w14:paraId="4195EB1F">
            <w:pPr>
              <w:jc w:val="right"/>
              <w:rPr>
                <w:color w:val="000000"/>
                <w:sz w:val="20"/>
              </w:rPr>
            </w:pPr>
            <w:r>
              <w:rPr>
                <w:color w:val="000000"/>
                <w:sz w:val="20"/>
              </w:rPr>
              <w:t>7,31</w:t>
            </w:r>
          </w:p>
        </w:tc>
        <w:tc>
          <w:tcPr>
            <w:tcW w:w="1365" w:type="dxa"/>
            <w:gridSpan w:val="2"/>
            <w:shd w:val="clear" w:color="auto" w:fill="auto"/>
            <w:noWrap/>
            <w:vAlign w:val="center"/>
          </w:tcPr>
          <w:p w14:paraId="2F69CEF7">
            <w:pPr>
              <w:jc w:val="right"/>
              <w:rPr>
                <w:color w:val="000000"/>
                <w:sz w:val="20"/>
              </w:rPr>
            </w:pPr>
            <w:r>
              <w:rPr>
                <w:color w:val="000000"/>
                <w:sz w:val="20"/>
              </w:rPr>
              <w:t>5.482,50</w:t>
            </w:r>
          </w:p>
        </w:tc>
      </w:tr>
      <w:tr w14:paraId="2093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6CC3935F">
            <w:pPr>
              <w:jc w:val="center"/>
              <w:rPr>
                <w:color w:val="000000"/>
                <w:sz w:val="20"/>
              </w:rPr>
            </w:pPr>
            <w:r>
              <w:rPr>
                <w:color w:val="000000"/>
                <w:sz w:val="20"/>
              </w:rPr>
              <w:t>20</w:t>
            </w:r>
          </w:p>
        </w:tc>
        <w:tc>
          <w:tcPr>
            <w:tcW w:w="3124" w:type="dxa"/>
            <w:shd w:val="clear" w:color="auto" w:fill="auto"/>
            <w:noWrap/>
            <w:vAlign w:val="center"/>
          </w:tcPr>
          <w:p w14:paraId="25F99927">
            <w:pPr>
              <w:jc w:val="both"/>
              <w:rPr>
                <w:color w:val="000000"/>
                <w:sz w:val="20"/>
              </w:rPr>
            </w:pPr>
            <w:r>
              <w:rPr>
                <w:color w:val="000000"/>
                <w:sz w:val="20"/>
              </w:rPr>
              <w:t>ENALAPRIL 10 MG.</w:t>
            </w:r>
          </w:p>
        </w:tc>
        <w:tc>
          <w:tcPr>
            <w:tcW w:w="913" w:type="dxa"/>
            <w:shd w:val="clear" w:color="auto" w:fill="auto"/>
            <w:vAlign w:val="center"/>
          </w:tcPr>
          <w:p w14:paraId="73752789">
            <w:pPr>
              <w:jc w:val="center"/>
              <w:rPr>
                <w:color w:val="000000"/>
                <w:sz w:val="20"/>
              </w:rPr>
            </w:pPr>
            <w:r>
              <w:rPr>
                <w:color w:val="000000"/>
                <w:sz w:val="20"/>
              </w:rPr>
              <w:t>2000</w:t>
            </w:r>
          </w:p>
        </w:tc>
        <w:tc>
          <w:tcPr>
            <w:tcW w:w="1441" w:type="dxa"/>
            <w:shd w:val="clear" w:color="auto" w:fill="auto"/>
            <w:vAlign w:val="center"/>
          </w:tcPr>
          <w:p w14:paraId="707A9FB6">
            <w:pPr>
              <w:jc w:val="center"/>
              <w:rPr>
                <w:color w:val="000000"/>
                <w:sz w:val="20"/>
              </w:rPr>
            </w:pPr>
            <w:r>
              <w:rPr>
                <w:color w:val="000000"/>
                <w:sz w:val="20"/>
              </w:rPr>
              <w:t>COMPRIMIDO</w:t>
            </w:r>
          </w:p>
        </w:tc>
        <w:tc>
          <w:tcPr>
            <w:tcW w:w="1230" w:type="dxa"/>
            <w:shd w:val="clear" w:color="auto" w:fill="auto"/>
            <w:vAlign w:val="center"/>
          </w:tcPr>
          <w:p w14:paraId="2B4E0D84">
            <w:pPr>
              <w:jc w:val="right"/>
              <w:rPr>
                <w:color w:val="000000"/>
                <w:sz w:val="20"/>
              </w:rPr>
            </w:pPr>
            <w:r>
              <w:rPr>
                <w:color w:val="000000"/>
                <w:sz w:val="20"/>
              </w:rPr>
              <w:t>0,14</w:t>
            </w:r>
          </w:p>
        </w:tc>
        <w:tc>
          <w:tcPr>
            <w:tcW w:w="1365" w:type="dxa"/>
            <w:gridSpan w:val="2"/>
            <w:shd w:val="clear" w:color="auto" w:fill="auto"/>
            <w:noWrap/>
            <w:vAlign w:val="center"/>
          </w:tcPr>
          <w:p w14:paraId="6C69594B">
            <w:pPr>
              <w:jc w:val="right"/>
              <w:rPr>
                <w:color w:val="000000"/>
                <w:sz w:val="20"/>
              </w:rPr>
            </w:pPr>
            <w:r>
              <w:rPr>
                <w:color w:val="000000"/>
                <w:sz w:val="20"/>
              </w:rPr>
              <w:t>280,00</w:t>
            </w:r>
          </w:p>
        </w:tc>
      </w:tr>
      <w:tr w14:paraId="3562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53896F99">
            <w:pPr>
              <w:jc w:val="center"/>
              <w:rPr>
                <w:color w:val="000000"/>
                <w:sz w:val="20"/>
              </w:rPr>
            </w:pPr>
            <w:r>
              <w:rPr>
                <w:color w:val="000000"/>
                <w:sz w:val="20"/>
              </w:rPr>
              <w:t>21</w:t>
            </w:r>
          </w:p>
        </w:tc>
        <w:tc>
          <w:tcPr>
            <w:tcW w:w="3124" w:type="dxa"/>
            <w:shd w:val="clear" w:color="auto" w:fill="auto"/>
            <w:noWrap/>
            <w:vAlign w:val="center"/>
          </w:tcPr>
          <w:p w14:paraId="5A8B1540">
            <w:pPr>
              <w:jc w:val="both"/>
              <w:rPr>
                <w:color w:val="000000"/>
                <w:sz w:val="20"/>
              </w:rPr>
            </w:pPr>
            <w:r>
              <w:rPr>
                <w:color w:val="000000"/>
                <w:sz w:val="20"/>
              </w:rPr>
              <w:t>EPINEFRINA (ADRENALINA), DOSAGEM 1MG/ML, USO SOLUÇÃO INJETÁVEL.</w:t>
            </w:r>
          </w:p>
        </w:tc>
        <w:tc>
          <w:tcPr>
            <w:tcW w:w="913" w:type="dxa"/>
            <w:shd w:val="clear" w:color="auto" w:fill="auto"/>
            <w:vAlign w:val="center"/>
          </w:tcPr>
          <w:p w14:paraId="24BB1BD5">
            <w:pPr>
              <w:jc w:val="center"/>
              <w:rPr>
                <w:color w:val="000000"/>
                <w:sz w:val="20"/>
              </w:rPr>
            </w:pPr>
            <w:r>
              <w:rPr>
                <w:color w:val="000000"/>
                <w:sz w:val="20"/>
              </w:rPr>
              <w:t>2000</w:t>
            </w:r>
          </w:p>
        </w:tc>
        <w:tc>
          <w:tcPr>
            <w:tcW w:w="1441" w:type="dxa"/>
            <w:shd w:val="clear" w:color="auto" w:fill="auto"/>
            <w:vAlign w:val="center"/>
          </w:tcPr>
          <w:p w14:paraId="39277D37">
            <w:pPr>
              <w:jc w:val="center"/>
              <w:rPr>
                <w:color w:val="000000"/>
                <w:sz w:val="20"/>
              </w:rPr>
            </w:pPr>
            <w:r>
              <w:rPr>
                <w:color w:val="000000"/>
                <w:sz w:val="20"/>
              </w:rPr>
              <w:t>AMPOLA</w:t>
            </w:r>
          </w:p>
        </w:tc>
        <w:tc>
          <w:tcPr>
            <w:tcW w:w="1230" w:type="dxa"/>
            <w:shd w:val="clear" w:color="auto" w:fill="auto"/>
            <w:vAlign w:val="center"/>
          </w:tcPr>
          <w:p w14:paraId="3AFB81B8">
            <w:pPr>
              <w:jc w:val="right"/>
              <w:rPr>
                <w:color w:val="000000"/>
                <w:sz w:val="20"/>
              </w:rPr>
            </w:pPr>
            <w:r>
              <w:rPr>
                <w:color w:val="000000"/>
                <w:sz w:val="20"/>
              </w:rPr>
              <w:t>2,90</w:t>
            </w:r>
          </w:p>
        </w:tc>
        <w:tc>
          <w:tcPr>
            <w:tcW w:w="1365" w:type="dxa"/>
            <w:gridSpan w:val="2"/>
            <w:shd w:val="clear" w:color="auto" w:fill="auto"/>
            <w:noWrap/>
            <w:vAlign w:val="center"/>
          </w:tcPr>
          <w:p w14:paraId="5DAC4868">
            <w:pPr>
              <w:jc w:val="right"/>
              <w:rPr>
                <w:color w:val="000000"/>
                <w:sz w:val="20"/>
              </w:rPr>
            </w:pPr>
            <w:r>
              <w:rPr>
                <w:color w:val="000000"/>
                <w:sz w:val="20"/>
              </w:rPr>
              <w:t>5.800,00</w:t>
            </w:r>
          </w:p>
        </w:tc>
      </w:tr>
      <w:tr w14:paraId="5B1B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853" w:type="dxa"/>
            <w:shd w:val="clear" w:color="auto" w:fill="auto"/>
            <w:vAlign w:val="center"/>
          </w:tcPr>
          <w:p w14:paraId="26649223">
            <w:pPr>
              <w:jc w:val="center"/>
              <w:rPr>
                <w:color w:val="000000"/>
                <w:sz w:val="20"/>
              </w:rPr>
            </w:pPr>
            <w:r>
              <w:rPr>
                <w:color w:val="000000"/>
                <w:sz w:val="20"/>
              </w:rPr>
              <w:t>22</w:t>
            </w:r>
          </w:p>
        </w:tc>
        <w:tc>
          <w:tcPr>
            <w:tcW w:w="3124" w:type="dxa"/>
            <w:shd w:val="clear" w:color="auto" w:fill="auto"/>
            <w:noWrap/>
            <w:vAlign w:val="center"/>
          </w:tcPr>
          <w:p w14:paraId="7B471091">
            <w:pPr>
              <w:jc w:val="both"/>
              <w:rPr>
                <w:color w:val="000000"/>
                <w:sz w:val="20"/>
              </w:rPr>
            </w:pPr>
            <w:r>
              <w:rPr>
                <w:color w:val="000000"/>
                <w:sz w:val="20"/>
              </w:rPr>
              <w:t>FLORAX ADULTO (SACCHAROMYCES CEREVISIAE), DOSAGEM 100 MILHÕES/ML, FORMA FARMACÊUTICA SUSPENSÃO ORAL, FLACONETE COM 5 ML.</w:t>
            </w:r>
          </w:p>
        </w:tc>
        <w:tc>
          <w:tcPr>
            <w:tcW w:w="913" w:type="dxa"/>
            <w:shd w:val="clear" w:color="auto" w:fill="auto"/>
            <w:vAlign w:val="center"/>
          </w:tcPr>
          <w:p w14:paraId="7053924B">
            <w:pPr>
              <w:jc w:val="center"/>
              <w:rPr>
                <w:color w:val="000000"/>
                <w:sz w:val="20"/>
              </w:rPr>
            </w:pPr>
            <w:r>
              <w:rPr>
                <w:color w:val="000000"/>
                <w:sz w:val="20"/>
              </w:rPr>
              <w:t>500</w:t>
            </w:r>
          </w:p>
        </w:tc>
        <w:tc>
          <w:tcPr>
            <w:tcW w:w="1441" w:type="dxa"/>
            <w:shd w:val="clear" w:color="auto" w:fill="auto"/>
            <w:vAlign w:val="center"/>
          </w:tcPr>
          <w:p w14:paraId="51203EC2">
            <w:pPr>
              <w:jc w:val="center"/>
              <w:rPr>
                <w:color w:val="000000"/>
                <w:sz w:val="20"/>
              </w:rPr>
            </w:pPr>
            <w:r>
              <w:rPr>
                <w:color w:val="000000"/>
                <w:sz w:val="20"/>
              </w:rPr>
              <w:t>FLACONETE</w:t>
            </w:r>
          </w:p>
        </w:tc>
        <w:tc>
          <w:tcPr>
            <w:tcW w:w="1230" w:type="dxa"/>
            <w:shd w:val="clear" w:color="auto" w:fill="auto"/>
            <w:vAlign w:val="center"/>
          </w:tcPr>
          <w:p w14:paraId="5D146786">
            <w:pPr>
              <w:jc w:val="right"/>
              <w:rPr>
                <w:color w:val="000000"/>
                <w:sz w:val="20"/>
              </w:rPr>
            </w:pPr>
            <w:r>
              <w:rPr>
                <w:color w:val="000000"/>
                <w:sz w:val="20"/>
              </w:rPr>
              <w:t>6,22</w:t>
            </w:r>
          </w:p>
        </w:tc>
        <w:tc>
          <w:tcPr>
            <w:tcW w:w="1365" w:type="dxa"/>
            <w:gridSpan w:val="2"/>
            <w:shd w:val="clear" w:color="auto" w:fill="auto"/>
            <w:noWrap/>
            <w:vAlign w:val="center"/>
          </w:tcPr>
          <w:p w14:paraId="72D471B8">
            <w:pPr>
              <w:jc w:val="right"/>
              <w:rPr>
                <w:color w:val="000000"/>
                <w:sz w:val="20"/>
              </w:rPr>
            </w:pPr>
            <w:r>
              <w:rPr>
                <w:color w:val="000000"/>
                <w:sz w:val="20"/>
              </w:rPr>
              <w:t>3.110,00</w:t>
            </w:r>
          </w:p>
        </w:tc>
      </w:tr>
      <w:tr w14:paraId="43A6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853" w:type="dxa"/>
            <w:shd w:val="clear" w:color="auto" w:fill="auto"/>
            <w:vAlign w:val="center"/>
          </w:tcPr>
          <w:p w14:paraId="4AB8A20F">
            <w:pPr>
              <w:jc w:val="center"/>
              <w:rPr>
                <w:color w:val="000000"/>
                <w:sz w:val="20"/>
              </w:rPr>
            </w:pPr>
            <w:r>
              <w:rPr>
                <w:color w:val="000000"/>
                <w:sz w:val="20"/>
              </w:rPr>
              <w:t>23</w:t>
            </w:r>
          </w:p>
        </w:tc>
        <w:tc>
          <w:tcPr>
            <w:tcW w:w="3124" w:type="dxa"/>
            <w:shd w:val="clear" w:color="auto" w:fill="auto"/>
            <w:noWrap/>
            <w:vAlign w:val="center"/>
          </w:tcPr>
          <w:p w14:paraId="282DF490">
            <w:pPr>
              <w:jc w:val="both"/>
              <w:rPr>
                <w:color w:val="000000"/>
                <w:sz w:val="20"/>
              </w:rPr>
            </w:pPr>
            <w:r>
              <w:rPr>
                <w:color w:val="000000"/>
                <w:sz w:val="20"/>
              </w:rPr>
              <w:t>FLORAX INFANTIL (SACCHAROMYCES CEREVISIAE), DOSAGEM 50 MILHÕES/ML, FORMA FARMACÊUTICA SUSPENSÃO ORAL, FLACONETE COM 5 ML.</w:t>
            </w:r>
          </w:p>
        </w:tc>
        <w:tc>
          <w:tcPr>
            <w:tcW w:w="913" w:type="dxa"/>
            <w:shd w:val="clear" w:color="auto" w:fill="auto"/>
            <w:vAlign w:val="center"/>
          </w:tcPr>
          <w:p w14:paraId="060C0D5C">
            <w:pPr>
              <w:jc w:val="center"/>
              <w:rPr>
                <w:color w:val="000000"/>
                <w:sz w:val="20"/>
              </w:rPr>
            </w:pPr>
            <w:r>
              <w:rPr>
                <w:color w:val="000000"/>
                <w:sz w:val="20"/>
              </w:rPr>
              <w:t>500</w:t>
            </w:r>
          </w:p>
        </w:tc>
        <w:tc>
          <w:tcPr>
            <w:tcW w:w="1441" w:type="dxa"/>
            <w:shd w:val="clear" w:color="auto" w:fill="auto"/>
            <w:vAlign w:val="center"/>
          </w:tcPr>
          <w:p w14:paraId="17693C1F">
            <w:pPr>
              <w:jc w:val="center"/>
              <w:rPr>
                <w:color w:val="000000"/>
                <w:sz w:val="20"/>
              </w:rPr>
            </w:pPr>
            <w:r>
              <w:rPr>
                <w:color w:val="000000"/>
                <w:sz w:val="20"/>
              </w:rPr>
              <w:t>FLACONETE</w:t>
            </w:r>
          </w:p>
        </w:tc>
        <w:tc>
          <w:tcPr>
            <w:tcW w:w="1230" w:type="dxa"/>
            <w:shd w:val="clear" w:color="auto" w:fill="auto"/>
            <w:vAlign w:val="center"/>
          </w:tcPr>
          <w:p w14:paraId="3B341F7E">
            <w:pPr>
              <w:jc w:val="right"/>
              <w:rPr>
                <w:color w:val="000000"/>
                <w:sz w:val="20"/>
              </w:rPr>
            </w:pPr>
            <w:r>
              <w:rPr>
                <w:color w:val="000000"/>
                <w:sz w:val="20"/>
              </w:rPr>
              <w:t>5,36</w:t>
            </w:r>
          </w:p>
        </w:tc>
        <w:tc>
          <w:tcPr>
            <w:tcW w:w="1365" w:type="dxa"/>
            <w:gridSpan w:val="2"/>
            <w:shd w:val="clear" w:color="auto" w:fill="auto"/>
            <w:noWrap/>
            <w:vAlign w:val="center"/>
          </w:tcPr>
          <w:p w14:paraId="59A90162">
            <w:pPr>
              <w:jc w:val="right"/>
              <w:rPr>
                <w:color w:val="000000"/>
                <w:sz w:val="20"/>
              </w:rPr>
            </w:pPr>
            <w:r>
              <w:rPr>
                <w:color w:val="000000"/>
                <w:sz w:val="20"/>
              </w:rPr>
              <w:t>2.680,00</w:t>
            </w:r>
          </w:p>
        </w:tc>
      </w:tr>
      <w:tr w14:paraId="7BCA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77CEAD18">
            <w:pPr>
              <w:jc w:val="center"/>
              <w:rPr>
                <w:color w:val="000000"/>
                <w:sz w:val="20"/>
              </w:rPr>
            </w:pPr>
            <w:r>
              <w:rPr>
                <w:color w:val="000000"/>
                <w:sz w:val="20"/>
              </w:rPr>
              <w:t>24</w:t>
            </w:r>
          </w:p>
        </w:tc>
        <w:tc>
          <w:tcPr>
            <w:tcW w:w="3124" w:type="dxa"/>
            <w:shd w:val="clear" w:color="auto" w:fill="auto"/>
            <w:noWrap/>
            <w:vAlign w:val="center"/>
          </w:tcPr>
          <w:p w14:paraId="4ED3742B">
            <w:pPr>
              <w:jc w:val="both"/>
              <w:rPr>
                <w:color w:val="000000"/>
                <w:sz w:val="20"/>
              </w:rPr>
            </w:pPr>
            <w:r>
              <w:rPr>
                <w:color w:val="000000"/>
                <w:sz w:val="20"/>
              </w:rPr>
              <w:t>FUROSEMIDA 20 MG/ML INJETÁVEL, AMPOLA 2 ML.</w:t>
            </w:r>
          </w:p>
        </w:tc>
        <w:tc>
          <w:tcPr>
            <w:tcW w:w="913" w:type="dxa"/>
            <w:shd w:val="clear" w:color="auto" w:fill="auto"/>
            <w:vAlign w:val="center"/>
          </w:tcPr>
          <w:p w14:paraId="211C789B">
            <w:pPr>
              <w:jc w:val="center"/>
              <w:rPr>
                <w:color w:val="000000"/>
                <w:sz w:val="20"/>
              </w:rPr>
            </w:pPr>
            <w:r>
              <w:rPr>
                <w:color w:val="000000"/>
                <w:sz w:val="20"/>
              </w:rPr>
              <w:t>4500</w:t>
            </w:r>
          </w:p>
        </w:tc>
        <w:tc>
          <w:tcPr>
            <w:tcW w:w="1441" w:type="dxa"/>
            <w:shd w:val="clear" w:color="auto" w:fill="auto"/>
            <w:vAlign w:val="center"/>
          </w:tcPr>
          <w:p w14:paraId="5C4B83C3">
            <w:pPr>
              <w:jc w:val="center"/>
              <w:rPr>
                <w:color w:val="000000"/>
                <w:sz w:val="20"/>
              </w:rPr>
            </w:pPr>
            <w:r>
              <w:rPr>
                <w:color w:val="000000"/>
                <w:sz w:val="20"/>
              </w:rPr>
              <w:t>AMPOLA</w:t>
            </w:r>
          </w:p>
        </w:tc>
        <w:tc>
          <w:tcPr>
            <w:tcW w:w="1230" w:type="dxa"/>
            <w:shd w:val="clear" w:color="auto" w:fill="auto"/>
            <w:vAlign w:val="center"/>
          </w:tcPr>
          <w:p w14:paraId="580AA52F">
            <w:pPr>
              <w:jc w:val="right"/>
              <w:rPr>
                <w:color w:val="000000"/>
                <w:sz w:val="20"/>
              </w:rPr>
            </w:pPr>
            <w:r>
              <w:rPr>
                <w:color w:val="000000"/>
                <w:sz w:val="20"/>
              </w:rPr>
              <w:t>2,62</w:t>
            </w:r>
          </w:p>
        </w:tc>
        <w:tc>
          <w:tcPr>
            <w:tcW w:w="1365" w:type="dxa"/>
            <w:gridSpan w:val="2"/>
            <w:shd w:val="clear" w:color="auto" w:fill="auto"/>
            <w:noWrap/>
            <w:vAlign w:val="center"/>
          </w:tcPr>
          <w:p w14:paraId="2B6FD1A5">
            <w:pPr>
              <w:jc w:val="right"/>
              <w:rPr>
                <w:color w:val="000000"/>
                <w:sz w:val="20"/>
              </w:rPr>
            </w:pPr>
            <w:r>
              <w:rPr>
                <w:color w:val="000000"/>
                <w:sz w:val="20"/>
              </w:rPr>
              <w:t>11.790,00</w:t>
            </w:r>
          </w:p>
        </w:tc>
      </w:tr>
      <w:tr w14:paraId="6388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1F79AFD6">
            <w:pPr>
              <w:jc w:val="center"/>
              <w:rPr>
                <w:color w:val="000000"/>
                <w:sz w:val="20"/>
              </w:rPr>
            </w:pPr>
            <w:r>
              <w:rPr>
                <w:color w:val="000000"/>
                <w:sz w:val="20"/>
              </w:rPr>
              <w:t>25</w:t>
            </w:r>
          </w:p>
        </w:tc>
        <w:tc>
          <w:tcPr>
            <w:tcW w:w="3124" w:type="dxa"/>
            <w:shd w:val="clear" w:color="auto" w:fill="auto"/>
            <w:noWrap/>
            <w:vAlign w:val="center"/>
          </w:tcPr>
          <w:p w14:paraId="1A5B5D9E">
            <w:pPr>
              <w:jc w:val="both"/>
              <w:rPr>
                <w:color w:val="000000"/>
                <w:sz w:val="20"/>
              </w:rPr>
            </w:pPr>
            <w:r>
              <w:rPr>
                <w:color w:val="000000"/>
                <w:sz w:val="20"/>
              </w:rPr>
              <w:t>GENTAMICINA, DOSAGEM 40 MG/ML, APLICAÇÃO SOLUÇÃO INJETÁVEL, AMPOLA COM 2 ML.</w:t>
            </w:r>
          </w:p>
        </w:tc>
        <w:tc>
          <w:tcPr>
            <w:tcW w:w="913" w:type="dxa"/>
            <w:shd w:val="clear" w:color="auto" w:fill="auto"/>
            <w:vAlign w:val="center"/>
          </w:tcPr>
          <w:p w14:paraId="3E2324B4">
            <w:pPr>
              <w:jc w:val="center"/>
              <w:rPr>
                <w:color w:val="000000"/>
                <w:sz w:val="20"/>
              </w:rPr>
            </w:pPr>
            <w:r>
              <w:rPr>
                <w:color w:val="000000"/>
                <w:sz w:val="20"/>
              </w:rPr>
              <w:t>4000</w:t>
            </w:r>
          </w:p>
        </w:tc>
        <w:tc>
          <w:tcPr>
            <w:tcW w:w="1441" w:type="dxa"/>
            <w:shd w:val="clear" w:color="auto" w:fill="auto"/>
            <w:vAlign w:val="center"/>
          </w:tcPr>
          <w:p w14:paraId="6543F0F8">
            <w:pPr>
              <w:jc w:val="center"/>
              <w:rPr>
                <w:color w:val="000000"/>
                <w:sz w:val="20"/>
              </w:rPr>
            </w:pPr>
            <w:r>
              <w:rPr>
                <w:color w:val="000000"/>
                <w:sz w:val="20"/>
              </w:rPr>
              <w:t>AMPOLA</w:t>
            </w:r>
          </w:p>
        </w:tc>
        <w:tc>
          <w:tcPr>
            <w:tcW w:w="1230" w:type="dxa"/>
            <w:shd w:val="clear" w:color="auto" w:fill="auto"/>
            <w:vAlign w:val="center"/>
          </w:tcPr>
          <w:p w14:paraId="7A80434A">
            <w:pPr>
              <w:jc w:val="right"/>
              <w:rPr>
                <w:color w:val="000000"/>
                <w:sz w:val="20"/>
              </w:rPr>
            </w:pPr>
            <w:r>
              <w:rPr>
                <w:color w:val="000000"/>
                <w:sz w:val="20"/>
              </w:rPr>
              <w:t>3,24</w:t>
            </w:r>
          </w:p>
        </w:tc>
        <w:tc>
          <w:tcPr>
            <w:tcW w:w="1365" w:type="dxa"/>
            <w:gridSpan w:val="2"/>
            <w:shd w:val="clear" w:color="auto" w:fill="auto"/>
            <w:noWrap/>
            <w:vAlign w:val="center"/>
          </w:tcPr>
          <w:p w14:paraId="25A26EFC">
            <w:pPr>
              <w:jc w:val="right"/>
              <w:rPr>
                <w:color w:val="000000"/>
                <w:sz w:val="20"/>
              </w:rPr>
            </w:pPr>
            <w:r>
              <w:rPr>
                <w:color w:val="000000"/>
                <w:sz w:val="20"/>
              </w:rPr>
              <w:t>12.960,00</w:t>
            </w:r>
          </w:p>
        </w:tc>
      </w:tr>
      <w:tr w14:paraId="0525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095D10B6">
            <w:pPr>
              <w:jc w:val="center"/>
              <w:rPr>
                <w:color w:val="000000"/>
                <w:sz w:val="20"/>
              </w:rPr>
            </w:pPr>
            <w:r>
              <w:rPr>
                <w:color w:val="000000"/>
                <w:sz w:val="20"/>
              </w:rPr>
              <w:t>26</w:t>
            </w:r>
          </w:p>
        </w:tc>
        <w:tc>
          <w:tcPr>
            <w:tcW w:w="3124" w:type="dxa"/>
            <w:shd w:val="clear" w:color="auto" w:fill="auto"/>
            <w:noWrap/>
            <w:vAlign w:val="center"/>
          </w:tcPr>
          <w:p w14:paraId="5256BE5A">
            <w:pPr>
              <w:jc w:val="both"/>
              <w:rPr>
                <w:color w:val="000000"/>
                <w:sz w:val="20"/>
              </w:rPr>
            </w:pPr>
            <w:r>
              <w:rPr>
                <w:color w:val="000000"/>
                <w:sz w:val="20"/>
              </w:rPr>
              <w:t>GENTAMICINA, DOSAGEM 80 MG/ML, APLICAÇÃO SOLUÇÃO INJETÁVEL, AMPOLA COM 2 ML.</w:t>
            </w:r>
          </w:p>
        </w:tc>
        <w:tc>
          <w:tcPr>
            <w:tcW w:w="913" w:type="dxa"/>
            <w:shd w:val="clear" w:color="auto" w:fill="auto"/>
            <w:vAlign w:val="center"/>
          </w:tcPr>
          <w:p w14:paraId="64D1714A">
            <w:pPr>
              <w:jc w:val="center"/>
              <w:rPr>
                <w:color w:val="000000"/>
                <w:sz w:val="20"/>
              </w:rPr>
            </w:pPr>
            <w:r>
              <w:rPr>
                <w:color w:val="000000"/>
                <w:sz w:val="20"/>
              </w:rPr>
              <w:t>5000</w:t>
            </w:r>
          </w:p>
        </w:tc>
        <w:tc>
          <w:tcPr>
            <w:tcW w:w="1441" w:type="dxa"/>
            <w:shd w:val="clear" w:color="auto" w:fill="auto"/>
            <w:vAlign w:val="center"/>
          </w:tcPr>
          <w:p w14:paraId="51F4019E">
            <w:pPr>
              <w:jc w:val="center"/>
              <w:rPr>
                <w:color w:val="000000"/>
                <w:sz w:val="20"/>
              </w:rPr>
            </w:pPr>
            <w:r>
              <w:rPr>
                <w:color w:val="000000"/>
                <w:sz w:val="20"/>
              </w:rPr>
              <w:t>AMPOLA</w:t>
            </w:r>
          </w:p>
        </w:tc>
        <w:tc>
          <w:tcPr>
            <w:tcW w:w="1230" w:type="dxa"/>
            <w:shd w:val="clear" w:color="auto" w:fill="auto"/>
            <w:vAlign w:val="center"/>
          </w:tcPr>
          <w:p w14:paraId="18EEED28">
            <w:pPr>
              <w:jc w:val="right"/>
              <w:rPr>
                <w:color w:val="000000"/>
                <w:sz w:val="20"/>
              </w:rPr>
            </w:pPr>
            <w:r>
              <w:rPr>
                <w:color w:val="000000"/>
                <w:sz w:val="20"/>
              </w:rPr>
              <w:t>3,83</w:t>
            </w:r>
          </w:p>
        </w:tc>
        <w:tc>
          <w:tcPr>
            <w:tcW w:w="1365" w:type="dxa"/>
            <w:gridSpan w:val="2"/>
            <w:shd w:val="clear" w:color="auto" w:fill="auto"/>
            <w:noWrap/>
            <w:vAlign w:val="center"/>
          </w:tcPr>
          <w:p w14:paraId="210CDA72">
            <w:pPr>
              <w:jc w:val="right"/>
              <w:rPr>
                <w:color w:val="000000"/>
                <w:sz w:val="20"/>
              </w:rPr>
            </w:pPr>
            <w:r>
              <w:rPr>
                <w:color w:val="000000"/>
                <w:sz w:val="20"/>
              </w:rPr>
              <w:t>19.150,00</w:t>
            </w:r>
          </w:p>
        </w:tc>
      </w:tr>
      <w:tr w14:paraId="7C14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77E7A0EB">
            <w:pPr>
              <w:jc w:val="center"/>
              <w:rPr>
                <w:color w:val="000000"/>
                <w:sz w:val="20"/>
              </w:rPr>
            </w:pPr>
            <w:r>
              <w:rPr>
                <w:color w:val="000000"/>
                <w:sz w:val="20"/>
              </w:rPr>
              <w:t>27</w:t>
            </w:r>
          </w:p>
        </w:tc>
        <w:tc>
          <w:tcPr>
            <w:tcW w:w="3124" w:type="dxa"/>
            <w:shd w:val="clear" w:color="auto" w:fill="auto"/>
            <w:noWrap/>
            <w:vAlign w:val="center"/>
          </w:tcPr>
          <w:p w14:paraId="0C154C6A">
            <w:pPr>
              <w:jc w:val="both"/>
              <w:rPr>
                <w:color w:val="000000"/>
                <w:sz w:val="20"/>
              </w:rPr>
            </w:pPr>
            <w:r>
              <w:rPr>
                <w:color w:val="000000"/>
                <w:sz w:val="20"/>
              </w:rPr>
              <w:t>GLICOSE, CONCENTRAÇÃO 50%, INDICAÇÃO SOLUÇÃO INJETÁVEL, AMPOLA COM 10 ML.</w:t>
            </w:r>
          </w:p>
        </w:tc>
        <w:tc>
          <w:tcPr>
            <w:tcW w:w="913" w:type="dxa"/>
            <w:shd w:val="clear" w:color="auto" w:fill="auto"/>
            <w:vAlign w:val="center"/>
          </w:tcPr>
          <w:p w14:paraId="2821277F">
            <w:pPr>
              <w:jc w:val="center"/>
              <w:rPr>
                <w:color w:val="000000"/>
                <w:sz w:val="20"/>
              </w:rPr>
            </w:pPr>
            <w:r>
              <w:rPr>
                <w:color w:val="000000"/>
                <w:sz w:val="20"/>
              </w:rPr>
              <w:t>7000</w:t>
            </w:r>
          </w:p>
        </w:tc>
        <w:tc>
          <w:tcPr>
            <w:tcW w:w="1441" w:type="dxa"/>
            <w:shd w:val="clear" w:color="auto" w:fill="auto"/>
            <w:vAlign w:val="center"/>
          </w:tcPr>
          <w:p w14:paraId="1AF4F454">
            <w:pPr>
              <w:jc w:val="center"/>
              <w:rPr>
                <w:color w:val="000000"/>
                <w:sz w:val="20"/>
              </w:rPr>
            </w:pPr>
            <w:r>
              <w:rPr>
                <w:color w:val="000000"/>
                <w:sz w:val="20"/>
              </w:rPr>
              <w:t>AMPOLA</w:t>
            </w:r>
          </w:p>
        </w:tc>
        <w:tc>
          <w:tcPr>
            <w:tcW w:w="1230" w:type="dxa"/>
            <w:shd w:val="clear" w:color="auto" w:fill="auto"/>
            <w:vAlign w:val="center"/>
          </w:tcPr>
          <w:p w14:paraId="424DEF0A">
            <w:pPr>
              <w:jc w:val="right"/>
              <w:rPr>
                <w:color w:val="000000"/>
                <w:sz w:val="20"/>
              </w:rPr>
            </w:pPr>
            <w:r>
              <w:rPr>
                <w:color w:val="000000"/>
                <w:sz w:val="20"/>
              </w:rPr>
              <w:t>1,71</w:t>
            </w:r>
          </w:p>
        </w:tc>
        <w:tc>
          <w:tcPr>
            <w:tcW w:w="1365" w:type="dxa"/>
            <w:gridSpan w:val="2"/>
            <w:shd w:val="clear" w:color="auto" w:fill="auto"/>
            <w:noWrap/>
            <w:vAlign w:val="center"/>
          </w:tcPr>
          <w:p w14:paraId="42D83923">
            <w:pPr>
              <w:jc w:val="right"/>
              <w:rPr>
                <w:color w:val="000000"/>
                <w:sz w:val="20"/>
              </w:rPr>
            </w:pPr>
            <w:r>
              <w:rPr>
                <w:color w:val="000000"/>
                <w:sz w:val="20"/>
              </w:rPr>
              <w:t>11.970,00</w:t>
            </w:r>
          </w:p>
        </w:tc>
      </w:tr>
      <w:tr w14:paraId="20B6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4227B466">
            <w:pPr>
              <w:jc w:val="center"/>
              <w:rPr>
                <w:color w:val="000000"/>
                <w:sz w:val="20"/>
              </w:rPr>
            </w:pPr>
            <w:r>
              <w:rPr>
                <w:color w:val="000000"/>
                <w:sz w:val="20"/>
              </w:rPr>
              <w:t>28</w:t>
            </w:r>
          </w:p>
        </w:tc>
        <w:tc>
          <w:tcPr>
            <w:tcW w:w="3124" w:type="dxa"/>
            <w:shd w:val="clear" w:color="auto" w:fill="auto"/>
            <w:noWrap/>
            <w:vAlign w:val="center"/>
          </w:tcPr>
          <w:p w14:paraId="08409462">
            <w:pPr>
              <w:jc w:val="both"/>
              <w:rPr>
                <w:color w:val="000000"/>
                <w:sz w:val="20"/>
              </w:rPr>
            </w:pPr>
            <w:r>
              <w:rPr>
                <w:color w:val="000000"/>
                <w:sz w:val="20"/>
              </w:rPr>
              <w:t>HEPARINA SÓDICA, DOSAGEM 5.000UI/ML, INDICAÇÃO INJETÁVEL, FRASCO COM 5 ML.</w:t>
            </w:r>
          </w:p>
        </w:tc>
        <w:tc>
          <w:tcPr>
            <w:tcW w:w="913" w:type="dxa"/>
            <w:shd w:val="clear" w:color="auto" w:fill="auto"/>
            <w:vAlign w:val="center"/>
          </w:tcPr>
          <w:p w14:paraId="30893996">
            <w:pPr>
              <w:jc w:val="center"/>
              <w:rPr>
                <w:color w:val="000000"/>
                <w:sz w:val="20"/>
              </w:rPr>
            </w:pPr>
            <w:r>
              <w:rPr>
                <w:color w:val="000000"/>
                <w:sz w:val="20"/>
              </w:rPr>
              <w:t>3000</w:t>
            </w:r>
          </w:p>
        </w:tc>
        <w:tc>
          <w:tcPr>
            <w:tcW w:w="1441" w:type="dxa"/>
            <w:shd w:val="clear" w:color="auto" w:fill="auto"/>
            <w:vAlign w:val="center"/>
          </w:tcPr>
          <w:p w14:paraId="1B72FBFF">
            <w:pPr>
              <w:jc w:val="center"/>
              <w:rPr>
                <w:color w:val="000000"/>
                <w:sz w:val="20"/>
              </w:rPr>
            </w:pPr>
            <w:r>
              <w:rPr>
                <w:color w:val="000000"/>
                <w:sz w:val="20"/>
              </w:rPr>
              <w:t>FRASCO</w:t>
            </w:r>
          </w:p>
        </w:tc>
        <w:tc>
          <w:tcPr>
            <w:tcW w:w="1230" w:type="dxa"/>
            <w:shd w:val="clear" w:color="auto" w:fill="auto"/>
            <w:vAlign w:val="center"/>
          </w:tcPr>
          <w:p w14:paraId="253A2A93">
            <w:pPr>
              <w:jc w:val="right"/>
              <w:rPr>
                <w:color w:val="000000"/>
                <w:sz w:val="20"/>
              </w:rPr>
            </w:pPr>
            <w:r>
              <w:rPr>
                <w:color w:val="000000"/>
                <w:sz w:val="20"/>
              </w:rPr>
              <w:t>19,99</w:t>
            </w:r>
          </w:p>
        </w:tc>
        <w:tc>
          <w:tcPr>
            <w:tcW w:w="1365" w:type="dxa"/>
            <w:gridSpan w:val="2"/>
            <w:shd w:val="clear" w:color="auto" w:fill="auto"/>
            <w:noWrap/>
            <w:vAlign w:val="center"/>
          </w:tcPr>
          <w:p w14:paraId="43800113">
            <w:pPr>
              <w:jc w:val="right"/>
              <w:rPr>
                <w:color w:val="000000"/>
                <w:sz w:val="20"/>
              </w:rPr>
            </w:pPr>
            <w:r>
              <w:rPr>
                <w:color w:val="000000"/>
                <w:sz w:val="20"/>
              </w:rPr>
              <w:t>59.970,00</w:t>
            </w:r>
          </w:p>
        </w:tc>
      </w:tr>
      <w:tr w14:paraId="50F6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034A606A">
            <w:pPr>
              <w:jc w:val="center"/>
              <w:rPr>
                <w:color w:val="000000"/>
                <w:sz w:val="20"/>
              </w:rPr>
            </w:pPr>
            <w:r>
              <w:rPr>
                <w:color w:val="000000"/>
                <w:sz w:val="20"/>
              </w:rPr>
              <w:t>29</w:t>
            </w:r>
          </w:p>
        </w:tc>
        <w:tc>
          <w:tcPr>
            <w:tcW w:w="3124" w:type="dxa"/>
            <w:shd w:val="clear" w:color="auto" w:fill="auto"/>
            <w:noWrap/>
            <w:vAlign w:val="center"/>
          </w:tcPr>
          <w:p w14:paraId="57617F59">
            <w:pPr>
              <w:jc w:val="both"/>
              <w:rPr>
                <w:color w:val="000000"/>
                <w:sz w:val="20"/>
              </w:rPr>
            </w:pPr>
            <w:r>
              <w:rPr>
                <w:color w:val="000000"/>
                <w:sz w:val="20"/>
              </w:rPr>
              <w:t>HIDRÓXIDO DE ALUMÍNIO, CONCENTRAÇÃO 61,5 MG/ML, APRESENTAÇÃO SUSPENSÃO ORAL, FRASCO COM 240 ML.</w:t>
            </w:r>
          </w:p>
        </w:tc>
        <w:tc>
          <w:tcPr>
            <w:tcW w:w="913" w:type="dxa"/>
            <w:shd w:val="clear" w:color="auto" w:fill="auto"/>
            <w:vAlign w:val="center"/>
          </w:tcPr>
          <w:p w14:paraId="525F660E">
            <w:pPr>
              <w:jc w:val="center"/>
              <w:rPr>
                <w:color w:val="000000"/>
                <w:sz w:val="20"/>
              </w:rPr>
            </w:pPr>
            <w:r>
              <w:rPr>
                <w:color w:val="000000"/>
                <w:sz w:val="20"/>
              </w:rPr>
              <w:t>500</w:t>
            </w:r>
          </w:p>
        </w:tc>
        <w:tc>
          <w:tcPr>
            <w:tcW w:w="1441" w:type="dxa"/>
            <w:shd w:val="clear" w:color="auto" w:fill="auto"/>
            <w:vAlign w:val="center"/>
          </w:tcPr>
          <w:p w14:paraId="30DB0712">
            <w:pPr>
              <w:jc w:val="center"/>
              <w:rPr>
                <w:color w:val="000000"/>
                <w:sz w:val="20"/>
              </w:rPr>
            </w:pPr>
            <w:r>
              <w:rPr>
                <w:color w:val="000000"/>
                <w:sz w:val="20"/>
              </w:rPr>
              <w:t>FRASCO</w:t>
            </w:r>
          </w:p>
        </w:tc>
        <w:tc>
          <w:tcPr>
            <w:tcW w:w="1230" w:type="dxa"/>
            <w:shd w:val="clear" w:color="auto" w:fill="auto"/>
            <w:vAlign w:val="center"/>
          </w:tcPr>
          <w:p w14:paraId="5DAB0B2A">
            <w:pPr>
              <w:jc w:val="right"/>
              <w:rPr>
                <w:color w:val="000000"/>
                <w:sz w:val="20"/>
              </w:rPr>
            </w:pPr>
            <w:r>
              <w:rPr>
                <w:color w:val="000000"/>
                <w:sz w:val="20"/>
              </w:rPr>
              <w:t>5,86</w:t>
            </w:r>
          </w:p>
        </w:tc>
        <w:tc>
          <w:tcPr>
            <w:tcW w:w="1365" w:type="dxa"/>
            <w:gridSpan w:val="2"/>
            <w:shd w:val="clear" w:color="auto" w:fill="auto"/>
            <w:noWrap/>
            <w:vAlign w:val="center"/>
          </w:tcPr>
          <w:p w14:paraId="05D82AFE">
            <w:pPr>
              <w:jc w:val="right"/>
              <w:rPr>
                <w:color w:val="000000"/>
                <w:sz w:val="20"/>
              </w:rPr>
            </w:pPr>
            <w:r>
              <w:rPr>
                <w:color w:val="000000"/>
                <w:sz w:val="20"/>
              </w:rPr>
              <w:t>2.930,00</w:t>
            </w:r>
          </w:p>
        </w:tc>
      </w:tr>
      <w:tr w14:paraId="51CE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0C246772">
            <w:pPr>
              <w:jc w:val="center"/>
              <w:rPr>
                <w:color w:val="000000"/>
                <w:sz w:val="20"/>
              </w:rPr>
            </w:pPr>
            <w:r>
              <w:rPr>
                <w:color w:val="000000"/>
                <w:sz w:val="20"/>
              </w:rPr>
              <w:t>30</w:t>
            </w:r>
          </w:p>
        </w:tc>
        <w:tc>
          <w:tcPr>
            <w:tcW w:w="3124" w:type="dxa"/>
            <w:shd w:val="clear" w:color="auto" w:fill="auto"/>
            <w:noWrap/>
            <w:vAlign w:val="center"/>
          </w:tcPr>
          <w:p w14:paraId="6BA14ABE">
            <w:pPr>
              <w:jc w:val="both"/>
              <w:rPr>
                <w:color w:val="000000"/>
                <w:sz w:val="20"/>
              </w:rPr>
            </w:pPr>
            <w:r>
              <w:rPr>
                <w:color w:val="000000"/>
                <w:sz w:val="20"/>
              </w:rPr>
              <w:t>INIBINA (ISOXSUPRINA CLORIDRATO), DOSAGEM 5 MG/ML, FORMA FARMACÊUTICA SOLUÇÃO INJETÁVEL, AMPOLA COM 2 ML.</w:t>
            </w:r>
          </w:p>
        </w:tc>
        <w:tc>
          <w:tcPr>
            <w:tcW w:w="913" w:type="dxa"/>
            <w:shd w:val="clear" w:color="auto" w:fill="auto"/>
            <w:vAlign w:val="center"/>
          </w:tcPr>
          <w:p w14:paraId="25BD3C0F">
            <w:pPr>
              <w:jc w:val="center"/>
              <w:rPr>
                <w:color w:val="000000"/>
                <w:sz w:val="20"/>
              </w:rPr>
            </w:pPr>
            <w:r>
              <w:rPr>
                <w:color w:val="000000"/>
                <w:sz w:val="20"/>
              </w:rPr>
              <w:t>500</w:t>
            </w:r>
          </w:p>
        </w:tc>
        <w:tc>
          <w:tcPr>
            <w:tcW w:w="1441" w:type="dxa"/>
            <w:shd w:val="clear" w:color="auto" w:fill="auto"/>
            <w:vAlign w:val="center"/>
          </w:tcPr>
          <w:p w14:paraId="67B5C79D">
            <w:pPr>
              <w:jc w:val="center"/>
              <w:rPr>
                <w:color w:val="000000"/>
                <w:sz w:val="20"/>
              </w:rPr>
            </w:pPr>
            <w:r>
              <w:rPr>
                <w:color w:val="000000"/>
                <w:sz w:val="20"/>
              </w:rPr>
              <w:t>AMPOLA</w:t>
            </w:r>
          </w:p>
        </w:tc>
        <w:tc>
          <w:tcPr>
            <w:tcW w:w="1230" w:type="dxa"/>
            <w:shd w:val="clear" w:color="auto" w:fill="auto"/>
            <w:vAlign w:val="center"/>
          </w:tcPr>
          <w:p w14:paraId="43B7CCC5">
            <w:pPr>
              <w:jc w:val="right"/>
              <w:rPr>
                <w:color w:val="000000"/>
                <w:sz w:val="20"/>
              </w:rPr>
            </w:pPr>
            <w:r>
              <w:rPr>
                <w:color w:val="000000"/>
                <w:sz w:val="20"/>
              </w:rPr>
              <w:t>19,81</w:t>
            </w:r>
          </w:p>
        </w:tc>
        <w:tc>
          <w:tcPr>
            <w:tcW w:w="1365" w:type="dxa"/>
            <w:gridSpan w:val="2"/>
            <w:shd w:val="clear" w:color="auto" w:fill="auto"/>
            <w:noWrap/>
            <w:vAlign w:val="center"/>
          </w:tcPr>
          <w:p w14:paraId="7D376945">
            <w:pPr>
              <w:jc w:val="right"/>
              <w:rPr>
                <w:color w:val="000000"/>
                <w:sz w:val="20"/>
              </w:rPr>
            </w:pPr>
            <w:r>
              <w:rPr>
                <w:color w:val="000000"/>
                <w:sz w:val="20"/>
              </w:rPr>
              <w:t>9.905,00</w:t>
            </w:r>
          </w:p>
        </w:tc>
      </w:tr>
      <w:tr w14:paraId="02A7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78881FFD">
            <w:pPr>
              <w:jc w:val="center"/>
              <w:rPr>
                <w:color w:val="000000"/>
                <w:sz w:val="20"/>
              </w:rPr>
            </w:pPr>
            <w:r>
              <w:rPr>
                <w:color w:val="000000"/>
                <w:sz w:val="20"/>
              </w:rPr>
              <w:t>31</w:t>
            </w:r>
          </w:p>
        </w:tc>
        <w:tc>
          <w:tcPr>
            <w:tcW w:w="3124" w:type="dxa"/>
            <w:shd w:val="clear" w:color="auto" w:fill="auto"/>
            <w:noWrap/>
            <w:vAlign w:val="center"/>
          </w:tcPr>
          <w:p w14:paraId="19401391">
            <w:pPr>
              <w:jc w:val="both"/>
              <w:rPr>
                <w:color w:val="000000"/>
                <w:sz w:val="20"/>
              </w:rPr>
            </w:pPr>
            <w:r>
              <w:rPr>
                <w:color w:val="000000"/>
                <w:sz w:val="20"/>
              </w:rPr>
              <w:t>LIDOCAÍNA CLORIDRATO, DOSAGEM 2%, APRESENTAÇÃO GELÉIA, BISNAGA DE 30 G.</w:t>
            </w:r>
          </w:p>
        </w:tc>
        <w:tc>
          <w:tcPr>
            <w:tcW w:w="913" w:type="dxa"/>
            <w:shd w:val="clear" w:color="auto" w:fill="auto"/>
            <w:vAlign w:val="center"/>
          </w:tcPr>
          <w:p w14:paraId="4A3B4F75">
            <w:pPr>
              <w:jc w:val="center"/>
              <w:rPr>
                <w:color w:val="000000"/>
                <w:sz w:val="20"/>
              </w:rPr>
            </w:pPr>
            <w:r>
              <w:rPr>
                <w:color w:val="000000"/>
                <w:sz w:val="20"/>
              </w:rPr>
              <w:t>250</w:t>
            </w:r>
          </w:p>
        </w:tc>
        <w:tc>
          <w:tcPr>
            <w:tcW w:w="1441" w:type="dxa"/>
            <w:shd w:val="clear" w:color="auto" w:fill="auto"/>
            <w:vAlign w:val="center"/>
          </w:tcPr>
          <w:p w14:paraId="606414AB">
            <w:pPr>
              <w:jc w:val="center"/>
              <w:rPr>
                <w:color w:val="000000"/>
                <w:sz w:val="20"/>
              </w:rPr>
            </w:pPr>
            <w:r>
              <w:rPr>
                <w:color w:val="000000"/>
                <w:sz w:val="20"/>
              </w:rPr>
              <w:t>BISNAGA</w:t>
            </w:r>
          </w:p>
        </w:tc>
        <w:tc>
          <w:tcPr>
            <w:tcW w:w="1230" w:type="dxa"/>
            <w:shd w:val="clear" w:color="auto" w:fill="auto"/>
            <w:vAlign w:val="center"/>
          </w:tcPr>
          <w:p w14:paraId="7A79C3CD">
            <w:pPr>
              <w:jc w:val="right"/>
              <w:rPr>
                <w:color w:val="000000"/>
                <w:sz w:val="20"/>
              </w:rPr>
            </w:pPr>
            <w:r>
              <w:rPr>
                <w:color w:val="000000"/>
                <w:sz w:val="20"/>
              </w:rPr>
              <w:t>8,40</w:t>
            </w:r>
          </w:p>
        </w:tc>
        <w:tc>
          <w:tcPr>
            <w:tcW w:w="1365" w:type="dxa"/>
            <w:gridSpan w:val="2"/>
            <w:shd w:val="clear" w:color="auto" w:fill="auto"/>
            <w:noWrap/>
            <w:vAlign w:val="center"/>
          </w:tcPr>
          <w:p w14:paraId="2C598DF4">
            <w:pPr>
              <w:jc w:val="right"/>
              <w:rPr>
                <w:color w:val="000000"/>
                <w:sz w:val="20"/>
              </w:rPr>
            </w:pPr>
            <w:r>
              <w:rPr>
                <w:color w:val="000000"/>
                <w:sz w:val="20"/>
              </w:rPr>
              <w:t>2.100,00</w:t>
            </w:r>
          </w:p>
        </w:tc>
      </w:tr>
      <w:tr w14:paraId="0C46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71F89138">
            <w:pPr>
              <w:jc w:val="center"/>
              <w:rPr>
                <w:color w:val="000000"/>
                <w:sz w:val="20"/>
              </w:rPr>
            </w:pPr>
            <w:r>
              <w:rPr>
                <w:color w:val="000000"/>
                <w:sz w:val="20"/>
              </w:rPr>
              <w:t>32</w:t>
            </w:r>
          </w:p>
        </w:tc>
        <w:tc>
          <w:tcPr>
            <w:tcW w:w="3124" w:type="dxa"/>
            <w:shd w:val="clear" w:color="auto" w:fill="auto"/>
            <w:noWrap/>
            <w:vAlign w:val="center"/>
          </w:tcPr>
          <w:p w14:paraId="67E7FD51">
            <w:pPr>
              <w:jc w:val="both"/>
              <w:rPr>
                <w:color w:val="000000"/>
                <w:sz w:val="20"/>
              </w:rPr>
            </w:pPr>
            <w:r>
              <w:rPr>
                <w:color w:val="000000"/>
                <w:sz w:val="20"/>
              </w:rPr>
              <w:t>METFORMINA CLORIDRATO 850 MG.</w:t>
            </w:r>
          </w:p>
        </w:tc>
        <w:tc>
          <w:tcPr>
            <w:tcW w:w="913" w:type="dxa"/>
            <w:shd w:val="clear" w:color="auto" w:fill="auto"/>
            <w:vAlign w:val="center"/>
          </w:tcPr>
          <w:p w14:paraId="49EDF374">
            <w:pPr>
              <w:jc w:val="center"/>
              <w:rPr>
                <w:color w:val="000000"/>
                <w:sz w:val="20"/>
              </w:rPr>
            </w:pPr>
            <w:r>
              <w:rPr>
                <w:color w:val="000000"/>
                <w:sz w:val="20"/>
              </w:rPr>
              <w:t>2500</w:t>
            </w:r>
          </w:p>
        </w:tc>
        <w:tc>
          <w:tcPr>
            <w:tcW w:w="1441" w:type="dxa"/>
            <w:shd w:val="clear" w:color="auto" w:fill="auto"/>
            <w:vAlign w:val="center"/>
          </w:tcPr>
          <w:p w14:paraId="48A1799D">
            <w:pPr>
              <w:jc w:val="center"/>
              <w:rPr>
                <w:color w:val="000000"/>
                <w:sz w:val="20"/>
              </w:rPr>
            </w:pPr>
            <w:r>
              <w:rPr>
                <w:color w:val="000000"/>
                <w:sz w:val="20"/>
              </w:rPr>
              <w:t>COMPRIMIDO</w:t>
            </w:r>
          </w:p>
        </w:tc>
        <w:tc>
          <w:tcPr>
            <w:tcW w:w="1230" w:type="dxa"/>
            <w:shd w:val="clear" w:color="auto" w:fill="auto"/>
            <w:vAlign w:val="center"/>
          </w:tcPr>
          <w:p w14:paraId="75C35905">
            <w:pPr>
              <w:jc w:val="right"/>
              <w:rPr>
                <w:color w:val="000000"/>
                <w:sz w:val="20"/>
              </w:rPr>
            </w:pPr>
            <w:r>
              <w:rPr>
                <w:color w:val="000000"/>
                <w:sz w:val="20"/>
              </w:rPr>
              <w:t>0,29</w:t>
            </w:r>
          </w:p>
        </w:tc>
        <w:tc>
          <w:tcPr>
            <w:tcW w:w="1365" w:type="dxa"/>
            <w:gridSpan w:val="2"/>
            <w:shd w:val="clear" w:color="auto" w:fill="auto"/>
            <w:noWrap/>
            <w:vAlign w:val="center"/>
          </w:tcPr>
          <w:p w14:paraId="623AFE9D">
            <w:pPr>
              <w:jc w:val="right"/>
              <w:rPr>
                <w:color w:val="000000"/>
                <w:sz w:val="20"/>
              </w:rPr>
            </w:pPr>
            <w:r>
              <w:rPr>
                <w:color w:val="000000"/>
                <w:sz w:val="20"/>
              </w:rPr>
              <w:t>725,00</w:t>
            </w:r>
          </w:p>
        </w:tc>
      </w:tr>
      <w:tr w14:paraId="7272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103A117F">
            <w:pPr>
              <w:jc w:val="center"/>
              <w:rPr>
                <w:color w:val="000000"/>
                <w:sz w:val="20"/>
              </w:rPr>
            </w:pPr>
            <w:r>
              <w:rPr>
                <w:color w:val="000000"/>
                <w:sz w:val="20"/>
              </w:rPr>
              <w:t>33</w:t>
            </w:r>
          </w:p>
        </w:tc>
        <w:tc>
          <w:tcPr>
            <w:tcW w:w="3124" w:type="dxa"/>
            <w:shd w:val="clear" w:color="auto" w:fill="auto"/>
            <w:noWrap/>
            <w:vAlign w:val="center"/>
          </w:tcPr>
          <w:p w14:paraId="1EBDE013">
            <w:pPr>
              <w:jc w:val="both"/>
              <w:rPr>
                <w:color w:val="000000"/>
                <w:sz w:val="20"/>
              </w:rPr>
            </w:pPr>
            <w:r>
              <w:rPr>
                <w:color w:val="000000"/>
                <w:sz w:val="20"/>
              </w:rPr>
              <w:t>METILDOPA, DOSAGEM 500 MG.</w:t>
            </w:r>
          </w:p>
        </w:tc>
        <w:tc>
          <w:tcPr>
            <w:tcW w:w="913" w:type="dxa"/>
            <w:shd w:val="clear" w:color="auto" w:fill="auto"/>
            <w:vAlign w:val="center"/>
          </w:tcPr>
          <w:p w14:paraId="7549EF72">
            <w:pPr>
              <w:jc w:val="center"/>
              <w:rPr>
                <w:color w:val="000000"/>
                <w:sz w:val="20"/>
              </w:rPr>
            </w:pPr>
            <w:r>
              <w:rPr>
                <w:color w:val="000000"/>
                <w:sz w:val="20"/>
              </w:rPr>
              <w:t>300</w:t>
            </w:r>
          </w:p>
        </w:tc>
        <w:tc>
          <w:tcPr>
            <w:tcW w:w="1441" w:type="dxa"/>
            <w:shd w:val="clear" w:color="auto" w:fill="auto"/>
            <w:vAlign w:val="center"/>
          </w:tcPr>
          <w:p w14:paraId="3073F19C">
            <w:pPr>
              <w:jc w:val="center"/>
              <w:rPr>
                <w:color w:val="000000"/>
                <w:sz w:val="20"/>
              </w:rPr>
            </w:pPr>
            <w:r>
              <w:rPr>
                <w:color w:val="000000"/>
                <w:sz w:val="20"/>
              </w:rPr>
              <w:t>COMPRIMIDO</w:t>
            </w:r>
          </w:p>
        </w:tc>
        <w:tc>
          <w:tcPr>
            <w:tcW w:w="1230" w:type="dxa"/>
            <w:shd w:val="clear" w:color="auto" w:fill="auto"/>
            <w:vAlign w:val="center"/>
          </w:tcPr>
          <w:p w14:paraId="6B08B7A0">
            <w:pPr>
              <w:jc w:val="right"/>
              <w:rPr>
                <w:color w:val="000000"/>
                <w:sz w:val="20"/>
              </w:rPr>
            </w:pPr>
            <w:r>
              <w:rPr>
                <w:color w:val="000000"/>
                <w:sz w:val="20"/>
              </w:rPr>
              <w:t>1,81</w:t>
            </w:r>
          </w:p>
        </w:tc>
        <w:tc>
          <w:tcPr>
            <w:tcW w:w="1365" w:type="dxa"/>
            <w:gridSpan w:val="2"/>
            <w:shd w:val="clear" w:color="auto" w:fill="auto"/>
            <w:noWrap/>
            <w:vAlign w:val="center"/>
          </w:tcPr>
          <w:p w14:paraId="487959AE">
            <w:pPr>
              <w:jc w:val="right"/>
              <w:rPr>
                <w:color w:val="000000"/>
                <w:sz w:val="20"/>
              </w:rPr>
            </w:pPr>
            <w:r>
              <w:rPr>
                <w:color w:val="000000"/>
                <w:sz w:val="20"/>
              </w:rPr>
              <w:t>543,00</w:t>
            </w:r>
          </w:p>
        </w:tc>
      </w:tr>
      <w:tr w14:paraId="7CA5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2303CDEA">
            <w:pPr>
              <w:jc w:val="center"/>
              <w:rPr>
                <w:color w:val="000000"/>
                <w:sz w:val="20"/>
              </w:rPr>
            </w:pPr>
            <w:r>
              <w:rPr>
                <w:color w:val="000000"/>
                <w:sz w:val="20"/>
              </w:rPr>
              <w:t>34</w:t>
            </w:r>
          </w:p>
        </w:tc>
        <w:tc>
          <w:tcPr>
            <w:tcW w:w="3124" w:type="dxa"/>
            <w:shd w:val="clear" w:color="auto" w:fill="auto"/>
            <w:noWrap/>
            <w:vAlign w:val="center"/>
          </w:tcPr>
          <w:p w14:paraId="63FF5F59">
            <w:pPr>
              <w:jc w:val="both"/>
              <w:rPr>
                <w:color w:val="000000"/>
                <w:sz w:val="20"/>
              </w:rPr>
            </w:pPr>
            <w:r>
              <w:rPr>
                <w:color w:val="000000"/>
                <w:sz w:val="20"/>
              </w:rPr>
              <w:t>METRONIDAZOL, DOSAGEM 250 MG.</w:t>
            </w:r>
          </w:p>
        </w:tc>
        <w:tc>
          <w:tcPr>
            <w:tcW w:w="913" w:type="dxa"/>
            <w:shd w:val="clear" w:color="auto" w:fill="auto"/>
            <w:vAlign w:val="center"/>
          </w:tcPr>
          <w:p w14:paraId="56F9D543">
            <w:pPr>
              <w:jc w:val="center"/>
              <w:rPr>
                <w:color w:val="000000"/>
                <w:sz w:val="20"/>
              </w:rPr>
            </w:pPr>
            <w:r>
              <w:rPr>
                <w:color w:val="000000"/>
                <w:sz w:val="20"/>
              </w:rPr>
              <w:t>200</w:t>
            </w:r>
          </w:p>
        </w:tc>
        <w:tc>
          <w:tcPr>
            <w:tcW w:w="1441" w:type="dxa"/>
            <w:shd w:val="clear" w:color="auto" w:fill="auto"/>
            <w:vAlign w:val="center"/>
          </w:tcPr>
          <w:p w14:paraId="497755D0">
            <w:pPr>
              <w:jc w:val="center"/>
              <w:rPr>
                <w:color w:val="000000"/>
                <w:sz w:val="20"/>
              </w:rPr>
            </w:pPr>
            <w:r>
              <w:rPr>
                <w:color w:val="000000"/>
                <w:sz w:val="20"/>
              </w:rPr>
              <w:t>COMPRIMIDO</w:t>
            </w:r>
          </w:p>
        </w:tc>
        <w:tc>
          <w:tcPr>
            <w:tcW w:w="1230" w:type="dxa"/>
            <w:shd w:val="clear" w:color="auto" w:fill="auto"/>
            <w:vAlign w:val="center"/>
          </w:tcPr>
          <w:p w14:paraId="0223EAAD">
            <w:pPr>
              <w:jc w:val="right"/>
              <w:rPr>
                <w:color w:val="000000"/>
                <w:sz w:val="20"/>
              </w:rPr>
            </w:pPr>
            <w:r>
              <w:rPr>
                <w:color w:val="000000"/>
                <w:sz w:val="20"/>
              </w:rPr>
              <w:t>0,36</w:t>
            </w:r>
          </w:p>
        </w:tc>
        <w:tc>
          <w:tcPr>
            <w:tcW w:w="1365" w:type="dxa"/>
            <w:gridSpan w:val="2"/>
            <w:shd w:val="clear" w:color="auto" w:fill="auto"/>
            <w:noWrap/>
            <w:vAlign w:val="center"/>
          </w:tcPr>
          <w:p w14:paraId="36EEA7B8">
            <w:pPr>
              <w:jc w:val="right"/>
              <w:rPr>
                <w:color w:val="000000"/>
                <w:sz w:val="20"/>
              </w:rPr>
            </w:pPr>
            <w:r>
              <w:rPr>
                <w:color w:val="000000"/>
                <w:sz w:val="20"/>
              </w:rPr>
              <w:t>72,00</w:t>
            </w:r>
          </w:p>
        </w:tc>
      </w:tr>
      <w:tr w14:paraId="498B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63C4262C">
            <w:pPr>
              <w:jc w:val="center"/>
              <w:rPr>
                <w:color w:val="000000"/>
                <w:sz w:val="20"/>
              </w:rPr>
            </w:pPr>
            <w:r>
              <w:rPr>
                <w:color w:val="000000"/>
                <w:sz w:val="20"/>
              </w:rPr>
              <w:t>35</w:t>
            </w:r>
          </w:p>
        </w:tc>
        <w:tc>
          <w:tcPr>
            <w:tcW w:w="3124" w:type="dxa"/>
            <w:shd w:val="clear" w:color="auto" w:fill="auto"/>
            <w:noWrap/>
            <w:vAlign w:val="center"/>
          </w:tcPr>
          <w:p w14:paraId="76F9461D">
            <w:pPr>
              <w:jc w:val="both"/>
              <w:rPr>
                <w:color w:val="000000"/>
                <w:sz w:val="20"/>
              </w:rPr>
            </w:pPr>
            <w:r>
              <w:rPr>
                <w:color w:val="000000"/>
                <w:sz w:val="20"/>
              </w:rPr>
              <w:t>NEOCAÍNA PESADA (BUPIVACAÍNA CLORIDRATO), PUREZA 0,5%, APRESENTAÇÃO SOLUÇÃO INJETÁVEL, FRASCO DE 20 ML.</w:t>
            </w:r>
          </w:p>
        </w:tc>
        <w:tc>
          <w:tcPr>
            <w:tcW w:w="913" w:type="dxa"/>
            <w:shd w:val="clear" w:color="auto" w:fill="auto"/>
            <w:vAlign w:val="center"/>
          </w:tcPr>
          <w:p w14:paraId="5403C876">
            <w:pPr>
              <w:jc w:val="center"/>
              <w:rPr>
                <w:color w:val="000000"/>
                <w:sz w:val="20"/>
              </w:rPr>
            </w:pPr>
            <w:r>
              <w:rPr>
                <w:color w:val="000000"/>
                <w:sz w:val="20"/>
              </w:rPr>
              <w:t>3000</w:t>
            </w:r>
          </w:p>
        </w:tc>
        <w:tc>
          <w:tcPr>
            <w:tcW w:w="1441" w:type="dxa"/>
            <w:shd w:val="clear" w:color="auto" w:fill="auto"/>
            <w:vAlign w:val="center"/>
          </w:tcPr>
          <w:p w14:paraId="302E2F82">
            <w:pPr>
              <w:jc w:val="center"/>
              <w:rPr>
                <w:color w:val="000000"/>
                <w:sz w:val="20"/>
              </w:rPr>
            </w:pPr>
            <w:r>
              <w:rPr>
                <w:color w:val="000000"/>
                <w:sz w:val="20"/>
              </w:rPr>
              <w:t>FRASCO</w:t>
            </w:r>
          </w:p>
        </w:tc>
        <w:tc>
          <w:tcPr>
            <w:tcW w:w="1230" w:type="dxa"/>
            <w:shd w:val="clear" w:color="auto" w:fill="auto"/>
            <w:vAlign w:val="center"/>
          </w:tcPr>
          <w:p w14:paraId="76E1637E">
            <w:pPr>
              <w:jc w:val="right"/>
              <w:rPr>
                <w:color w:val="000000"/>
                <w:sz w:val="20"/>
              </w:rPr>
            </w:pPr>
            <w:r>
              <w:rPr>
                <w:color w:val="000000"/>
                <w:sz w:val="20"/>
              </w:rPr>
              <w:t>20,88</w:t>
            </w:r>
          </w:p>
        </w:tc>
        <w:tc>
          <w:tcPr>
            <w:tcW w:w="1365" w:type="dxa"/>
            <w:gridSpan w:val="2"/>
            <w:shd w:val="clear" w:color="auto" w:fill="auto"/>
            <w:noWrap/>
            <w:vAlign w:val="center"/>
          </w:tcPr>
          <w:p w14:paraId="3FB2CDBD">
            <w:pPr>
              <w:jc w:val="right"/>
              <w:rPr>
                <w:color w:val="000000"/>
                <w:sz w:val="20"/>
              </w:rPr>
            </w:pPr>
            <w:r>
              <w:rPr>
                <w:color w:val="000000"/>
                <w:sz w:val="20"/>
              </w:rPr>
              <w:t>62.640,00</w:t>
            </w:r>
          </w:p>
        </w:tc>
      </w:tr>
      <w:tr w14:paraId="1E23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0AB84F70">
            <w:pPr>
              <w:jc w:val="center"/>
              <w:rPr>
                <w:color w:val="000000"/>
                <w:sz w:val="20"/>
              </w:rPr>
            </w:pPr>
            <w:r>
              <w:rPr>
                <w:color w:val="000000"/>
                <w:sz w:val="20"/>
              </w:rPr>
              <w:t>36</w:t>
            </w:r>
          </w:p>
        </w:tc>
        <w:tc>
          <w:tcPr>
            <w:tcW w:w="3124" w:type="dxa"/>
            <w:shd w:val="clear" w:color="auto" w:fill="auto"/>
            <w:noWrap/>
            <w:vAlign w:val="center"/>
          </w:tcPr>
          <w:p w14:paraId="5BCC33F5">
            <w:pPr>
              <w:jc w:val="both"/>
              <w:rPr>
                <w:color w:val="000000"/>
                <w:sz w:val="20"/>
              </w:rPr>
            </w:pPr>
            <w:r>
              <w:rPr>
                <w:color w:val="000000"/>
                <w:sz w:val="20"/>
              </w:rPr>
              <w:t>NISTATINA, DOSAGEM 25.000 UI/G, APRESENTAÇÃO CREME VAGINAL, BISNAGA DE 60 G.</w:t>
            </w:r>
          </w:p>
        </w:tc>
        <w:tc>
          <w:tcPr>
            <w:tcW w:w="913" w:type="dxa"/>
            <w:shd w:val="clear" w:color="auto" w:fill="auto"/>
            <w:vAlign w:val="center"/>
          </w:tcPr>
          <w:p w14:paraId="43F227A7">
            <w:pPr>
              <w:jc w:val="center"/>
              <w:rPr>
                <w:color w:val="000000"/>
                <w:sz w:val="20"/>
              </w:rPr>
            </w:pPr>
            <w:r>
              <w:rPr>
                <w:color w:val="000000"/>
                <w:sz w:val="20"/>
              </w:rPr>
              <w:t>1000</w:t>
            </w:r>
          </w:p>
        </w:tc>
        <w:tc>
          <w:tcPr>
            <w:tcW w:w="1441" w:type="dxa"/>
            <w:shd w:val="clear" w:color="auto" w:fill="auto"/>
            <w:vAlign w:val="center"/>
          </w:tcPr>
          <w:p w14:paraId="3BE80FDA">
            <w:pPr>
              <w:jc w:val="center"/>
              <w:rPr>
                <w:color w:val="000000"/>
                <w:sz w:val="20"/>
              </w:rPr>
            </w:pPr>
            <w:r>
              <w:rPr>
                <w:color w:val="000000"/>
                <w:sz w:val="20"/>
              </w:rPr>
              <w:t>BISNAGA</w:t>
            </w:r>
          </w:p>
        </w:tc>
        <w:tc>
          <w:tcPr>
            <w:tcW w:w="1230" w:type="dxa"/>
            <w:shd w:val="clear" w:color="auto" w:fill="auto"/>
            <w:vAlign w:val="center"/>
          </w:tcPr>
          <w:p w14:paraId="50B50466">
            <w:pPr>
              <w:jc w:val="right"/>
              <w:rPr>
                <w:color w:val="000000"/>
                <w:sz w:val="20"/>
              </w:rPr>
            </w:pPr>
            <w:r>
              <w:rPr>
                <w:color w:val="000000"/>
                <w:sz w:val="20"/>
              </w:rPr>
              <w:t>10,47</w:t>
            </w:r>
          </w:p>
        </w:tc>
        <w:tc>
          <w:tcPr>
            <w:tcW w:w="1365" w:type="dxa"/>
            <w:gridSpan w:val="2"/>
            <w:shd w:val="clear" w:color="auto" w:fill="auto"/>
            <w:noWrap/>
            <w:vAlign w:val="center"/>
          </w:tcPr>
          <w:p w14:paraId="4B768D9A">
            <w:pPr>
              <w:jc w:val="right"/>
              <w:rPr>
                <w:color w:val="000000"/>
                <w:sz w:val="20"/>
              </w:rPr>
            </w:pPr>
            <w:r>
              <w:rPr>
                <w:color w:val="000000"/>
                <w:sz w:val="20"/>
              </w:rPr>
              <w:t>10.470,00</w:t>
            </w:r>
          </w:p>
        </w:tc>
      </w:tr>
      <w:tr w14:paraId="59E0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853" w:type="dxa"/>
            <w:shd w:val="clear" w:color="auto" w:fill="auto"/>
            <w:vAlign w:val="center"/>
          </w:tcPr>
          <w:p w14:paraId="4717CD3B">
            <w:pPr>
              <w:jc w:val="center"/>
              <w:rPr>
                <w:color w:val="000000"/>
                <w:sz w:val="20"/>
              </w:rPr>
            </w:pPr>
            <w:r>
              <w:rPr>
                <w:color w:val="000000"/>
                <w:sz w:val="20"/>
              </w:rPr>
              <w:t>37</w:t>
            </w:r>
          </w:p>
        </w:tc>
        <w:tc>
          <w:tcPr>
            <w:tcW w:w="3124" w:type="dxa"/>
            <w:shd w:val="clear" w:color="auto" w:fill="auto"/>
            <w:noWrap/>
            <w:vAlign w:val="center"/>
          </w:tcPr>
          <w:p w14:paraId="77293CED">
            <w:pPr>
              <w:jc w:val="both"/>
              <w:rPr>
                <w:color w:val="000000"/>
                <w:sz w:val="20"/>
              </w:rPr>
            </w:pPr>
            <w:r>
              <w:rPr>
                <w:color w:val="000000"/>
                <w:sz w:val="20"/>
              </w:rPr>
              <w:t>ÓLEO DE GIRASSOL, FRASCO DE 100 ML (ÁCIDOS GRAXOS ESSENCIAIS, COMPOSIÇÃO ÓLEO DE GIRASSOL E VITAMINAS, FORMA FARMACÊUTICA).</w:t>
            </w:r>
          </w:p>
        </w:tc>
        <w:tc>
          <w:tcPr>
            <w:tcW w:w="913" w:type="dxa"/>
            <w:shd w:val="clear" w:color="auto" w:fill="auto"/>
            <w:vAlign w:val="center"/>
          </w:tcPr>
          <w:p w14:paraId="041350E7">
            <w:pPr>
              <w:jc w:val="center"/>
              <w:rPr>
                <w:color w:val="000000"/>
                <w:sz w:val="20"/>
              </w:rPr>
            </w:pPr>
            <w:r>
              <w:rPr>
                <w:color w:val="000000"/>
                <w:sz w:val="20"/>
              </w:rPr>
              <w:t>400</w:t>
            </w:r>
          </w:p>
        </w:tc>
        <w:tc>
          <w:tcPr>
            <w:tcW w:w="1441" w:type="dxa"/>
            <w:shd w:val="clear" w:color="auto" w:fill="auto"/>
            <w:vAlign w:val="center"/>
          </w:tcPr>
          <w:p w14:paraId="74136AAF">
            <w:pPr>
              <w:jc w:val="center"/>
              <w:rPr>
                <w:color w:val="000000"/>
                <w:sz w:val="20"/>
              </w:rPr>
            </w:pPr>
            <w:r>
              <w:rPr>
                <w:color w:val="000000"/>
                <w:sz w:val="20"/>
              </w:rPr>
              <w:t>FRASCO</w:t>
            </w:r>
          </w:p>
        </w:tc>
        <w:tc>
          <w:tcPr>
            <w:tcW w:w="1230" w:type="dxa"/>
            <w:shd w:val="clear" w:color="auto" w:fill="auto"/>
            <w:vAlign w:val="center"/>
          </w:tcPr>
          <w:p w14:paraId="27F0A154">
            <w:pPr>
              <w:jc w:val="right"/>
              <w:rPr>
                <w:color w:val="000000"/>
                <w:sz w:val="20"/>
              </w:rPr>
            </w:pPr>
            <w:r>
              <w:rPr>
                <w:color w:val="000000"/>
                <w:sz w:val="20"/>
              </w:rPr>
              <w:t>8,12</w:t>
            </w:r>
          </w:p>
        </w:tc>
        <w:tc>
          <w:tcPr>
            <w:tcW w:w="1365" w:type="dxa"/>
            <w:gridSpan w:val="2"/>
            <w:shd w:val="clear" w:color="auto" w:fill="auto"/>
            <w:noWrap/>
            <w:vAlign w:val="center"/>
          </w:tcPr>
          <w:p w14:paraId="5569E0C4">
            <w:pPr>
              <w:jc w:val="right"/>
              <w:rPr>
                <w:color w:val="000000"/>
                <w:sz w:val="20"/>
              </w:rPr>
            </w:pPr>
            <w:r>
              <w:rPr>
                <w:color w:val="000000"/>
                <w:sz w:val="20"/>
              </w:rPr>
              <w:t>3.248,00</w:t>
            </w:r>
          </w:p>
        </w:tc>
      </w:tr>
      <w:tr w14:paraId="179F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6" w:hRule="atLeast"/>
        </w:trPr>
        <w:tc>
          <w:tcPr>
            <w:tcW w:w="853" w:type="dxa"/>
            <w:shd w:val="clear" w:color="auto" w:fill="auto"/>
            <w:vAlign w:val="center"/>
          </w:tcPr>
          <w:p w14:paraId="19EB9AB2">
            <w:pPr>
              <w:jc w:val="center"/>
              <w:rPr>
                <w:color w:val="000000"/>
                <w:sz w:val="20"/>
              </w:rPr>
            </w:pPr>
            <w:r>
              <w:rPr>
                <w:color w:val="000000"/>
                <w:sz w:val="20"/>
              </w:rPr>
              <w:t>38</w:t>
            </w:r>
          </w:p>
        </w:tc>
        <w:tc>
          <w:tcPr>
            <w:tcW w:w="3124" w:type="dxa"/>
            <w:shd w:val="clear" w:color="auto" w:fill="auto"/>
            <w:noWrap/>
            <w:vAlign w:val="center"/>
          </w:tcPr>
          <w:p w14:paraId="7E9A544F">
            <w:pPr>
              <w:jc w:val="both"/>
              <w:rPr>
                <w:color w:val="000000"/>
                <w:sz w:val="20"/>
              </w:rPr>
            </w:pPr>
            <w:r>
              <w:rPr>
                <w:color w:val="000000"/>
                <w:sz w:val="20"/>
              </w:rPr>
              <w:t>PARACETAMOL, DOSAGEM SOLUÇÃO ORAL 200 MG/ML, APRESENTAÇÃO SOLUÇÃO ORAL, FRASCO COM NO MINIMO 15ML.</w:t>
            </w:r>
          </w:p>
        </w:tc>
        <w:tc>
          <w:tcPr>
            <w:tcW w:w="913" w:type="dxa"/>
            <w:shd w:val="clear" w:color="auto" w:fill="auto"/>
            <w:vAlign w:val="center"/>
          </w:tcPr>
          <w:p w14:paraId="01A15D01">
            <w:pPr>
              <w:jc w:val="center"/>
              <w:rPr>
                <w:color w:val="000000"/>
                <w:sz w:val="20"/>
              </w:rPr>
            </w:pPr>
            <w:r>
              <w:rPr>
                <w:color w:val="000000"/>
                <w:sz w:val="20"/>
              </w:rPr>
              <w:t>450</w:t>
            </w:r>
          </w:p>
        </w:tc>
        <w:tc>
          <w:tcPr>
            <w:tcW w:w="1441" w:type="dxa"/>
            <w:shd w:val="clear" w:color="auto" w:fill="auto"/>
            <w:vAlign w:val="center"/>
          </w:tcPr>
          <w:p w14:paraId="26799E0C">
            <w:pPr>
              <w:jc w:val="center"/>
              <w:rPr>
                <w:color w:val="000000"/>
                <w:sz w:val="20"/>
              </w:rPr>
            </w:pPr>
            <w:r>
              <w:rPr>
                <w:color w:val="000000"/>
                <w:sz w:val="20"/>
              </w:rPr>
              <w:t>FRASCO</w:t>
            </w:r>
          </w:p>
        </w:tc>
        <w:tc>
          <w:tcPr>
            <w:tcW w:w="1230" w:type="dxa"/>
            <w:shd w:val="clear" w:color="auto" w:fill="auto"/>
            <w:vAlign w:val="center"/>
          </w:tcPr>
          <w:p w14:paraId="22B0EC0F">
            <w:pPr>
              <w:jc w:val="right"/>
              <w:rPr>
                <w:color w:val="000000"/>
                <w:sz w:val="20"/>
              </w:rPr>
            </w:pPr>
            <w:r>
              <w:rPr>
                <w:color w:val="000000"/>
                <w:sz w:val="20"/>
              </w:rPr>
              <w:t>2,47</w:t>
            </w:r>
          </w:p>
        </w:tc>
        <w:tc>
          <w:tcPr>
            <w:tcW w:w="1365" w:type="dxa"/>
            <w:gridSpan w:val="2"/>
            <w:shd w:val="clear" w:color="auto" w:fill="auto"/>
            <w:noWrap/>
            <w:vAlign w:val="center"/>
          </w:tcPr>
          <w:p w14:paraId="785CB52E">
            <w:pPr>
              <w:jc w:val="right"/>
              <w:rPr>
                <w:color w:val="000000"/>
                <w:sz w:val="20"/>
              </w:rPr>
            </w:pPr>
            <w:r>
              <w:rPr>
                <w:color w:val="000000"/>
                <w:sz w:val="20"/>
              </w:rPr>
              <w:t>1.111,50</w:t>
            </w:r>
          </w:p>
        </w:tc>
      </w:tr>
      <w:tr w14:paraId="0729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853" w:type="dxa"/>
            <w:shd w:val="clear" w:color="auto" w:fill="auto"/>
            <w:vAlign w:val="center"/>
          </w:tcPr>
          <w:p w14:paraId="5F8967DD">
            <w:pPr>
              <w:jc w:val="center"/>
              <w:rPr>
                <w:color w:val="000000"/>
                <w:sz w:val="20"/>
              </w:rPr>
            </w:pPr>
            <w:r>
              <w:rPr>
                <w:color w:val="000000"/>
                <w:sz w:val="20"/>
              </w:rPr>
              <w:t>39</w:t>
            </w:r>
          </w:p>
        </w:tc>
        <w:tc>
          <w:tcPr>
            <w:tcW w:w="3124" w:type="dxa"/>
            <w:shd w:val="clear" w:color="auto" w:fill="auto"/>
            <w:noWrap/>
            <w:vAlign w:val="center"/>
          </w:tcPr>
          <w:p w14:paraId="35626719">
            <w:pPr>
              <w:jc w:val="both"/>
              <w:rPr>
                <w:color w:val="000000"/>
                <w:sz w:val="20"/>
              </w:rPr>
            </w:pPr>
            <w:r>
              <w:rPr>
                <w:color w:val="000000"/>
                <w:sz w:val="20"/>
              </w:rPr>
              <w:t>POVIDINE TÓPICO (IODOPOVIDONA) (PVPI), CONCENTRAÇÃO A 10% (TEOR DE IODO 1%), FORMA FARMACÊUTICA SOLUÇÃO TÓPICA AQUOSA, FRASCO DE 100 ML.</w:t>
            </w:r>
          </w:p>
        </w:tc>
        <w:tc>
          <w:tcPr>
            <w:tcW w:w="913" w:type="dxa"/>
            <w:shd w:val="clear" w:color="auto" w:fill="auto"/>
            <w:vAlign w:val="center"/>
          </w:tcPr>
          <w:p w14:paraId="1B19ED72">
            <w:pPr>
              <w:jc w:val="center"/>
              <w:rPr>
                <w:color w:val="000000"/>
                <w:sz w:val="20"/>
              </w:rPr>
            </w:pPr>
            <w:r>
              <w:rPr>
                <w:color w:val="000000"/>
                <w:sz w:val="20"/>
              </w:rPr>
              <w:t>150</w:t>
            </w:r>
          </w:p>
        </w:tc>
        <w:tc>
          <w:tcPr>
            <w:tcW w:w="1441" w:type="dxa"/>
            <w:shd w:val="clear" w:color="auto" w:fill="auto"/>
            <w:vAlign w:val="center"/>
          </w:tcPr>
          <w:p w14:paraId="4CB6ED34">
            <w:pPr>
              <w:jc w:val="center"/>
              <w:rPr>
                <w:color w:val="000000"/>
                <w:sz w:val="20"/>
              </w:rPr>
            </w:pPr>
            <w:r>
              <w:rPr>
                <w:color w:val="000000"/>
                <w:sz w:val="20"/>
              </w:rPr>
              <w:t>FRASCO</w:t>
            </w:r>
          </w:p>
        </w:tc>
        <w:tc>
          <w:tcPr>
            <w:tcW w:w="1230" w:type="dxa"/>
            <w:shd w:val="clear" w:color="auto" w:fill="auto"/>
            <w:vAlign w:val="center"/>
          </w:tcPr>
          <w:p w14:paraId="20B6C5F9">
            <w:pPr>
              <w:jc w:val="right"/>
              <w:rPr>
                <w:color w:val="000000"/>
                <w:sz w:val="20"/>
              </w:rPr>
            </w:pPr>
            <w:r>
              <w:rPr>
                <w:color w:val="000000"/>
                <w:sz w:val="20"/>
              </w:rPr>
              <w:t>16,93</w:t>
            </w:r>
          </w:p>
        </w:tc>
        <w:tc>
          <w:tcPr>
            <w:tcW w:w="1365" w:type="dxa"/>
            <w:gridSpan w:val="2"/>
            <w:shd w:val="clear" w:color="auto" w:fill="auto"/>
            <w:noWrap/>
            <w:vAlign w:val="center"/>
          </w:tcPr>
          <w:p w14:paraId="1ED5B262">
            <w:pPr>
              <w:jc w:val="right"/>
              <w:rPr>
                <w:color w:val="000000"/>
                <w:sz w:val="20"/>
              </w:rPr>
            </w:pPr>
            <w:r>
              <w:rPr>
                <w:color w:val="000000"/>
                <w:sz w:val="20"/>
              </w:rPr>
              <w:t>2.539,50</w:t>
            </w:r>
          </w:p>
        </w:tc>
      </w:tr>
      <w:tr w14:paraId="26BA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4DE47E8E">
            <w:pPr>
              <w:jc w:val="center"/>
              <w:rPr>
                <w:color w:val="000000"/>
                <w:sz w:val="20"/>
              </w:rPr>
            </w:pPr>
            <w:r>
              <w:rPr>
                <w:color w:val="000000"/>
                <w:sz w:val="20"/>
              </w:rPr>
              <w:t>40</w:t>
            </w:r>
          </w:p>
        </w:tc>
        <w:tc>
          <w:tcPr>
            <w:tcW w:w="3124" w:type="dxa"/>
            <w:shd w:val="clear" w:color="auto" w:fill="auto"/>
            <w:noWrap/>
            <w:vAlign w:val="center"/>
          </w:tcPr>
          <w:p w14:paraId="51D7FBF4">
            <w:pPr>
              <w:jc w:val="both"/>
              <w:rPr>
                <w:color w:val="000000"/>
                <w:sz w:val="20"/>
              </w:rPr>
            </w:pPr>
            <w:r>
              <w:rPr>
                <w:color w:val="000000"/>
                <w:sz w:val="20"/>
              </w:rPr>
              <w:t>SULFADIAZINA, DE PRATA, 1%, CREME, POTE 400 G.</w:t>
            </w:r>
          </w:p>
        </w:tc>
        <w:tc>
          <w:tcPr>
            <w:tcW w:w="913" w:type="dxa"/>
            <w:shd w:val="clear" w:color="auto" w:fill="auto"/>
            <w:vAlign w:val="center"/>
          </w:tcPr>
          <w:p w14:paraId="65E9AED5">
            <w:pPr>
              <w:jc w:val="center"/>
              <w:rPr>
                <w:color w:val="000000"/>
                <w:sz w:val="20"/>
              </w:rPr>
            </w:pPr>
            <w:r>
              <w:rPr>
                <w:color w:val="000000"/>
                <w:sz w:val="20"/>
              </w:rPr>
              <w:t>90</w:t>
            </w:r>
          </w:p>
        </w:tc>
        <w:tc>
          <w:tcPr>
            <w:tcW w:w="1441" w:type="dxa"/>
            <w:shd w:val="clear" w:color="auto" w:fill="auto"/>
            <w:vAlign w:val="center"/>
          </w:tcPr>
          <w:p w14:paraId="50E5107F">
            <w:pPr>
              <w:jc w:val="center"/>
              <w:rPr>
                <w:color w:val="000000"/>
                <w:sz w:val="20"/>
              </w:rPr>
            </w:pPr>
            <w:r>
              <w:rPr>
                <w:color w:val="000000"/>
                <w:sz w:val="20"/>
              </w:rPr>
              <w:t>POTE</w:t>
            </w:r>
          </w:p>
        </w:tc>
        <w:tc>
          <w:tcPr>
            <w:tcW w:w="1230" w:type="dxa"/>
            <w:shd w:val="clear" w:color="auto" w:fill="auto"/>
            <w:vAlign w:val="center"/>
          </w:tcPr>
          <w:p w14:paraId="7EB6C049">
            <w:pPr>
              <w:jc w:val="right"/>
              <w:rPr>
                <w:color w:val="000000"/>
                <w:sz w:val="20"/>
              </w:rPr>
            </w:pPr>
            <w:r>
              <w:rPr>
                <w:color w:val="000000"/>
                <w:sz w:val="20"/>
              </w:rPr>
              <w:t>47,05</w:t>
            </w:r>
          </w:p>
        </w:tc>
        <w:tc>
          <w:tcPr>
            <w:tcW w:w="1365" w:type="dxa"/>
            <w:gridSpan w:val="2"/>
            <w:shd w:val="clear" w:color="auto" w:fill="auto"/>
            <w:noWrap/>
            <w:vAlign w:val="center"/>
          </w:tcPr>
          <w:p w14:paraId="43FB9CCA">
            <w:pPr>
              <w:jc w:val="right"/>
              <w:rPr>
                <w:color w:val="000000"/>
                <w:sz w:val="20"/>
              </w:rPr>
            </w:pPr>
            <w:r>
              <w:rPr>
                <w:color w:val="000000"/>
                <w:sz w:val="20"/>
              </w:rPr>
              <w:t>4.234,50</w:t>
            </w:r>
          </w:p>
        </w:tc>
      </w:tr>
      <w:tr w14:paraId="5E4A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853" w:type="dxa"/>
            <w:shd w:val="clear" w:color="auto" w:fill="auto"/>
            <w:vAlign w:val="center"/>
          </w:tcPr>
          <w:p w14:paraId="69CABC14">
            <w:pPr>
              <w:jc w:val="center"/>
              <w:rPr>
                <w:color w:val="000000"/>
                <w:sz w:val="20"/>
              </w:rPr>
            </w:pPr>
            <w:r>
              <w:rPr>
                <w:color w:val="000000"/>
                <w:sz w:val="20"/>
              </w:rPr>
              <w:t>41</w:t>
            </w:r>
          </w:p>
        </w:tc>
        <w:tc>
          <w:tcPr>
            <w:tcW w:w="3124" w:type="dxa"/>
            <w:shd w:val="clear" w:color="auto" w:fill="auto"/>
            <w:noWrap/>
            <w:vAlign w:val="center"/>
          </w:tcPr>
          <w:p w14:paraId="219E4B2C">
            <w:pPr>
              <w:jc w:val="both"/>
              <w:rPr>
                <w:color w:val="000000"/>
                <w:sz w:val="20"/>
              </w:rPr>
            </w:pPr>
            <w:r>
              <w:rPr>
                <w:color w:val="000000"/>
                <w:sz w:val="20"/>
              </w:rPr>
              <w:t>TENOXICAM, DOSAGEM 20 MG, INJETÁVEL, AMPOLA.</w:t>
            </w:r>
          </w:p>
        </w:tc>
        <w:tc>
          <w:tcPr>
            <w:tcW w:w="913" w:type="dxa"/>
            <w:shd w:val="clear" w:color="auto" w:fill="auto"/>
            <w:vAlign w:val="center"/>
          </w:tcPr>
          <w:p w14:paraId="50B68CC8">
            <w:pPr>
              <w:jc w:val="center"/>
              <w:rPr>
                <w:color w:val="000000"/>
                <w:sz w:val="20"/>
              </w:rPr>
            </w:pPr>
            <w:r>
              <w:rPr>
                <w:color w:val="000000"/>
                <w:sz w:val="20"/>
              </w:rPr>
              <w:t>6000</w:t>
            </w:r>
          </w:p>
        </w:tc>
        <w:tc>
          <w:tcPr>
            <w:tcW w:w="1441" w:type="dxa"/>
            <w:shd w:val="clear" w:color="auto" w:fill="auto"/>
            <w:vAlign w:val="center"/>
          </w:tcPr>
          <w:p w14:paraId="0643BE89">
            <w:pPr>
              <w:jc w:val="center"/>
              <w:rPr>
                <w:color w:val="000000"/>
                <w:sz w:val="20"/>
              </w:rPr>
            </w:pPr>
            <w:r>
              <w:rPr>
                <w:color w:val="000000"/>
                <w:sz w:val="20"/>
              </w:rPr>
              <w:t>AMPOLA</w:t>
            </w:r>
          </w:p>
        </w:tc>
        <w:tc>
          <w:tcPr>
            <w:tcW w:w="1230" w:type="dxa"/>
            <w:shd w:val="clear" w:color="auto" w:fill="auto"/>
            <w:vAlign w:val="center"/>
          </w:tcPr>
          <w:p w14:paraId="6FF13421">
            <w:pPr>
              <w:jc w:val="right"/>
              <w:rPr>
                <w:color w:val="000000"/>
                <w:sz w:val="20"/>
              </w:rPr>
            </w:pPr>
            <w:r>
              <w:rPr>
                <w:color w:val="000000"/>
                <w:sz w:val="20"/>
              </w:rPr>
              <w:t>11,15</w:t>
            </w:r>
          </w:p>
        </w:tc>
        <w:tc>
          <w:tcPr>
            <w:tcW w:w="1365" w:type="dxa"/>
            <w:gridSpan w:val="2"/>
            <w:shd w:val="clear" w:color="auto" w:fill="auto"/>
            <w:noWrap/>
            <w:vAlign w:val="center"/>
          </w:tcPr>
          <w:p w14:paraId="1369D632">
            <w:pPr>
              <w:jc w:val="right"/>
              <w:rPr>
                <w:color w:val="000000"/>
                <w:sz w:val="20"/>
              </w:rPr>
            </w:pPr>
            <w:r>
              <w:rPr>
                <w:color w:val="000000"/>
                <w:sz w:val="20"/>
              </w:rPr>
              <w:t>66.900,00</w:t>
            </w:r>
          </w:p>
        </w:tc>
      </w:tr>
      <w:tr w14:paraId="280D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7AA1C637">
            <w:pPr>
              <w:jc w:val="center"/>
              <w:rPr>
                <w:color w:val="000000"/>
                <w:sz w:val="20"/>
              </w:rPr>
            </w:pPr>
            <w:r>
              <w:rPr>
                <w:color w:val="000000"/>
                <w:sz w:val="20"/>
              </w:rPr>
              <w:t>42</w:t>
            </w:r>
          </w:p>
        </w:tc>
        <w:tc>
          <w:tcPr>
            <w:tcW w:w="3124" w:type="dxa"/>
            <w:shd w:val="clear" w:color="auto" w:fill="auto"/>
            <w:noWrap/>
            <w:vAlign w:val="center"/>
          </w:tcPr>
          <w:p w14:paraId="2B3E1C73">
            <w:pPr>
              <w:jc w:val="both"/>
              <w:rPr>
                <w:color w:val="000000"/>
                <w:sz w:val="20"/>
              </w:rPr>
            </w:pPr>
            <w:r>
              <w:rPr>
                <w:color w:val="000000"/>
                <w:sz w:val="20"/>
              </w:rPr>
              <w:t>VERSA (ENOXAPARINA), DOSAGEM 40MG/0,4 ML, INDICAÇÃO INJETÁVEL.</w:t>
            </w:r>
          </w:p>
        </w:tc>
        <w:tc>
          <w:tcPr>
            <w:tcW w:w="913" w:type="dxa"/>
            <w:shd w:val="clear" w:color="auto" w:fill="auto"/>
            <w:vAlign w:val="center"/>
          </w:tcPr>
          <w:p w14:paraId="08D633FC">
            <w:pPr>
              <w:jc w:val="center"/>
              <w:rPr>
                <w:color w:val="000000"/>
                <w:sz w:val="20"/>
              </w:rPr>
            </w:pPr>
            <w:r>
              <w:rPr>
                <w:color w:val="000000"/>
                <w:sz w:val="20"/>
              </w:rPr>
              <w:t>1000</w:t>
            </w:r>
          </w:p>
        </w:tc>
        <w:tc>
          <w:tcPr>
            <w:tcW w:w="1441" w:type="dxa"/>
            <w:shd w:val="clear" w:color="auto" w:fill="auto"/>
            <w:vAlign w:val="center"/>
          </w:tcPr>
          <w:p w14:paraId="1C94F39C">
            <w:pPr>
              <w:jc w:val="center"/>
              <w:rPr>
                <w:color w:val="000000"/>
                <w:sz w:val="20"/>
              </w:rPr>
            </w:pPr>
            <w:r>
              <w:rPr>
                <w:color w:val="000000"/>
                <w:sz w:val="20"/>
              </w:rPr>
              <w:t>UNIDADE</w:t>
            </w:r>
          </w:p>
        </w:tc>
        <w:tc>
          <w:tcPr>
            <w:tcW w:w="1230" w:type="dxa"/>
            <w:shd w:val="clear" w:color="auto" w:fill="auto"/>
            <w:vAlign w:val="center"/>
          </w:tcPr>
          <w:p w14:paraId="19526FD5">
            <w:pPr>
              <w:jc w:val="right"/>
              <w:rPr>
                <w:color w:val="000000"/>
                <w:sz w:val="20"/>
              </w:rPr>
            </w:pPr>
            <w:r>
              <w:rPr>
                <w:color w:val="000000"/>
                <w:sz w:val="20"/>
              </w:rPr>
              <w:t>16,14</w:t>
            </w:r>
          </w:p>
        </w:tc>
        <w:tc>
          <w:tcPr>
            <w:tcW w:w="1365" w:type="dxa"/>
            <w:gridSpan w:val="2"/>
            <w:shd w:val="clear" w:color="auto" w:fill="auto"/>
            <w:noWrap/>
            <w:vAlign w:val="center"/>
          </w:tcPr>
          <w:p w14:paraId="0A98EEC9">
            <w:pPr>
              <w:jc w:val="right"/>
              <w:rPr>
                <w:color w:val="000000"/>
                <w:sz w:val="20"/>
              </w:rPr>
            </w:pPr>
            <w:r>
              <w:rPr>
                <w:color w:val="000000"/>
                <w:sz w:val="20"/>
              </w:rPr>
              <w:t>16.140,00</w:t>
            </w:r>
          </w:p>
        </w:tc>
      </w:tr>
      <w:tr w14:paraId="45D4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853" w:type="dxa"/>
            <w:shd w:val="clear" w:color="auto" w:fill="auto"/>
            <w:vAlign w:val="center"/>
          </w:tcPr>
          <w:p w14:paraId="22972B4F">
            <w:pPr>
              <w:jc w:val="center"/>
              <w:rPr>
                <w:color w:val="000000"/>
                <w:sz w:val="20"/>
              </w:rPr>
            </w:pPr>
            <w:r>
              <w:rPr>
                <w:color w:val="000000"/>
                <w:sz w:val="20"/>
              </w:rPr>
              <w:t>43</w:t>
            </w:r>
          </w:p>
        </w:tc>
        <w:tc>
          <w:tcPr>
            <w:tcW w:w="3124" w:type="dxa"/>
            <w:shd w:val="clear" w:color="auto" w:fill="auto"/>
            <w:noWrap/>
            <w:vAlign w:val="center"/>
          </w:tcPr>
          <w:p w14:paraId="1C653491">
            <w:pPr>
              <w:jc w:val="both"/>
              <w:rPr>
                <w:color w:val="000000"/>
                <w:sz w:val="20"/>
              </w:rPr>
            </w:pPr>
            <w:r>
              <w:rPr>
                <w:color w:val="000000"/>
                <w:sz w:val="20"/>
              </w:rPr>
              <w:t>VITAMINA K (FITOMENADIONA), 10 MG/ML, SOLUÇÃO INJETÁVEL, AMPOLA 1 ML.</w:t>
            </w:r>
          </w:p>
        </w:tc>
        <w:tc>
          <w:tcPr>
            <w:tcW w:w="913" w:type="dxa"/>
            <w:shd w:val="clear" w:color="auto" w:fill="auto"/>
            <w:vAlign w:val="center"/>
          </w:tcPr>
          <w:p w14:paraId="719E615C">
            <w:pPr>
              <w:jc w:val="center"/>
              <w:rPr>
                <w:color w:val="000000"/>
                <w:sz w:val="20"/>
              </w:rPr>
            </w:pPr>
            <w:r>
              <w:rPr>
                <w:color w:val="000000"/>
                <w:sz w:val="20"/>
              </w:rPr>
              <w:t>4000</w:t>
            </w:r>
          </w:p>
        </w:tc>
        <w:tc>
          <w:tcPr>
            <w:tcW w:w="1441" w:type="dxa"/>
            <w:shd w:val="clear" w:color="auto" w:fill="auto"/>
            <w:vAlign w:val="center"/>
          </w:tcPr>
          <w:p w14:paraId="6409F996">
            <w:pPr>
              <w:jc w:val="center"/>
              <w:rPr>
                <w:color w:val="000000"/>
                <w:sz w:val="20"/>
              </w:rPr>
            </w:pPr>
            <w:r>
              <w:rPr>
                <w:color w:val="000000"/>
                <w:sz w:val="20"/>
              </w:rPr>
              <w:t>AMPOLA</w:t>
            </w:r>
          </w:p>
        </w:tc>
        <w:tc>
          <w:tcPr>
            <w:tcW w:w="1230" w:type="dxa"/>
            <w:shd w:val="clear" w:color="auto" w:fill="auto"/>
            <w:vAlign w:val="center"/>
          </w:tcPr>
          <w:p w14:paraId="6DB8D05F">
            <w:pPr>
              <w:jc w:val="right"/>
              <w:rPr>
                <w:color w:val="000000"/>
                <w:sz w:val="20"/>
              </w:rPr>
            </w:pPr>
            <w:r>
              <w:rPr>
                <w:color w:val="000000"/>
                <w:sz w:val="20"/>
              </w:rPr>
              <w:t>2,18</w:t>
            </w:r>
          </w:p>
        </w:tc>
        <w:tc>
          <w:tcPr>
            <w:tcW w:w="1365" w:type="dxa"/>
            <w:gridSpan w:val="2"/>
            <w:shd w:val="clear" w:color="auto" w:fill="auto"/>
            <w:noWrap/>
            <w:vAlign w:val="center"/>
          </w:tcPr>
          <w:p w14:paraId="661EC764">
            <w:pPr>
              <w:jc w:val="right"/>
              <w:rPr>
                <w:color w:val="000000"/>
                <w:sz w:val="20"/>
              </w:rPr>
            </w:pPr>
            <w:r>
              <w:rPr>
                <w:color w:val="000000"/>
                <w:sz w:val="20"/>
              </w:rPr>
              <w:t>8.720,00</w:t>
            </w:r>
          </w:p>
        </w:tc>
      </w:tr>
      <w:tr w14:paraId="279B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7569" w:type="dxa"/>
            <w:gridSpan w:val="6"/>
            <w:shd w:val="clear" w:color="auto" w:fill="auto"/>
            <w:vAlign w:val="center"/>
          </w:tcPr>
          <w:p w14:paraId="7B280551">
            <w:pPr>
              <w:jc w:val="center"/>
              <w:rPr>
                <w:b/>
                <w:bCs/>
                <w:color w:val="000000"/>
                <w:sz w:val="20"/>
              </w:rPr>
            </w:pPr>
            <w:r>
              <w:rPr>
                <w:b/>
                <w:bCs/>
                <w:color w:val="000000"/>
                <w:sz w:val="20"/>
              </w:rPr>
              <w:t>VALOR TOTAL ESTIMADO R$</w:t>
            </w:r>
          </w:p>
        </w:tc>
        <w:tc>
          <w:tcPr>
            <w:tcW w:w="1357" w:type="dxa"/>
            <w:shd w:val="clear" w:color="auto" w:fill="auto"/>
            <w:noWrap/>
            <w:vAlign w:val="center"/>
          </w:tcPr>
          <w:p w14:paraId="4960F4C7">
            <w:pPr>
              <w:jc w:val="right"/>
              <w:rPr>
                <w:b/>
                <w:bCs/>
                <w:color w:val="000000"/>
                <w:sz w:val="20"/>
              </w:rPr>
            </w:pPr>
            <w:r>
              <w:rPr>
                <w:b/>
                <w:bCs/>
                <w:color w:val="000000"/>
                <w:sz w:val="20"/>
              </w:rPr>
              <w:t>571.351,60</w:t>
            </w:r>
          </w:p>
        </w:tc>
      </w:tr>
    </w:tbl>
    <w:p w14:paraId="2E8EE0A9">
      <w:pPr>
        <w:pStyle w:val="40"/>
        <w:numPr>
          <w:ilvl w:val="1"/>
          <w:numId w:val="6"/>
        </w:numPr>
        <w:spacing w:before="240" w:after="240"/>
        <w:contextualSpacing w:val="0"/>
        <w:jc w:val="both"/>
        <w:rPr>
          <w:sz w:val="20"/>
        </w:rPr>
      </w:pPr>
      <w:r>
        <w:rPr>
          <w:sz w:val="20"/>
        </w:rPr>
        <w:t xml:space="preserve">O objeto desta contratação não se enquadra como sendo de bem de luxo, conforme </w:t>
      </w:r>
      <w:r>
        <w:rPr>
          <w:b/>
          <w:bCs/>
          <w:sz w:val="20"/>
        </w:rPr>
        <w:t>Decreto Municipal nº 40, de 09 de agosto de 2022</w:t>
      </w:r>
      <w:r>
        <w:rPr>
          <w:sz w:val="20"/>
        </w:rPr>
        <w:t>.</w:t>
      </w:r>
    </w:p>
    <w:p w14:paraId="3A4D6F6A">
      <w:pPr>
        <w:pStyle w:val="40"/>
        <w:numPr>
          <w:ilvl w:val="1"/>
          <w:numId w:val="6"/>
        </w:numPr>
        <w:spacing w:before="240" w:after="240"/>
        <w:contextualSpacing w:val="0"/>
        <w:jc w:val="both"/>
        <w:rPr>
          <w:sz w:val="20"/>
        </w:rPr>
      </w:pPr>
      <w:r>
        <w:rPr>
          <w:sz w:val="20"/>
        </w:rPr>
        <w:t>Os itens objeto desta contratação são caracterizados como comuns, conforme justificativa constante no Estudo Técnico Preliminar.</w:t>
      </w:r>
    </w:p>
    <w:p w14:paraId="47B7FBF1">
      <w:pPr>
        <w:pStyle w:val="40"/>
        <w:numPr>
          <w:ilvl w:val="1"/>
          <w:numId w:val="6"/>
        </w:numPr>
        <w:spacing w:before="240" w:after="240"/>
        <w:contextualSpacing w:val="0"/>
        <w:jc w:val="both"/>
        <w:rPr>
          <w:sz w:val="20"/>
        </w:rPr>
      </w:pPr>
      <w:r>
        <w:rPr>
          <w:sz w:val="20"/>
        </w:rPr>
        <w:t xml:space="preserve">O prazo de vigência da contratação é de </w:t>
      </w:r>
      <w:r>
        <w:rPr>
          <w:b/>
          <w:bCs/>
          <w:sz w:val="20"/>
        </w:rPr>
        <w:t>4 (quatro) meses</w:t>
      </w:r>
      <w:r>
        <w:rPr>
          <w:sz w:val="20"/>
        </w:rPr>
        <w:t>, contados da assinatura, na forma do art. 105 da Lei 14.133, de 2021.</w:t>
      </w:r>
    </w:p>
    <w:p w14:paraId="78491C7F">
      <w:pPr>
        <w:pStyle w:val="40"/>
        <w:numPr>
          <w:ilvl w:val="1"/>
          <w:numId w:val="6"/>
        </w:numPr>
        <w:spacing w:before="240" w:after="240"/>
        <w:contextualSpacing w:val="0"/>
        <w:jc w:val="both"/>
        <w:rPr>
          <w:sz w:val="20"/>
        </w:rPr>
      </w:pPr>
      <w:r>
        <w:rPr>
          <w:sz w:val="20"/>
        </w:rPr>
        <w:t>O contrato oferece maior detalhamento das regras que serão aplicadas em relação à vigência da contratação.</w:t>
      </w:r>
    </w:p>
    <w:p w14:paraId="28B159BF">
      <w:pPr>
        <w:pStyle w:val="40"/>
        <w:numPr>
          <w:ilvl w:val="0"/>
          <w:numId w:val="7"/>
        </w:numPr>
        <w:spacing w:before="240" w:after="240"/>
        <w:contextualSpacing w:val="0"/>
        <w:jc w:val="both"/>
        <w:rPr>
          <w:b/>
          <w:bCs/>
          <w:sz w:val="20"/>
        </w:rPr>
      </w:pPr>
      <w:r>
        <w:rPr>
          <w:b/>
          <w:bCs/>
          <w:sz w:val="20"/>
        </w:rPr>
        <w:t>FUNDAMENTAÇÃO E DESCRIÇÃO DA NECESSIDADE DA CONTRATAÇÃO</w:t>
      </w:r>
    </w:p>
    <w:p w14:paraId="36CCBF77">
      <w:pPr>
        <w:pStyle w:val="40"/>
        <w:numPr>
          <w:ilvl w:val="1"/>
          <w:numId w:val="7"/>
        </w:numPr>
        <w:spacing w:before="240" w:after="240"/>
        <w:ind w:left="357" w:right="51" w:hanging="357"/>
        <w:contextualSpacing w:val="0"/>
        <w:jc w:val="both"/>
        <w:rPr>
          <w:sz w:val="20"/>
        </w:rPr>
      </w:pPr>
      <w:r>
        <w:rPr>
          <w:rFonts w:eastAsia="Calibri"/>
          <w:sz w:val="20"/>
        </w:rPr>
        <w:t>A fundamentação da contratação e de seus quantitativos encontram-se pormenorizada em tópicos específicos dos Estudos Técnicos Preliminares, apêndice deste Termo de Referência.</w:t>
      </w:r>
    </w:p>
    <w:p w14:paraId="67DA1238">
      <w:pPr>
        <w:pStyle w:val="40"/>
        <w:numPr>
          <w:ilvl w:val="1"/>
          <w:numId w:val="7"/>
        </w:numPr>
        <w:spacing w:before="240" w:after="240"/>
        <w:ind w:left="357" w:right="51" w:hanging="357"/>
        <w:contextualSpacing w:val="0"/>
        <w:jc w:val="both"/>
        <w:rPr>
          <w:sz w:val="20"/>
        </w:rPr>
      </w:pPr>
      <w:r>
        <w:rPr>
          <w:sz w:val="20"/>
        </w:rPr>
        <w:t>O objeto da contratação está previsto na LOA para este exercício.</w:t>
      </w:r>
    </w:p>
    <w:p w14:paraId="33F9CDF4">
      <w:pPr>
        <w:pStyle w:val="40"/>
        <w:numPr>
          <w:ilvl w:val="1"/>
          <w:numId w:val="7"/>
        </w:numPr>
        <w:spacing w:before="240" w:after="240"/>
        <w:ind w:left="357" w:right="51" w:hanging="357"/>
        <w:contextualSpacing w:val="0"/>
        <w:jc w:val="both"/>
        <w:rPr>
          <w:sz w:val="20"/>
        </w:rPr>
      </w:pPr>
      <w:r>
        <w:rPr>
          <w:sz w:val="20"/>
        </w:rPr>
        <w:t>A presente aquisição faz-se necessária para atendimento à demanda das atividades desenvolvidas pelo Fundo Municipal de Saúde. Essa aquisição é para supri as necessidades durante o exercício de 2024.</w:t>
      </w:r>
    </w:p>
    <w:p w14:paraId="115EDACB">
      <w:pPr>
        <w:pStyle w:val="40"/>
        <w:numPr>
          <w:ilvl w:val="1"/>
          <w:numId w:val="7"/>
        </w:numPr>
        <w:spacing w:before="240" w:after="240"/>
        <w:ind w:left="357" w:hanging="357"/>
        <w:contextualSpacing w:val="0"/>
        <w:jc w:val="both"/>
        <w:rPr>
          <w:sz w:val="20"/>
        </w:rPr>
      </w:pPr>
      <w:r>
        <w:rPr>
          <w:sz w:val="20"/>
        </w:rPr>
        <w:t>Diante do exposto faz-se necessário a aquisição dos medicamentos, para supri as necessidades do hospital municipal do município de Trizidela do Vale/MA.</w:t>
      </w:r>
    </w:p>
    <w:p w14:paraId="7EFC465B">
      <w:pPr>
        <w:pStyle w:val="40"/>
        <w:numPr>
          <w:ilvl w:val="1"/>
          <w:numId w:val="7"/>
        </w:numPr>
        <w:spacing w:before="240" w:after="240"/>
        <w:contextualSpacing w:val="0"/>
        <w:jc w:val="both"/>
        <w:rPr>
          <w:sz w:val="20"/>
        </w:rPr>
      </w:pPr>
      <w:r>
        <w:rPr>
          <w:sz w:val="20"/>
        </w:rPr>
        <w:t xml:space="preserve">Ademais, destaca-se que as demandas foram apresentadas no </w:t>
      </w:r>
      <w:r>
        <w:rPr>
          <w:b/>
          <w:bCs/>
          <w:sz w:val="20"/>
        </w:rPr>
        <w:t xml:space="preserve">DFD nº 110601/2024 </w:t>
      </w:r>
      <w:r>
        <w:rPr>
          <w:sz w:val="20"/>
        </w:rPr>
        <w:t>e aprovada por meio de despacho da Autoridade competente.</w:t>
      </w:r>
    </w:p>
    <w:p w14:paraId="48D92EC2">
      <w:pPr>
        <w:pStyle w:val="40"/>
        <w:numPr>
          <w:ilvl w:val="0"/>
          <w:numId w:val="7"/>
        </w:numPr>
        <w:spacing w:before="240" w:after="240"/>
        <w:contextualSpacing w:val="0"/>
        <w:jc w:val="both"/>
        <w:rPr>
          <w:b/>
          <w:bCs/>
          <w:sz w:val="20"/>
        </w:rPr>
      </w:pPr>
      <w:r>
        <w:rPr>
          <w:b/>
          <w:bCs/>
          <w:sz w:val="20"/>
        </w:rPr>
        <w:t>DESCRIÇÃO DA SOLUÇÃO COMO UM TODO CONSIDERADO O CICLO DE VIDA DO OBJETO E ESPECIFICAÇÃO DO PRODUTO.</w:t>
      </w:r>
    </w:p>
    <w:p w14:paraId="4EE3B250">
      <w:pPr>
        <w:pStyle w:val="40"/>
        <w:numPr>
          <w:ilvl w:val="1"/>
          <w:numId w:val="7"/>
        </w:numPr>
        <w:spacing w:before="240" w:after="240"/>
        <w:ind w:left="357" w:hanging="357"/>
        <w:contextualSpacing w:val="0"/>
        <w:jc w:val="both"/>
        <w:rPr>
          <w:sz w:val="20"/>
        </w:rPr>
      </w:pPr>
      <w:r>
        <w:rPr>
          <w:sz w:val="20"/>
        </w:rPr>
        <w:t xml:space="preserve">A descrição da solução como um todo encontra-se pormenorizada em tópico específico dos Estudos Técnicos Preliminares, apêndice deste Termo de Referência. </w:t>
      </w:r>
    </w:p>
    <w:p w14:paraId="2588519C">
      <w:pPr>
        <w:pStyle w:val="40"/>
        <w:numPr>
          <w:ilvl w:val="0"/>
          <w:numId w:val="7"/>
        </w:numPr>
        <w:spacing w:before="240" w:after="240"/>
        <w:ind w:left="357" w:hanging="357"/>
        <w:contextualSpacing w:val="0"/>
        <w:jc w:val="both"/>
        <w:rPr>
          <w:b/>
          <w:bCs/>
          <w:sz w:val="20"/>
        </w:rPr>
      </w:pPr>
      <w:r>
        <w:rPr>
          <w:b/>
          <w:bCs/>
          <w:sz w:val="20"/>
        </w:rPr>
        <w:t>REQUISITOS DA CONTRATAÇÃO</w:t>
      </w:r>
    </w:p>
    <w:p w14:paraId="79AF9C1E">
      <w:pPr>
        <w:spacing w:before="240" w:after="240"/>
        <w:jc w:val="both"/>
        <w:rPr>
          <w:b/>
          <w:bCs/>
          <w:sz w:val="20"/>
        </w:rPr>
      </w:pPr>
      <w:r>
        <w:rPr>
          <w:b/>
          <w:bCs/>
          <w:sz w:val="20"/>
        </w:rPr>
        <w:t>Sustentabilidade</w:t>
      </w:r>
    </w:p>
    <w:p w14:paraId="610531EB">
      <w:pPr>
        <w:spacing w:before="240" w:after="240"/>
        <w:jc w:val="both"/>
        <w:rPr>
          <w:rFonts w:eastAsiaTheme="minorHAnsi"/>
          <w:sz w:val="20"/>
          <w:lang w:eastAsia="en-US"/>
        </w:rPr>
      </w:pPr>
      <w:r>
        <w:rPr>
          <w:rFonts w:eastAsiaTheme="minorHAnsi"/>
          <w:sz w:val="20"/>
          <w:lang w:eastAsia="en-US"/>
        </w:rPr>
        <w:t xml:space="preserve">4.1 Além dos critérios de sustentabilidade eventualmente inseridos na descrição do objeto, devem ser atendidos os seguintes requisitos, que se baseiam no Guia Nacional de Contratações Sustentáveis: </w:t>
      </w:r>
    </w:p>
    <w:p w14:paraId="1F58EA80">
      <w:pPr>
        <w:spacing w:before="240" w:after="240"/>
        <w:jc w:val="both"/>
        <w:rPr>
          <w:rFonts w:eastAsiaTheme="minorHAnsi"/>
          <w:sz w:val="20"/>
          <w:lang w:eastAsia="en-US"/>
        </w:rPr>
      </w:pPr>
      <w:r>
        <w:rPr>
          <w:rFonts w:eastAsiaTheme="minorHAnsi"/>
          <w:sz w:val="20"/>
          <w:lang w:eastAsia="en-US"/>
        </w:rPr>
        <w:t xml:space="preserve">4.1.1 Será dada prioridade as contratações através de microempresas e empresas de pequeno porte; </w:t>
      </w:r>
    </w:p>
    <w:p w14:paraId="3128FA15">
      <w:pPr>
        <w:spacing w:before="240" w:after="240"/>
        <w:jc w:val="both"/>
        <w:rPr>
          <w:b/>
          <w:bCs/>
          <w:sz w:val="20"/>
        </w:rPr>
      </w:pPr>
      <w:r>
        <w:rPr>
          <w:b/>
          <w:bCs/>
          <w:sz w:val="20"/>
        </w:rPr>
        <w:t>Subcontratação</w:t>
      </w:r>
    </w:p>
    <w:p w14:paraId="0C0EB958">
      <w:pPr>
        <w:pStyle w:val="40"/>
        <w:numPr>
          <w:ilvl w:val="1"/>
          <w:numId w:val="8"/>
        </w:numPr>
        <w:spacing w:before="240" w:after="240"/>
        <w:jc w:val="both"/>
        <w:rPr>
          <w:sz w:val="20"/>
        </w:rPr>
      </w:pPr>
      <w:r>
        <w:rPr>
          <w:sz w:val="20"/>
        </w:rPr>
        <w:t>Não é admitida a subcontratação do objeto contratual.</w:t>
      </w:r>
    </w:p>
    <w:p w14:paraId="2BE923E9">
      <w:pPr>
        <w:spacing w:before="240" w:after="240"/>
        <w:jc w:val="both"/>
        <w:rPr>
          <w:b/>
          <w:bCs/>
          <w:sz w:val="20"/>
        </w:rPr>
      </w:pPr>
      <w:r>
        <w:rPr>
          <w:b/>
          <w:bCs/>
          <w:sz w:val="20"/>
        </w:rPr>
        <w:t>Garantia da contratação</w:t>
      </w:r>
    </w:p>
    <w:p w14:paraId="2A136B4D">
      <w:pPr>
        <w:pStyle w:val="40"/>
        <w:numPr>
          <w:ilvl w:val="1"/>
          <w:numId w:val="8"/>
        </w:numPr>
        <w:spacing w:before="240" w:after="240"/>
        <w:contextualSpacing w:val="0"/>
        <w:jc w:val="both"/>
        <w:rPr>
          <w:sz w:val="20"/>
        </w:rPr>
      </w:pPr>
      <w:r>
        <w:rPr>
          <w:sz w:val="20"/>
        </w:rPr>
        <w:t>Não será exigida a garantia da contratação</w:t>
      </w:r>
    </w:p>
    <w:p w14:paraId="460831A7">
      <w:pPr>
        <w:pStyle w:val="40"/>
        <w:numPr>
          <w:ilvl w:val="0"/>
          <w:numId w:val="8"/>
        </w:numPr>
        <w:spacing w:before="240" w:after="240"/>
        <w:contextualSpacing w:val="0"/>
        <w:jc w:val="both"/>
        <w:rPr>
          <w:b/>
          <w:bCs/>
          <w:sz w:val="20"/>
        </w:rPr>
      </w:pPr>
      <w:r>
        <w:rPr>
          <w:b/>
          <w:bCs/>
          <w:sz w:val="20"/>
        </w:rPr>
        <w:t>MODELO DE EXECUÇÃO DO OBJETO</w:t>
      </w:r>
    </w:p>
    <w:p w14:paraId="4365B4DA">
      <w:pPr>
        <w:spacing w:before="240" w:after="240"/>
        <w:jc w:val="both"/>
        <w:rPr>
          <w:b/>
          <w:bCs/>
          <w:sz w:val="20"/>
        </w:rPr>
      </w:pPr>
      <w:r>
        <w:rPr>
          <w:b/>
          <w:bCs/>
          <w:sz w:val="20"/>
        </w:rPr>
        <w:t>Condição de Entrega</w:t>
      </w:r>
    </w:p>
    <w:p w14:paraId="2FD7D93A">
      <w:pPr>
        <w:pStyle w:val="40"/>
        <w:numPr>
          <w:ilvl w:val="1"/>
          <w:numId w:val="8"/>
        </w:numPr>
        <w:spacing w:before="240" w:after="240"/>
        <w:ind w:left="357" w:hanging="357"/>
        <w:contextualSpacing w:val="0"/>
        <w:jc w:val="both"/>
        <w:rPr>
          <w:sz w:val="20"/>
        </w:rPr>
      </w:pPr>
      <w:r>
        <w:rPr>
          <w:sz w:val="20"/>
        </w:rPr>
        <w:t xml:space="preserve">Os </w:t>
      </w:r>
      <w:r>
        <w:rPr>
          <w:rFonts w:eastAsiaTheme="minorHAnsi"/>
          <w:sz w:val="20"/>
          <w:lang w:eastAsia="en-US"/>
        </w:rPr>
        <w:t>itens deverão estar de acordo com as especificações da proposta de preço apresentada.</w:t>
      </w:r>
    </w:p>
    <w:p w14:paraId="06B54B3C">
      <w:pPr>
        <w:pStyle w:val="40"/>
        <w:numPr>
          <w:ilvl w:val="1"/>
          <w:numId w:val="8"/>
        </w:numPr>
        <w:spacing w:before="240" w:after="240"/>
        <w:ind w:left="357" w:hanging="357"/>
        <w:contextualSpacing w:val="0"/>
        <w:jc w:val="both"/>
        <w:rPr>
          <w:sz w:val="20"/>
        </w:rPr>
      </w:pPr>
      <w:r>
        <w:rPr>
          <w:sz w:val="20"/>
        </w:rPr>
        <w:t xml:space="preserve">O prazo de entrega dos bens é de </w:t>
      </w:r>
      <w:r>
        <w:rPr>
          <w:b/>
          <w:bCs/>
          <w:sz w:val="20"/>
        </w:rPr>
        <w:t>10 (dez) dias</w:t>
      </w:r>
      <w:r>
        <w:rPr>
          <w:sz w:val="20"/>
        </w:rPr>
        <w:t>, contados do recebimento da ordem de fornecimento.</w:t>
      </w:r>
    </w:p>
    <w:p w14:paraId="7413E302">
      <w:pPr>
        <w:pStyle w:val="40"/>
        <w:numPr>
          <w:ilvl w:val="1"/>
          <w:numId w:val="8"/>
        </w:numPr>
        <w:jc w:val="both"/>
        <w:rPr>
          <w:sz w:val="20"/>
        </w:rPr>
      </w:pPr>
      <w:r>
        <w:rPr>
          <w:sz w:val="20"/>
        </w:rPr>
        <w:t xml:space="preserve"> </w:t>
      </w:r>
      <w:r>
        <w:rPr>
          <w:rFonts w:eastAsiaTheme="minorHAnsi"/>
          <w:sz w:val="20"/>
        </w:rPr>
        <w:t>O fornecedor está sujeito à fiscalização dos itens no ato da entrega reservando-se o responsável pelo recebimento o direito de não receber, caso não se encontre em condições satisfatórias.</w:t>
      </w:r>
    </w:p>
    <w:p w14:paraId="39F8B5FE">
      <w:pPr>
        <w:spacing w:before="240" w:after="240"/>
        <w:jc w:val="both"/>
        <w:rPr>
          <w:b/>
          <w:bCs/>
          <w:sz w:val="20"/>
        </w:rPr>
      </w:pPr>
      <w:r>
        <w:rPr>
          <w:b/>
          <w:bCs/>
          <w:sz w:val="20"/>
        </w:rPr>
        <w:t>Local de entrega dos produtos</w:t>
      </w:r>
    </w:p>
    <w:p w14:paraId="156AAB44">
      <w:pPr>
        <w:pStyle w:val="40"/>
        <w:numPr>
          <w:ilvl w:val="1"/>
          <w:numId w:val="8"/>
        </w:numPr>
        <w:spacing w:before="240" w:after="240"/>
        <w:contextualSpacing w:val="0"/>
        <w:jc w:val="both"/>
        <w:rPr>
          <w:sz w:val="20"/>
        </w:rPr>
      </w:pPr>
      <w:r>
        <w:rPr>
          <w:sz w:val="20"/>
        </w:rPr>
        <w:t>Os itens deverão ser entregues no endereço indicado pela Secretaria, constante na ordem de compra, no Município de Trizidela do Vale/MA.</w:t>
      </w:r>
    </w:p>
    <w:p w14:paraId="0270DB94">
      <w:pPr>
        <w:spacing w:before="240" w:after="240"/>
        <w:jc w:val="both"/>
        <w:rPr>
          <w:b/>
          <w:bCs/>
          <w:sz w:val="20"/>
        </w:rPr>
      </w:pPr>
      <w:r>
        <w:rPr>
          <w:b/>
          <w:bCs/>
          <w:sz w:val="20"/>
        </w:rPr>
        <w:t>Procedimentos de transição e finalização do contrato</w:t>
      </w:r>
    </w:p>
    <w:p w14:paraId="3EA45B43">
      <w:pPr>
        <w:pStyle w:val="40"/>
        <w:numPr>
          <w:ilvl w:val="1"/>
          <w:numId w:val="8"/>
        </w:numPr>
        <w:spacing w:before="240" w:after="240"/>
        <w:contextualSpacing w:val="0"/>
        <w:jc w:val="both"/>
        <w:rPr>
          <w:sz w:val="20"/>
        </w:rPr>
      </w:pPr>
      <w:r>
        <w:rPr>
          <w:sz w:val="20"/>
        </w:rPr>
        <w:t>Não serão necessários procedimentos de transição e finalização do contrato devido às características do objeto.</w:t>
      </w:r>
    </w:p>
    <w:p w14:paraId="121C6BA9">
      <w:pPr>
        <w:pStyle w:val="40"/>
        <w:numPr>
          <w:ilvl w:val="0"/>
          <w:numId w:val="8"/>
        </w:numPr>
        <w:spacing w:before="240" w:after="240"/>
        <w:contextualSpacing w:val="0"/>
        <w:jc w:val="both"/>
        <w:rPr>
          <w:b/>
          <w:bCs/>
          <w:sz w:val="20"/>
        </w:rPr>
      </w:pPr>
      <w:r>
        <w:rPr>
          <w:b/>
          <w:bCs/>
          <w:sz w:val="20"/>
        </w:rPr>
        <w:t>MODELO DE GESTÃO DO CONTRATO</w:t>
      </w:r>
    </w:p>
    <w:p w14:paraId="675AF647">
      <w:pPr>
        <w:pStyle w:val="40"/>
        <w:numPr>
          <w:ilvl w:val="1"/>
          <w:numId w:val="8"/>
        </w:numPr>
        <w:spacing w:before="240" w:after="240"/>
        <w:ind w:left="357" w:hanging="357"/>
        <w:contextualSpacing w:val="0"/>
        <w:jc w:val="both"/>
        <w:rPr>
          <w:sz w:val="20"/>
        </w:rPr>
      </w:pPr>
      <w:r>
        <w:rPr>
          <w:sz w:val="20"/>
        </w:rPr>
        <w:t>O contrato deverá ser executado fielmente pelas partes, de acordo com as cláusulas avençadas e as normas da Lei nº 14.133, de 2021, e cada parte responderá pelas consequências de sua inexecução total ou parcial.</w:t>
      </w:r>
    </w:p>
    <w:p w14:paraId="27A6F15D">
      <w:pPr>
        <w:pStyle w:val="40"/>
        <w:numPr>
          <w:ilvl w:val="1"/>
          <w:numId w:val="8"/>
        </w:numPr>
        <w:spacing w:before="240" w:after="240"/>
        <w:ind w:left="357" w:hanging="357"/>
        <w:contextualSpacing w:val="0"/>
        <w:jc w:val="both"/>
        <w:rPr>
          <w:sz w:val="20"/>
        </w:rPr>
      </w:pPr>
      <w:r>
        <w:rPr>
          <w:sz w:val="20"/>
        </w:rPr>
        <w:t>Em caso de impedimento, ordem de paralisação ou suspensão do contrato, o cronograma de execução será prorrogado automaticamente pelo tempo correspondente, anotadas tais circunstâncias mediante simples apostila.</w:t>
      </w:r>
    </w:p>
    <w:p w14:paraId="4A864205">
      <w:pPr>
        <w:pStyle w:val="40"/>
        <w:numPr>
          <w:ilvl w:val="1"/>
          <w:numId w:val="8"/>
        </w:numPr>
        <w:spacing w:before="240" w:after="240"/>
        <w:ind w:left="357" w:hanging="357"/>
        <w:contextualSpacing w:val="0"/>
        <w:jc w:val="both"/>
        <w:rPr>
          <w:sz w:val="20"/>
        </w:rPr>
      </w:pPr>
      <w:r>
        <w:rPr>
          <w:sz w:val="20"/>
        </w:rPr>
        <w:t>As comunicações entre o órgão ou entidade e a contratada devem ser realizadas por escrito sempre que o ato exigir tal formalidade, admitindo-se o uso de mensagem eletrônica para esse fim.</w:t>
      </w:r>
    </w:p>
    <w:p w14:paraId="1B9F8D5D">
      <w:pPr>
        <w:pStyle w:val="40"/>
        <w:numPr>
          <w:ilvl w:val="1"/>
          <w:numId w:val="8"/>
        </w:numPr>
        <w:spacing w:before="240" w:after="240"/>
        <w:ind w:left="357" w:hanging="357"/>
        <w:contextualSpacing w:val="0"/>
        <w:jc w:val="both"/>
        <w:rPr>
          <w:sz w:val="20"/>
        </w:rPr>
      </w:pPr>
      <w:r>
        <w:rPr>
          <w:sz w:val="20"/>
        </w:rPr>
        <w:t>O órgão ou entidade poderá convocar representante da empresa para adoção de providências que devam ser cumpridas de imediato.</w:t>
      </w:r>
    </w:p>
    <w:p w14:paraId="52FEF091">
      <w:pPr>
        <w:pStyle w:val="40"/>
        <w:numPr>
          <w:ilvl w:val="1"/>
          <w:numId w:val="8"/>
        </w:numPr>
        <w:spacing w:before="240" w:after="240"/>
        <w:ind w:left="357" w:hanging="357"/>
        <w:contextualSpacing w:val="0"/>
        <w:jc w:val="both"/>
        <w:rPr>
          <w:sz w:val="20"/>
        </w:rPr>
      </w:pPr>
      <w:r>
        <w:rPr>
          <w:sz w:val="20"/>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95FC4F8">
      <w:pPr>
        <w:spacing w:before="240" w:after="240"/>
        <w:jc w:val="both"/>
        <w:rPr>
          <w:b/>
          <w:bCs/>
          <w:sz w:val="20"/>
        </w:rPr>
      </w:pPr>
      <w:r>
        <w:rPr>
          <w:b/>
          <w:bCs/>
          <w:sz w:val="20"/>
        </w:rPr>
        <w:t>Fiscalização</w:t>
      </w:r>
    </w:p>
    <w:p w14:paraId="0A140CDA">
      <w:pPr>
        <w:spacing w:before="240" w:after="240"/>
        <w:jc w:val="both"/>
        <w:rPr>
          <w:rFonts w:eastAsiaTheme="minorHAnsi"/>
          <w:sz w:val="20"/>
        </w:rPr>
      </w:pPr>
      <w:r>
        <w:rPr>
          <w:rFonts w:eastAsiaTheme="minorHAnsi"/>
          <w:sz w:val="20"/>
        </w:rPr>
        <w:t>6.6. Compete aos fiscais de contratos a fiscalização e o acompanhamento da execução do objeto contratual, e especialmente: (Art. 16 do Decreto Municipal 04/2023-GP, de 16/01/2023).</w:t>
      </w:r>
    </w:p>
    <w:p w14:paraId="3E3DC7DC">
      <w:pPr>
        <w:spacing w:before="240" w:after="240"/>
        <w:jc w:val="both"/>
        <w:rPr>
          <w:rFonts w:eastAsiaTheme="minorHAnsi"/>
          <w:sz w:val="20"/>
        </w:rPr>
      </w:pPr>
      <w:r>
        <w:rPr>
          <w:rFonts w:eastAsiaTheme="minorHAnsi"/>
          <w:sz w:val="20"/>
        </w:rPr>
        <w:t>I - agir com transparência e observando, rigorosamente, os princípios legais e éticos em todos os atos inerentes;</w:t>
      </w:r>
    </w:p>
    <w:p w14:paraId="63291365">
      <w:pPr>
        <w:spacing w:before="240" w:after="240"/>
        <w:jc w:val="both"/>
        <w:rPr>
          <w:rFonts w:eastAsiaTheme="minorHAnsi"/>
          <w:sz w:val="20"/>
        </w:rPr>
      </w:pPr>
      <w:r>
        <w:rPr>
          <w:rFonts w:eastAsiaTheme="minorHAnsi"/>
          <w:sz w:val="20"/>
        </w:rPr>
        <w:t>II - conhecer o inteiro teor de editais e de seus anexos, de atas de registro de preços, de instrumentos contratuais e de todos os seus anexos, especialmente o projeto básico/termo de referência, além de eventuais aditivos e apostilamentos;</w:t>
      </w:r>
    </w:p>
    <w:p w14:paraId="39D9E6AE">
      <w:pPr>
        <w:spacing w:before="240" w:after="240"/>
        <w:jc w:val="both"/>
        <w:rPr>
          <w:rFonts w:eastAsiaTheme="minorHAnsi"/>
          <w:sz w:val="20"/>
        </w:rPr>
      </w:pPr>
      <w:r>
        <w:rPr>
          <w:rFonts w:eastAsiaTheme="minorHAnsi"/>
          <w:sz w:val="20"/>
        </w:rPr>
        <w:t>III - manter registro de ocorrências, em meio físico ou informatizado, para lançar as ocorrências relacionadas à execução do contrato, as inspeções periódicas realizadas, as faltas verificadas, as providências exigidas e as recomendações efetuadas, bem como as soluções adotadas pela contratada;</w:t>
      </w:r>
    </w:p>
    <w:p w14:paraId="777364A5">
      <w:pPr>
        <w:spacing w:before="240" w:after="240"/>
        <w:jc w:val="both"/>
        <w:rPr>
          <w:rFonts w:eastAsiaTheme="minorHAnsi"/>
          <w:sz w:val="20"/>
        </w:rPr>
      </w:pPr>
      <w:r>
        <w:rPr>
          <w:rFonts w:eastAsiaTheme="minorHAnsi"/>
          <w:sz w:val="20"/>
        </w:rPr>
        <w:t>IV - avaliar e acompanhar, rotineiramente, a quantidade e a qualidade dos serviços executados ou dos bens entregues, verificando o atendimento das especificações contidas nos planos, projetos, planilhas, memoriais descritivos, especificações técnicas, projeto básico, termo de referência e na proposta, assim como os prazos de entrega/execução e de conclusão;</w:t>
      </w:r>
    </w:p>
    <w:p w14:paraId="20E8FA11">
      <w:pPr>
        <w:spacing w:before="240" w:after="240"/>
        <w:jc w:val="both"/>
        <w:rPr>
          <w:rFonts w:eastAsiaTheme="minorHAnsi"/>
          <w:sz w:val="20"/>
        </w:rPr>
      </w:pPr>
      <w:r>
        <w:rPr>
          <w:rFonts w:eastAsiaTheme="minorHAnsi"/>
          <w:sz w:val="20"/>
        </w:rPr>
        <w:t>V - assegurar-se do cumprimento integral das obrigações contratuais assumidas pela contratada;</w:t>
      </w:r>
    </w:p>
    <w:p w14:paraId="24CE15D9">
      <w:pPr>
        <w:spacing w:before="240" w:after="240"/>
        <w:jc w:val="both"/>
        <w:rPr>
          <w:rFonts w:eastAsiaTheme="minorHAnsi"/>
          <w:sz w:val="20"/>
        </w:rPr>
      </w:pPr>
      <w:r>
        <w:rPr>
          <w:rFonts w:eastAsiaTheme="minorHAnsi"/>
          <w:sz w:val="20"/>
        </w:rPr>
        <w:t>VI - certificar-se de que:</w:t>
      </w:r>
    </w:p>
    <w:p w14:paraId="1128FE1A">
      <w:pPr>
        <w:spacing w:before="240" w:after="240"/>
        <w:jc w:val="both"/>
        <w:rPr>
          <w:rFonts w:eastAsiaTheme="minorHAnsi"/>
          <w:sz w:val="20"/>
        </w:rPr>
      </w:pPr>
      <w:r>
        <w:rPr>
          <w:rFonts w:eastAsiaTheme="minorHAnsi"/>
          <w:sz w:val="20"/>
        </w:rPr>
        <w:t>a) contratada é quem executa o contrato;</w:t>
      </w:r>
    </w:p>
    <w:p w14:paraId="6CA8DDDF">
      <w:pPr>
        <w:spacing w:before="240" w:after="240"/>
        <w:jc w:val="both"/>
        <w:rPr>
          <w:rFonts w:eastAsiaTheme="minorHAnsi"/>
          <w:sz w:val="20"/>
        </w:rPr>
      </w:pPr>
      <w:r>
        <w:rPr>
          <w:rFonts w:eastAsiaTheme="minorHAnsi"/>
          <w:sz w:val="20"/>
        </w:rPr>
        <w:t>b) existe cessão ou subcontratação fora das hipóteses legais e previstas no contrato;</w:t>
      </w:r>
    </w:p>
    <w:p w14:paraId="25549738">
      <w:pPr>
        <w:spacing w:before="240" w:after="240"/>
        <w:jc w:val="both"/>
        <w:rPr>
          <w:rFonts w:eastAsiaTheme="minorHAnsi"/>
          <w:sz w:val="20"/>
        </w:rPr>
      </w:pPr>
      <w:r>
        <w:rPr>
          <w:rFonts w:eastAsiaTheme="minorHAnsi"/>
          <w:sz w:val="20"/>
        </w:rPr>
        <w:t>VII - verificar se a contratada mantém um responsável técnico acompanhando as obras e os serviços, quando assim determinar o contrato;</w:t>
      </w:r>
    </w:p>
    <w:p w14:paraId="393A05B4">
      <w:pPr>
        <w:spacing w:before="240" w:after="240"/>
        <w:jc w:val="both"/>
        <w:rPr>
          <w:rFonts w:eastAsiaTheme="minorHAnsi"/>
          <w:sz w:val="20"/>
        </w:rPr>
      </w:pPr>
      <w:r>
        <w:rPr>
          <w:rFonts w:eastAsiaTheme="minorHAnsi"/>
          <w:sz w:val="20"/>
        </w:rPr>
        <w:t>VIII - atestar, em documento hábil, juntamente com os gestor(es) de contratos, o fornecimento ou a entrega de bens e a prestação do serviço, após conferência prévia do objeto contratado, recusando-os quando irregulares ou em desacordo com as condições estabelecidas;</w:t>
      </w:r>
    </w:p>
    <w:p w14:paraId="01F99360">
      <w:pPr>
        <w:spacing w:before="240" w:after="240"/>
        <w:jc w:val="both"/>
        <w:rPr>
          <w:rFonts w:eastAsiaTheme="minorHAnsi"/>
          <w:sz w:val="20"/>
        </w:rPr>
      </w:pPr>
      <w:r>
        <w:rPr>
          <w:rFonts w:eastAsiaTheme="minorHAnsi"/>
          <w:sz w:val="20"/>
        </w:rPr>
        <w:t>IX - receber todos os documentos necessários, contratualmente estabelecidos, para a liquidação da despesa e encaminhá-los, juntamente com o documento fiscal, ao(s) gestor(es) do contrato que, após conferência, remeterá(ão) a documentação para o setor responsável pelo pagamento, em tempo hábil, de modo que o pagamento seja efetuado no prazo adequado;</w:t>
      </w:r>
    </w:p>
    <w:p w14:paraId="5E977A34">
      <w:pPr>
        <w:spacing w:before="240" w:after="240"/>
        <w:jc w:val="both"/>
        <w:rPr>
          <w:rFonts w:eastAsiaTheme="minorHAnsi"/>
          <w:sz w:val="20"/>
        </w:rPr>
      </w:pPr>
      <w:r>
        <w:rPr>
          <w:rFonts w:eastAsiaTheme="minorHAnsi"/>
          <w:sz w:val="20"/>
        </w:rPr>
        <w:t>X - apresentar, periodicamente ou quando necessário, relatório circunstanciado de acompanhamento da execução dos serviços ou dos bens entregues, que deverá ser instruído com registros fotográficos e demais documentos probatórios, quando for o caso;</w:t>
      </w:r>
    </w:p>
    <w:p w14:paraId="7437FCCC">
      <w:pPr>
        <w:spacing w:before="240" w:after="240"/>
        <w:jc w:val="both"/>
        <w:rPr>
          <w:rFonts w:eastAsiaTheme="minorHAnsi"/>
          <w:sz w:val="20"/>
        </w:rPr>
      </w:pPr>
      <w:r>
        <w:rPr>
          <w:rFonts w:eastAsiaTheme="minorHAnsi"/>
          <w:sz w:val="20"/>
        </w:rPr>
        <w:t>XI - atuar, com eficiência e celeridade, na solução dos problemas que porventura venham a ocorrer ao longo da execução contratual, encaminhando as questões que ultrapassarem sua competência ao(s) gestor(es) do contrato ou à autoridade competente;</w:t>
      </w:r>
    </w:p>
    <w:p w14:paraId="22EA2223">
      <w:pPr>
        <w:spacing w:before="240" w:after="240"/>
        <w:jc w:val="both"/>
        <w:rPr>
          <w:rFonts w:eastAsiaTheme="minorHAnsi"/>
          <w:sz w:val="20"/>
        </w:rPr>
      </w:pPr>
      <w:r>
        <w:rPr>
          <w:rFonts w:eastAsiaTheme="minorHAnsi"/>
          <w:sz w:val="20"/>
        </w:rPr>
        <w:t>XII - observar os prazos contratuais para a regularização de eventuais falhas e, no caso da inexistência de sua previsão, estabelecer juntamente com o(s) gestor(es) do contrato, prazo razoável para a medida saneadora;</w:t>
      </w:r>
    </w:p>
    <w:p w14:paraId="0B2C4E4B">
      <w:pPr>
        <w:spacing w:before="240" w:after="240"/>
        <w:jc w:val="both"/>
        <w:rPr>
          <w:rFonts w:eastAsiaTheme="minorHAnsi"/>
          <w:sz w:val="20"/>
        </w:rPr>
      </w:pPr>
      <w:r>
        <w:rPr>
          <w:rFonts w:eastAsiaTheme="minorHAnsi"/>
          <w:sz w:val="20"/>
        </w:rPr>
        <w:t>XIII - providenciar, exclusivamente por escrito, a obtenção de esclarecimentos, auxílio ou suporte técnico nos casos em que tenha dúvidas sobre a providência a ser adotada ou necessidade de conhecimento técnico específico, assim como nas questões que ultrapassem o âmbito de suas atribuições;</w:t>
      </w:r>
    </w:p>
    <w:p w14:paraId="3DC441DA">
      <w:pPr>
        <w:spacing w:before="240" w:after="240"/>
        <w:jc w:val="both"/>
        <w:rPr>
          <w:rFonts w:eastAsiaTheme="minorHAnsi"/>
          <w:sz w:val="20"/>
        </w:rPr>
      </w:pPr>
      <w:r>
        <w:rPr>
          <w:rFonts w:eastAsiaTheme="minorHAnsi"/>
          <w:sz w:val="20"/>
        </w:rPr>
        <w:t>XIV - indicar, expressamente, a necessidade de eventuais descontos a serem realizados em razão da inexecução ou da má execução do contrato, por meio de glosas que serão escritas no verso da nota ou do documento equivalente;</w:t>
      </w:r>
    </w:p>
    <w:p w14:paraId="2D1F2149">
      <w:pPr>
        <w:spacing w:before="240" w:after="240"/>
        <w:jc w:val="both"/>
        <w:rPr>
          <w:rFonts w:eastAsiaTheme="minorHAnsi"/>
          <w:sz w:val="20"/>
        </w:rPr>
      </w:pPr>
      <w:r>
        <w:rPr>
          <w:rFonts w:eastAsiaTheme="minorHAnsi"/>
          <w:sz w:val="20"/>
        </w:rPr>
        <w:t>XV - dar ciência ao(s) gestor(es) do contrato acerca da possibilidade de não conclusão do objeto na data pactuada, com as justificativas apresentadas pela contratada;</w:t>
      </w:r>
    </w:p>
    <w:p w14:paraId="1E4CC63D">
      <w:pPr>
        <w:spacing w:before="240" w:after="240"/>
        <w:jc w:val="both"/>
        <w:rPr>
          <w:rFonts w:eastAsiaTheme="minorHAnsi"/>
          <w:sz w:val="20"/>
        </w:rPr>
      </w:pPr>
      <w:r>
        <w:rPr>
          <w:rFonts w:eastAsiaTheme="minorHAnsi"/>
          <w:sz w:val="20"/>
        </w:rPr>
        <w:t>XVI - comunicar, formalmente, ao(s) gestor(es) do contrato o inadimplemento parcial ou total do que foi pactuado, registrando as providências adotadas para fins de materialização dos fatos que possam levar à aplicação de sanção ou à rescisão contratual;</w:t>
      </w:r>
    </w:p>
    <w:p w14:paraId="025DC80A">
      <w:pPr>
        <w:spacing w:before="240" w:after="240"/>
        <w:jc w:val="both"/>
        <w:rPr>
          <w:rFonts w:eastAsiaTheme="minorHAnsi"/>
          <w:sz w:val="20"/>
        </w:rPr>
      </w:pPr>
      <w:r>
        <w:rPr>
          <w:rFonts w:eastAsiaTheme="minorHAnsi"/>
          <w:sz w:val="20"/>
        </w:rPr>
        <w:t>XVII - comunicar ao(s) gestor(es) do contrato, formalmente e com antecedência, o afastamento das atividades de fiscalização para que, caso necessário, seja designado seu substituto;</w:t>
      </w:r>
    </w:p>
    <w:p w14:paraId="62CFCBBF">
      <w:pPr>
        <w:spacing w:before="240" w:after="240"/>
        <w:jc w:val="both"/>
        <w:rPr>
          <w:rFonts w:eastAsia="Calibri"/>
          <w:sz w:val="20"/>
        </w:rPr>
      </w:pPr>
      <w:r>
        <w:rPr>
          <w:rFonts w:eastAsiaTheme="minorHAnsi"/>
          <w:sz w:val="20"/>
        </w:rPr>
        <w:t>XVIII - informar a seus superiores, em tempo hábil para a adoção das medidas convenientes, sobre quaisquer situações que demandem decisão ou providência que ultrapasse sua competência</w:t>
      </w:r>
    </w:p>
    <w:p w14:paraId="58C84D5B">
      <w:pPr>
        <w:spacing w:before="240" w:after="240"/>
        <w:jc w:val="both"/>
        <w:rPr>
          <w:rFonts w:eastAsia="Calibri"/>
          <w:b/>
          <w:bCs/>
          <w:sz w:val="20"/>
        </w:rPr>
      </w:pPr>
      <w:r>
        <w:rPr>
          <w:rFonts w:eastAsia="Calibri"/>
          <w:b/>
          <w:bCs/>
          <w:sz w:val="20"/>
        </w:rPr>
        <w:t>Gestor do Contrato</w:t>
      </w:r>
    </w:p>
    <w:p w14:paraId="174C8D47">
      <w:pPr>
        <w:spacing w:before="240" w:after="240"/>
        <w:jc w:val="both"/>
        <w:rPr>
          <w:rFonts w:eastAsiaTheme="minorHAnsi"/>
          <w:sz w:val="20"/>
        </w:rPr>
      </w:pPr>
      <w:r>
        <w:rPr>
          <w:rFonts w:eastAsiaTheme="minorHAnsi"/>
          <w:sz w:val="20"/>
        </w:rPr>
        <w:t>6.7. Compete aos gestores de contratos o exercício de atividades gerenciais, técnicas e operacionais relacionadas à gestão da execução dos contratos, e especialmente: (Art. 15 do Decreto Municipal 04/2023-GP, de 16/01/2023).</w:t>
      </w:r>
    </w:p>
    <w:p w14:paraId="6ED4A1E0">
      <w:pPr>
        <w:spacing w:before="240" w:after="240"/>
        <w:jc w:val="both"/>
        <w:rPr>
          <w:rFonts w:eastAsiaTheme="minorHAnsi"/>
          <w:sz w:val="20"/>
        </w:rPr>
      </w:pPr>
      <w:r>
        <w:rPr>
          <w:rFonts w:eastAsiaTheme="minorHAnsi"/>
          <w:sz w:val="20"/>
        </w:rPr>
        <w:t>6.7.1. acompanhar a celebração e a execução dos contratos e dos termos aditivos, com a coleta das assinaturas, providenciando, posteriormente, a juntada dos comprovantes de publicação do extrato e o encaminhamento ao Tribunal de Contas do Estado, pelo sistema, quando for o caso; (Art. 15 do Decreto Municipal 04/2023-GP, de 16/01/2023, inciso III)</w:t>
      </w:r>
    </w:p>
    <w:p w14:paraId="6E52FA58">
      <w:pPr>
        <w:spacing w:before="240" w:after="240"/>
        <w:jc w:val="both"/>
        <w:rPr>
          <w:rFonts w:eastAsiaTheme="minorHAnsi"/>
          <w:sz w:val="20"/>
        </w:rPr>
      </w:pPr>
      <w:r>
        <w:rPr>
          <w:rFonts w:eastAsiaTheme="minorHAnsi"/>
          <w:sz w:val="20"/>
        </w:rPr>
        <w:t>6.7.2. instruir o processo com informações, dados e requerimento/manifestação da contratada pertinentes à alteração de valores do contrato, em razão de reajuste de preços, revisão ou de alteração do objeto, para acréscimo ou supressão, e encaminhá-lo à autoridade superior para decisão; (Art. 15 do Decreto Municipal 04/2023-GP, de 16/01/2023, inciso XV).</w:t>
      </w:r>
    </w:p>
    <w:p w14:paraId="005AF86F">
      <w:pPr>
        <w:spacing w:before="240" w:after="240"/>
        <w:jc w:val="both"/>
        <w:rPr>
          <w:rFonts w:eastAsiaTheme="minorHAnsi"/>
          <w:sz w:val="20"/>
        </w:rPr>
      </w:pPr>
      <w:r>
        <w:rPr>
          <w:rFonts w:eastAsiaTheme="minorHAnsi"/>
          <w:sz w:val="20"/>
        </w:rPr>
        <w:t>6.7.3. adotar as medidas preparatórias para a aplicação de sanções e para a rescisão contratual, conforme previsão contida no edital e/ou no instrumento contratual, ou ainda, na legislação de regência, com aprovação da autoridade competente; (Art. 15 do Decreto Municipal 04/2023-GP, de 16/01/2023, inciso XXIV)</w:t>
      </w:r>
    </w:p>
    <w:p w14:paraId="3CF9748B">
      <w:pPr>
        <w:spacing w:before="240" w:after="240"/>
        <w:jc w:val="both"/>
        <w:rPr>
          <w:rFonts w:eastAsiaTheme="minorHAnsi"/>
          <w:sz w:val="20"/>
        </w:rPr>
      </w:pPr>
      <w:r>
        <w:rPr>
          <w:rFonts w:eastAsiaTheme="minorHAnsi"/>
          <w:sz w:val="20"/>
        </w:rPr>
        <w:t>6.7.4. certificar-se de que a contratada mantém, durante toda a execução do contrato, as condições de habilitação e de qualificação exigidas na licitação e/ou na contratação, solicitando os documentos necessários à comprovação da manutenção das referidas condições; (Art. 15 do Decreto Municipal 04/2023-GP, de 16/01/2023, inciso XXV)</w:t>
      </w:r>
    </w:p>
    <w:p w14:paraId="43D4813A">
      <w:pPr>
        <w:spacing w:before="240" w:after="240"/>
        <w:jc w:val="both"/>
        <w:rPr>
          <w:rFonts w:eastAsiaTheme="minorHAnsi"/>
          <w:sz w:val="20"/>
        </w:rPr>
      </w:pPr>
      <w:r>
        <w:rPr>
          <w:rFonts w:eastAsiaTheme="minorHAnsi"/>
          <w:sz w:val="20"/>
        </w:rPr>
        <w:t>6.7.5. constituir o relatório final de que trata a alínea “d” do inciso VI do § 3º do art. 174 da Lei Federal nº 14.133, de 2021, com as informações obtidas durante a execução do contrato, como forma de aprimoramento das atividades da Administração Pública Municipal; (Art. 15 do Decreto Municipal 04/2023-GP, de 16/01/2023, inciso XXX)</w:t>
      </w:r>
    </w:p>
    <w:p w14:paraId="394D3123">
      <w:pPr>
        <w:spacing w:before="240" w:after="240"/>
        <w:jc w:val="both"/>
        <w:rPr>
          <w:b/>
          <w:bCs/>
          <w:sz w:val="20"/>
        </w:rPr>
      </w:pPr>
      <w:r>
        <w:rPr>
          <w:b/>
          <w:bCs/>
          <w:sz w:val="20"/>
        </w:rPr>
        <w:t>7. CRITÉRIOS DE MEDIÇÃO E DE PAGAMENTO</w:t>
      </w:r>
    </w:p>
    <w:p w14:paraId="6162E926">
      <w:pPr>
        <w:spacing w:before="240" w:after="240"/>
        <w:jc w:val="both"/>
        <w:rPr>
          <w:b/>
          <w:bCs/>
          <w:sz w:val="20"/>
        </w:rPr>
      </w:pPr>
      <w:r>
        <w:rPr>
          <w:b/>
          <w:bCs/>
          <w:sz w:val="20"/>
        </w:rPr>
        <w:t>Recebimento</w:t>
      </w:r>
    </w:p>
    <w:p w14:paraId="2A97440D">
      <w:pPr>
        <w:spacing w:before="240" w:after="240"/>
        <w:jc w:val="both"/>
        <w:rPr>
          <w:sz w:val="20"/>
        </w:rPr>
      </w:pPr>
      <w:r>
        <w:rPr>
          <w:sz w:val="20"/>
        </w:rPr>
        <w:t xml:space="preserve">7.1. Os bens serão recebidos provisoriamente, de forma sumária, no ato da entrega, juntamente com a </w:t>
      </w:r>
      <w:r>
        <w:rPr>
          <w:rFonts w:eastAsia="Calibri"/>
          <w:sz w:val="20"/>
        </w:rPr>
        <w:t>nota</w:t>
      </w:r>
      <w:r>
        <w:rPr>
          <w:sz w:val="20"/>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081A7A1F">
      <w:pPr>
        <w:spacing w:before="240" w:after="240"/>
        <w:jc w:val="both"/>
        <w:rPr>
          <w:sz w:val="20"/>
        </w:rPr>
      </w:pPr>
      <w:r>
        <w:rPr>
          <w:sz w:val="20"/>
        </w:rPr>
        <w:t>7.2. Os bens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7ACBB11A">
      <w:pPr>
        <w:spacing w:before="240" w:after="240"/>
        <w:jc w:val="both"/>
        <w:rPr>
          <w:sz w:val="20"/>
        </w:rPr>
      </w:pPr>
      <w:r>
        <w:rPr>
          <w:sz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73563B56">
      <w:pPr>
        <w:spacing w:before="240" w:after="240"/>
        <w:jc w:val="both"/>
        <w:rPr>
          <w:sz w:val="20"/>
        </w:rPr>
      </w:pPr>
      <w:r>
        <w:rPr>
          <w:sz w:val="20"/>
        </w:rPr>
        <w:t>7.4. O prazo para recebimento definitivo poderá ser excepcionalmente prorrogado, de forma justificada, por igual período, quando houver necessidade de diligências para a aferição do atendimento das exigências contratuais.</w:t>
      </w:r>
    </w:p>
    <w:p w14:paraId="4E2F4D0D">
      <w:pPr>
        <w:spacing w:before="240" w:after="240"/>
        <w:jc w:val="both"/>
        <w:rPr>
          <w:sz w:val="20"/>
        </w:rPr>
      </w:pPr>
      <w:r>
        <w:rPr>
          <w:sz w:val="20"/>
        </w:rPr>
        <w:t xml:space="preserve">7.5.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2"/>
          <w:sz w:val="20"/>
        </w:rPr>
        <w:t>art. 143 da Lei nº 14.133, de 2021</w:t>
      </w:r>
      <w:r>
        <w:rPr>
          <w:rStyle w:val="12"/>
          <w:sz w:val="20"/>
        </w:rPr>
        <w:fldChar w:fldCharType="end"/>
      </w:r>
      <w:r>
        <w:rPr>
          <w:sz w:val="20"/>
        </w:rPr>
        <w:t>, comunicando-se à empresa para emissão de Nota Fiscal no que pertine à parcela incontroversa da execução do objeto, para efeito de liquidação e pagamento.</w:t>
      </w:r>
    </w:p>
    <w:p w14:paraId="07ABBA7A">
      <w:pPr>
        <w:spacing w:before="240" w:after="240"/>
        <w:jc w:val="both"/>
        <w:rPr>
          <w:sz w:val="20"/>
        </w:rPr>
      </w:pPr>
      <w:r>
        <w:rPr>
          <w:sz w:val="20"/>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21D8A1F">
      <w:pPr>
        <w:spacing w:before="240" w:after="240"/>
        <w:jc w:val="both"/>
        <w:rPr>
          <w:sz w:val="20"/>
        </w:rPr>
      </w:pPr>
      <w:r>
        <w:rPr>
          <w:sz w:val="20"/>
        </w:rPr>
        <w:t>7.7. O recebimento provisório ou definitivo não excluirá a responsabilidade civil pela solidez e pela segurança dos bens nem a responsabilidade ético-profissional pela perfeita execução do contrato.</w:t>
      </w:r>
    </w:p>
    <w:p w14:paraId="2248C31F">
      <w:pPr>
        <w:spacing w:before="240" w:after="240"/>
        <w:jc w:val="both"/>
        <w:rPr>
          <w:b/>
          <w:bCs/>
          <w:sz w:val="20"/>
        </w:rPr>
      </w:pPr>
      <w:r>
        <w:rPr>
          <w:b/>
          <w:bCs/>
          <w:sz w:val="20"/>
        </w:rPr>
        <w:t>Liquidação</w:t>
      </w:r>
    </w:p>
    <w:p w14:paraId="5C723967">
      <w:pPr>
        <w:spacing w:before="240" w:after="240"/>
        <w:jc w:val="both"/>
        <w:rPr>
          <w:sz w:val="20"/>
        </w:rPr>
      </w:pPr>
      <w:r>
        <w:rPr>
          <w:sz w:val="20"/>
        </w:rPr>
        <w:t>7.8. Recebida a Nota Fiscal ou documento de cobrança equivalente, correrá o prazo de dez dias úteis para fins de liquidação, na forma desta seção, prorrogáveis por igual período.</w:t>
      </w:r>
    </w:p>
    <w:p w14:paraId="251106A7">
      <w:pPr>
        <w:spacing w:before="240" w:after="240"/>
        <w:jc w:val="both"/>
        <w:rPr>
          <w:sz w:val="20"/>
        </w:rPr>
      </w:pPr>
      <w:r>
        <w:rPr>
          <w:sz w:val="20"/>
        </w:rPr>
        <w:t xml:space="preserve">7.9. Para fins de liquidação, o setor competente deverá verificar se a nota fiscal ou instrumento de cobrança equivalente apresentado expressa os elementos necessários e essenciais do documento, tais como: </w:t>
      </w:r>
    </w:p>
    <w:p w14:paraId="1938ED2B">
      <w:pPr>
        <w:spacing w:before="240" w:after="240"/>
        <w:jc w:val="both"/>
        <w:rPr>
          <w:sz w:val="20"/>
        </w:rPr>
      </w:pPr>
      <w:r>
        <w:rPr>
          <w:sz w:val="20"/>
        </w:rPr>
        <w:t>7.9.1. o prazo de validade;</w:t>
      </w:r>
    </w:p>
    <w:p w14:paraId="37EF3C73">
      <w:pPr>
        <w:spacing w:before="240" w:after="240"/>
        <w:jc w:val="both"/>
        <w:rPr>
          <w:sz w:val="20"/>
        </w:rPr>
      </w:pPr>
      <w:r>
        <w:rPr>
          <w:sz w:val="20"/>
        </w:rPr>
        <w:t xml:space="preserve">7.9.2. a data da emissão; </w:t>
      </w:r>
    </w:p>
    <w:p w14:paraId="6FEED999">
      <w:pPr>
        <w:spacing w:before="240" w:after="240"/>
        <w:jc w:val="both"/>
        <w:rPr>
          <w:sz w:val="20"/>
        </w:rPr>
      </w:pPr>
      <w:r>
        <w:rPr>
          <w:sz w:val="20"/>
        </w:rPr>
        <w:t xml:space="preserve">7.9.3. os dados do contrato e do órgão contratante; </w:t>
      </w:r>
    </w:p>
    <w:p w14:paraId="391EA9E9">
      <w:pPr>
        <w:spacing w:before="240" w:after="240"/>
        <w:jc w:val="both"/>
        <w:rPr>
          <w:sz w:val="20"/>
        </w:rPr>
      </w:pPr>
      <w:r>
        <w:rPr>
          <w:sz w:val="20"/>
        </w:rPr>
        <w:t xml:space="preserve">7.9.4. o período respectivo de execução do contrato; </w:t>
      </w:r>
    </w:p>
    <w:p w14:paraId="686915B3">
      <w:pPr>
        <w:spacing w:before="240" w:after="240"/>
        <w:jc w:val="both"/>
        <w:rPr>
          <w:sz w:val="20"/>
        </w:rPr>
      </w:pPr>
      <w:r>
        <w:rPr>
          <w:sz w:val="20"/>
        </w:rPr>
        <w:t xml:space="preserve">7.9.5. o valor a pagar; e </w:t>
      </w:r>
    </w:p>
    <w:p w14:paraId="22726DDD">
      <w:pPr>
        <w:spacing w:before="240" w:after="240"/>
        <w:jc w:val="both"/>
        <w:rPr>
          <w:sz w:val="20"/>
        </w:rPr>
      </w:pPr>
      <w:r>
        <w:rPr>
          <w:sz w:val="20"/>
        </w:rPr>
        <w:t>7.9.6. eventual destaque do valor de retenções tributárias cabíveis.</w:t>
      </w:r>
    </w:p>
    <w:p w14:paraId="1AED781A">
      <w:pPr>
        <w:spacing w:before="240" w:after="240"/>
        <w:jc w:val="both"/>
        <w:rPr>
          <w:sz w:val="20"/>
        </w:rPr>
      </w:pPr>
      <w:r>
        <w:rPr>
          <w:rFonts w:eastAsia="Calibri"/>
          <w:sz w:val="20"/>
        </w:rPr>
        <w:t xml:space="preserve">7.10. Havendo erro na apresentação da nota fiscal ou instrumento de cobrança equivalente, ou circunstância que impeça a </w:t>
      </w:r>
      <w:r>
        <w:rPr>
          <w:sz w:val="20"/>
        </w:rPr>
        <w:t>liquidação da despesa, esta ficará sobrestada até que o contratado providencie as medidas saneadoras, reiniciando-se o prazo após a comprovação da regularização da situação, sem ônus ao contratante;</w:t>
      </w:r>
    </w:p>
    <w:p w14:paraId="2325357E">
      <w:pPr>
        <w:spacing w:before="240" w:after="240"/>
        <w:jc w:val="both"/>
        <w:rPr>
          <w:sz w:val="20"/>
        </w:rPr>
      </w:pPr>
      <w:r>
        <w:rPr>
          <w:sz w:val="20"/>
        </w:rPr>
        <w:t xml:space="preserve">7.11.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2"/>
          <w:sz w:val="20"/>
        </w:rPr>
        <w:t xml:space="preserve">art. 68 da Lei nº 14.133, de 2021.  </w:t>
      </w:r>
      <w:r>
        <w:rPr>
          <w:rStyle w:val="12"/>
          <w:sz w:val="20"/>
        </w:rPr>
        <w:fldChar w:fldCharType="end"/>
      </w:r>
    </w:p>
    <w:p w14:paraId="6581F784">
      <w:pPr>
        <w:spacing w:before="240" w:after="240"/>
        <w:jc w:val="both"/>
        <w:rPr>
          <w:sz w:val="20"/>
        </w:rPr>
      </w:pPr>
      <w:r>
        <w:rPr>
          <w:sz w:val="20"/>
        </w:rPr>
        <w:t>7.12. A Administração deverá realizar consulta ao SICAF ou, na impossibilidade de acesso ao referido Sistema, mediante consulta aos sítios eletrônicos oficiais ou à documentação mencionada no art. 68 da Lei nº 14.133, de 2021.s sistemas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6016D80">
      <w:pPr>
        <w:spacing w:before="240" w:after="240"/>
        <w:jc w:val="both"/>
        <w:rPr>
          <w:sz w:val="20"/>
        </w:rPr>
      </w:pPr>
      <w:r>
        <w:rPr>
          <w:sz w:val="20"/>
        </w:rPr>
        <w:t>7.13.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D2AC94">
      <w:pPr>
        <w:spacing w:before="240" w:after="240"/>
        <w:jc w:val="both"/>
        <w:rPr>
          <w:sz w:val="20"/>
        </w:rPr>
      </w:pPr>
      <w:r>
        <w:rPr>
          <w:sz w:val="20"/>
        </w:rPr>
        <w:t>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103384E2">
      <w:pPr>
        <w:spacing w:before="240" w:after="240"/>
        <w:jc w:val="both"/>
        <w:rPr>
          <w:sz w:val="20"/>
        </w:rPr>
      </w:pPr>
      <w:r>
        <w:rPr>
          <w:sz w:val="20"/>
        </w:rPr>
        <w:t xml:space="preserve">7.15. Persistindo a irregularidade, o contratante deverá adotar as medidas necessárias à rescisão contratual nos autos do processo administrativo correspondente, assegurada ao contratado a ampla defesa. </w:t>
      </w:r>
    </w:p>
    <w:p w14:paraId="237D80C9">
      <w:pPr>
        <w:spacing w:before="240" w:after="240"/>
        <w:jc w:val="both"/>
        <w:rPr>
          <w:sz w:val="20"/>
        </w:rPr>
      </w:pPr>
      <w:r>
        <w:rPr>
          <w:sz w:val="20"/>
        </w:rPr>
        <w:t>7.16. Havendo a efetiva execução do objeto, os pagamentos serão realizados normalmente, até que se decida pela rescisão do contrato, caso o contratado não regularize sua situação.</w:t>
      </w:r>
    </w:p>
    <w:p w14:paraId="20C258B7">
      <w:pPr>
        <w:spacing w:before="240" w:after="240"/>
        <w:jc w:val="both"/>
        <w:rPr>
          <w:b/>
          <w:bCs/>
          <w:sz w:val="20"/>
        </w:rPr>
      </w:pPr>
      <w:r>
        <w:rPr>
          <w:b/>
          <w:bCs/>
          <w:sz w:val="20"/>
        </w:rPr>
        <w:t>Prazo de pagamento</w:t>
      </w:r>
    </w:p>
    <w:p w14:paraId="5AD23913">
      <w:pPr>
        <w:spacing w:before="240" w:after="240"/>
        <w:jc w:val="both"/>
        <w:rPr>
          <w:sz w:val="20"/>
        </w:rPr>
      </w:pPr>
      <w:r>
        <w:rPr>
          <w:sz w:val="20"/>
        </w:rPr>
        <w:t>7.17. O pagamento será efetuado no prazo de até 10 (dez) dias úteis contados da finalização da liquidação da despesa, conforme seção anterior.</w:t>
      </w:r>
    </w:p>
    <w:p w14:paraId="4DE46A83">
      <w:pPr>
        <w:spacing w:before="240" w:after="240"/>
        <w:jc w:val="both"/>
        <w:rPr>
          <w:sz w:val="20"/>
        </w:rPr>
      </w:pPr>
      <w:r>
        <w:rPr>
          <w:sz w:val="20"/>
        </w:rPr>
        <w:t>7.18. No caso de atraso pelo Contratante, os valores devidos ao contratado serão atualizados monetariamente entre o termo final do prazo de pagamento até a data de sua efetiva realização, mediante aplicação do índice IPCA/IBGE de correção monetária.</w:t>
      </w:r>
    </w:p>
    <w:p w14:paraId="4ED710E9">
      <w:pPr>
        <w:spacing w:before="240" w:after="240"/>
        <w:jc w:val="both"/>
        <w:rPr>
          <w:b/>
          <w:bCs/>
          <w:sz w:val="20"/>
        </w:rPr>
      </w:pPr>
      <w:r>
        <w:rPr>
          <w:b/>
          <w:bCs/>
          <w:sz w:val="20"/>
        </w:rPr>
        <w:t>Forma de pagamento</w:t>
      </w:r>
    </w:p>
    <w:p w14:paraId="2BB09502">
      <w:pPr>
        <w:spacing w:before="240" w:after="240"/>
        <w:jc w:val="both"/>
        <w:rPr>
          <w:sz w:val="20"/>
        </w:rPr>
      </w:pPr>
      <w:r>
        <w:rPr>
          <w:sz w:val="20"/>
        </w:rPr>
        <w:t>7.19. O pagamento será realizado por meio de ordem bancária, para crédito em banco, agência e conta corrente indicados pelo contratado.</w:t>
      </w:r>
    </w:p>
    <w:p w14:paraId="305149D1">
      <w:pPr>
        <w:spacing w:before="240" w:after="240"/>
        <w:jc w:val="both"/>
        <w:rPr>
          <w:sz w:val="20"/>
        </w:rPr>
      </w:pPr>
      <w:r>
        <w:rPr>
          <w:sz w:val="20"/>
        </w:rPr>
        <w:t>7.20. Será considerada data do pagamento o dia em que constar como emitida a ordem bancária para pagamento.</w:t>
      </w:r>
    </w:p>
    <w:p w14:paraId="39899378">
      <w:pPr>
        <w:spacing w:before="240" w:after="240"/>
        <w:jc w:val="both"/>
        <w:rPr>
          <w:sz w:val="20"/>
        </w:rPr>
      </w:pPr>
      <w:r>
        <w:rPr>
          <w:sz w:val="20"/>
        </w:rPr>
        <w:t>7.21. Quando do pagamento, será efetuada a retenção tributária prevista na legislação aplicável.</w:t>
      </w:r>
    </w:p>
    <w:p w14:paraId="6DEB3370">
      <w:pPr>
        <w:spacing w:before="240" w:after="240"/>
        <w:jc w:val="both"/>
        <w:rPr>
          <w:sz w:val="20"/>
        </w:rPr>
      </w:pPr>
      <w:r>
        <w:rPr>
          <w:sz w:val="20"/>
        </w:rPr>
        <w:t xml:space="preserve">7.22. O contratado regularmente optante pelo Simples Nacional, nos termos da </w:t>
      </w:r>
      <w:r>
        <w:fldChar w:fldCharType="begin"/>
      </w:r>
      <w:r>
        <w:instrText xml:space="preserve"> HYPERLINK "https://www.planalto.gov.br/ccivil_03/leis/lcp/lcp123.htm" \h </w:instrText>
      </w:r>
      <w:r>
        <w:fldChar w:fldCharType="separate"/>
      </w:r>
      <w:r>
        <w:rPr>
          <w:rStyle w:val="12"/>
          <w:sz w:val="20"/>
        </w:rPr>
        <w:t>Lei Complementar nº 123, de 2006</w:t>
      </w:r>
      <w:r>
        <w:rPr>
          <w:rStyle w:val="12"/>
          <w:sz w:val="20"/>
        </w:rPr>
        <w:fldChar w:fldCharType="end"/>
      </w:r>
      <w:r>
        <w:rPr>
          <w:sz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3214F83">
      <w:pPr>
        <w:spacing w:before="240" w:after="240"/>
        <w:jc w:val="both"/>
        <w:rPr>
          <w:b/>
          <w:bCs/>
          <w:sz w:val="20"/>
        </w:rPr>
      </w:pPr>
      <w:r>
        <w:rPr>
          <w:b/>
          <w:bCs/>
          <w:sz w:val="20"/>
        </w:rPr>
        <w:t>7.23. Deverá ser prosseguida a retenção de imposto de renda – IR. nos termos do Decreto Municipal nº 31/2023, de 07/08/2023.</w:t>
      </w:r>
    </w:p>
    <w:p w14:paraId="5FF4504B">
      <w:pPr>
        <w:spacing w:before="240" w:after="240"/>
        <w:jc w:val="both"/>
        <w:rPr>
          <w:b/>
          <w:bCs/>
          <w:sz w:val="20"/>
        </w:rPr>
      </w:pPr>
      <w:r>
        <w:rPr>
          <w:b/>
          <w:bCs/>
          <w:sz w:val="20"/>
        </w:rPr>
        <w:t>8. FORMA E CRITÉRIOS DE SELEÇÃO DO FORNECEDOR E FORMA DE FORNECIMENTO</w:t>
      </w:r>
    </w:p>
    <w:p w14:paraId="3AB94941">
      <w:pPr>
        <w:spacing w:before="240" w:after="240"/>
        <w:jc w:val="both"/>
        <w:rPr>
          <w:b/>
          <w:bCs/>
          <w:sz w:val="20"/>
        </w:rPr>
      </w:pPr>
      <w:r>
        <w:rPr>
          <w:b/>
          <w:bCs/>
          <w:sz w:val="20"/>
        </w:rPr>
        <w:t>Forma de seleção e critério de julgamento da proposta</w:t>
      </w:r>
    </w:p>
    <w:p w14:paraId="713C0DB0">
      <w:pPr>
        <w:spacing w:before="240" w:after="240"/>
        <w:jc w:val="both"/>
        <w:rPr>
          <w:sz w:val="20"/>
        </w:rPr>
      </w:pPr>
      <w:r>
        <w:rPr>
          <w:sz w:val="20"/>
        </w:rPr>
        <w:t>8.1. O fornecedor será selecionado por meio da realização de procedimento de LICITAÇÃO, na modalidade PREGÃO, sob a forma ELETRÔNICA, com adoção do critério de julgamento pelo MENOR PREÇO.</w:t>
      </w:r>
    </w:p>
    <w:p w14:paraId="27E6194B">
      <w:pPr>
        <w:spacing w:before="240" w:after="240"/>
        <w:jc w:val="both"/>
        <w:rPr>
          <w:b/>
          <w:bCs/>
          <w:sz w:val="20"/>
        </w:rPr>
      </w:pPr>
      <w:r>
        <w:rPr>
          <w:b/>
          <w:bCs/>
          <w:sz w:val="20"/>
        </w:rPr>
        <w:t>Forma de fornecimento</w:t>
      </w:r>
    </w:p>
    <w:p w14:paraId="41650B91">
      <w:pPr>
        <w:spacing w:before="240" w:after="240"/>
        <w:jc w:val="both"/>
        <w:rPr>
          <w:sz w:val="20"/>
        </w:rPr>
      </w:pPr>
      <w:r>
        <w:rPr>
          <w:sz w:val="20"/>
        </w:rPr>
        <w:t>8.2. O fornecimento do objeto será parcelado.</w:t>
      </w:r>
    </w:p>
    <w:p w14:paraId="5C7991CA">
      <w:pPr>
        <w:spacing w:before="240" w:after="240"/>
        <w:jc w:val="both"/>
        <w:rPr>
          <w:b/>
          <w:bCs/>
          <w:sz w:val="20"/>
        </w:rPr>
      </w:pPr>
      <w:r>
        <w:rPr>
          <w:b/>
          <w:bCs/>
          <w:sz w:val="20"/>
        </w:rPr>
        <w:t>Exigências de habilitação</w:t>
      </w:r>
    </w:p>
    <w:p w14:paraId="3EDAE39A">
      <w:pPr>
        <w:spacing w:before="240" w:after="240"/>
        <w:jc w:val="both"/>
        <w:rPr>
          <w:sz w:val="20"/>
        </w:rPr>
      </w:pPr>
      <w:r>
        <w:rPr>
          <w:sz w:val="20"/>
        </w:rPr>
        <w:t>8.3. Para fins de habilitação, deverá o licitante comprovar os seguintes requisitos:</w:t>
      </w:r>
    </w:p>
    <w:p w14:paraId="6E5A5007">
      <w:pPr>
        <w:spacing w:before="240" w:after="240"/>
        <w:jc w:val="both"/>
        <w:rPr>
          <w:b/>
          <w:bCs/>
          <w:sz w:val="20"/>
        </w:rPr>
      </w:pPr>
      <w:r>
        <w:rPr>
          <w:b/>
          <w:bCs/>
          <w:sz w:val="20"/>
        </w:rPr>
        <w:t>Habilitação jurídica</w:t>
      </w:r>
    </w:p>
    <w:p w14:paraId="19BD0884">
      <w:pPr>
        <w:spacing w:before="240" w:after="240"/>
        <w:jc w:val="both"/>
        <w:rPr>
          <w:sz w:val="20"/>
        </w:rPr>
      </w:pPr>
      <w:r>
        <w:rPr>
          <w:sz w:val="20"/>
        </w:rPr>
        <w:t>8.4. Pessoa física: cédula de identidade (RG) ou documento equivalente que, por força de lei, tenha validade para fins de identificação em todo o território nacional.</w:t>
      </w:r>
    </w:p>
    <w:p w14:paraId="03FC800E">
      <w:pPr>
        <w:spacing w:before="240" w:after="240"/>
        <w:jc w:val="both"/>
        <w:rPr>
          <w:sz w:val="20"/>
        </w:rPr>
      </w:pPr>
      <w:r>
        <w:rPr>
          <w:sz w:val="20"/>
        </w:rPr>
        <w:t xml:space="preserve">8.5. Empresário individual: inscrição no Registro Público de Empresas Mercantis, a cargo da Junta Comercial da respectiva sede; </w:t>
      </w:r>
    </w:p>
    <w:p w14:paraId="08C9533C">
      <w:pPr>
        <w:spacing w:before="240" w:after="240"/>
        <w:jc w:val="both"/>
        <w:rPr>
          <w:sz w:val="20"/>
        </w:rPr>
      </w:pPr>
      <w:r>
        <w:rPr>
          <w:sz w:val="20"/>
        </w:rPr>
        <w:t xml:space="preserve">8.6.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2"/>
          <w:sz w:val="20"/>
        </w:rPr>
        <w:t>https://www.gov.br/empresas-e-negocios/pt-br/empreendedor</w:t>
      </w:r>
      <w:r>
        <w:rPr>
          <w:rStyle w:val="12"/>
          <w:sz w:val="20"/>
        </w:rPr>
        <w:fldChar w:fldCharType="end"/>
      </w:r>
      <w:r>
        <w:rPr>
          <w:sz w:val="20"/>
        </w:rPr>
        <w:t xml:space="preserve">; </w:t>
      </w:r>
    </w:p>
    <w:p w14:paraId="2E8AD67A">
      <w:pPr>
        <w:spacing w:before="240" w:after="240"/>
        <w:jc w:val="both"/>
        <w:rPr>
          <w:sz w:val="20"/>
        </w:rPr>
      </w:pPr>
      <w:r>
        <w:rPr>
          <w:sz w:val="20"/>
        </w:rP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F52CA35">
      <w:pPr>
        <w:spacing w:before="240" w:after="240"/>
        <w:jc w:val="both"/>
        <w:rPr>
          <w:sz w:val="20"/>
        </w:rPr>
      </w:pPr>
      <w:r>
        <w:rPr>
          <w:sz w:val="20"/>
        </w:rPr>
        <w:t xml:space="preserve">8.8.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2"/>
          <w:sz w:val="20"/>
        </w:rPr>
        <w:t>Normativa DREI/ME n.º 77, de 18 de março de 2020</w:t>
      </w:r>
      <w:r>
        <w:rPr>
          <w:rStyle w:val="12"/>
          <w:sz w:val="20"/>
        </w:rPr>
        <w:fldChar w:fldCharType="end"/>
      </w:r>
      <w:r>
        <w:rPr>
          <w:sz w:val="20"/>
        </w:rPr>
        <w:t>.</w:t>
      </w:r>
    </w:p>
    <w:p w14:paraId="46241C75">
      <w:pPr>
        <w:spacing w:before="240" w:after="240"/>
        <w:jc w:val="both"/>
        <w:rPr>
          <w:sz w:val="20"/>
        </w:rPr>
      </w:pPr>
      <w:r>
        <w:rPr>
          <w:sz w:val="20"/>
        </w:rPr>
        <w:t>8.9. Sociedade simples: inscrição do ato constitutivo no Registro Civil de Pessoas Jurídicas do local de sua sede, acompanhada de documento comprobatório de seus administradores;</w:t>
      </w:r>
    </w:p>
    <w:p w14:paraId="7264A019">
      <w:pPr>
        <w:spacing w:before="240" w:after="240"/>
        <w:jc w:val="both"/>
        <w:rPr>
          <w:sz w:val="20"/>
        </w:rPr>
      </w:pPr>
      <w:r>
        <w:rPr>
          <w:sz w:val="20"/>
        </w:rPr>
        <w:t xml:space="preserve">8.10.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47" w:name="_Int_ySfCXwr4"/>
      <w:r>
        <w:rPr>
          <w:sz w:val="20"/>
        </w:rPr>
        <w:t>Mercantis onde</w:t>
      </w:r>
      <w:bookmarkEnd w:id="47"/>
      <w:r>
        <w:rPr>
          <w:sz w:val="20"/>
        </w:rPr>
        <w:t xml:space="preserve"> opera, com averbação no Registro onde tem sede a matriz</w:t>
      </w:r>
    </w:p>
    <w:p w14:paraId="195ED8FE">
      <w:pPr>
        <w:spacing w:before="240" w:after="240"/>
        <w:jc w:val="both"/>
        <w:rPr>
          <w:sz w:val="20"/>
        </w:rPr>
      </w:pPr>
      <w:r>
        <w:rPr>
          <w:sz w:val="20"/>
        </w:rPr>
        <w:t xml:space="preserve">8.11. 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2"/>
          <w:sz w:val="20"/>
        </w:rPr>
        <w:t>art. 107 da Lei nº 5.764, de 16 de dezembro 1971</w:t>
      </w:r>
      <w:r>
        <w:rPr>
          <w:rStyle w:val="12"/>
          <w:sz w:val="20"/>
        </w:rPr>
        <w:fldChar w:fldCharType="end"/>
      </w:r>
      <w:r>
        <w:rPr>
          <w:sz w:val="20"/>
        </w:rPr>
        <w:t>.</w:t>
      </w:r>
    </w:p>
    <w:p w14:paraId="66B75021">
      <w:pPr>
        <w:spacing w:before="240" w:after="240"/>
        <w:jc w:val="both"/>
        <w:rPr>
          <w:sz w:val="20"/>
        </w:rPr>
      </w:pPr>
      <w:r>
        <w:rPr>
          <w:sz w:val="20"/>
        </w:rPr>
        <w:t>8.12. 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2"/>
          <w:sz w:val="20"/>
        </w:rPr>
        <w:t xml:space="preserve"> art. 4º, §2º do Decreto nº 10.880, de 2 de dezembro de 2021</w:t>
      </w:r>
      <w:r>
        <w:rPr>
          <w:rStyle w:val="12"/>
          <w:sz w:val="20"/>
        </w:rPr>
        <w:fldChar w:fldCharType="end"/>
      </w:r>
      <w:r>
        <w:rPr>
          <w:sz w:val="20"/>
        </w:rPr>
        <w:t>.</w:t>
      </w:r>
    </w:p>
    <w:p w14:paraId="2189E33F">
      <w:pPr>
        <w:spacing w:before="240" w:after="240"/>
        <w:jc w:val="both"/>
        <w:rPr>
          <w:sz w:val="20"/>
        </w:rPr>
      </w:pPr>
      <w:r>
        <w:rPr>
          <w:sz w:val="20"/>
        </w:rPr>
        <w:t xml:space="preserve">8.13. 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2"/>
          <w:sz w:val="20"/>
        </w:rPr>
        <w:t>Instrução Normativa RFB n. 971, de 13 de novembro de 2009</w:t>
      </w:r>
      <w:r>
        <w:rPr>
          <w:rStyle w:val="12"/>
          <w:sz w:val="20"/>
        </w:rPr>
        <w:fldChar w:fldCharType="end"/>
      </w:r>
      <w:r>
        <w:rPr>
          <w:sz w:val="20"/>
        </w:rPr>
        <w:t xml:space="preserve"> (arts. 17 a 19 e 165).</w:t>
      </w:r>
    </w:p>
    <w:p w14:paraId="41DFB8E2">
      <w:pPr>
        <w:spacing w:before="240" w:after="240"/>
        <w:jc w:val="both"/>
        <w:rPr>
          <w:sz w:val="20"/>
        </w:rPr>
      </w:pPr>
      <w:r>
        <w:rPr>
          <w:sz w:val="20"/>
        </w:rPr>
        <w:t>8.14. Os documentos apresentados deverão estar acompanhados de todas as alterações ou da consolidação respectiva.</w:t>
      </w:r>
    </w:p>
    <w:p w14:paraId="3EC49D81">
      <w:pPr>
        <w:spacing w:before="240" w:after="240"/>
        <w:jc w:val="both"/>
        <w:rPr>
          <w:b/>
          <w:bCs/>
          <w:sz w:val="20"/>
        </w:rPr>
      </w:pPr>
      <w:r>
        <w:rPr>
          <w:b/>
          <w:bCs/>
          <w:sz w:val="20"/>
        </w:rPr>
        <w:t>Habilitação fiscal, social e trabalhista</w:t>
      </w:r>
    </w:p>
    <w:p w14:paraId="17DB2AD1">
      <w:pPr>
        <w:spacing w:before="240" w:after="240"/>
        <w:jc w:val="both"/>
        <w:rPr>
          <w:sz w:val="20"/>
        </w:rPr>
      </w:pPr>
      <w:r>
        <w:rPr>
          <w:sz w:val="20"/>
        </w:rPr>
        <w:t>8.15. Prova de inscrição no Cadastro Nacional de Pessoas Jurídicas ou no Cadastro de Pessoas Físicas, conforme o caso</w:t>
      </w:r>
    </w:p>
    <w:p w14:paraId="4E065C4E">
      <w:pPr>
        <w:spacing w:before="240" w:after="240"/>
        <w:jc w:val="both"/>
        <w:rPr>
          <w:sz w:val="20"/>
        </w:rPr>
      </w:pPr>
      <w:r>
        <w:rPr>
          <w:sz w:val="20"/>
        </w:rPr>
        <w:t>8.16.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5100802">
      <w:pPr>
        <w:spacing w:before="240" w:after="240"/>
        <w:jc w:val="both"/>
        <w:rPr>
          <w:sz w:val="20"/>
        </w:rPr>
      </w:pPr>
      <w:r>
        <w:rPr>
          <w:sz w:val="20"/>
        </w:rPr>
        <w:t>8.17. Prova de regularidade com o Fundo de Garantia do Tempo de Serviço (FGTS);</w:t>
      </w:r>
    </w:p>
    <w:p w14:paraId="33100F3E">
      <w:pPr>
        <w:spacing w:before="240" w:after="240"/>
        <w:jc w:val="both"/>
        <w:rPr>
          <w:sz w:val="20"/>
        </w:rPr>
      </w:pPr>
      <w:r>
        <w:rPr>
          <w:sz w:val="20"/>
        </w:rPr>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A258130">
      <w:pPr>
        <w:spacing w:before="240" w:after="240"/>
        <w:jc w:val="both"/>
        <w:rPr>
          <w:sz w:val="20"/>
        </w:rPr>
      </w:pPr>
      <w:r>
        <w:rPr>
          <w:sz w:val="20"/>
        </w:rPr>
        <w:t>8.19. Prova de inscrição no cadastro de contribuintes Estadual ou Municipal relativo ao domicílio ou sede do fornecedor, pertinente ao seu ramo de atividade e compatível com o objeto contratual.</w:t>
      </w:r>
    </w:p>
    <w:p w14:paraId="5BD9C2BC">
      <w:pPr>
        <w:spacing w:before="240" w:after="240"/>
        <w:jc w:val="both"/>
        <w:rPr>
          <w:sz w:val="20"/>
        </w:rPr>
      </w:pPr>
      <w:r>
        <w:rPr>
          <w:sz w:val="20"/>
        </w:rPr>
        <w:t>8.20. Prova de regularidade com a Fazenda Estadual ou Municipal do domicílio ou sede do fornecedor, relativa à atividade em cujo exercício contrata ou concorre.</w:t>
      </w:r>
    </w:p>
    <w:p w14:paraId="4C109E42">
      <w:pPr>
        <w:spacing w:before="240" w:after="240"/>
        <w:jc w:val="both"/>
        <w:rPr>
          <w:sz w:val="20"/>
        </w:rPr>
      </w:pPr>
      <w:r>
        <w:rPr>
          <w:sz w:val="20"/>
        </w:rPr>
        <w:t>8.21.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4941C66">
      <w:pPr>
        <w:spacing w:before="240" w:after="240"/>
        <w:jc w:val="both"/>
        <w:rPr>
          <w:sz w:val="20"/>
        </w:rPr>
      </w:pPr>
      <w:r>
        <w:rPr>
          <w:sz w:val="20"/>
        </w:rPr>
        <w:t>8.22.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78DBEAD">
      <w:pPr>
        <w:jc w:val="both"/>
        <w:rPr>
          <w:sz w:val="20"/>
        </w:rPr>
      </w:pPr>
      <w:r>
        <w:rPr>
          <w:sz w:val="20"/>
        </w:rPr>
        <w:t xml:space="preserve">8.23. No caso de exercício de atividade: ato de registro ou autorização para funcionamento expedido pela </w:t>
      </w:r>
      <w:r>
        <w:rPr>
          <w:b/>
          <w:bCs/>
          <w:sz w:val="20"/>
        </w:rPr>
        <w:t>ANVISA.</w:t>
      </w:r>
    </w:p>
    <w:p w14:paraId="31124767">
      <w:pPr>
        <w:spacing w:before="240" w:after="240"/>
        <w:jc w:val="both"/>
        <w:rPr>
          <w:b/>
          <w:bCs/>
          <w:sz w:val="20"/>
        </w:rPr>
      </w:pPr>
      <w:r>
        <w:rPr>
          <w:b/>
          <w:bCs/>
          <w:sz w:val="20"/>
        </w:rPr>
        <w:t>Qualificação Econômico-financeira</w:t>
      </w:r>
    </w:p>
    <w:p w14:paraId="254A05CC">
      <w:pPr>
        <w:spacing w:before="240" w:after="240"/>
        <w:jc w:val="both"/>
        <w:rPr>
          <w:sz w:val="20"/>
        </w:rPr>
      </w:pPr>
      <w:r>
        <w:rPr>
          <w:sz w:val="20"/>
        </w:rPr>
        <w:t>8.24.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2"/>
          <w:sz w:val="20"/>
        </w:rPr>
        <w:t>art. 5º, inciso II, alínea “c”, da Instrução Normativa Seges/ME nº 116, de 2021</w:t>
      </w:r>
      <w:r>
        <w:rPr>
          <w:rStyle w:val="12"/>
          <w:sz w:val="20"/>
        </w:rPr>
        <w:fldChar w:fldCharType="end"/>
      </w:r>
      <w:r>
        <w:rPr>
          <w:sz w:val="20"/>
        </w:rPr>
        <w:t xml:space="preserve">), ou de sociedade simples; </w:t>
      </w:r>
    </w:p>
    <w:p w14:paraId="23CD329C">
      <w:pPr>
        <w:spacing w:before="240" w:after="240"/>
        <w:jc w:val="both"/>
        <w:rPr>
          <w:sz w:val="20"/>
        </w:rPr>
      </w:pPr>
      <w:r>
        <w:rPr>
          <w:sz w:val="20"/>
        </w:rPr>
        <w:t xml:space="preserve">8.25. 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2"/>
          <w:sz w:val="20"/>
        </w:rPr>
        <w:t>Lei nº 14.133, de 2021, art. 69, caput, inciso II</w:t>
      </w:r>
      <w:r>
        <w:rPr>
          <w:rStyle w:val="12"/>
          <w:sz w:val="20"/>
        </w:rPr>
        <w:fldChar w:fldCharType="end"/>
      </w:r>
      <w:r>
        <w:rPr>
          <w:sz w:val="20"/>
        </w:rPr>
        <w:t>);</w:t>
      </w:r>
    </w:p>
    <w:p w14:paraId="121B59CD">
      <w:pPr>
        <w:spacing w:before="240" w:after="240"/>
        <w:jc w:val="both"/>
        <w:rPr>
          <w:sz w:val="20"/>
        </w:rPr>
      </w:pPr>
      <w:r>
        <w:rPr>
          <w:sz w:val="20"/>
        </w:rPr>
        <w:t>8.26. Balanço patrimonial, demonstração de resultado de exercício e demais demonstrações contábeis dos 2 (dois) últimos exercícios sociais, comprovando;</w:t>
      </w:r>
    </w:p>
    <w:p w14:paraId="3E50B9C1">
      <w:pPr>
        <w:spacing w:before="240" w:after="240"/>
        <w:jc w:val="both"/>
        <w:rPr>
          <w:sz w:val="20"/>
        </w:rPr>
      </w:pPr>
      <w:r>
        <w:rPr>
          <w:sz w:val="20"/>
        </w:rPr>
        <w:t>8.26.1. índices de Liquidez Geral (LG), Liquidez Corrente (LC), e Solvência Geral (SG) superiores a 1 (um);</w:t>
      </w:r>
    </w:p>
    <w:p w14:paraId="39F3085D">
      <w:pPr>
        <w:spacing w:before="240" w:after="240"/>
        <w:jc w:val="both"/>
        <w:rPr>
          <w:sz w:val="20"/>
        </w:rPr>
      </w:pPr>
      <w:r>
        <w:rPr>
          <w:sz w:val="20"/>
        </w:rPr>
        <w:t>8.27. As empresas criadas no exercício financeiro da licitação deverão atender a todas as exigências da habilitação e poderão substituir os demonstrativos contábeis pelo balanço de abertura.</w:t>
      </w:r>
    </w:p>
    <w:p w14:paraId="3B94BD2A">
      <w:pPr>
        <w:spacing w:before="240" w:after="240"/>
        <w:jc w:val="both"/>
        <w:rPr>
          <w:sz w:val="20"/>
        </w:rPr>
      </w:pPr>
      <w:r>
        <w:rPr>
          <w:sz w:val="20"/>
        </w:rPr>
        <w:t>8.28. Os documentos referidos acima limitar-se-ão ao último exercício no caso de a pessoa jurídica ter sido constituída há menos de 2 (dois) anos;</w:t>
      </w:r>
    </w:p>
    <w:p w14:paraId="5429C4E1">
      <w:pPr>
        <w:spacing w:before="240" w:after="240"/>
        <w:jc w:val="both"/>
        <w:rPr>
          <w:sz w:val="20"/>
        </w:rPr>
      </w:pPr>
      <w:r>
        <w:rPr>
          <w:sz w:val="20"/>
        </w:rPr>
        <w:t>8.29. Os documentos acima deverão ser exigidos com base no limite definido pela Receita Federal do Brasil para transmissão da Escrituração Contábil Digital - ECD ao Sped.</w:t>
      </w:r>
    </w:p>
    <w:p w14:paraId="6172D6A9">
      <w:pPr>
        <w:spacing w:before="240" w:after="240"/>
        <w:jc w:val="both"/>
        <w:rPr>
          <w:sz w:val="20"/>
        </w:rPr>
      </w:pPr>
      <w:r>
        <w:rPr>
          <w:sz w:val="20"/>
        </w:rPr>
        <w:t>8.30. As empresas criadas no exercício financeiro da licitação deverão atender a todas as exigências da habilitação e poderão substituir os demonstrativos contábeis pelo balanço de abertura. (Lei nº 14.133, de 2021, art. 65, §1º).</w:t>
      </w:r>
    </w:p>
    <w:p w14:paraId="0E541F76">
      <w:pPr>
        <w:spacing w:before="240" w:after="240"/>
        <w:jc w:val="both"/>
        <w:rPr>
          <w:b/>
          <w:bCs/>
          <w:sz w:val="20"/>
        </w:rPr>
      </w:pPr>
      <w:r>
        <w:rPr>
          <w:b/>
          <w:bCs/>
          <w:sz w:val="20"/>
        </w:rPr>
        <w:t>Qualificação técnica</w:t>
      </w:r>
    </w:p>
    <w:p w14:paraId="04C96738">
      <w:pPr>
        <w:spacing w:before="240" w:after="240"/>
        <w:jc w:val="both"/>
        <w:rPr>
          <w:rFonts w:eastAsia="Calibri"/>
          <w:sz w:val="20"/>
        </w:rPr>
      </w:pPr>
      <w:r>
        <w:rPr>
          <w:sz w:val="20"/>
        </w:rPr>
        <w:t>8.31. Comprovação de aptidão para execução do objeto, por meio da apresentação de atestados, por pessoas jurídicas de direito público ou privado.</w:t>
      </w:r>
    </w:p>
    <w:p w14:paraId="3D897376">
      <w:pPr>
        <w:spacing w:before="240" w:after="240"/>
        <w:jc w:val="both"/>
        <w:rPr>
          <w:rFonts w:eastAsia="Calibri"/>
          <w:sz w:val="20"/>
        </w:rPr>
      </w:pPr>
      <w:r>
        <w:rPr>
          <w:rFonts w:eastAsia="MS Mincho"/>
          <w:sz w:val="18"/>
          <w:szCs w:val="18"/>
        </w:rPr>
        <w:t>8.31.1. Atestado de Capacidade Técnica, expedido em nome da empresa licitante, fornecido por pessoa jurídica de direito público ou privado, comprovando que a licitante forneceu ou vem fornecendo adequado em quantidades e qualidade semelhante ao objeto da presente licitação.</w:t>
      </w:r>
    </w:p>
    <w:p w14:paraId="5D1F3E79">
      <w:pPr>
        <w:spacing w:before="240" w:after="240"/>
        <w:jc w:val="both"/>
        <w:rPr>
          <w:rFonts w:eastAsia="Calibri"/>
          <w:sz w:val="20"/>
        </w:rPr>
      </w:pPr>
      <w:r>
        <w:rPr>
          <w:sz w:val="20"/>
        </w:rPr>
        <w:t>8.31.2. Os atestados de capacidade técnica poderão ser apresentados em nome da matriz ou da filial da empresa licitante ou da pessoa física.</w:t>
      </w:r>
    </w:p>
    <w:p w14:paraId="32DC8DEA">
      <w:pPr>
        <w:spacing w:before="240" w:after="240"/>
        <w:jc w:val="both"/>
        <w:rPr>
          <w:sz w:val="20"/>
        </w:rPr>
      </w:pPr>
      <w:r>
        <w:rPr>
          <w:sz w:val="20"/>
        </w:rPr>
        <w:t>8.32.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3F60C71">
      <w:pPr>
        <w:spacing w:before="240" w:after="240"/>
        <w:jc w:val="both"/>
        <w:rPr>
          <w:sz w:val="20"/>
        </w:rPr>
      </w:pPr>
      <w:r>
        <w:rPr>
          <w:sz w:val="20"/>
        </w:rPr>
        <w:t>8.33. documentos complementares específicos:</w:t>
      </w:r>
    </w:p>
    <w:p w14:paraId="28CD16B0">
      <w:pPr>
        <w:pStyle w:val="53"/>
        <w:spacing w:before="240" w:after="240"/>
        <w:jc w:val="both"/>
        <w:rPr>
          <w:rFonts w:ascii="Times New Roman" w:hAnsi="Times New Roman" w:cs="Times New Roman"/>
          <w:sz w:val="20"/>
          <w:szCs w:val="20"/>
        </w:rPr>
      </w:pPr>
      <w:r>
        <w:rPr>
          <w:rFonts w:ascii="Times New Roman" w:hAnsi="Times New Roman" w:cs="Times New Roman"/>
          <w:sz w:val="20"/>
          <w:szCs w:val="20"/>
        </w:rPr>
        <w:t xml:space="preserve">a) Entre as obrigações técnicas, incluem-se os requisitos exigidos pela Vigilância Sanitária para garantir que os proponentes, interessados em fornecer seus produtos e serviços aos entes públicos, sejam empresas idôneas, inspecionadas periodicamente e assegurem que a qualidade de seus produtos atenda aos requisitos técnicos necessários. Caberá à empresa proponente apresentar os seguintes documentos: </w:t>
      </w:r>
    </w:p>
    <w:p w14:paraId="5EEC2498">
      <w:pPr>
        <w:pStyle w:val="53"/>
        <w:spacing w:before="240" w:after="240"/>
        <w:jc w:val="both"/>
        <w:rPr>
          <w:rFonts w:ascii="Times New Roman" w:hAnsi="Times New Roman" w:cs="Times New Roman"/>
          <w:sz w:val="20"/>
          <w:szCs w:val="20"/>
        </w:rPr>
      </w:pPr>
      <w:r>
        <w:rPr>
          <w:rFonts w:ascii="Times New Roman" w:hAnsi="Times New Roman" w:cs="Times New Roman"/>
          <w:sz w:val="20"/>
          <w:szCs w:val="20"/>
        </w:rPr>
        <w:t xml:space="preserve">a.1. Autorização de Funcionamento de Empresa (AFE) emitida pela Agência Nacional de Vigilância Sanitária (ANVISA), conforme disposto no art. 50 da Lei n° 6360/1976, e incisos I, III e IV, art. 10, da Lei n°: 6437/1977; </w:t>
      </w:r>
    </w:p>
    <w:p w14:paraId="0E214F65">
      <w:pPr>
        <w:pStyle w:val="53"/>
        <w:spacing w:before="240" w:after="240"/>
        <w:jc w:val="both"/>
        <w:rPr>
          <w:rFonts w:ascii="Times New Roman" w:hAnsi="Times New Roman" w:cs="Times New Roman"/>
          <w:sz w:val="20"/>
          <w:szCs w:val="20"/>
        </w:rPr>
      </w:pPr>
      <w:r>
        <w:rPr>
          <w:rFonts w:ascii="Times New Roman" w:hAnsi="Times New Roman" w:cs="Times New Roman"/>
          <w:sz w:val="20"/>
          <w:szCs w:val="20"/>
        </w:rPr>
        <w:t>a.2. Caso o medicamento esteja sujeito a controle especial, deverá o ofertante apresentar a AFE especial, de acordo com a Portaria 344/01, distribuidores, devendo ser solicitada cópia da publicação no DOU</w:t>
      </w:r>
    </w:p>
    <w:p w14:paraId="679BD8EF">
      <w:pPr>
        <w:spacing w:before="240" w:after="240"/>
        <w:jc w:val="both"/>
        <w:rPr>
          <w:sz w:val="20"/>
        </w:rPr>
      </w:pPr>
      <w:r>
        <w:rPr>
          <w:sz w:val="20"/>
        </w:rPr>
        <w:t>a.3. Licença de Funcionamento Estadual ou Municipal (LF), conforme o caso, consoante disposto no art. 51 da Lei n°: 6360/1976</w:t>
      </w:r>
    </w:p>
    <w:p w14:paraId="11FEDF5F">
      <w:pPr>
        <w:spacing w:before="240" w:after="240"/>
        <w:jc w:val="both"/>
        <w:rPr>
          <w:sz w:val="20"/>
        </w:rPr>
      </w:pPr>
      <w:r>
        <w:rPr>
          <w:sz w:val="20"/>
        </w:rPr>
        <w:t>a.4 Certificado de Registro de Produtos emitido pela Secretaria de Vigilância Sanitária, ou cópia da publicação no D.O.U., será exigido quando da assinatura do contrato.</w:t>
      </w:r>
    </w:p>
    <w:p w14:paraId="2B5DA791">
      <w:pPr>
        <w:spacing w:before="240" w:after="240"/>
        <w:jc w:val="both"/>
        <w:rPr>
          <w:rFonts w:eastAsia="MS Mincho"/>
          <w:b/>
          <w:bCs/>
          <w:sz w:val="20"/>
        </w:rPr>
      </w:pPr>
      <w:r>
        <w:rPr>
          <w:rFonts w:eastAsia="MS Mincho"/>
          <w:b/>
          <w:bCs/>
          <w:sz w:val="20"/>
        </w:rPr>
        <w:t>9. DA COMPROVAÇÃO DE MICROEMPRESA E EMPRESA DE PEQUENO PORTE</w:t>
      </w:r>
    </w:p>
    <w:p w14:paraId="42F221D8">
      <w:pPr>
        <w:spacing w:before="240" w:after="240"/>
        <w:jc w:val="both"/>
        <w:rPr>
          <w:sz w:val="20"/>
          <w:lang w:eastAsia="en-US"/>
        </w:rPr>
      </w:pPr>
      <w:r>
        <w:rPr>
          <w:sz w:val="20"/>
          <w:lang w:eastAsia="en-US"/>
        </w:rPr>
        <w:t xml:space="preserve">9.1 A condição de Microempresa e Empresa de Pequeno Porte, para efeito do tratamento diferenciado previsto na Lei Complementar nº 123/06, alterada pela Lei Complementar nº 147/2014, deverá ser comprovada através da apresentação dos seguintes documentos: </w:t>
      </w:r>
    </w:p>
    <w:p w14:paraId="5E092FD6">
      <w:pPr>
        <w:spacing w:before="240" w:after="240"/>
        <w:jc w:val="both"/>
        <w:rPr>
          <w:b/>
          <w:bCs/>
          <w:sz w:val="20"/>
          <w:lang w:eastAsia="en-US"/>
        </w:rPr>
      </w:pPr>
      <w:r>
        <w:rPr>
          <w:b/>
          <w:bCs/>
          <w:sz w:val="20"/>
          <w:lang w:eastAsia="en-US"/>
        </w:rPr>
        <w:t xml:space="preserve">I – Empresas optantes pelo Simples de Tributação: </w:t>
      </w:r>
    </w:p>
    <w:p w14:paraId="217D12D0">
      <w:pPr>
        <w:spacing w:before="240" w:after="240"/>
        <w:jc w:val="both"/>
        <w:rPr>
          <w:sz w:val="20"/>
          <w:lang w:eastAsia="en-US"/>
        </w:rPr>
      </w:pPr>
      <w:r>
        <w:rPr>
          <w:sz w:val="20"/>
          <w:lang w:eastAsia="en-US"/>
        </w:rPr>
        <w:t xml:space="preserve">9.2 Comprovação de opção pelo simples obtido através do site da Secretaria da Receita Federal, http://www.receita.fazenda.gov.br\pessoajuridica\simples\simples.htm; </w:t>
      </w:r>
    </w:p>
    <w:p w14:paraId="564788E2">
      <w:pPr>
        <w:spacing w:before="240" w:after="240"/>
        <w:jc w:val="both"/>
        <w:rPr>
          <w:sz w:val="20"/>
          <w:lang w:eastAsia="en-US"/>
        </w:rPr>
      </w:pPr>
      <w:r>
        <w:rPr>
          <w:sz w:val="20"/>
          <w:lang w:eastAsia="en-US"/>
        </w:rPr>
        <w:t xml:space="preserve">9.3 Declaração firmada pelo representante legal da empresa, de não haver nenhum dos impedimentos previstos no parágrafo 4º do artigo 3º da Lei Complementar nº 123/2006. </w:t>
      </w:r>
    </w:p>
    <w:p w14:paraId="115B1F58">
      <w:pPr>
        <w:spacing w:before="240" w:after="240"/>
        <w:jc w:val="both"/>
        <w:rPr>
          <w:b/>
          <w:bCs/>
          <w:sz w:val="20"/>
          <w:lang w:eastAsia="en-US"/>
        </w:rPr>
      </w:pPr>
      <w:r>
        <w:rPr>
          <w:b/>
          <w:bCs/>
          <w:sz w:val="20"/>
          <w:lang w:eastAsia="en-US"/>
        </w:rPr>
        <w:t xml:space="preserve">II – Empresas não optantes pelo Simples de Tributação: </w:t>
      </w:r>
    </w:p>
    <w:p w14:paraId="6FCE3341">
      <w:pPr>
        <w:spacing w:before="240" w:after="240"/>
        <w:jc w:val="both"/>
        <w:rPr>
          <w:sz w:val="20"/>
          <w:lang w:eastAsia="en-US"/>
        </w:rPr>
      </w:pPr>
      <w:r>
        <w:rPr>
          <w:sz w:val="20"/>
          <w:lang w:eastAsia="en-US"/>
        </w:rPr>
        <w:t xml:space="preserve">9.4 Balanço Patrimonial e Demonstração do Resultado do Exercício comprovando ter receita bruta dentro dos limites estabelecidos nos incisos I e II do artigo 3º da Lei Complementar nº 123/2006. </w:t>
      </w:r>
    </w:p>
    <w:p w14:paraId="54913EF8">
      <w:pPr>
        <w:spacing w:before="240" w:after="240"/>
        <w:jc w:val="both"/>
        <w:rPr>
          <w:sz w:val="20"/>
          <w:lang w:eastAsia="en-US"/>
        </w:rPr>
      </w:pPr>
      <w:r>
        <w:rPr>
          <w:sz w:val="20"/>
          <w:lang w:eastAsia="en-US"/>
        </w:rPr>
        <w:t xml:space="preserve">9.5 Cópia da Declaração de Informação Econômico-Fiscais da Pessoa Jurídica – DIPJ e respectivo recibo de entrega, em conformidade com o Balanço e a DRE. </w:t>
      </w:r>
    </w:p>
    <w:p w14:paraId="6329A1C2">
      <w:pPr>
        <w:spacing w:before="240" w:after="240"/>
        <w:jc w:val="both"/>
        <w:rPr>
          <w:sz w:val="20"/>
          <w:lang w:eastAsia="en-US"/>
        </w:rPr>
      </w:pPr>
      <w:r>
        <w:rPr>
          <w:sz w:val="20"/>
          <w:lang w:eastAsia="en-US"/>
        </w:rPr>
        <w:t xml:space="preserve">9.6 Comprovante de inscrição e situação cadastral no Cadastro Nacional de Pessoa Jurídica – CNPJ. </w:t>
      </w:r>
    </w:p>
    <w:p w14:paraId="4F2F7E5F">
      <w:pPr>
        <w:spacing w:before="240" w:after="240"/>
        <w:jc w:val="both"/>
        <w:rPr>
          <w:sz w:val="20"/>
          <w:lang w:eastAsia="en-US"/>
        </w:rPr>
      </w:pPr>
      <w:r>
        <w:rPr>
          <w:sz w:val="20"/>
          <w:lang w:eastAsia="en-US"/>
        </w:rPr>
        <w:t xml:space="preserve">9.7 Cópia do Contrato Social e suas alterações </w:t>
      </w:r>
    </w:p>
    <w:p w14:paraId="6C0FD5C1">
      <w:pPr>
        <w:spacing w:before="240" w:after="240"/>
        <w:jc w:val="both"/>
        <w:rPr>
          <w:sz w:val="20"/>
          <w:lang w:eastAsia="en-US"/>
        </w:rPr>
      </w:pPr>
      <w:r>
        <w:rPr>
          <w:sz w:val="20"/>
          <w:lang w:eastAsia="en-US"/>
        </w:rPr>
        <w:t xml:space="preserve">9.8 Declaração firmada pelo representante legal da empresa de não haver nenhum dos impedimentos previstos nos incisos do parágrafo 4º do artigo 3º da Lei Complementar nº 123/2006. </w:t>
      </w:r>
    </w:p>
    <w:p w14:paraId="368845C0">
      <w:pPr>
        <w:spacing w:before="240" w:after="240"/>
        <w:jc w:val="both"/>
        <w:rPr>
          <w:sz w:val="20"/>
          <w:lang w:eastAsia="en-US"/>
        </w:rPr>
      </w:pPr>
      <w:r>
        <w:rPr>
          <w:sz w:val="20"/>
          <w:lang w:eastAsia="en-US"/>
        </w:rPr>
        <w:t xml:space="preserve">9.9 Os documentos relacionados no subitem 9.1, para efeito de comprovação da condição de Microempresa ou Empresa de Pequeno Porte, poderão ser substituídos pela Certidão expedida pela Junta Comercial, nos termos da instrução Normativa do DNRC (Departamento Nacional de Registro do Comércio) nº 103, publicada no D.O (Diário Oficial) no dia 22 de maio de 2007. </w:t>
      </w:r>
    </w:p>
    <w:p w14:paraId="24E89B50">
      <w:pPr>
        <w:spacing w:before="240" w:after="240"/>
        <w:jc w:val="both"/>
        <w:rPr>
          <w:sz w:val="20"/>
          <w:lang w:eastAsia="en-US"/>
        </w:rPr>
      </w:pPr>
      <w:r>
        <w:rPr>
          <w:sz w:val="20"/>
          <w:lang w:eastAsia="en-US"/>
        </w:rPr>
        <w:t xml:space="preserve">9.10 As Microempresas e as Empresas de Pequeno Porte deverão apresentar toda a documentação exigida para efeito de comprovação de Regularidade Fiscal, mesmo que esta apresente alguma restrição. </w:t>
      </w:r>
    </w:p>
    <w:p w14:paraId="0A9B0742">
      <w:pPr>
        <w:spacing w:before="240" w:after="240"/>
        <w:jc w:val="both"/>
        <w:rPr>
          <w:sz w:val="20"/>
          <w:lang w:eastAsia="en-US"/>
        </w:rPr>
      </w:pPr>
      <w:r>
        <w:rPr>
          <w:sz w:val="20"/>
          <w:lang w:eastAsia="en-US"/>
        </w:rPr>
        <w:t xml:space="preserve">9.10.1 Havendo alguma restrição na comprovação da Regularidade Fiscal e Trabalhista será assegurado às Microempresas ou Empresas de Pequeno Porte, o prazo de 05 (cinco) dias úteis, cujo termo inicial corresponderá ao momento em que a proponente for declarada vencedora, prorrogáveis por igual período, a critério do Município, para regularização da documentação, pagamento ou parcelamento do débito e emissão de eventuais certidões negativas ou positivas com efeito de certidão negativa. </w:t>
      </w:r>
    </w:p>
    <w:p w14:paraId="7872357B">
      <w:pPr>
        <w:spacing w:before="240" w:after="240"/>
        <w:jc w:val="both"/>
        <w:rPr>
          <w:sz w:val="20"/>
          <w:lang w:eastAsia="en-US"/>
        </w:rPr>
      </w:pPr>
      <w:r>
        <w:rPr>
          <w:sz w:val="20"/>
          <w:lang w:eastAsia="en-US"/>
        </w:rPr>
        <w:t xml:space="preserve">9.10.2 </w:t>
      </w:r>
      <w:r>
        <w:rPr>
          <w:b/>
          <w:bCs/>
          <w:sz w:val="20"/>
          <w:lang w:eastAsia="en-US"/>
        </w:rPr>
        <w:t>A não regularização da documentação no prazo previsto no subitem 9.10.1 implicará decadência do direito à contratação,</w:t>
      </w:r>
      <w:r>
        <w:rPr>
          <w:sz w:val="20"/>
          <w:lang w:eastAsia="en-US"/>
        </w:rPr>
        <w:t xml:space="preserve"> sem prejuízo das sanções previstas em lei, sendo facultada à Administração a convocação das licitantes remanescentes, na ordem de classificação, para assinatura do Contrato, ou revogar a licitação.</w:t>
      </w:r>
    </w:p>
    <w:p w14:paraId="2D72B867">
      <w:pPr>
        <w:spacing w:before="240" w:after="240"/>
        <w:jc w:val="both"/>
        <w:rPr>
          <w:b/>
          <w:sz w:val="20"/>
        </w:rPr>
      </w:pPr>
      <w:r>
        <w:rPr>
          <w:b/>
          <w:sz w:val="20"/>
        </w:rPr>
        <w:t>10. JUSTIFICATIVA DE NÃO EXCLUSIVIDADE PARA ME E EPP</w:t>
      </w:r>
    </w:p>
    <w:p w14:paraId="25190C47">
      <w:pPr>
        <w:autoSpaceDE w:val="0"/>
        <w:autoSpaceDN w:val="0"/>
        <w:adjustRightInd w:val="0"/>
        <w:spacing w:before="240" w:after="240"/>
        <w:jc w:val="both"/>
        <w:rPr>
          <w:sz w:val="20"/>
        </w:rPr>
      </w:pPr>
      <w:r>
        <w:rPr>
          <w:sz w:val="20"/>
        </w:rPr>
        <w:t>10.1. É certo que a exclusividade às micro e pequenas empresas é a regra nos casos de licitações com valor estimado de até R$ 80.000,00, conforme determina o art. 47, da Lei Complementar 123/2006. Contudo, existem exceções que podem ser avocadas pela Administração, desde que apresente as devidas justificativas, pois o tratamento diferenciado resulta de expressa disposição constitucional (CR/88, art. 170, IX), sendo seu dever esclarecer os motivos pelos quais decidiu que determinada licitação não será exclusiva. Nesse sentido, o art. 49 da Lei Complementar nº 123/06 proíbe a aplicação do disposto nos seus artigos 47 e 48, quando não houver o mínimo de três fornecedores competitivos enquadrados como microempresas ou empresas de pequeno porte sediadas local ou regionalmente e capazes de cumprir as exigências estabelecidas no instrumento convocatório (artigo 49, II, da LC 123/2006). Interpretando-se esse dispositivo, é possível chegar à conclusão de que caso na localidade não seja possível segregar ao menos 3 (três) fornecedores enquadrados como ME ou EPP com a capacidade de cumprir as exigências do Edital, então a Administração poderá aplicar as regras excludentes do art. 49, II da LC nº 123/2006, permitindo a participação dos demais fornecedores interessados.</w:t>
      </w:r>
    </w:p>
    <w:p w14:paraId="4CF8D6DC">
      <w:pPr>
        <w:autoSpaceDE w:val="0"/>
        <w:autoSpaceDN w:val="0"/>
        <w:adjustRightInd w:val="0"/>
        <w:spacing w:before="240" w:after="240"/>
        <w:jc w:val="both"/>
        <w:rPr>
          <w:sz w:val="20"/>
        </w:rPr>
      </w:pPr>
      <w:r>
        <w:rPr>
          <w:sz w:val="20"/>
        </w:rPr>
        <w:t xml:space="preserve">Nesse ponto, cabe registrar que não foi encontrado, em pesquisa de mercado realizada para obter cotações válidas para balizar esta aquisição, o número mínimo de três fornecedores locais com a qualificação de micro e pequena empresa. Ademais, não se identificou ferramenta, cadastro ou outro instrumento seguro apto a sustentar a tomada de decisão desta Secretaria acerca da vantajosidade de se garantir a exclusividade dos itens abaixo de 80 mil reais para as ME e EPP. </w:t>
      </w:r>
    </w:p>
    <w:p w14:paraId="01579250">
      <w:pPr>
        <w:autoSpaceDE w:val="0"/>
        <w:autoSpaceDN w:val="0"/>
        <w:adjustRightInd w:val="0"/>
        <w:spacing w:before="240" w:after="240"/>
        <w:jc w:val="both"/>
        <w:rPr>
          <w:sz w:val="20"/>
        </w:rPr>
      </w:pPr>
      <w:r>
        <w:rPr>
          <w:sz w:val="20"/>
        </w:rPr>
        <w:t xml:space="preserve">Deste modo, é temerária a tomada de decisão em favor da exclusividade, sendo prudente não restringir a competição. Caso conceda a exclusividade, sem os parâmetros adequados que garantam a existência de fornecedores capazes de atender a demanda, a Administração poderá conduzir uma licitação ineficaz, com elevado número de itens desertos e fracassados, em virtude da ausência de fornecedores. A Secretaria Municipal de Saúde seria levada a repetir o procedimento, o que aumentaria os custos da contratação, gerando prejuízos. </w:t>
      </w:r>
    </w:p>
    <w:p w14:paraId="1794B91E">
      <w:pPr>
        <w:autoSpaceDE w:val="0"/>
        <w:autoSpaceDN w:val="0"/>
        <w:adjustRightInd w:val="0"/>
        <w:spacing w:before="240" w:after="240"/>
        <w:jc w:val="both"/>
        <w:rPr>
          <w:sz w:val="20"/>
        </w:rPr>
      </w:pPr>
      <w:r>
        <w:rPr>
          <w:sz w:val="20"/>
        </w:rPr>
        <w:t>Não se desconhece que a razão de ser da norma é promover o desenvolvimento econômico e social no âmbito local e regional, a ampliação da eficiência das políticas públicas e o incentivo à inovação tecnológica (artigo 47 da LC nº 123/06). Contudo, esta disposição deve ser interpretada à luz da Constituição Federal,). A Constituição Federal prevê expressamente que no processo licitatório deve ser assegurada igualdade de condições a todos os concorrentes, ao passo que a Lei de Licitações dispõe que este se destina a garantir a observância do princípio constitucional da isonomia, a seleção da proposta mais vantajosa para a administração e a promoção do desenvolvimento nacional sustentável.</w:t>
      </w:r>
    </w:p>
    <w:p w14:paraId="2360B297">
      <w:pPr>
        <w:spacing w:before="240" w:after="240"/>
        <w:jc w:val="both"/>
        <w:rPr>
          <w:szCs w:val="24"/>
          <w:lang w:eastAsia="en-US"/>
        </w:rPr>
      </w:pPr>
      <w:r>
        <w:rPr>
          <w:sz w:val="20"/>
        </w:rPr>
        <w:t>Diante disso, considerando o risco presente na concessão da exclusividade e ausência de parâmetros que afastem esses riscos, considerando ainda que tal decisão preserva a competividade do certame, garante a isonomia e possibilita a obtenção da proposta mais vantajosa para a Administração, e que as ME e EPP terão garantidos os outros benefícios dispostos na Lei Complementar nº 123, de 2006, DECIDO QUE ESTA LICITAÇÃO NÃO SERÁ EXCLUSIVA PARA MICROEMPRESA E EMPRESA DE PEQUENO PORTE, por conta da impossibilidade de identificar a existência de fornecedores competitivos enquadrados nessa categoria e sediados local e regionalmente e capazes de cumprir as exigências estabelecidas neste instrumento convocatório.</w:t>
      </w:r>
    </w:p>
    <w:p w14:paraId="507AACF7">
      <w:pPr>
        <w:spacing w:before="240" w:after="240"/>
        <w:jc w:val="both"/>
        <w:rPr>
          <w:b/>
          <w:bCs/>
          <w:szCs w:val="24"/>
        </w:rPr>
      </w:pPr>
      <w:r>
        <w:rPr>
          <w:b/>
          <w:bCs/>
          <w:szCs w:val="24"/>
        </w:rPr>
        <w:t>11. ESTIMATIVAS DO VALOR DA CONTRATAÇÃO</w:t>
      </w:r>
    </w:p>
    <w:p w14:paraId="0D4A4E2F">
      <w:pPr>
        <w:spacing w:before="240" w:after="240"/>
        <w:jc w:val="both"/>
        <w:rPr>
          <w:rFonts w:eastAsia="Calibri"/>
          <w:szCs w:val="24"/>
        </w:rPr>
      </w:pPr>
      <w:r>
        <w:rPr>
          <w:szCs w:val="24"/>
        </w:rPr>
        <w:t xml:space="preserve">11.1. O custo estimado total da contratação é de R$ </w:t>
      </w:r>
      <w:r>
        <w:rPr>
          <w:szCs w:val="22"/>
        </w:rPr>
        <w:t>R$</w:t>
      </w:r>
      <w:r>
        <w:rPr>
          <w:b/>
          <w:bCs/>
          <w:szCs w:val="22"/>
        </w:rPr>
        <w:t xml:space="preserve"> </w:t>
      </w:r>
      <w:r>
        <w:rPr>
          <w:szCs w:val="22"/>
        </w:rPr>
        <w:t>571.351,60 (quinhentos e setenta e um mil e trezentos e cinquenta e um reais e sessenta centavos).</w:t>
      </w:r>
      <w:r>
        <w:rPr>
          <w:szCs w:val="24"/>
        </w:rPr>
        <w:t xml:space="preserve"> conforme custos unitários apostos na tabela acima. (</w:t>
      </w:r>
      <w:r>
        <w:rPr>
          <w:b/>
          <w:bCs/>
          <w:szCs w:val="24"/>
        </w:rPr>
        <w:t>item 1.1.).</w:t>
      </w:r>
    </w:p>
    <w:p w14:paraId="76A61B5E">
      <w:pPr>
        <w:spacing w:before="240" w:after="240"/>
        <w:jc w:val="both"/>
        <w:rPr>
          <w:b/>
          <w:bCs/>
          <w:szCs w:val="24"/>
        </w:rPr>
      </w:pPr>
      <w:r>
        <w:rPr>
          <w:b/>
          <w:bCs/>
          <w:szCs w:val="24"/>
        </w:rPr>
        <w:t>12. ADEQUAÇÃO ORÇAMENTÁRIA</w:t>
      </w:r>
    </w:p>
    <w:p w14:paraId="5D74CB20">
      <w:pPr>
        <w:spacing w:before="240" w:after="240"/>
        <w:jc w:val="both"/>
        <w:rPr>
          <w:szCs w:val="24"/>
        </w:rPr>
      </w:pPr>
      <w:r>
        <w:rPr>
          <w:szCs w:val="24"/>
        </w:rPr>
        <w:t>12.1. As despesas decorrentes da presente contratação correrão à conta de recursos específicos consignados no Orçamento Geral do município.</w:t>
      </w:r>
    </w:p>
    <w:p w14:paraId="64A16CB4">
      <w:pPr>
        <w:spacing w:before="240" w:after="240"/>
        <w:jc w:val="both"/>
        <w:rPr>
          <w:rFonts w:eastAsia="Calibri"/>
          <w:szCs w:val="24"/>
        </w:rPr>
      </w:pPr>
      <w:r>
        <w:rPr>
          <w:szCs w:val="24"/>
        </w:rPr>
        <w:t>12.1.1. A contratação será atendida pela seguinte dotação.</w:t>
      </w:r>
    </w:p>
    <w:p w14:paraId="0519C341">
      <w:pPr>
        <w:jc w:val="both"/>
        <w:rPr>
          <w:szCs w:val="24"/>
        </w:rPr>
      </w:pPr>
      <w:r>
        <w:rPr>
          <w:b/>
          <w:szCs w:val="24"/>
        </w:rPr>
        <w:t xml:space="preserve">ÓRGÃO: </w:t>
      </w:r>
      <w:r>
        <w:rPr>
          <w:szCs w:val="24"/>
        </w:rPr>
        <w:t>02 – Poder Executivo</w:t>
      </w:r>
    </w:p>
    <w:p w14:paraId="3C0568DF">
      <w:pPr>
        <w:jc w:val="both"/>
      </w:pPr>
      <w:r>
        <w:rPr>
          <w:b/>
        </w:rPr>
        <w:t>UNIDADE ORÇAMENTÁRIA:</w:t>
      </w:r>
      <w:r>
        <w:t xml:space="preserve"> 0202 – Fundo Municipal de Saúde </w:t>
      </w:r>
    </w:p>
    <w:p w14:paraId="3695067C">
      <w:pPr>
        <w:jc w:val="both"/>
      </w:pPr>
      <w:r>
        <w:rPr>
          <w:b/>
        </w:rPr>
        <w:t>FUNÇÃO</w:t>
      </w:r>
      <w:r>
        <w:t xml:space="preserve">: 10 – Saúde </w:t>
      </w:r>
    </w:p>
    <w:p w14:paraId="0E2683DD">
      <w:pPr>
        <w:jc w:val="both"/>
      </w:pPr>
      <w:r>
        <w:rPr>
          <w:b/>
        </w:rPr>
        <w:t>SUBFUNÇÃO:</w:t>
      </w:r>
      <w:r>
        <w:t xml:space="preserve"> 302 – Assistência Hospitalar e Ambulatorial  </w:t>
      </w:r>
    </w:p>
    <w:p w14:paraId="769D6D54">
      <w:pPr>
        <w:jc w:val="both"/>
      </w:pPr>
      <w:r>
        <w:rPr>
          <w:b/>
        </w:rPr>
        <w:t>PROGRAMA:</w:t>
      </w:r>
      <w:r>
        <w:t xml:space="preserve"> 0016 – Gestão Saúde</w:t>
      </w:r>
    </w:p>
    <w:p w14:paraId="10782AA0">
      <w:pPr>
        <w:jc w:val="both"/>
      </w:pPr>
      <w:r>
        <w:rPr>
          <w:b/>
        </w:rPr>
        <w:t>PROJETO/ATIVIDADE:</w:t>
      </w:r>
      <w:r>
        <w:t xml:space="preserve"> 2.104 – Manutenção do Hospital Municipal </w:t>
      </w:r>
    </w:p>
    <w:p w14:paraId="6D080062">
      <w:pPr>
        <w:jc w:val="both"/>
      </w:pPr>
      <w:r>
        <w:rPr>
          <w:b/>
        </w:rPr>
        <w:t>ELEMENTO DE DESPESA:</w:t>
      </w:r>
      <w:r>
        <w:t xml:space="preserve"> 3.3.90.30.00 – Material de Consumo</w:t>
      </w:r>
    </w:p>
    <w:p w14:paraId="61996035">
      <w:pPr>
        <w:spacing w:line="276" w:lineRule="auto"/>
        <w:jc w:val="both"/>
        <w:rPr>
          <w:b/>
          <w:szCs w:val="24"/>
        </w:rPr>
      </w:pPr>
      <w:r>
        <w:rPr>
          <w:b/>
        </w:rPr>
        <w:t>FONTE:</w:t>
      </w:r>
      <w:r>
        <w:t xml:space="preserve"> 1600000000 – Transferência SUS - Bloco de manutenção.</w:t>
      </w:r>
    </w:p>
    <w:p w14:paraId="0A1CEF11">
      <w:pPr>
        <w:spacing w:line="276" w:lineRule="auto"/>
        <w:jc w:val="both"/>
        <w:rPr>
          <w:b/>
          <w:sz w:val="18"/>
          <w:szCs w:val="18"/>
        </w:rPr>
      </w:pPr>
    </w:p>
    <w:p w14:paraId="27B14CFA">
      <w:pPr>
        <w:spacing w:after="200" w:line="276" w:lineRule="auto"/>
        <w:rPr>
          <w:sz w:val="18"/>
          <w:szCs w:val="18"/>
        </w:rPr>
      </w:pPr>
      <w:r>
        <w:rPr>
          <w:sz w:val="18"/>
          <w:szCs w:val="18"/>
        </w:rPr>
        <w:br w:type="page"/>
      </w:r>
    </w:p>
    <w:p w14:paraId="61AB729C">
      <w:pPr>
        <w:jc w:val="center"/>
        <w:rPr>
          <w:szCs w:val="24"/>
        </w:rPr>
      </w:pPr>
    </w:p>
    <w:p w14:paraId="0958B1B4">
      <w:pPr>
        <w:jc w:val="center"/>
        <w:rPr>
          <w:szCs w:val="24"/>
        </w:rPr>
      </w:pPr>
      <w:r>
        <w:rPr>
          <w:szCs w:val="24"/>
        </w:rPr>
        <w:t>TERMO DE REFERÊNCIA</w:t>
      </w:r>
    </w:p>
    <w:p w14:paraId="2AA5F081">
      <w:pPr>
        <w:jc w:val="center"/>
        <w:rPr>
          <w:b/>
          <w:szCs w:val="24"/>
        </w:rPr>
      </w:pPr>
      <w:r>
        <w:rPr>
          <w:b/>
          <w:szCs w:val="24"/>
        </w:rPr>
        <w:t>Lei 14.133, 1º de abril de 2021</w:t>
      </w:r>
    </w:p>
    <w:p w14:paraId="3B083B7D">
      <w:pPr>
        <w:jc w:val="center"/>
        <w:rPr>
          <w:szCs w:val="24"/>
        </w:rPr>
      </w:pPr>
      <w:r>
        <w:rPr>
          <w:szCs w:val="24"/>
        </w:rPr>
        <w:t>Processo Administrativo nº 1106001/2024</w:t>
      </w:r>
    </w:p>
    <w:p w14:paraId="7E793F35">
      <w:pPr>
        <w:tabs>
          <w:tab w:val="left" w:pos="8504"/>
        </w:tabs>
        <w:ind w:right="-1"/>
        <w:jc w:val="center"/>
        <w:rPr>
          <w:szCs w:val="24"/>
        </w:rPr>
      </w:pPr>
      <w:r>
        <w:rPr>
          <w:szCs w:val="24"/>
        </w:rPr>
        <w:t>APÊNDICE do Anexo IV</w:t>
      </w:r>
    </w:p>
    <w:p w14:paraId="02C9009C">
      <w:pPr>
        <w:tabs>
          <w:tab w:val="left" w:pos="8504"/>
        </w:tabs>
        <w:ind w:right="-1"/>
        <w:jc w:val="center"/>
        <w:rPr>
          <w:szCs w:val="24"/>
        </w:rPr>
      </w:pPr>
    </w:p>
    <w:p w14:paraId="667B2D0A">
      <w:pPr>
        <w:tabs>
          <w:tab w:val="left" w:pos="8504"/>
        </w:tabs>
        <w:ind w:right="-1"/>
        <w:jc w:val="center"/>
        <w:rPr>
          <w:sz w:val="18"/>
          <w:szCs w:val="18"/>
          <w:highlight w:val="yellow"/>
        </w:rPr>
      </w:pPr>
    </w:p>
    <w:tbl>
      <w:tblPr>
        <w:tblStyle w:val="9"/>
        <w:tblW w:w="10047" w:type="dxa"/>
        <w:jc w:val="center"/>
        <w:tblLayout w:type="fixed"/>
        <w:tblCellMar>
          <w:top w:w="0" w:type="dxa"/>
          <w:left w:w="70" w:type="dxa"/>
          <w:bottom w:w="0" w:type="dxa"/>
          <w:right w:w="70" w:type="dxa"/>
        </w:tblCellMar>
      </w:tblPr>
      <w:tblGrid>
        <w:gridCol w:w="1783"/>
        <w:gridCol w:w="7990"/>
        <w:gridCol w:w="143"/>
        <w:gridCol w:w="8"/>
        <w:gridCol w:w="16"/>
        <w:gridCol w:w="18"/>
        <w:gridCol w:w="47"/>
        <w:gridCol w:w="17"/>
        <w:gridCol w:w="8"/>
        <w:gridCol w:w="8"/>
        <w:gridCol w:w="9"/>
      </w:tblGrid>
      <w:tr w14:paraId="78315B99">
        <w:tblPrEx>
          <w:tblCellMar>
            <w:top w:w="0" w:type="dxa"/>
            <w:left w:w="70" w:type="dxa"/>
            <w:bottom w:w="0" w:type="dxa"/>
            <w:right w:w="70" w:type="dxa"/>
          </w:tblCellMar>
        </w:tblPrEx>
        <w:trPr>
          <w:gridAfter w:val="3"/>
          <w:wAfter w:w="25" w:type="dxa"/>
          <w:trHeight w:val="538"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77C914D6">
            <w:pPr>
              <w:autoSpaceDE w:val="0"/>
              <w:autoSpaceDN w:val="0"/>
              <w:adjustRightInd w:val="0"/>
              <w:jc w:val="center"/>
              <w:rPr>
                <w:b/>
                <w:bCs/>
                <w:sz w:val="28"/>
                <w:szCs w:val="28"/>
              </w:rPr>
            </w:pPr>
            <w:r>
              <w:rPr>
                <w:b/>
                <w:bCs/>
                <w:sz w:val="28"/>
                <w:szCs w:val="28"/>
              </w:rPr>
              <w:t>ESTUDOS TÉCNICOS PRELIMINARES</w:t>
            </w:r>
          </w:p>
        </w:tc>
      </w:tr>
      <w:tr w14:paraId="29183DD3">
        <w:tblPrEx>
          <w:tblCellMar>
            <w:top w:w="0" w:type="dxa"/>
            <w:left w:w="70" w:type="dxa"/>
            <w:bottom w:w="0" w:type="dxa"/>
            <w:right w:w="70" w:type="dxa"/>
          </w:tblCellMar>
        </w:tblPrEx>
        <w:trPr>
          <w:gridAfter w:val="3"/>
          <w:wAfter w:w="25" w:type="dxa"/>
          <w:trHeight w:val="374" w:hRule="atLeast"/>
          <w:jc w:val="center"/>
        </w:trPr>
        <w:tc>
          <w:tcPr>
            <w:tcW w:w="1783" w:type="dxa"/>
          </w:tcPr>
          <w:p w14:paraId="1893FCF0">
            <w:pPr>
              <w:autoSpaceDE w:val="0"/>
              <w:autoSpaceDN w:val="0"/>
              <w:adjustRightInd w:val="0"/>
              <w:jc w:val="center"/>
            </w:pPr>
          </w:p>
        </w:tc>
        <w:tc>
          <w:tcPr>
            <w:tcW w:w="8239" w:type="dxa"/>
            <w:gridSpan w:val="7"/>
          </w:tcPr>
          <w:p w14:paraId="005B3C83">
            <w:pPr>
              <w:autoSpaceDE w:val="0"/>
              <w:autoSpaceDN w:val="0"/>
              <w:adjustRightInd w:val="0"/>
              <w:jc w:val="center"/>
            </w:pPr>
          </w:p>
          <w:p w14:paraId="472D1F58">
            <w:pPr>
              <w:autoSpaceDE w:val="0"/>
              <w:autoSpaceDN w:val="0"/>
              <w:adjustRightInd w:val="0"/>
              <w:jc w:val="center"/>
            </w:pPr>
          </w:p>
        </w:tc>
      </w:tr>
      <w:tr w14:paraId="43763619">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22089B20">
            <w:pPr>
              <w:autoSpaceDE w:val="0"/>
              <w:autoSpaceDN w:val="0"/>
              <w:adjustRightInd w:val="0"/>
              <w:jc w:val="right"/>
              <w:rPr>
                <w:b/>
                <w:bCs/>
              </w:rPr>
            </w:pPr>
            <w:r>
              <w:rPr>
                <w:b/>
                <w:bCs/>
              </w:rPr>
              <w:t>Órgão:</w:t>
            </w:r>
          </w:p>
        </w:tc>
        <w:tc>
          <w:tcPr>
            <w:tcW w:w="8239" w:type="dxa"/>
            <w:gridSpan w:val="7"/>
            <w:tcBorders>
              <w:top w:val="single" w:color="auto" w:sz="6" w:space="0"/>
              <w:left w:val="single" w:color="auto" w:sz="6" w:space="0"/>
              <w:bottom w:val="single" w:color="auto" w:sz="6" w:space="0"/>
              <w:right w:val="single" w:color="auto" w:sz="6" w:space="0"/>
            </w:tcBorders>
            <w:vAlign w:val="center"/>
          </w:tcPr>
          <w:p w14:paraId="3F33DB70">
            <w:pPr>
              <w:autoSpaceDE w:val="0"/>
              <w:autoSpaceDN w:val="0"/>
              <w:adjustRightInd w:val="0"/>
            </w:pPr>
            <w:r>
              <w:t>Fundo Municipal de Saúde</w:t>
            </w:r>
          </w:p>
        </w:tc>
      </w:tr>
      <w:tr w14:paraId="6DA1C79A">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290631D4">
            <w:pPr>
              <w:autoSpaceDE w:val="0"/>
              <w:autoSpaceDN w:val="0"/>
              <w:adjustRightInd w:val="0"/>
              <w:jc w:val="right"/>
              <w:rPr>
                <w:b/>
                <w:bCs/>
              </w:rPr>
            </w:pPr>
            <w:r>
              <w:rPr>
                <w:b/>
                <w:bCs/>
              </w:rPr>
              <w:t>Uasg:</w:t>
            </w:r>
          </w:p>
        </w:tc>
        <w:tc>
          <w:tcPr>
            <w:tcW w:w="8239" w:type="dxa"/>
            <w:gridSpan w:val="7"/>
            <w:tcBorders>
              <w:top w:val="single" w:color="auto" w:sz="6" w:space="0"/>
              <w:left w:val="single" w:color="auto" w:sz="6" w:space="0"/>
              <w:bottom w:val="single" w:color="auto" w:sz="6" w:space="0"/>
              <w:right w:val="single" w:color="auto" w:sz="6" w:space="0"/>
            </w:tcBorders>
            <w:vAlign w:val="center"/>
          </w:tcPr>
          <w:p w14:paraId="6DB25633">
            <w:pPr>
              <w:autoSpaceDE w:val="0"/>
              <w:autoSpaceDN w:val="0"/>
              <w:adjustRightInd w:val="0"/>
            </w:pPr>
            <w:r>
              <w:t>980258</w:t>
            </w:r>
          </w:p>
        </w:tc>
      </w:tr>
      <w:tr w14:paraId="5BF9A1B0">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7273607E">
            <w:pPr>
              <w:autoSpaceDE w:val="0"/>
              <w:autoSpaceDN w:val="0"/>
              <w:adjustRightInd w:val="0"/>
              <w:jc w:val="right"/>
              <w:rPr>
                <w:b/>
                <w:bCs/>
              </w:rPr>
            </w:pPr>
            <w:r>
              <w:rPr>
                <w:b/>
                <w:bCs/>
              </w:rPr>
              <w:t>Compra:</w:t>
            </w:r>
          </w:p>
        </w:tc>
        <w:tc>
          <w:tcPr>
            <w:tcW w:w="8239" w:type="dxa"/>
            <w:gridSpan w:val="7"/>
            <w:tcBorders>
              <w:top w:val="single" w:color="auto" w:sz="6" w:space="0"/>
              <w:left w:val="single" w:color="auto" w:sz="6" w:space="0"/>
              <w:bottom w:val="single" w:color="auto" w:sz="6" w:space="0"/>
              <w:right w:val="single" w:color="auto" w:sz="6" w:space="0"/>
            </w:tcBorders>
            <w:vAlign w:val="center"/>
          </w:tcPr>
          <w:p w14:paraId="4F49C439">
            <w:pPr>
              <w:autoSpaceDE w:val="0"/>
              <w:autoSpaceDN w:val="0"/>
              <w:adjustRightInd w:val="0"/>
            </w:pPr>
            <w:r>
              <w:t>Medicamentos hospitalares, de interesse do Fundo Municipal de Saúde.</w:t>
            </w:r>
          </w:p>
        </w:tc>
      </w:tr>
      <w:tr w14:paraId="7EFCCF12">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12BCB4C2">
            <w:pPr>
              <w:autoSpaceDE w:val="0"/>
              <w:autoSpaceDN w:val="0"/>
              <w:adjustRightInd w:val="0"/>
              <w:jc w:val="center"/>
            </w:pPr>
          </w:p>
          <w:p w14:paraId="6C6F2574">
            <w:pPr>
              <w:autoSpaceDE w:val="0"/>
              <w:autoSpaceDN w:val="0"/>
              <w:adjustRightInd w:val="0"/>
            </w:pPr>
          </w:p>
        </w:tc>
      </w:tr>
      <w:tr w14:paraId="0B5EA105">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43A0D02A">
            <w:pPr>
              <w:autoSpaceDE w:val="0"/>
              <w:autoSpaceDN w:val="0"/>
              <w:adjustRightInd w:val="0"/>
            </w:pPr>
            <w:r>
              <w:rPr>
                <w:b/>
                <w:bCs/>
              </w:rPr>
              <w:t xml:space="preserve">1. </w:t>
            </w:r>
            <w:r>
              <w:t>Informações básicas – Processo Administrativo</w:t>
            </w:r>
          </w:p>
        </w:tc>
      </w:tr>
      <w:tr w14:paraId="57D457CE">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4853F46A">
            <w:pPr>
              <w:autoSpaceDE w:val="0"/>
              <w:autoSpaceDN w:val="0"/>
              <w:adjustRightInd w:val="0"/>
              <w:spacing w:before="240" w:after="120"/>
              <w:jc w:val="both"/>
            </w:pPr>
            <w:r>
              <w:t>1106001/2024</w:t>
            </w:r>
          </w:p>
        </w:tc>
      </w:tr>
      <w:tr w14:paraId="7BAEB810">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083956C0">
            <w:pPr>
              <w:autoSpaceDE w:val="0"/>
              <w:autoSpaceDN w:val="0"/>
              <w:adjustRightInd w:val="0"/>
              <w:spacing w:line="160" w:lineRule="exact"/>
              <w:jc w:val="center"/>
              <w:rPr>
                <w:sz w:val="18"/>
                <w:szCs w:val="18"/>
              </w:rPr>
            </w:pPr>
          </w:p>
          <w:p w14:paraId="15F7EE3A">
            <w:pPr>
              <w:autoSpaceDE w:val="0"/>
              <w:autoSpaceDN w:val="0"/>
              <w:adjustRightInd w:val="0"/>
              <w:spacing w:line="160" w:lineRule="exact"/>
              <w:jc w:val="center"/>
              <w:rPr>
                <w:sz w:val="18"/>
                <w:szCs w:val="18"/>
              </w:rPr>
            </w:pPr>
          </w:p>
          <w:p w14:paraId="637ADE4A">
            <w:pPr>
              <w:autoSpaceDE w:val="0"/>
              <w:autoSpaceDN w:val="0"/>
              <w:adjustRightInd w:val="0"/>
              <w:spacing w:line="160" w:lineRule="exact"/>
              <w:jc w:val="center"/>
              <w:rPr>
                <w:sz w:val="18"/>
                <w:szCs w:val="18"/>
              </w:rPr>
            </w:pPr>
          </w:p>
        </w:tc>
      </w:tr>
      <w:tr w14:paraId="189C8A8D">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78D82F53">
            <w:pPr>
              <w:autoSpaceDE w:val="0"/>
              <w:autoSpaceDN w:val="0"/>
              <w:adjustRightInd w:val="0"/>
            </w:pPr>
            <w:r>
              <w:rPr>
                <w:b/>
                <w:bCs/>
              </w:rPr>
              <w:t xml:space="preserve">2. </w:t>
            </w:r>
            <w:r>
              <w:t>Área requisitante</w:t>
            </w:r>
          </w:p>
        </w:tc>
      </w:tr>
      <w:tr w14:paraId="580173B2">
        <w:tblPrEx>
          <w:tblCellMar>
            <w:top w:w="0" w:type="dxa"/>
            <w:left w:w="70" w:type="dxa"/>
            <w:bottom w:w="0" w:type="dxa"/>
            <w:right w:w="70" w:type="dxa"/>
          </w:tblCellMar>
        </w:tblPrEx>
        <w:trPr>
          <w:gridAfter w:val="3"/>
          <w:wAfter w:w="25" w:type="dxa"/>
          <w:trHeight w:val="372"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487BFF64">
            <w:pPr>
              <w:autoSpaceDE w:val="0"/>
              <w:autoSpaceDN w:val="0"/>
              <w:adjustRightInd w:val="0"/>
              <w:spacing w:before="240" w:after="120"/>
              <w:jc w:val="both"/>
            </w:pPr>
            <w:r>
              <w:t>Fundo Municipal de Saúde.</w:t>
            </w:r>
          </w:p>
        </w:tc>
      </w:tr>
      <w:tr w14:paraId="14D7023F">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4AC061BC">
            <w:pPr>
              <w:autoSpaceDE w:val="0"/>
              <w:autoSpaceDN w:val="0"/>
              <w:adjustRightInd w:val="0"/>
              <w:rPr>
                <w:b/>
                <w:bCs/>
              </w:rPr>
            </w:pPr>
          </w:p>
          <w:p w14:paraId="51723C9E">
            <w:pPr>
              <w:autoSpaceDE w:val="0"/>
              <w:autoSpaceDN w:val="0"/>
              <w:adjustRightInd w:val="0"/>
              <w:rPr>
                <w:b/>
                <w:bCs/>
              </w:rPr>
            </w:pPr>
          </w:p>
          <w:p w14:paraId="268C52A4">
            <w:pPr>
              <w:autoSpaceDE w:val="0"/>
              <w:autoSpaceDN w:val="0"/>
              <w:adjustRightInd w:val="0"/>
              <w:rPr>
                <w:b/>
                <w:bCs/>
              </w:rPr>
            </w:pPr>
            <w:r>
              <w:rPr>
                <w:b/>
                <w:bCs/>
              </w:rPr>
              <w:t>Eixo 1 – Da necessidade:</w:t>
            </w:r>
          </w:p>
          <w:p w14:paraId="704B1DDD">
            <w:pPr>
              <w:autoSpaceDE w:val="0"/>
              <w:autoSpaceDN w:val="0"/>
              <w:adjustRightInd w:val="0"/>
              <w:rPr>
                <w:b/>
                <w:bCs/>
              </w:rPr>
            </w:pPr>
          </w:p>
          <w:p w14:paraId="0CC5A1A6">
            <w:pPr>
              <w:autoSpaceDE w:val="0"/>
              <w:autoSpaceDN w:val="0"/>
              <w:adjustRightInd w:val="0"/>
              <w:rPr>
                <w:b/>
                <w:bCs/>
              </w:rPr>
            </w:pPr>
          </w:p>
        </w:tc>
      </w:tr>
      <w:tr w14:paraId="55F0231E">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177DF36C">
            <w:pPr>
              <w:autoSpaceDE w:val="0"/>
              <w:autoSpaceDN w:val="0"/>
              <w:adjustRightInd w:val="0"/>
              <w:jc w:val="both"/>
              <w:rPr>
                <w:b/>
                <w:bCs/>
              </w:rPr>
            </w:pPr>
            <w:r>
              <w:rPr>
                <w:b/>
                <w:bCs/>
              </w:rPr>
              <w:t>3.</w:t>
            </w:r>
            <w:r>
              <w:t xml:space="preserve"> Descrição da necessidade da contratação (problema a ser resolvido)</w:t>
            </w:r>
            <w:r>
              <w:rPr>
                <w:b/>
                <w:bCs/>
              </w:rPr>
              <w:t>*</w:t>
            </w:r>
          </w:p>
        </w:tc>
      </w:tr>
      <w:tr w14:paraId="6627A49E">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7880082B">
            <w:pPr>
              <w:spacing w:before="100" w:beforeAutospacing="1" w:after="100" w:afterAutospacing="1"/>
              <w:jc w:val="both"/>
            </w:pPr>
            <w:r>
              <w:t>A contratação de medicamentos hospitalares para o município de Trizidela do Vale/MA é essencial para garantir a continuidade e a qualidade dos serviços de saúde prestados à população local. Esta ação é de interesse direto do Fundo Municipal de Saúde, visando atender à demanda crescente dos serviços hospitalares, unidades de pronto atendimento, e outros estabelecimentos de saúde geridos pelo município.</w:t>
            </w:r>
          </w:p>
          <w:p w14:paraId="62C64464">
            <w:pPr>
              <w:spacing w:before="100" w:beforeAutospacing="1" w:after="100" w:afterAutospacing="1"/>
              <w:jc w:val="both"/>
            </w:pPr>
            <w:r>
              <w:t>A aquisição dos medicamentos visa suprir a necessidade de manutenção de um estoque regulador, garantindo que não haja interrupções no tratamento dos pacientes, especialmente aqueles em condições de maior vulnerabilidade, como crianças, idosos e portadores de doenças crônicas. Além disso, a medida visa assegurar que todos os cidadãos tenham acesso rápido e eficaz aos tratamentos prescritos pelos profissionais de saúde, evitando agravamentos de doenças e promovendo a recuperação dos pacientes.</w:t>
            </w:r>
          </w:p>
          <w:p w14:paraId="6B3AAA62">
            <w:pPr>
              <w:spacing w:before="100" w:beforeAutospacing="1" w:after="100" w:afterAutospacing="1"/>
              <w:jc w:val="both"/>
            </w:pPr>
            <w:r>
              <w:t>Ademais, a contratação desses medicamentos é necessária para cumprir as normativas do Ministério da Saúde, que exigem que as unidades de saúde estejam sempre devidamente abastecidas para garantir a qualidade e segurança no atendimento. Assim, essa ação reflete a responsabilidade da administração pública municipal em assegurar o direito à saúde e bem-estar da população, conforme previsto na Constituição Federal e na Lei Orgânica do município.</w:t>
            </w:r>
          </w:p>
          <w:p w14:paraId="44A76DAF">
            <w:pPr>
              <w:spacing w:before="100" w:beforeAutospacing="1" w:after="100" w:afterAutospacing="1"/>
              <w:jc w:val="both"/>
              <w:rPr>
                <w:szCs w:val="24"/>
              </w:rPr>
            </w:pPr>
            <w:r>
              <w:t>Por fim, essa contratação também reflete o compromisso do Fundo Municipal de Saúde com a transparência e a eficiência na gestão dos recursos públicos, buscando sempre oferecer serviços de saúde de qualidade, com responsabilidade e compromisso social.</w:t>
            </w:r>
          </w:p>
        </w:tc>
      </w:tr>
      <w:tr w14:paraId="6C6CEEAE">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19E33DA2">
            <w:pPr>
              <w:autoSpaceDE w:val="0"/>
              <w:autoSpaceDN w:val="0"/>
              <w:adjustRightInd w:val="0"/>
              <w:spacing w:line="160" w:lineRule="exact"/>
              <w:jc w:val="center"/>
              <w:rPr>
                <w:sz w:val="18"/>
                <w:szCs w:val="18"/>
              </w:rPr>
            </w:pPr>
          </w:p>
          <w:p w14:paraId="7DFF38DC">
            <w:pPr>
              <w:autoSpaceDE w:val="0"/>
              <w:autoSpaceDN w:val="0"/>
              <w:adjustRightInd w:val="0"/>
              <w:spacing w:line="160" w:lineRule="exact"/>
              <w:jc w:val="center"/>
              <w:rPr>
                <w:sz w:val="18"/>
                <w:szCs w:val="18"/>
              </w:rPr>
            </w:pPr>
          </w:p>
          <w:p w14:paraId="43353CDE">
            <w:pPr>
              <w:autoSpaceDE w:val="0"/>
              <w:autoSpaceDN w:val="0"/>
              <w:adjustRightInd w:val="0"/>
              <w:spacing w:line="160" w:lineRule="exact"/>
              <w:jc w:val="center"/>
              <w:rPr>
                <w:sz w:val="18"/>
                <w:szCs w:val="18"/>
              </w:rPr>
            </w:pPr>
          </w:p>
        </w:tc>
      </w:tr>
      <w:tr w14:paraId="64211C0B">
        <w:tblPrEx>
          <w:tblCellMar>
            <w:top w:w="0" w:type="dxa"/>
            <w:left w:w="70" w:type="dxa"/>
            <w:bottom w:w="0" w:type="dxa"/>
            <w:right w:w="70" w:type="dxa"/>
          </w:tblCellMar>
        </w:tblPrEx>
        <w:trPr>
          <w:gridAfter w:val="3"/>
          <w:wAfter w:w="25" w:type="dxa"/>
          <w:trHeight w:val="86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2A0D87D7">
            <w:pPr>
              <w:autoSpaceDE w:val="0"/>
              <w:autoSpaceDN w:val="0"/>
              <w:adjustRightInd w:val="0"/>
              <w:jc w:val="both"/>
              <w:rPr>
                <w:b/>
                <w:bCs/>
              </w:rPr>
            </w:pPr>
            <w:r>
              <w:rPr>
                <w:b/>
                <w:bCs/>
              </w:rPr>
              <w:t>4.</w:t>
            </w:r>
            <w:r>
              <w:t xml:space="preserve"> Estimativa das quantidades a serem contratadas, acompanhada das memórias de cálculo e dos documentos que lhe dão suporte, considerando a interdependência com outras contratações, de modo a possibilitar economia de escala</w:t>
            </w:r>
            <w:r>
              <w:rPr>
                <w:b/>
                <w:bCs/>
              </w:rPr>
              <w:t>*</w:t>
            </w:r>
          </w:p>
        </w:tc>
      </w:tr>
      <w:tr w14:paraId="4E08AC2E">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653DC323">
            <w:pPr>
              <w:autoSpaceDE w:val="0"/>
              <w:autoSpaceDN w:val="0"/>
              <w:adjustRightInd w:val="0"/>
              <w:spacing w:before="240" w:after="120"/>
              <w:jc w:val="both"/>
              <w:rPr>
                <w:rFonts w:eastAsia="Calibri"/>
                <w:bCs/>
              </w:rPr>
            </w:pPr>
            <w:r>
              <w:rPr>
                <w:rFonts w:eastAsia="Calibri"/>
                <w:bCs/>
              </w:rPr>
              <w:t xml:space="preserve">A quantidade estimada consta no quadro abaixo: </w:t>
            </w:r>
          </w:p>
          <w:tbl>
            <w:tblPr>
              <w:tblStyle w:val="25"/>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5687"/>
              <w:gridCol w:w="1811"/>
              <w:gridCol w:w="989"/>
            </w:tblGrid>
            <w:tr w14:paraId="7754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0D73FA32">
                  <w:pPr>
                    <w:jc w:val="center"/>
                    <w:rPr>
                      <w:b/>
                      <w:sz w:val="16"/>
                      <w:szCs w:val="16"/>
                    </w:rPr>
                  </w:pPr>
                  <w:r>
                    <w:rPr>
                      <w:b/>
                      <w:sz w:val="16"/>
                      <w:szCs w:val="16"/>
                    </w:rPr>
                    <w:t>ITEM</w:t>
                  </w:r>
                </w:p>
              </w:tc>
              <w:tc>
                <w:tcPr>
                  <w:tcW w:w="3030" w:type="pct"/>
                  <w:vAlign w:val="center"/>
                </w:tcPr>
                <w:p w14:paraId="355219E5">
                  <w:pPr>
                    <w:jc w:val="center"/>
                    <w:rPr>
                      <w:sz w:val="16"/>
                      <w:szCs w:val="16"/>
                    </w:rPr>
                  </w:pPr>
                  <w:r>
                    <w:rPr>
                      <w:b/>
                      <w:sz w:val="16"/>
                      <w:szCs w:val="16"/>
                    </w:rPr>
                    <w:t>DESCRIÇÃO</w:t>
                  </w:r>
                </w:p>
              </w:tc>
              <w:tc>
                <w:tcPr>
                  <w:tcW w:w="965" w:type="pct"/>
                  <w:vAlign w:val="center"/>
                </w:tcPr>
                <w:p w14:paraId="29B835D8">
                  <w:pPr>
                    <w:jc w:val="center"/>
                    <w:rPr>
                      <w:b/>
                      <w:sz w:val="16"/>
                      <w:szCs w:val="16"/>
                    </w:rPr>
                  </w:pPr>
                  <w:r>
                    <w:rPr>
                      <w:b/>
                      <w:sz w:val="16"/>
                      <w:szCs w:val="16"/>
                    </w:rPr>
                    <w:t>UNID.</w:t>
                  </w:r>
                </w:p>
              </w:tc>
              <w:tc>
                <w:tcPr>
                  <w:tcW w:w="527" w:type="pct"/>
                  <w:vAlign w:val="center"/>
                </w:tcPr>
                <w:p w14:paraId="1AF6562B">
                  <w:pPr>
                    <w:jc w:val="center"/>
                    <w:rPr>
                      <w:b/>
                      <w:sz w:val="16"/>
                      <w:szCs w:val="16"/>
                    </w:rPr>
                  </w:pPr>
                  <w:r>
                    <w:rPr>
                      <w:b/>
                      <w:sz w:val="16"/>
                      <w:szCs w:val="16"/>
                    </w:rPr>
                    <w:t>QUANT.</w:t>
                  </w:r>
                </w:p>
              </w:tc>
            </w:tr>
            <w:tr w14:paraId="7BC2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78" w:type="pct"/>
                  <w:vAlign w:val="center"/>
                </w:tcPr>
                <w:p w14:paraId="7EDA202D">
                  <w:pPr>
                    <w:jc w:val="center"/>
                    <w:rPr>
                      <w:sz w:val="16"/>
                      <w:szCs w:val="16"/>
                    </w:rPr>
                  </w:pPr>
                  <w:r>
                    <w:rPr>
                      <w:color w:val="000000"/>
                      <w:sz w:val="16"/>
                      <w:szCs w:val="16"/>
                    </w:rPr>
                    <w:t>1</w:t>
                  </w:r>
                </w:p>
              </w:tc>
              <w:tc>
                <w:tcPr>
                  <w:tcW w:w="3030" w:type="pct"/>
                  <w:vAlign w:val="center"/>
                </w:tcPr>
                <w:p w14:paraId="1111630D">
                  <w:pPr>
                    <w:pStyle w:val="80"/>
                    <w:tabs>
                      <w:tab w:val="left" w:pos="2330"/>
                    </w:tabs>
                    <w:ind w:right="59"/>
                    <w:jc w:val="both"/>
                    <w:rPr>
                      <w:sz w:val="16"/>
                      <w:szCs w:val="16"/>
                    </w:rPr>
                  </w:pPr>
                  <w:r>
                    <w:rPr>
                      <w:color w:val="000000"/>
                      <w:sz w:val="16"/>
                      <w:szCs w:val="16"/>
                    </w:rPr>
                    <w:t>AMBROXOL, COMPOSIÇÃO SAL CLORIDRATO, CONCENTRAÇÃO 3 MG/ML, APLICAÇÃO XAROPE INFANTIL, FRASCO COM 120 ML.</w:t>
                  </w:r>
                </w:p>
              </w:tc>
              <w:tc>
                <w:tcPr>
                  <w:tcW w:w="965" w:type="pct"/>
                  <w:vAlign w:val="center"/>
                </w:tcPr>
                <w:p w14:paraId="63119135">
                  <w:pPr>
                    <w:pStyle w:val="80"/>
                    <w:ind w:left="50" w:right="35"/>
                    <w:rPr>
                      <w:sz w:val="16"/>
                      <w:szCs w:val="16"/>
                    </w:rPr>
                  </w:pPr>
                  <w:r>
                    <w:rPr>
                      <w:color w:val="000000"/>
                      <w:sz w:val="16"/>
                      <w:szCs w:val="16"/>
                    </w:rPr>
                    <w:t>FRASCO</w:t>
                  </w:r>
                </w:p>
              </w:tc>
              <w:tc>
                <w:tcPr>
                  <w:tcW w:w="527" w:type="pct"/>
                  <w:vAlign w:val="center"/>
                </w:tcPr>
                <w:p w14:paraId="33FC93E4">
                  <w:pPr>
                    <w:pStyle w:val="80"/>
                    <w:ind w:left="50" w:right="35"/>
                    <w:rPr>
                      <w:sz w:val="16"/>
                      <w:szCs w:val="16"/>
                    </w:rPr>
                  </w:pPr>
                  <w:r>
                    <w:rPr>
                      <w:color w:val="000000"/>
                      <w:sz w:val="16"/>
                      <w:szCs w:val="16"/>
                    </w:rPr>
                    <w:t>500</w:t>
                  </w:r>
                </w:p>
              </w:tc>
            </w:tr>
            <w:tr w14:paraId="32E2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6DAC0527">
                  <w:pPr>
                    <w:jc w:val="center"/>
                    <w:rPr>
                      <w:sz w:val="16"/>
                      <w:szCs w:val="16"/>
                    </w:rPr>
                  </w:pPr>
                  <w:r>
                    <w:rPr>
                      <w:color w:val="000000"/>
                      <w:sz w:val="16"/>
                      <w:szCs w:val="16"/>
                    </w:rPr>
                    <w:t>2</w:t>
                  </w:r>
                </w:p>
              </w:tc>
              <w:tc>
                <w:tcPr>
                  <w:tcW w:w="3030" w:type="pct"/>
                  <w:vAlign w:val="center"/>
                </w:tcPr>
                <w:p w14:paraId="7B4E8F4B">
                  <w:pPr>
                    <w:pStyle w:val="80"/>
                    <w:spacing w:line="237" w:lineRule="auto"/>
                    <w:ind w:right="56"/>
                    <w:jc w:val="both"/>
                    <w:rPr>
                      <w:sz w:val="16"/>
                      <w:szCs w:val="16"/>
                    </w:rPr>
                  </w:pPr>
                  <w:r>
                    <w:rPr>
                      <w:color w:val="000000"/>
                      <w:sz w:val="16"/>
                      <w:szCs w:val="16"/>
                    </w:rPr>
                    <w:t>AMOXICILINA, CONCENTRAÇÃO 250MG, FRASCO COM 150 ML.</w:t>
                  </w:r>
                </w:p>
              </w:tc>
              <w:tc>
                <w:tcPr>
                  <w:tcW w:w="965" w:type="pct"/>
                  <w:vAlign w:val="center"/>
                </w:tcPr>
                <w:p w14:paraId="0FDC2044">
                  <w:pPr>
                    <w:pStyle w:val="80"/>
                    <w:ind w:left="50" w:right="35"/>
                    <w:rPr>
                      <w:sz w:val="16"/>
                      <w:szCs w:val="16"/>
                    </w:rPr>
                  </w:pPr>
                  <w:r>
                    <w:rPr>
                      <w:color w:val="000000"/>
                      <w:sz w:val="16"/>
                      <w:szCs w:val="16"/>
                    </w:rPr>
                    <w:t>FRASCO</w:t>
                  </w:r>
                </w:p>
              </w:tc>
              <w:tc>
                <w:tcPr>
                  <w:tcW w:w="527" w:type="pct"/>
                  <w:vAlign w:val="center"/>
                </w:tcPr>
                <w:p w14:paraId="0ACE9976">
                  <w:pPr>
                    <w:pStyle w:val="80"/>
                    <w:ind w:left="50" w:right="35"/>
                    <w:rPr>
                      <w:sz w:val="16"/>
                      <w:szCs w:val="16"/>
                    </w:rPr>
                  </w:pPr>
                  <w:r>
                    <w:rPr>
                      <w:color w:val="000000"/>
                      <w:sz w:val="16"/>
                      <w:szCs w:val="16"/>
                    </w:rPr>
                    <w:t>200</w:t>
                  </w:r>
                </w:p>
              </w:tc>
            </w:tr>
            <w:tr w14:paraId="644E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23FFC3F1">
                  <w:pPr>
                    <w:jc w:val="center"/>
                    <w:rPr>
                      <w:sz w:val="16"/>
                      <w:szCs w:val="16"/>
                    </w:rPr>
                  </w:pPr>
                  <w:r>
                    <w:rPr>
                      <w:color w:val="000000"/>
                      <w:sz w:val="16"/>
                      <w:szCs w:val="16"/>
                    </w:rPr>
                    <w:t>3</w:t>
                  </w:r>
                </w:p>
              </w:tc>
              <w:tc>
                <w:tcPr>
                  <w:tcW w:w="3030" w:type="pct"/>
                  <w:vAlign w:val="center"/>
                </w:tcPr>
                <w:p w14:paraId="260CBA16">
                  <w:pPr>
                    <w:jc w:val="both"/>
                    <w:rPr>
                      <w:color w:val="000000"/>
                      <w:sz w:val="16"/>
                      <w:szCs w:val="16"/>
                    </w:rPr>
                  </w:pPr>
                  <w:r>
                    <w:rPr>
                      <w:color w:val="000000"/>
                      <w:sz w:val="16"/>
                      <w:szCs w:val="16"/>
                    </w:rPr>
                    <w:t>AMPICILINA, DOSAGEM 1 G, TIPO USO INJETÁVEL.</w:t>
                  </w:r>
                </w:p>
              </w:tc>
              <w:tc>
                <w:tcPr>
                  <w:tcW w:w="965" w:type="pct"/>
                  <w:vAlign w:val="center"/>
                </w:tcPr>
                <w:p w14:paraId="514BA70C">
                  <w:pPr>
                    <w:pStyle w:val="80"/>
                    <w:ind w:left="54" w:right="34"/>
                    <w:rPr>
                      <w:sz w:val="16"/>
                      <w:szCs w:val="16"/>
                    </w:rPr>
                  </w:pPr>
                  <w:r>
                    <w:rPr>
                      <w:color w:val="000000"/>
                      <w:sz w:val="16"/>
                      <w:szCs w:val="16"/>
                    </w:rPr>
                    <w:t>FRASCO</w:t>
                  </w:r>
                </w:p>
              </w:tc>
              <w:tc>
                <w:tcPr>
                  <w:tcW w:w="527" w:type="pct"/>
                  <w:vAlign w:val="center"/>
                </w:tcPr>
                <w:p w14:paraId="5E545505">
                  <w:pPr>
                    <w:pStyle w:val="80"/>
                    <w:ind w:left="54" w:right="34"/>
                    <w:rPr>
                      <w:sz w:val="16"/>
                      <w:szCs w:val="16"/>
                    </w:rPr>
                  </w:pPr>
                  <w:r>
                    <w:rPr>
                      <w:color w:val="000000"/>
                      <w:sz w:val="16"/>
                      <w:szCs w:val="16"/>
                    </w:rPr>
                    <w:t>2000</w:t>
                  </w:r>
                </w:p>
              </w:tc>
            </w:tr>
            <w:tr w14:paraId="3CA9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320F0D57">
                  <w:pPr>
                    <w:jc w:val="center"/>
                    <w:rPr>
                      <w:sz w:val="16"/>
                      <w:szCs w:val="16"/>
                    </w:rPr>
                  </w:pPr>
                  <w:r>
                    <w:rPr>
                      <w:color w:val="000000"/>
                      <w:sz w:val="16"/>
                      <w:szCs w:val="16"/>
                    </w:rPr>
                    <w:t>4</w:t>
                  </w:r>
                </w:p>
              </w:tc>
              <w:tc>
                <w:tcPr>
                  <w:tcW w:w="3030" w:type="pct"/>
                  <w:vAlign w:val="center"/>
                </w:tcPr>
                <w:p w14:paraId="067FA3F1">
                  <w:pPr>
                    <w:pStyle w:val="80"/>
                    <w:tabs>
                      <w:tab w:val="left" w:pos="1167"/>
                      <w:tab w:val="left" w:pos="2506"/>
                    </w:tabs>
                    <w:spacing w:line="226" w:lineRule="exact"/>
                    <w:ind w:right="62"/>
                    <w:jc w:val="both"/>
                    <w:rPr>
                      <w:sz w:val="16"/>
                      <w:szCs w:val="16"/>
                    </w:rPr>
                  </w:pPr>
                  <w:r>
                    <w:rPr>
                      <w:color w:val="000000"/>
                      <w:sz w:val="16"/>
                      <w:szCs w:val="16"/>
                    </w:rPr>
                    <w:t>ATENOLOL 25 MG.</w:t>
                  </w:r>
                </w:p>
              </w:tc>
              <w:tc>
                <w:tcPr>
                  <w:tcW w:w="965" w:type="pct"/>
                  <w:vAlign w:val="center"/>
                </w:tcPr>
                <w:p w14:paraId="69C10627">
                  <w:pPr>
                    <w:pStyle w:val="80"/>
                    <w:ind w:left="54" w:right="34"/>
                    <w:rPr>
                      <w:sz w:val="16"/>
                      <w:szCs w:val="16"/>
                    </w:rPr>
                  </w:pPr>
                  <w:r>
                    <w:rPr>
                      <w:color w:val="000000"/>
                      <w:sz w:val="16"/>
                      <w:szCs w:val="16"/>
                    </w:rPr>
                    <w:t>COMPRIMIDO</w:t>
                  </w:r>
                </w:p>
              </w:tc>
              <w:tc>
                <w:tcPr>
                  <w:tcW w:w="527" w:type="pct"/>
                  <w:vAlign w:val="center"/>
                </w:tcPr>
                <w:p w14:paraId="2D15E973">
                  <w:pPr>
                    <w:pStyle w:val="80"/>
                    <w:ind w:left="54" w:right="34"/>
                    <w:rPr>
                      <w:sz w:val="16"/>
                      <w:szCs w:val="16"/>
                    </w:rPr>
                  </w:pPr>
                  <w:r>
                    <w:rPr>
                      <w:color w:val="000000"/>
                      <w:sz w:val="16"/>
                      <w:szCs w:val="16"/>
                    </w:rPr>
                    <w:t>2000</w:t>
                  </w:r>
                </w:p>
              </w:tc>
            </w:tr>
            <w:tr w14:paraId="6638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78" w:type="pct"/>
                  <w:vAlign w:val="center"/>
                </w:tcPr>
                <w:p w14:paraId="548906AB">
                  <w:pPr>
                    <w:jc w:val="center"/>
                    <w:rPr>
                      <w:sz w:val="16"/>
                      <w:szCs w:val="16"/>
                    </w:rPr>
                  </w:pPr>
                  <w:r>
                    <w:rPr>
                      <w:color w:val="000000"/>
                      <w:sz w:val="16"/>
                      <w:szCs w:val="16"/>
                    </w:rPr>
                    <w:t>5</w:t>
                  </w:r>
                </w:p>
              </w:tc>
              <w:tc>
                <w:tcPr>
                  <w:tcW w:w="3030" w:type="pct"/>
                  <w:vAlign w:val="center"/>
                </w:tcPr>
                <w:p w14:paraId="27D1A531">
                  <w:pPr>
                    <w:pStyle w:val="80"/>
                    <w:tabs>
                      <w:tab w:val="left" w:pos="1167"/>
                      <w:tab w:val="left" w:pos="2506"/>
                    </w:tabs>
                    <w:spacing w:line="230" w:lineRule="atLeast"/>
                    <w:ind w:right="62"/>
                    <w:jc w:val="both"/>
                    <w:rPr>
                      <w:sz w:val="16"/>
                      <w:szCs w:val="16"/>
                    </w:rPr>
                  </w:pPr>
                  <w:r>
                    <w:rPr>
                      <w:color w:val="000000"/>
                      <w:sz w:val="16"/>
                      <w:szCs w:val="16"/>
                    </w:rPr>
                    <w:t>ATROVENT (IPRATRÓPIO BROMETO), DOSAGEM 0,25 MG/ML, USO SOLUÇÃO PARA INALAÇÃO, FRASCO COM 20 ML.</w:t>
                  </w:r>
                </w:p>
              </w:tc>
              <w:tc>
                <w:tcPr>
                  <w:tcW w:w="965" w:type="pct"/>
                  <w:vAlign w:val="center"/>
                </w:tcPr>
                <w:p w14:paraId="30BAFED3">
                  <w:pPr>
                    <w:pStyle w:val="80"/>
                    <w:ind w:left="54" w:right="34"/>
                    <w:rPr>
                      <w:sz w:val="16"/>
                      <w:szCs w:val="16"/>
                    </w:rPr>
                  </w:pPr>
                  <w:r>
                    <w:rPr>
                      <w:color w:val="000000"/>
                      <w:sz w:val="16"/>
                      <w:szCs w:val="16"/>
                    </w:rPr>
                    <w:t>FRASCO</w:t>
                  </w:r>
                </w:p>
              </w:tc>
              <w:tc>
                <w:tcPr>
                  <w:tcW w:w="527" w:type="pct"/>
                  <w:vAlign w:val="center"/>
                </w:tcPr>
                <w:p w14:paraId="10CEBD12">
                  <w:pPr>
                    <w:pStyle w:val="80"/>
                    <w:ind w:left="54" w:right="34"/>
                    <w:rPr>
                      <w:sz w:val="16"/>
                      <w:szCs w:val="16"/>
                    </w:rPr>
                  </w:pPr>
                  <w:r>
                    <w:rPr>
                      <w:color w:val="000000"/>
                      <w:sz w:val="16"/>
                      <w:szCs w:val="16"/>
                    </w:rPr>
                    <w:t>250</w:t>
                  </w:r>
                </w:p>
              </w:tc>
            </w:tr>
            <w:tr w14:paraId="07B5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119347E2">
                  <w:pPr>
                    <w:jc w:val="center"/>
                    <w:rPr>
                      <w:sz w:val="16"/>
                      <w:szCs w:val="16"/>
                    </w:rPr>
                  </w:pPr>
                  <w:r>
                    <w:rPr>
                      <w:color w:val="000000"/>
                      <w:sz w:val="16"/>
                      <w:szCs w:val="16"/>
                    </w:rPr>
                    <w:t>6</w:t>
                  </w:r>
                </w:p>
              </w:tc>
              <w:tc>
                <w:tcPr>
                  <w:tcW w:w="3030" w:type="pct"/>
                  <w:vAlign w:val="center"/>
                </w:tcPr>
                <w:p w14:paraId="5A397035">
                  <w:pPr>
                    <w:pStyle w:val="80"/>
                    <w:spacing w:line="230" w:lineRule="atLeast"/>
                    <w:ind w:right="47"/>
                    <w:jc w:val="both"/>
                    <w:rPr>
                      <w:sz w:val="16"/>
                      <w:szCs w:val="16"/>
                    </w:rPr>
                  </w:pPr>
                  <w:r>
                    <w:rPr>
                      <w:color w:val="000000"/>
                      <w:sz w:val="16"/>
                      <w:szCs w:val="16"/>
                    </w:rPr>
                    <w:t>BISSULFATO DE CLOPIDOGREL 75 MG.</w:t>
                  </w:r>
                </w:p>
              </w:tc>
              <w:tc>
                <w:tcPr>
                  <w:tcW w:w="965" w:type="pct"/>
                  <w:vAlign w:val="center"/>
                </w:tcPr>
                <w:p w14:paraId="6892898D">
                  <w:pPr>
                    <w:pStyle w:val="80"/>
                    <w:ind w:left="54" w:right="34"/>
                    <w:rPr>
                      <w:sz w:val="16"/>
                      <w:szCs w:val="16"/>
                    </w:rPr>
                  </w:pPr>
                  <w:r>
                    <w:rPr>
                      <w:color w:val="000000"/>
                      <w:sz w:val="16"/>
                      <w:szCs w:val="16"/>
                    </w:rPr>
                    <w:t>COMPRIMIDO</w:t>
                  </w:r>
                </w:p>
              </w:tc>
              <w:tc>
                <w:tcPr>
                  <w:tcW w:w="527" w:type="pct"/>
                  <w:vAlign w:val="center"/>
                </w:tcPr>
                <w:p w14:paraId="58B3E06E">
                  <w:pPr>
                    <w:pStyle w:val="80"/>
                    <w:ind w:left="54" w:right="34"/>
                    <w:rPr>
                      <w:sz w:val="16"/>
                      <w:szCs w:val="16"/>
                    </w:rPr>
                  </w:pPr>
                  <w:r>
                    <w:rPr>
                      <w:color w:val="000000"/>
                      <w:sz w:val="16"/>
                      <w:szCs w:val="16"/>
                    </w:rPr>
                    <w:t>1080</w:t>
                  </w:r>
                </w:p>
              </w:tc>
            </w:tr>
            <w:tr w14:paraId="1CC2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6284DA33">
                  <w:pPr>
                    <w:jc w:val="center"/>
                    <w:rPr>
                      <w:sz w:val="16"/>
                      <w:szCs w:val="16"/>
                    </w:rPr>
                  </w:pPr>
                  <w:r>
                    <w:rPr>
                      <w:color w:val="000000"/>
                      <w:sz w:val="16"/>
                      <w:szCs w:val="16"/>
                    </w:rPr>
                    <w:t>7</w:t>
                  </w:r>
                </w:p>
              </w:tc>
              <w:tc>
                <w:tcPr>
                  <w:tcW w:w="3030" w:type="pct"/>
                  <w:vAlign w:val="center"/>
                </w:tcPr>
                <w:p w14:paraId="1DB3D383">
                  <w:pPr>
                    <w:pStyle w:val="80"/>
                    <w:spacing w:line="210" w:lineRule="exact"/>
                    <w:jc w:val="both"/>
                    <w:rPr>
                      <w:sz w:val="16"/>
                      <w:szCs w:val="16"/>
                    </w:rPr>
                  </w:pPr>
                  <w:r>
                    <w:rPr>
                      <w:color w:val="000000"/>
                      <w:sz w:val="16"/>
                      <w:szCs w:val="16"/>
                    </w:rPr>
                    <w:t>BROMOPRIDA, DOSAGEM 5 MG/ML, APRESENTAÇÃO INJETÁVEL, AMPOLA COM 2 ML.</w:t>
                  </w:r>
                </w:p>
              </w:tc>
              <w:tc>
                <w:tcPr>
                  <w:tcW w:w="965" w:type="pct"/>
                  <w:vAlign w:val="center"/>
                </w:tcPr>
                <w:p w14:paraId="16C5FB2B">
                  <w:pPr>
                    <w:pStyle w:val="80"/>
                    <w:spacing w:line="210" w:lineRule="exact"/>
                    <w:ind w:left="54" w:right="34"/>
                    <w:rPr>
                      <w:sz w:val="16"/>
                      <w:szCs w:val="16"/>
                    </w:rPr>
                  </w:pPr>
                  <w:r>
                    <w:rPr>
                      <w:color w:val="000000"/>
                      <w:sz w:val="16"/>
                      <w:szCs w:val="16"/>
                    </w:rPr>
                    <w:t>AMPOLA</w:t>
                  </w:r>
                </w:p>
              </w:tc>
              <w:tc>
                <w:tcPr>
                  <w:tcW w:w="527" w:type="pct"/>
                  <w:vAlign w:val="center"/>
                </w:tcPr>
                <w:p w14:paraId="44416B66">
                  <w:pPr>
                    <w:pStyle w:val="80"/>
                    <w:spacing w:line="210" w:lineRule="exact"/>
                    <w:ind w:left="54" w:right="34"/>
                    <w:rPr>
                      <w:sz w:val="16"/>
                      <w:szCs w:val="16"/>
                    </w:rPr>
                  </w:pPr>
                  <w:r>
                    <w:rPr>
                      <w:color w:val="000000"/>
                      <w:sz w:val="16"/>
                      <w:szCs w:val="16"/>
                    </w:rPr>
                    <w:t>5000</w:t>
                  </w:r>
                </w:p>
              </w:tc>
            </w:tr>
            <w:tr w14:paraId="0DBA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5B67AD7F">
                  <w:pPr>
                    <w:jc w:val="center"/>
                    <w:rPr>
                      <w:sz w:val="16"/>
                      <w:szCs w:val="16"/>
                    </w:rPr>
                  </w:pPr>
                  <w:r>
                    <w:rPr>
                      <w:color w:val="000000"/>
                      <w:sz w:val="16"/>
                      <w:szCs w:val="16"/>
                    </w:rPr>
                    <w:t>8</w:t>
                  </w:r>
                </w:p>
              </w:tc>
              <w:tc>
                <w:tcPr>
                  <w:tcW w:w="3030" w:type="pct"/>
                  <w:vAlign w:val="center"/>
                </w:tcPr>
                <w:p w14:paraId="3377D726">
                  <w:pPr>
                    <w:pStyle w:val="80"/>
                    <w:spacing w:line="230" w:lineRule="atLeast"/>
                    <w:jc w:val="both"/>
                    <w:rPr>
                      <w:sz w:val="16"/>
                      <w:szCs w:val="16"/>
                    </w:rPr>
                  </w:pPr>
                  <w:r>
                    <w:rPr>
                      <w:color w:val="000000"/>
                      <w:sz w:val="16"/>
                      <w:szCs w:val="16"/>
                    </w:rPr>
                    <w:t>CETAMINA CLORIDRATO (KETALAR), DOSAGEM 50 MG/ML, APLICAÇÃO SOLUÇÃO INJETÁVEL, FRASCO 10 ML.</w:t>
                  </w:r>
                </w:p>
              </w:tc>
              <w:tc>
                <w:tcPr>
                  <w:tcW w:w="965" w:type="pct"/>
                  <w:vAlign w:val="center"/>
                </w:tcPr>
                <w:p w14:paraId="1785A9DE">
                  <w:pPr>
                    <w:pStyle w:val="80"/>
                    <w:ind w:left="54" w:right="34"/>
                    <w:rPr>
                      <w:sz w:val="16"/>
                      <w:szCs w:val="16"/>
                    </w:rPr>
                  </w:pPr>
                  <w:r>
                    <w:rPr>
                      <w:color w:val="000000"/>
                      <w:sz w:val="16"/>
                      <w:szCs w:val="16"/>
                    </w:rPr>
                    <w:t>FRASCO</w:t>
                  </w:r>
                </w:p>
              </w:tc>
              <w:tc>
                <w:tcPr>
                  <w:tcW w:w="527" w:type="pct"/>
                  <w:vAlign w:val="center"/>
                </w:tcPr>
                <w:p w14:paraId="7DD2740C">
                  <w:pPr>
                    <w:pStyle w:val="80"/>
                    <w:ind w:left="54" w:right="34"/>
                    <w:rPr>
                      <w:sz w:val="16"/>
                      <w:szCs w:val="16"/>
                    </w:rPr>
                  </w:pPr>
                  <w:r>
                    <w:rPr>
                      <w:color w:val="000000"/>
                      <w:sz w:val="16"/>
                      <w:szCs w:val="16"/>
                    </w:rPr>
                    <w:t>150</w:t>
                  </w:r>
                </w:p>
              </w:tc>
            </w:tr>
            <w:tr w14:paraId="6175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78" w:type="pct"/>
                  <w:vAlign w:val="center"/>
                </w:tcPr>
                <w:p w14:paraId="59CADD8A">
                  <w:pPr>
                    <w:jc w:val="center"/>
                    <w:rPr>
                      <w:sz w:val="16"/>
                      <w:szCs w:val="16"/>
                    </w:rPr>
                  </w:pPr>
                  <w:r>
                    <w:rPr>
                      <w:color w:val="000000"/>
                      <w:sz w:val="16"/>
                      <w:szCs w:val="16"/>
                    </w:rPr>
                    <w:t>9</w:t>
                  </w:r>
                </w:p>
              </w:tc>
              <w:tc>
                <w:tcPr>
                  <w:tcW w:w="3030" w:type="pct"/>
                  <w:vAlign w:val="center"/>
                </w:tcPr>
                <w:p w14:paraId="56A1EB45">
                  <w:pPr>
                    <w:pStyle w:val="80"/>
                    <w:spacing w:line="230" w:lineRule="exact"/>
                    <w:jc w:val="both"/>
                    <w:rPr>
                      <w:sz w:val="16"/>
                      <w:szCs w:val="16"/>
                    </w:rPr>
                  </w:pPr>
                  <w:r>
                    <w:rPr>
                      <w:color w:val="000000"/>
                      <w:sz w:val="16"/>
                      <w:szCs w:val="16"/>
                    </w:rPr>
                    <w:t>CETOPROFENO DE 50MG/ML, AMPOLA DE 2ML.</w:t>
                  </w:r>
                </w:p>
              </w:tc>
              <w:tc>
                <w:tcPr>
                  <w:tcW w:w="965" w:type="pct"/>
                  <w:vAlign w:val="center"/>
                </w:tcPr>
                <w:p w14:paraId="1CCBA4BD">
                  <w:pPr>
                    <w:pStyle w:val="80"/>
                    <w:ind w:left="54" w:right="34"/>
                    <w:rPr>
                      <w:sz w:val="16"/>
                      <w:szCs w:val="16"/>
                    </w:rPr>
                  </w:pPr>
                  <w:r>
                    <w:rPr>
                      <w:color w:val="000000"/>
                      <w:sz w:val="16"/>
                      <w:szCs w:val="16"/>
                    </w:rPr>
                    <w:t>AMPOLA</w:t>
                  </w:r>
                </w:p>
              </w:tc>
              <w:tc>
                <w:tcPr>
                  <w:tcW w:w="527" w:type="pct"/>
                  <w:vAlign w:val="center"/>
                </w:tcPr>
                <w:p w14:paraId="4B7BA500">
                  <w:pPr>
                    <w:pStyle w:val="80"/>
                    <w:ind w:left="54" w:right="34"/>
                    <w:rPr>
                      <w:sz w:val="16"/>
                      <w:szCs w:val="16"/>
                    </w:rPr>
                  </w:pPr>
                  <w:r>
                    <w:rPr>
                      <w:color w:val="000000"/>
                      <w:sz w:val="16"/>
                      <w:szCs w:val="16"/>
                    </w:rPr>
                    <w:t>4500</w:t>
                  </w:r>
                </w:p>
              </w:tc>
            </w:tr>
            <w:tr w14:paraId="155A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78" w:type="pct"/>
                  <w:vAlign w:val="center"/>
                </w:tcPr>
                <w:p w14:paraId="7FAB637F">
                  <w:pPr>
                    <w:jc w:val="center"/>
                    <w:rPr>
                      <w:sz w:val="16"/>
                      <w:szCs w:val="16"/>
                    </w:rPr>
                  </w:pPr>
                  <w:r>
                    <w:rPr>
                      <w:color w:val="000000"/>
                      <w:sz w:val="16"/>
                      <w:szCs w:val="16"/>
                    </w:rPr>
                    <w:t>10</w:t>
                  </w:r>
                </w:p>
              </w:tc>
              <w:tc>
                <w:tcPr>
                  <w:tcW w:w="3030" w:type="pct"/>
                  <w:vAlign w:val="center"/>
                </w:tcPr>
                <w:p w14:paraId="6D1503AF">
                  <w:pPr>
                    <w:pStyle w:val="80"/>
                    <w:spacing w:line="210" w:lineRule="exact"/>
                    <w:jc w:val="both"/>
                    <w:rPr>
                      <w:sz w:val="16"/>
                      <w:szCs w:val="16"/>
                    </w:rPr>
                  </w:pPr>
                  <w:r>
                    <w:rPr>
                      <w:color w:val="000000"/>
                      <w:sz w:val="16"/>
                      <w:szCs w:val="16"/>
                    </w:rPr>
                    <w:t>CETOPROFENO DE 100MG, PÓ LIOFILO P/INJ.</w:t>
                  </w:r>
                </w:p>
              </w:tc>
              <w:tc>
                <w:tcPr>
                  <w:tcW w:w="965" w:type="pct"/>
                  <w:vAlign w:val="center"/>
                </w:tcPr>
                <w:p w14:paraId="5A3B36DA">
                  <w:pPr>
                    <w:pStyle w:val="80"/>
                    <w:spacing w:line="210" w:lineRule="exact"/>
                    <w:ind w:left="54" w:right="34"/>
                    <w:rPr>
                      <w:sz w:val="16"/>
                      <w:szCs w:val="16"/>
                    </w:rPr>
                  </w:pPr>
                  <w:r>
                    <w:rPr>
                      <w:color w:val="000000"/>
                      <w:sz w:val="16"/>
                      <w:szCs w:val="16"/>
                    </w:rPr>
                    <w:t>AMPOLA</w:t>
                  </w:r>
                </w:p>
              </w:tc>
              <w:tc>
                <w:tcPr>
                  <w:tcW w:w="527" w:type="pct"/>
                  <w:vAlign w:val="center"/>
                </w:tcPr>
                <w:p w14:paraId="2CB420CA">
                  <w:pPr>
                    <w:pStyle w:val="80"/>
                    <w:spacing w:line="210" w:lineRule="exact"/>
                    <w:ind w:left="54" w:right="34"/>
                    <w:rPr>
                      <w:sz w:val="16"/>
                      <w:szCs w:val="16"/>
                    </w:rPr>
                  </w:pPr>
                  <w:r>
                    <w:rPr>
                      <w:color w:val="000000"/>
                      <w:sz w:val="16"/>
                      <w:szCs w:val="16"/>
                    </w:rPr>
                    <w:t>8000</w:t>
                  </w:r>
                </w:p>
              </w:tc>
            </w:tr>
            <w:tr w14:paraId="5920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51984B38">
                  <w:pPr>
                    <w:jc w:val="center"/>
                    <w:rPr>
                      <w:sz w:val="16"/>
                      <w:szCs w:val="16"/>
                    </w:rPr>
                  </w:pPr>
                  <w:r>
                    <w:rPr>
                      <w:color w:val="000000"/>
                      <w:sz w:val="16"/>
                      <w:szCs w:val="16"/>
                    </w:rPr>
                    <w:t>11</w:t>
                  </w:r>
                </w:p>
              </w:tc>
              <w:tc>
                <w:tcPr>
                  <w:tcW w:w="3030" w:type="pct"/>
                  <w:vAlign w:val="center"/>
                </w:tcPr>
                <w:p w14:paraId="5A8A8CB1">
                  <w:pPr>
                    <w:pStyle w:val="80"/>
                    <w:spacing w:line="210" w:lineRule="exact"/>
                    <w:jc w:val="both"/>
                    <w:rPr>
                      <w:sz w:val="16"/>
                      <w:szCs w:val="16"/>
                    </w:rPr>
                  </w:pPr>
                  <w:r>
                    <w:rPr>
                      <w:color w:val="000000"/>
                      <w:sz w:val="16"/>
                      <w:szCs w:val="16"/>
                    </w:rPr>
                    <w:t>CIPROFLOXACINO CLORIDRATO, DOSAGEM 2 MG/ML, APRESENTAÇÃO SOLUÇÃO INJETÁVEL, BOLSA DE 100 ML.</w:t>
                  </w:r>
                </w:p>
              </w:tc>
              <w:tc>
                <w:tcPr>
                  <w:tcW w:w="965" w:type="pct"/>
                  <w:vAlign w:val="center"/>
                </w:tcPr>
                <w:p w14:paraId="10444AFB">
                  <w:pPr>
                    <w:pStyle w:val="80"/>
                    <w:spacing w:line="210" w:lineRule="exact"/>
                    <w:ind w:left="54" w:right="34"/>
                    <w:rPr>
                      <w:sz w:val="16"/>
                      <w:szCs w:val="16"/>
                    </w:rPr>
                  </w:pPr>
                  <w:r>
                    <w:rPr>
                      <w:color w:val="000000"/>
                      <w:sz w:val="16"/>
                      <w:szCs w:val="16"/>
                    </w:rPr>
                    <w:t>BOLSA</w:t>
                  </w:r>
                </w:p>
              </w:tc>
              <w:tc>
                <w:tcPr>
                  <w:tcW w:w="527" w:type="pct"/>
                  <w:vAlign w:val="center"/>
                </w:tcPr>
                <w:p w14:paraId="26FD2925">
                  <w:pPr>
                    <w:pStyle w:val="80"/>
                    <w:spacing w:line="210" w:lineRule="exact"/>
                    <w:ind w:left="54" w:right="34"/>
                    <w:rPr>
                      <w:sz w:val="16"/>
                      <w:szCs w:val="16"/>
                    </w:rPr>
                  </w:pPr>
                  <w:r>
                    <w:rPr>
                      <w:color w:val="000000"/>
                      <w:sz w:val="16"/>
                      <w:szCs w:val="16"/>
                    </w:rPr>
                    <w:t>2000</w:t>
                  </w:r>
                </w:p>
              </w:tc>
            </w:tr>
            <w:tr w14:paraId="2237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5309073">
                  <w:pPr>
                    <w:jc w:val="center"/>
                    <w:rPr>
                      <w:sz w:val="16"/>
                      <w:szCs w:val="16"/>
                    </w:rPr>
                  </w:pPr>
                  <w:r>
                    <w:rPr>
                      <w:color w:val="000000"/>
                      <w:sz w:val="16"/>
                      <w:szCs w:val="16"/>
                    </w:rPr>
                    <w:t>12</w:t>
                  </w:r>
                </w:p>
              </w:tc>
              <w:tc>
                <w:tcPr>
                  <w:tcW w:w="3030" w:type="pct"/>
                  <w:vAlign w:val="center"/>
                </w:tcPr>
                <w:p w14:paraId="73227726">
                  <w:pPr>
                    <w:pStyle w:val="80"/>
                    <w:spacing w:line="210" w:lineRule="exact"/>
                    <w:jc w:val="both"/>
                    <w:rPr>
                      <w:sz w:val="16"/>
                      <w:szCs w:val="16"/>
                    </w:rPr>
                  </w:pPr>
                  <w:r>
                    <w:rPr>
                      <w:color w:val="000000"/>
                      <w:sz w:val="16"/>
                      <w:szCs w:val="16"/>
                    </w:rPr>
                    <w:t>DESLANÓSIDO, DOSAGEM 0,2 MG/ML, APRESENTAÇÃO SOLUÇÃO INJETÁVEL, AMPOLA DE 2 ML.</w:t>
                  </w:r>
                </w:p>
              </w:tc>
              <w:tc>
                <w:tcPr>
                  <w:tcW w:w="965" w:type="pct"/>
                  <w:vAlign w:val="center"/>
                </w:tcPr>
                <w:p w14:paraId="0C41D1D0">
                  <w:pPr>
                    <w:pStyle w:val="80"/>
                    <w:spacing w:line="210" w:lineRule="exact"/>
                    <w:ind w:left="54" w:right="34"/>
                    <w:rPr>
                      <w:sz w:val="16"/>
                      <w:szCs w:val="16"/>
                    </w:rPr>
                  </w:pPr>
                  <w:r>
                    <w:rPr>
                      <w:color w:val="000000"/>
                      <w:sz w:val="16"/>
                      <w:szCs w:val="16"/>
                    </w:rPr>
                    <w:t>AMPOLA</w:t>
                  </w:r>
                </w:p>
              </w:tc>
              <w:tc>
                <w:tcPr>
                  <w:tcW w:w="527" w:type="pct"/>
                  <w:vAlign w:val="center"/>
                </w:tcPr>
                <w:p w14:paraId="541AC658">
                  <w:pPr>
                    <w:pStyle w:val="80"/>
                    <w:spacing w:line="210" w:lineRule="exact"/>
                    <w:ind w:left="54" w:right="34"/>
                    <w:rPr>
                      <w:sz w:val="16"/>
                      <w:szCs w:val="16"/>
                    </w:rPr>
                  </w:pPr>
                  <w:r>
                    <w:rPr>
                      <w:color w:val="000000"/>
                      <w:sz w:val="16"/>
                      <w:szCs w:val="16"/>
                    </w:rPr>
                    <w:t>1500</w:t>
                  </w:r>
                </w:p>
              </w:tc>
            </w:tr>
            <w:tr w14:paraId="1742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5810B309">
                  <w:pPr>
                    <w:jc w:val="center"/>
                    <w:rPr>
                      <w:sz w:val="16"/>
                      <w:szCs w:val="16"/>
                    </w:rPr>
                  </w:pPr>
                  <w:r>
                    <w:rPr>
                      <w:color w:val="000000"/>
                      <w:sz w:val="16"/>
                      <w:szCs w:val="16"/>
                    </w:rPr>
                    <w:t>13</w:t>
                  </w:r>
                </w:p>
              </w:tc>
              <w:tc>
                <w:tcPr>
                  <w:tcW w:w="3030" w:type="pct"/>
                  <w:vAlign w:val="center"/>
                </w:tcPr>
                <w:p w14:paraId="13B13863">
                  <w:pPr>
                    <w:pStyle w:val="80"/>
                    <w:spacing w:line="230" w:lineRule="atLeast"/>
                    <w:jc w:val="both"/>
                    <w:rPr>
                      <w:sz w:val="16"/>
                      <w:szCs w:val="16"/>
                    </w:rPr>
                  </w:pPr>
                  <w:r>
                    <w:rPr>
                      <w:color w:val="000000"/>
                      <w:sz w:val="16"/>
                      <w:szCs w:val="16"/>
                    </w:rPr>
                    <w:t>DEXAMETASONA, CONCENTRAÇÃO 2 MG/ML, FORMA FARMACÊUTICA SOLUÇÃO INJETÁVEL, AMPOLA COM 1 ML.</w:t>
                  </w:r>
                </w:p>
              </w:tc>
              <w:tc>
                <w:tcPr>
                  <w:tcW w:w="965" w:type="pct"/>
                  <w:vAlign w:val="center"/>
                </w:tcPr>
                <w:p w14:paraId="10CCF8D2">
                  <w:pPr>
                    <w:pStyle w:val="80"/>
                    <w:ind w:left="54" w:right="34"/>
                    <w:rPr>
                      <w:sz w:val="16"/>
                      <w:szCs w:val="16"/>
                    </w:rPr>
                  </w:pPr>
                  <w:r>
                    <w:rPr>
                      <w:color w:val="000000"/>
                      <w:sz w:val="16"/>
                      <w:szCs w:val="16"/>
                    </w:rPr>
                    <w:t>AMPOLA</w:t>
                  </w:r>
                </w:p>
              </w:tc>
              <w:tc>
                <w:tcPr>
                  <w:tcW w:w="527" w:type="pct"/>
                  <w:vAlign w:val="center"/>
                </w:tcPr>
                <w:p w14:paraId="22725560">
                  <w:pPr>
                    <w:pStyle w:val="80"/>
                    <w:ind w:left="54" w:right="34"/>
                    <w:rPr>
                      <w:sz w:val="16"/>
                      <w:szCs w:val="16"/>
                    </w:rPr>
                  </w:pPr>
                  <w:r>
                    <w:rPr>
                      <w:color w:val="000000"/>
                      <w:sz w:val="16"/>
                      <w:szCs w:val="16"/>
                    </w:rPr>
                    <w:t>4500</w:t>
                  </w:r>
                </w:p>
              </w:tc>
            </w:tr>
            <w:tr w14:paraId="40EB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5B72AA12">
                  <w:pPr>
                    <w:jc w:val="center"/>
                    <w:rPr>
                      <w:sz w:val="16"/>
                      <w:szCs w:val="16"/>
                    </w:rPr>
                  </w:pPr>
                  <w:r>
                    <w:rPr>
                      <w:color w:val="000000"/>
                      <w:sz w:val="16"/>
                      <w:szCs w:val="16"/>
                    </w:rPr>
                    <w:t>14</w:t>
                  </w:r>
                </w:p>
              </w:tc>
              <w:tc>
                <w:tcPr>
                  <w:tcW w:w="3030" w:type="pct"/>
                  <w:vAlign w:val="center"/>
                </w:tcPr>
                <w:p w14:paraId="58F34E14">
                  <w:pPr>
                    <w:pStyle w:val="80"/>
                    <w:spacing w:line="230" w:lineRule="atLeast"/>
                    <w:jc w:val="both"/>
                    <w:rPr>
                      <w:sz w:val="16"/>
                      <w:szCs w:val="16"/>
                    </w:rPr>
                  </w:pPr>
                  <w:r>
                    <w:rPr>
                      <w:color w:val="000000"/>
                      <w:sz w:val="16"/>
                      <w:szCs w:val="16"/>
                    </w:rPr>
                    <w:t>DEXAMETASONA, DOSAGEM 4 MG/ML, FORMA FARMACÊUTICA SOLUÇÃO INJETÁVEL, AMPOLA 2,5ML.</w:t>
                  </w:r>
                </w:p>
              </w:tc>
              <w:tc>
                <w:tcPr>
                  <w:tcW w:w="965" w:type="pct"/>
                  <w:vAlign w:val="center"/>
                </w:tcPr>
                <w:p w14:paraId="0907316E">
                  <w:pPr>
                    <w:pStyle w:val="80"/>
                    <w:ind w:left="54" w:right="34"/>
                    <w:rPr>
                      <w:sz w:val="16"/>
                      <w:szCs w:val="16"/>
                    </w:rPr>
                  </w:pPr>
                  <w:r>
                    <w:rPr>
                      <w:color w:val="000000"/>
                      <w:sz w:val="16"/>
                      <w:szCs w:val="16"/>
                    </w:rPr>
                    <w:t>AMPOLA</w:t>
                  </w:r>
                </w:p>
              </w:tc>
              <w:tc>
                <w:tcPr>
                  <w:tcW w:w="527" w:type="pct"/>
                  <w:vAlign w:val="center"/>
                </w:tcPr>
                <w:p w14:paraId="74000C78">
                  <w:pPr>
                    <w:pStyle w:val="80"/>
                    <w:ind w:left="54" w:right="34"/>
                    <w:rPr>
                      <w:sz w:val="16"/>
                      <w:szCs w:val="16"/>
                    </w:rPr>
                  </w:pPr>
                  <w:r>
                    <w:rPr>
                      <w:color w:val="000000"/>
                      <w:sz w:val="16"/>
                      <w:szCs w:val="16"/>
                    </w:rPr>
                    <w:t>15000</w:t>
                  </w:r>
                </w:p>
              </w:tc>
            </w:tr>
            <w:tr w14:paraId="4676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78" w:type="pct"/>
                  <w:vAlign w:val="center"/>
                </w:tcPr>
                <w:p w14:paraId="1D9CF56A">
                  <w:pPr>
                    <w:jc w:val="center"/>
                    <w:rPr>
                      <w:sz w:val="16"/>
                      <w:szCs w:val="16"/>
                    </w:rPr>
                  </w:pPr>
                  <w:r>
                    <w:rPr>
                      <w:color w:val="000000"/>
                      <w:sz w:val="16"/>
                      <w:szCs w:val="16"/>
                    </w:rPr>
                    <w:t>15</w:t>
                  </w:r>
                </w:p>
              </w:tc>
              <w:tc>
                <w:tcPr>
                  <w:tcW w:w="3030" w:type="pct"/>
                  <w:vAlign w:val="center"/>
                </w:tcPr>
                <w:p w14:paraId="297FB52E">
                  <w:pPr>
                    <w:pStyle w:val="80"/>
                    <w:spacing w:line="230" w:lineRule="atLeast"/>
                    <w:jc w:val="both"/>
                    <w:rPr>
                      <w:sz w:val="16"/>
                      <w:szCs w:val="16"/>
                    </w:rPr>
                  </w:pPr>
                  <w:r>
                    <w:rPr>
                      <w:color w:val="000000"/>
                      <w:sz w:val="16"/>
                      <w:szCs w:val="16"/>
                    </w:rPr>
                    <w:t>DICLOFENACO, COMPOSIÇÃO SAL RESINATO, CONCENTRAÇÃO 15 MG/ML, FORMA FARMACÊUTICA SUSPENSÃO ORAL - GOTAS, FRASCO DE 20 ML.</w:t>
                  </w:r>
                </w:p>
              </w:tc>
              <w:tc>
                <w:tcPr>
                  <w:tcW w:w="965" w:type="pct"/>
                  <w:vAlign w:val="center"/>
                </w:tcPr>
                <w:p w14:paraId="23567F1A">
                  <w:pPr>
                    <w:pStyle w:val="80"/>
                    <w:ind w:left="54" w:right="34"/>
                    <w:rPr>
                      <w:sz w:val="16"/>
                      <w:szCs w:val="16"/>
                    </w:rPr>
                  </w:pPr>
                  <w:r>
                    <w:rPr>
                      <w:color w:val="000000"/>
                      <w:sz w:val="16"/>
                      <w:szCs w:val="16"/>
                    </w:rPr>
                    <w:t>FRASCO</w:t>
                  </w:r>
                </w:p>
              </w:tc>
              <w:tc>
                <w:tcPr>
                  <w:tcW w:w="527" w:type="pct"/>
                  <w:vAlign w:val="center"/>
                </w:tcPr>
                <w:p w14:paraId="4856D6AC">
                  <w:pPr>
                    <w:pStyle w:val="80"/>
                    <w:ind w:left="54" w:right="34"/>
                    <w:rPr>
                      <w:sz w:val="16"/>
                      <w:szCs w:val="16"/>
                    </w:rPr>
                  </w:pPr>
                  <w:r>
                    <w:rPr>
                      <w:color w:val="000000"/>
                      <w:sz w:val="16"/>
                      <w:szCs w:val="16"/>
                    </w:rPr>
                    <w:t>200</w:t>
                  </w:r>
                </w:p>
              </w:tc>
            </w:tr>
            <w:tr w14:paraId="0A87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3F10023">
                  <w:pPr>
                    <w:jc w:val="center"/>
                    <w:rPr>
                      <w:sz w:val="16"/>
                      <w:szCs w:val="16"/>
                    </w:rPr>
                  </w:pPr>
                  <w:r>
                    <w:rPr>
                      <w:color w:val="000000"/>
                      <w:sz w:val="16"/>
                      <w:szCs w:val="16"/>
                    </w:rPr>
                    <w:t>16</w:t>
                  </w:r>
                </w:p>
              </w:tc>
              <w:tc>
                <w:tcPr>
                  <w:tcW w:w="3030" w:type="pct"/>
                  <w:vAlign w:val="center"/>
                </w:tcPr>
                <w:p w14:paraId="0F9F1F9A">
                  <w:pPr>
                    <w:pStyle w:val="80"/>
                    <w:spacing w:line="230" w:lineRule="atLeast"/>
                    <w:jc w:val="both"/>
                    <w:rPr>
                      <w:sz w:val="16"/>
                      <w:szCs w:val="16"/>
                    </w:rPr>
                  </w:pPr>
                  <w:r>
                    <w:rPr>
                      <w:color w:val="000000"/>
                      <w:sz w:val="16"/>
                      <w:szCs w:val="16"/>
                    </w:rPr>
                    <w:t>DIMETICONA, CONCENTRAÇÃO 75 MG/ML, FORMA FARMACEUTICA EMULSÃO ORAL- GOTAS, FRASCO DE 10 ML.</w:t>
                  </w:r>
                </w:p>
              </w:tc>
              <w:tc>
                <w:tcPr>
                  <w:tcW w:w="965" w:type="pct"/>
                  <w:vAlign w:val="center"/>
                </w:tcPr>
                <w:p w14:paraId="668C0519">
                  <w:pPr>
                    <w:pStyle w:val="80"/>
                    <w:ind w:left="54" w:right="34"/>
                    <w:rPr>
                      <w:sz w:val="16"/>
                      <w:szCs w:val="16"/>
                    </w:rPr>
                  </w:pPr>
                  <w:r>
                    <w:rPr>
                      <w:color w:val="000000"/>
                      <w:sz w:val="16"/>
                      <w:szCs w:val="16"/>
                    </w:rPr>
                    <w:t>FRASCO</w:t>
                  </w:r>
                </w:p>
              </w:tc>
              <w:tc>
                <w:tcPr>
                  <w:tcW w:w="527" w:type="pct"/>
                  <w:vAlign w:val="center"/>
                </w:tcPr>
                <w:p w14:paraId="24AC8C17">
                  <w:pPr>
                    <w:pStyle w:val="80"/>
                    <w:ind w:left="54" w:right="34"/>
                    <w:rPr>
                      <w:sz w:val="16"/>
                      <w:szCs w:val="16"/>
                    </w:rPr>
                  </w:pPr>
                  <w:r>
                    <w:rPr>
                      <w:color w:val="000000"/>
                      <w:sz w:val="16"/>
                      <w:szCs w:val="16"/>
                    </w:rPr>
                    <w:t>400</w:t>
                  </w:r>
                </w:p>
              </w:tc>
            </w:tr>
            <w:tr w14:paraId="2B4E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7BE7914F">
                  <w:pPr>
                    <w:jc w:val="center"/>
                    <w:rPr>
                      <w:sz w:val="16"/>
                      <w:szCs w:val="16"/>
                    </w:rPr>
                  </w:pPr>
                  <w:r>
                    <w:rPr>
                      <w:color w:val="000000"/>
                      <w:sz w:val="16"/>
                      <w:szCs w:val="16"/>
                    </w:rPr>
                    <w:t>17</w:t>
                  </w:r>
                </w:p>
              </w:tc>
              <w:tc>
                <w:tcPr>
                  <w:tcW w:w="3030" w:type="pct"/>
                  <w:vAlign w:val="center"/>
                </w:tcPr>
                <w:p w14:paraId="7DBE89AB">
                  <w:pPr>
                    <w:pStyle w:val="80"/>
                    <w:spacing w:line="230" w:lineRule="atLeast"/>
                    <w:jc w:val="both"/>
                    <w:rPr>
                      <w:sz w:val="16"/>
                      <w:szCs w:val="16"/>
                    </w:rPr>
                  </w:pPr>
                  <w:r>
                    <w:rPr>
                      <w:color w:val="000000"/>
                      <w:sz w:val="16"/>
                      <w:szCs w:val="16"/>
                    </w:rPr>
                    <w:t>DIPIRONA SÓDICA, CONCENTRAÇÃO 1G, AMPOLA COM 2 ML.</w:t>
                  </w:r>
                </w:p>
              </w:tc>
              <w:tc>
                <w:tcPr>
                  <w:tcW w:w="965" w:type="pct"/>
                  <w:vAlign w:val="center"/>
                </w:tcPr>
                <w:p w14:paraId="11B45CA3">
                  <w:pPr>
                    <w:pStyle w:val="80"/>
                    <w:ind w:left="54" w:right="34"/>
                    <w:rPr>
                      <w:sz w:val="16"/>
                      <w:szCs w:val="16"/>
                    </w:rPr>
                  </w:pPr>
                  <w:r>
                    <w:rPr>
                      <w:color w:val="000000"/>
                      <w:sz w:val="16"/>
                      <w:szCs w:val="16"/>
                    </w:rPr>
                    <w:t>AMPOLA</w:t>
                  </w:r>
                </w:p>
              </w:tc>
              <w:tc>
                <w:tcPr>
                  <w:tcW w:w="527" w:type="pct"/>
                  <w:vAlign w:val="center"/>
                </w:tcPr>
                <w:p w14:paraId="4F5281E6">
                  <w:pPr>
                    <w:pStyle w:val="80"/>
                    <w:ind w:left="54" w:right="34"/>
                    <w:rPr>
                      <w:sz w:val="16"/>
                      <w:szCs w:val="16"/>
                    </w:rPr>
                  </w:pPr>
                  <w:r>
                    <w:rPr>
                      <w:color w:val="000000"/>
                      <w:sz w:val="16"/>
                      <w:szCs w:val="16"/>
                    </w:rPr>
                    <w:t>15000</w:t>
                  </w:r>
                </w:p>
              </w:tc>
            </w:tr>
            <w:tr w14:paraId="657B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74F72097">
                  <w:pPr>
                    <w:jc w:val="center"/>
                    <w:rPr>
                      <w:sz w:val="16"/>
                      <w:szCs w:val="16"/>
                    </w:rPr>
                  </w:pPr>
                  <w:r>
                    <w:rPr>
                      <w:color w:val="000000"/>
                      <w:sz w:val="16"/>
                      <w:szCs w:val="16"/>
                    </w:rPr>
                    <w:t>18</w:t>
                  </w:r>
                </w:p>
              </w:tc>
              <w:tc>
                <w:tcPr>
                  <w:tcW w:w="3030" w:type="pct"/>
                  <w:vAlign w:val="center"/>
                </w:tcPr>
                <w:p w14:paraId="47AA25DC">
                  <w:pPr>
                    <w:pStyle w:val="80"/>
                    <w:spacing w:line="230" w:lineRule="atLeast"/>
                    <w:jc w:val="both"/>
                    <w:rPr>
                      <w:sz w:val="16"/>
                      <w:szCs w:val="16"/>
                    </w:rPr>
                  </w:pPr>
                  <w:r>
                    <w:rPr>
                      <w:color w:val="000000"/>
                      <w:sz w:val="16"/>
                      <w:szCs w:val="16"/>
                    </w:rPr>
                    <w:t>DIPIRONA SÓDICA, DOSAGEM 500 MG/ML, APRESENTAÇÃO SOLUÇÃO ORAL (GOTAS), FRASCO DE 10 ML.</w:t>
                  </w:r>
                </w:p>
              </w:tc>
              <w:tc>
                <w:tcPr>
                  <w:tcW w:w="965" w:type="pct"/>
                  <w:vAlign w:val="center"/>
                </w:tcPr>
                <w:p w14:paraId="657B3D10">
                  <w:pPr>
                    <w:pStyle w:val="80"/>
                    <w:ind w:left="54" w:right="34"/>
                    <w:rPr>
                      <w:sz w:val="16"/>
                      <w:szCs w:val="16"/>
                    </w:rPr>
                  </w:pPr>
                  <w:r>
                    <w:rPr>
                      <w:color w:val="000000"/>
                      <w:sz w:val="16"/>
                      <w:szCs w:val="16"/>
                    </w:rPr>
                    <w:t>FRASCO</w:t>
                  </w:r>
                </w:p>
              </w:tc>
              <w:tc>
                <w:tcPr>
                  <w:tcW w:w="527" w:type="pct"/>
                  <w:vAlign w:val="center"/>
                </w:tcPr>
                <w:p w14:paraId="43E28E57">
                  <w:pPr>
                    <w:pStyle w:val="80"/>
                    <w:ind w:left="54" w:right="34"/>
                    <w:rPr>
                      <w:sz w:val="16"/>
                      <w:szCs w:val="16"/>
                    </w:rPr>
                  </w:pPr>
                  <w:r>
                    <w:rPr>
                      <w:color w:val="000000"/>
                      <w:sz w:val="16"/>
                      <w:szCs w:val="16"/>
                    </w:rPr>
                    <w:t>300</w:t>
                  </w:r>
                </w:p>
              </w:tc>
            </w:tr>
            <w:tr w14:paraId="0A7F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DCF11FF">
                  <w:pPr>
                    <w:jc w:val="center"/>
                    <w:rPr>
                      <w:sz w:val="16"/>
                      <w:szCs w:val="16"/>
                    </w:rPr>
                  </w:pPr>
                  <w:r>
                    <w:rPr>
                      <w:color w:val="000000"/>
                      <w:sz w:val="16"/>
                      <w:szCs w:val="16"/>
                    </w:rPr>
                    <w:t>19</w:t>
                  </w:r>
                </w:p>
              </w:tc>
              <w:tc>
                <w:tcPr>
                  <w:tcW w:w="3030" w:type="pct"/>
                  <w:vAlign w:val="center"/>
                </w:tcPr>
                <w:p w14:paraId="1BF254DB">
                  <w:pPr>
                    <w:pStyle w:val="80"/>
                    <w:spacing w:line="230" w:lineRule="atLeast"/>
                    <w:jc w:val="both"/>
                    <w:rPr>
                      <w:sz w:val="16"/>
                      <w:szCs w:val="16"/>
                    </w:rPr>
                  </w:pPr>
                  <w:r>
                    <w:rPr>
                      <w:color w:val="000000"/>
                      <w:sz w:val="16"/>
                      <w:szCs w:val="16"/>
                    </w:rPr>
                    <w:t>DOPAMINA, DOSAGEM 5 MG/ML, APRESENTAÇÃO SOLUÇÃO INJETÁVEL, AMPOLA COM 10 ML.</w:t>
                  </w:r>
                </w:p>
              </w:tc>
              <w:tc>
                <w:tcPr>
                  <w:tcW w:w="965" w:type="pct"/>
                  <w:vAlign w:val="center"/>
                </w:tcPr>
                <w:p w14:paraId="3AAE1AA5">
                  <w:pPr>
                    <w:pStyle w:val="80"/>
                    <w:ind w:left="54" w:right="34"/>
                    <w:rPr>
                      <w:sz w:val="16"/>
                      <w:szCs w:val="16"/>
                    </w:rPr>
                  </w:pPr>
                  <w:r>
                    <w:rPr>
                      <w:color w:val="000000"/>
                      <w:sz w:val="16"/>
                      <w:szCs w:val="16"/>
                    </w:rPr>
                    <w:t>AMPOLA</w:t>
                  </w:r>
                </w:p>
              </w:tc>
              <w:tc>
                <w:tcPr>
                  <w:tcW w:w="527" w:type="pct"/>
                  <w:vAlign w:val="center"/>
                </w:tcPr>
                <w:p w14:paraId="4440F18D">
                  <w:pPr>
                    <w:pStyle w:val="80"/>
                    <w:ind w:left="54" w:right="34"/>
                    <w:rPr>
                      <w:sz w:val="16"/>
                      <w:szCs w:val="16"/>
                    </w:rPr>
                  </w:pPr>
                  <w:r>
                    <w:rPr>
                      <w:color w:val="000000"/>
                      <w:sz w:val="16"/>
                      <w:szCs w:val="16"/>
                    </w:rPr>
                    <w:t>750</w:t>
                  </w:r>
                </w:p>
              </w:tc>
            </w:tr>
            <w:tr w14:paraId="3BE4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8" w:type="pct"/>
                  <w:vAlign w:val="center"/>
                </w:tcPr>
                <w:p w14:paraId="581B106D">
                  <w:pPr>
                    <w:jc w:val="center"/>
                    <w:rPr>
                      <w:sz w:val="16"/>
                      <w:szCs w:val="16"/>
                    </w:rPr>
                  </w:pPr>
                  <w:r>
                    <w:rPr>
                      <w:color w:val="000000"/>
                      <w:sz w:val="16"/>
                      <w:szCs w:val="16"/>
                    </w:rPr>
                    <w:t>20</w:t>
                  </w:r>
                </w:p>
              </w:tc>
              <w:tc>
                <w:tcPr>
                  <w:tcW w:w="3030" w:type="pct"/>
                  <w:vAlign w:val="center"/>
                </w:tcPr>
                <w:p w14:paraId="215201C3">
                  <w:pPr>
                    <w:pStyle w:val="80"/>
                    <w:spacing w:line="230" w:lineRule="atLeast"/>
                    <w:jc w:val="both"/>
                    <w:rPr>
                      <w:sz w:val="16"/>
                      <w:szCs w:val="16"/>
                    </w:rPr>
                  </w:pPr>
                  <w:r>
                    <w:rPr>
                      <w:color w:val="000000"/>
                      <w:sz w:val="16"/>
                      <w:szCs w:val="16"/>
                    </w:rPr>
                    <w:t>ENALAPRIL 10 MG.</w:t>
                  </w:r>
                </w:p>
              </w:tc>
              <w:tc>
                <w:tcPr>
                  <w:tcW w:w="965" w:type="pct"/>
                  <w:vAlign w:val="center"/>
                </w:tcPr>
                <w:p w14:paraId="621A5959">
                  <w:pPr>
                    <w:pStyle w:val="80"/>
                    <w:ind w:left="54" w:right="34"/>
                    <w:rPr>
                      <w:sz w:val="16"/>
                      <w:szCs w:val="16"/>
                    </w:rPr>
                  </w:pPr>
                  <w:r>
                    <w:rPr>
                      <w:color w:val="000000"/>
                      <w:sz w:val="16"/>
                      <w:szCs w:val="16"/>
                    </w:rPr>
                    <w:t>COMPRIMIDO</w:t>
                  </w:r>
                </w:p>
              </w:tc>
              <w:tc>
                <w:tcPr>
                  <w:tcW w:w="527" w:type="pct"/>
                  <w:vAlign w:val="center"/>
                </w:tcPr>
                <w:p w14:paraId="27E29E6C">
                  <w:pPr>
                    <w:pStyle w:val="80"/>
                    <w:ind w:left="54" w:right="34"/>
                    <w:rPr>
                      <w:sz w:val="16"/>
                      <w:szCs w:val="16"/>
                    </w:rPr>
                  </w:pPr>
                  <w:r>
                    <w:rPr>
                      <w:color w:val="000000"/>
                      <w:sz w:val="16"/>
                      <w:szCs w:val="16"/>
                    </w:rPr>
                    <w:t>2000</w:t>
                  </w:r>
                </w:p>
              </w:tc>
            </w:tr>
            <w:tr w14:paraId="6352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585FD93">
                  <w:pPr>
                    <w:jc w:val="center"/>
                    <w:rPr>
                      <w:sz w:val="16"/>
                      <w:szCs w:val="16"/>
                    </w:rPr>
                  </w:pPr>
                  <w:r>
                    <w:rPr>
                      <w:color w:val="000000"/>
                      <w:sz w:val="16"/>
                      <w:szCs w:val="16"/>
                    </w:rPr>
                    <w:t>21</w:t>
                  </w:r>
                </w:p>
              </w:tc>
              <w:tc>
                <w:tcPr>
                  <w:tcW w:w="3030" w:type="pct"/>
                  <w:vAlign w:val="center"/>
                </w:tcPr>
                <w:p w14:paraId="405DC9CB">
                  <w:pPr>
                    <w:pStyle w:val="80"/>
                    <w:spacing w:line="230" w:lineRule="atLeast"/>
                    <w:jc w:val="both"/>
                    <w:rPr>
                      <w:sz w:val="16"/>
                      <w:szCs w:val="16"/>
                    </w:rPr>
                  </w:pPr>
                  <w:r>
                    <w:rPr>
                      <w:color w:val="000000"/>
                      <w:sz w:val="16"/>
                      <w:szCs w:val="16"/>
                    </w:rPr>
                    <w:t>EPINEFRINA (ADRENALINA), DOSAGEM 1MG/ML, USO SOLUÇÃO INJETÁVEL.</w:t>
                  </w:r>
                </w:p>
              </w:tc>
              <w:tc>
                <w:tcPr>
                  <w:tcW w:w="965" w:type="pct"/>
                  <w:vAlign w:val="center"/>
                </w:tcPr>
                <w:p w14:paraId="69133EF8">
                  <w:pPr>
                    <w:pStyle w:val="80"/>
                    <w:ind w:left="54" w:right="34"/>
                    <w:rPr>
                      <w:sz w:val="16"/>
                      <w:szCs w:val="16"/>
                    </w:rPr>
                  </w:pPr>
                  <w:r>
                    <w:rPr>
                      <w:color w:val="000000"/>
                      <w:sz w:val="16"/>
                      <w:szCs w:val="16"/>
                    </w:rPr>
                    <w:t>AMPOLA</w:t>
                  </w:r>
                </w:p>
              </w:tc>
              <w:tc>
                <w:tcPr>
                  <w:tcW w:w="527" w:type="pct"/>
                  <w:vAlign w:val="center"/>
                </w:tcPr>
                <w:p w14:paraId="2263A236">
                  <w:pPr>
                    <w:pStyle w:val="80"/>
                    <w:ind w:left="54" w:right="34"/>
                    <w:rPr>
                      <w:sz w:val="16"/>
                      <w:szCs w:val="16"/>
                    </w:rPr>
                  </w:pPr>
                  <w:r>
                    <w:rPr>
                      <w:color w:val="000000"/>
                      <w:sz w:val="16"/>
                      <w:szCs w:val="16"/>
                    </w:rPr>
                    <w:t>2000</w:t>
                  </w:r>
                </w:p>
              </w:tc>
            </w:tr>
            <w:tr w14:paraId="4B0B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78405119">
                  <w:pPr>
                    <w:jc w:val="center"/>
                    <w:rPr>
                      <w:sz w:val="16"/>
                      <w:szCs w:val="16"/>
                    </w:rPr>
                  </w:pPr>
                  <w:r>
                    <w:rPr>
                      <w:color w:val="000000"/>
                      <w:sz w:val="16"/>
                      <w:szCs w:val="16"/>
                    </w:rPr>
                    <w:t>22</w:t>
                  </w:r>
                </w:p>
              </w:tc>
              <w:tc>
                <w:tcPr>
                  <w:tcW w:w="3030" w:type="pct"/>
                  <w:vAlign w:val="center"/>
                </w:tcPr>
                <w:p w14:paraId="567426F7">
                  <w:pPr>
                    <w:pStyle w:val="80"/>
                    <w:spacing w:line="230" w:lineRule="atLeast"/>
                    <w:jc w:val="both"/>
                    <w:rPr>
                      <w:sz w:val="16"/>
                      <w:szCs w:val="16"/>
                    </w:rPr>
                  </w:pPr>
                  <w:r>
                    <w:rPr>
                      <w:color w:val="000000"/>
                      <w:sz w:val="16"/>
                      <w:szCs w:val="16"/>
                    </w:rPr>
                    <w:t>FLORAX ADULTO (SACCHAROMYCES CEREVISIAE), DOSAGEM 100 MILHÕES/ML, FORMA FARMACÊUTICA SUSPENSÃO ORAL, FLACONETE COM 5 ML.</w:t>
                  </w:r>
                </w:p>
              </w:tc>
              <w:tc>
                <w:tcPr>
                  <w:tcW w:w="965" w:type="pct"/>
                  <w:vAlign w:val="center"/>
                </w:tcPr>
                <w:p w14:paraId="4107A760">
                  <w:pPr>
                    <w:pStyle w:val="80"/>
                    <w:ind w:left="54" w:right="34"/>
                    <w:rPr>
                      <w:sz w:val="16"/>
                      <w:szCs w:val="16"/>
                    </w:rPr>
                  </w:pPr>
                  <w:r>
                    <w:rPr>
                      <w:color w:val="000000"/>
                      <w:sz w:val="16"/>
                      <w:szCs w:val="16"/>
                    </w:rPr>
                    <w:t>FLACONETE</w:t>
                  </w:r>
                </w:p>
              </w:tc>
              <w:tc>
                <w:tcPr>
                  <w:tcW w:w="527" w:type="pct"/>
                  <w:vAlign w:val="center"/>
                </w:tcPr>
                <w:p w14:paraId="5DACD8F4">
                  <w:pPr>
                    <w:pStyle w:val="80"/>
                    <w:ind w:left="54" w:right="34"/>
                    <w:rPr>
                      <w:sz w:val="16"/>
                      <w:szCs w:val="16"/>
                    </w:rPr>
                  </w:pPr>
                  <w:r>
                    <w:rPr>
                      <w:color w:val="000000"/>
                      <w:sz w:val="16"/>
                      <w:szCs w:val="16"/>
                    </w:rPr>
                    <w:t>500</w:t>
                  </w:r>
                </w:p>
              </w:tc>
            </w:tr>
            <w:tr w14:paraId="4D15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22021A19">
                  <w:pPr>
                    <w:jc w:val="center"/>
                    <w:rPr>
                      <w:sz w:val="16"/>
                      <w:szCs w:val="16"/>
                    </w:rPr>
                  </w:pPr>
                  <w:r>
                    <w:rPr>
                      <w:color w:val="000000"/>
                      <w:sz w:val="16"/>
                      <w:szCs w:val="16"/>
                    </w:rPr>
                    <w:t>23</w:t>
                  </w:r>
                </w:p>
              </w:tc>
              <w:tc>
                <w:tcPr>
                  <w:tcW w:w="3030" w:type="pct"/>
                  <w:vAlign w:val="center"/>
                </w:tcPr>
                <w:p w14:paraId="45B0023B">
                  <w:pPr>
                    <w:pStyle w:val="80"/>
                    <w:spacing w:line="230" w:lineRule="atLeast"/>
                    <w:jc w:val="both"/>
                    <w:rPr>
                      <w:sz w:val="16"/>
                      <w:szCs w:val="16"/>
                    </w:rPr>
                  </w:pPr>
                  <w:r>
                    <w:rPr>
                      <w:color w:val="000000"/>
                      <w:sz w:val="16"/>
                      <w:szCs w:val="16"/>
                    </w:rPr>
                    <w:t>FLORAX INFANTIL (SACCHAROMYCES CEREVISIAE), DOSAGEM 50 MILHÕES/ML, FORMA FARMACÊUTICA SUSPENSÃO ORAL, FLACONETE COM 5 ML.</w:t>
                  </w:r>
                </w:p>
              </w:tc>
              <w:tc>
                <w:tcPr>
                  <w:tcW w:w="965" w:type="pct"/>
                  <w:vAlign w:val="center"/>
                </w:tcPr>
                <w:p w14:paraId="0C526069">
                  <w:pPr>
                    <w:pStyle w:val="80"/>
                    <w:ind w:left="54" w:right="34"/>
                    <w:rPr>
                      <w:sz w:val="16"/>
                      <w:szCs w:val="16"/>
                    </w:rPr>
                  </w:pPr>
                  <w:r>
                    <w:rPr>
                      <w:color w:val="000000"/>
                      <w:sz w:val="16"/>
                      <w:szCs w:val="16"/>
                    </w:rPr>
                    <w:t>FLACONETE</w:t>
                  </w:r>
                </w:p>
              </w:tc>
              <w:tc>
                <w:tcPr>
                  <w:tcW w:w="527" w:type="pct"/>
                  <w:vAlign w:val="center"/>
                </w:tcPr>
                <w:p w14:paraId="4F4960DA">
                  <w:pPr>
                    <w:pStyle w:val="80"/>
                    <w:ind w:left="54" w:right="34"/>
                    <w:rPr>
                      <w:sz w:val="16"/>
                      <w:szCs w:val="16"/>
                    </w:rPr>
                  </w:pPr>
                  <w:r>
                    <w:rPr>
                      <w:color w:val="000000"/>
                      <w:sz w:val="16"/>
                      <w:szCs w:val="16"/>
                    </w:rPr>
                    <w:t>500</w:t>
                  </w:r>
                </w:p>
              </w:tc>
            </w:tr>
            <w:tr w14:paraId="20EC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C109691">
                  <w:pPr>
                    <w:jc w:val="center"/>
                    <w:rPr>
                      <w:sz w:val="16"/>
                      <w:szCs w:val="16"/>
                    </w:rPr>
                  </w:pPr>
                  <w:r>
                    <w:rPr>
                      <w:color w:val="000000"/>
                      <w:sz w:val="16"/>
                      <w:szCs w:val="16"/>
                    </w:rPr>
                    <w:t>24</w:t>
                  </w:r>
                </w:p>
              </w:tc>
              <w:tc>
                <w:tcPr>
                  <w:tcW w:w="3030" w:type="pct"/>
                  <w:vAlign w:val="center"/>
                </w:tcPr>
                <w:p w14:paraId="336D1058">
                  <w:pPr>
                    <w:pStyle w:val="80"/>
                    <w:spacing w:line="230" w:lineRule="atLeast"/>
                    <w:jc w:val="both"/>
                    <w:rPr>
                      <w:sz w:val="16"/>
                      <w:szCs w:val="16"/>
                    </w:rPr>
                  </w:pPr>
                  <w:r>
                    <w:rPr>
                      <w:color w:val="000000"/>
                      <w:sz w:val="16"/>
                      <w:szCs w:val="16"/>
                    </w:rPr>
                    <w:t>FUROSEMIDA 20 MG/ML INJETÁVEL, AMPOLA 2 ML.</w:t>
                  </w:r>
                </w:p>
              </w:tc>
              <w:tc>
                <w:tcPr>
                  <w:tcW w:w="965" w:type="pct"/>
                  <w:vAlign w:val="center"/>
                </w:tcPr>
                <w:p w14:paraId="7A18C75F">
                  <w:pPr>
                    <w:pStyle w:val="80"/>
                    <w:ind w:left="54" w:right="34"/>
                    <w:rPr>
                      <w:sz w:val="16"/>
                      <w:szCs w:val="16"/>
                    </w:rPr>
                  </w:pPr>
                  <w:r>
                    <w:rPr>
                      <w:color w:val="000000"/>
                      <w:sz w:val="16"/>
                      <w:szCs w:val="16"/>
                    </w:rPr>
                    <w:t>AMPOLA</w:t>
                  </w:r>
                </w:p>
              </w:tc>
              <w:tc>
                <w:tcPr>
                  <w:tcW w:w="527" w:type="pct"/>
                  <w:vAlign w:val="center"/>
                </w:tcPr>
                <w:p w14:paraId="23A58BB0">
                  <w:pPr>
                    <w:pStyle w:val="80"/>
                    <w:ind w:left="54" w:right="34"/>
                    <w:rPr>
                      <w:sz w:val="16"/>
                      <w:szCs w:val="16"/>
                    </w:rPr>
                  </w:pPr>
                  <w:r>
                    <w:rPr>
                      <w:color w:val="000000"/>
                      <w:sz w:val="16"/>
                      <w:szCs w:val="16"/>
                    </w:rPr>
                    <w:t>4500</w:t>
                  </w:r>
                </w:p>
              </w:tc>
            </w:tr>
            <w:tr w14:paraId="76A0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311B22C4">
                  <w:pPr>
                    <w:jc w:val="center"/>
                    <w:rPr>
                      <w:sz w:val="16"/>
                      <w:szCs w:val="16"/>
                    </w:rPr>
                  </w:pPr>
                  <w:r>
                    <w:rPr>
                      <w:color w:val="000000"/>
                      <w:sz w:val="16"/>
                      <w:szCs w:val="16"/>
                    </w:rPr>
                    <w:t>25</w:t>
                  </w:r>
                </w:p>
              </w:tc>
              <w:tc>
                <w:tcPr>
                  <w:tcW w:w="3030" w:type="pct"/>
                  <w:vAlign w:val="center"/>
                </w:tcPr>
                <w:p w14:paraId="791174EB">
                  <w:pPr>
                    <w:pStyle w:val="80"/>
                    <w:spacing w:line="230" w:lineRule="atLeast"/>
                    <w:jc w:val="both"/>
                    <w:rPr>
                      <w:sz w:val="16"/>
                      <w:szCs w:val="16"/>
                    </w:rPr>
                  </w:pPr>
                  <w:r>
                    <w:rPr>
                      <w:color w:val="000000"/>
                      <w:sz w:val="16"/>
                      <w:szCs w:val="16"/>
                    </w:rPr>
                    <w:t>GENTAMICINA, DOSAGEM 40 MG/ML, APLICAÇÃO SOLUÇÃO INJETÁVEL, AMPOLA COM 2 ML.</w:t>
                  </w:r>
                </w:p>
              </w:tc>
              <w:tc>
                <w:tcPr>
                  <w:tcW w:w="965" w:type="pct"/>
                  <w:vAlign w:val="center"/>
                </w:tcPr>
                <w:p w14:paraId="2DBF52A9">
                  <w:pPr>
                    <w:pStyle w:val="80"/>
                    <w:ind w:left="54" w:right="34"/>
                    <w:rPr>
                      <w:sz w:val="16"/>
                      <w:szCs w:val="16"/>
                    </w:rPr>
                  </w:pPr>
                  <w:r>
                    <w:rPr>
                      <w:color w:val="000000"/>
                      <w:sz w:val="16"/>
                      <w:szCs w:val="16"/>
                    </w:rPr>
                    <w:t>AMPOLA</w:t>
                  </w:r>
                </w:p>
              </w:tc>
              <w:tc>
                <w:tcPr>
                  <w:tcW w:w="527" w:type="pct"/>
                  <w:vAlign w:val="center"/>
                </w:tcPr>
                <w:p w14:paraId="1FD2D777">
                  <w:pPr>
                    <w:pStyle w:val="80"/>
                    <w:ind w:left="54" w:right="34"/>
                    <w:rPr>
                      <w:sz w:val="16"/>
                      <w:szCs w:val="16"/>
                    </w:rPr>
                  </w:pPr>
                  <w:r>
                    <w:rPr>
                      <w:color w:val="000000"/>
                      <w:sz w:val="16"/>
                      <w:szCs w:val="16"/>
                    </w:rPr>
                    <w:t>4000</w:t>
                  </w:r>
                </w:p>
              </w:tc>
            </w:tr>
            <w:tr w14:paraId="1B67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10249558">
                  <w:pPr>
                    <w:jc w:val="center"/>
                    <w:rPr>
                      <w:sz w:val="16"/>
                      <w:szCs w:val="16"/>
                    </w:rPr>
                  </w:pPr>
                  <w:r>
                    <w:rPr>
                      <w:color w:val="000000"/>
                      <w:sz w:val="16"/>
                      <w:szCs w:val="16"/>
                    </w:rPr>
                    <w:t>26</w:t>
                  </w:r>
                </w:p>
              </w:tc>
              <w:tc>
                <w:tcPr>
                  <w:tcW w:w="3030" w:type="pct"/>
                  <w:vAlign w:val="center"/>
                </w:tcPr>
                <w:p w14:paraId="668219DF">
                  <w:pPr>
                    <w:pStyle w:val="80"/>
                    <w:spacing w:line="230" w:lineRule="atLeast"/>
                    <w:jc w:val="both"/>
                    <w:rPr>
                      <w:sz w:val="16"/>
                      <w:szCs w:val="16"/>
                    </w:rPr>
                  </w:pPr>
                  <w:r>
                    <w:rPr>
                      <w:color w:val="000000"/>
                      <w:sz w:val="16"/>
                      <w:szCs w:val="16"/>
                    </w:rPr>
                    <w:t>GENTAMICINA, DOSAGEM 80 MG/ML, APLICAÇÃO SOLUÇÃO INJETÁVEL, AMPOLA COM 2 ML.</w:t>
                  </w:r>
                </w:p>
              </w:tc>
              <w:tc>
                <w:tcPr>
                  <w:tcW w:w="965" w:type="pct"/>
                  <w:vAlign w:val="center"/>
                </w:tcPr>
                <w:p w14:paraId="2827761A">
                  <w:pPr>
                    <w:pStyle w:val="80"/>
                    <w:ind w:left="54" w:right="34"/>
                    <w:rPr>
                      <w:sz w:val="16"/>
                      <w:szCs w:val="16"/>
                    </w:rPr>
                  </w:pPr>
                  <w:r>
                    <w:rPr>
                      <w:color w:val="000000"/>
                      <w:sz w:val="16"/>
                      <w:szCs w:val="16"/>
                    </w:rPr>
                    <w:t>AMPOLA</w:t>
                  </w:r>
                </w:p>
              </w:tc>
              <w:tc>
                <w:tcPr>
                  <w:tcW w:w="527" w:type="pct"/>
                  <w:vAlign w:val="center"/>
                </w:tcPr>
                <w:p w14:paraId="0CEA811D">
                  <w:pPr>
                    <w:pStyle w:val="80"/>
                    <w:ind w:left="54" w:right="34"/>
                    <w:rPr>
                      <w:sz w:val="16"/>
                      <w:szCs w:val="16"/>
                    </w:rPr>
                  </w:pPr>
                  <w:r>
                    <w:rPr>
                      <w:color w:val="000000"/>
                      <w:sz w:val="16"/>
                      <w:szCs w:val="16"/>
                    </w:rPr>
                    <w:t>5000</w:t>
                  </w:r>
                </w:p>
              </w:tc>
            </w:tr>
            <w:tr w14:paraId="2AFA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7F34694C">
                  <w:pPr>
                    <w:jc w:val="center"/>
                    <w:rPr>
                      <w:sz w:val="16"/>
                      <w:szCs w:val="16"/>
                    </w:rPr>
                  </w:pPr>
                  <w:r>
                    <w:rPr>
                      <w:color w:val="000000"/>
                      <w:sz w:val="16"/>
                      <w:szCs w:val="16"/>
                    </w:rPr>
                    <w:t>27</w:t>
                  </w:r>
                </w:p>
              </w:tc>
              <w:tc>
                <w:tcPr>
                  <w:tcW w:w="3030" w:type="pct"/>
                  <w:vAlign w:val="center"/>
                </w:tcPr>
                <w:p w14:paraId="18B889CA">
                  <w:pPr>
                    <w:pStyle w:val="80"/>
                    <w:spacing w:line="230" w:lineRule="atLeast"/>
                    <w:jc w:val="both"/>
                    <w:rPr>
                      <w:sz w:val="16"/>
                      <w:szCs w:val="16"/>
                    </w:rPr>
                  </w:pPr>
                  <w:r>
                    <w:rPr>
                      <w:color w:val="000000"/>
                      <w:sz w:val="16"/>
                      <w:szCs w:val="16"/>
                    </w:rPr>
                    <w:t>GLICOSE, CONCENTRAÇÃO 50%, INDICAÇÃO SOLUÇÃO INJETÁVEL, AMPOLA COM 10 ML.</w:t>
                  </w:r>
                </w:p>
              </w:tc>
              <w:tc>
                <w:tcPr>
                  <w:tcW w:w="965" w:type="pct"/>
                  <w:vAlign w:val="center"/>
                </w:tcPr>
                <w:p w14:paraId="7A8AC38D">
                  <w:pPr>
                    <w:pStyle w:val="80"/>
                    <w:ind w:left="54" w:right="34"/>
                    <w:rPr>
                      <w:sz w:val="16"/>
                      <w:szCs w:val="16"/>
                    </w:rPr>
                  </w:pPr>
                  <w:r>
                    <w:rPr>
                      <w:color w:val="000000"/>
                      <w:sz w:val="16"/>
                      <w:szCs w:val="16"/>
                    </w:rPr>
                    <w:t>AMPOLA</w:t>
                  </w:r>
                </w:p>
              </w:tc>
              <w:tc>
                <w:tcPr>
                  <w:tcW w:w="527" w:type="pct"/>
                  <w:vAlign w:val="center"/>
                </w:tcPr>
                <w:p w14:paraId="387CE8C4">
                  <w:pPr>
                    <w:pStyle w:val="80"/>
                    <w:ind w:left="54" w:right="34"/>
                    <w:rPr>
                      <w:sz w:val="16"/>
                      <w:szCs w:val="16"/>
                    </w:rPr>
                  </w:pPr>
                  <w:r>
                    <w:rPr>
                      <w:color w:val="000000"/>
                      <w:sz w:val="16"/>
                      <w:szCs w:val="16"/>
                    </w:rPr>
                    <w:t>7000</w:t>
                  </w:r>
                </w:p>
              </w:tc>
            </w:tr>
            <w:tr w14:paraId="3B5C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6638600C">
                  <w:pPr>
                    <w:jc w:val="center"/>
                    <w:rPr>
                      <w:sz w:val="16"/>
                      <w:szCs w:val="16"/>
                    </w:rPr>
                  </w:pPr>
                  <w:r>
                    <w:rPr>
                      <w:color w:val="000000"/>
                      <w:sz w:val="16"/>
                      <w:szCs w:val="16"/>
                    </w:rPr>
                    <w:t>28</w:t>
                  </w:r>
                </w:p>
              </w:tc>
              <w:tc>
                <w:tcPr>
                  <w:tcW w:w="3030" w:type="pct"/>
                  <w:vAlign w:val="center"/>
                </w:tcPr>
                <w:p w14:paraId="1BC99722">
                  <w:pPr>
                    <w:pStyle w:val="80"/>
                    <w:spacing w:line="230" w:lineRule="atLeast"/>
                    <w:jc w:val="both"/>
                    <w:rPr>
                      <w:sz w:val="16"/>
                      <w:szCs w:val="16"/>
                    </w:rPr>
                  </w:pPr>
                  <w:r>
                    <w:rPr>
                      <w:color w:val="000000"/>
                      <w:sz w:val="16"/>
                      <w:szCs w:val="16"/>
                    </w:rPr>
                    <w:t>HEPARINA SÓDICA, DOSAGEM 5.000UI/ML, INDICAÇÃO INJETÁVEL, FRASCO COM 5 ML.</w:t>
                  </w:r>
                </w:p>
              </w:tc>
              <w:tc>
                <w:tcPr>
                  <w:tcW w:w="965" w:type="pct"/>
                  <w:vAlign w:val="center"/>
                </w:tcPr>
                <w:p w14:paraId="1FB7C6F9">
                  <w:pPr>
                    <w:pStyle w:val="80"/>
                    <w:ind w:left="54" w:right="34"/>
                    <w:rPr>
                      <w:sz w:val="16"/>
                      <w:szCs w:val="16"/>
                    </w:rPr>
                  </w:pPr>
                  <w:r>
                    <w:rPr>
                      <w:color w:val="000000"/>
                      <w:sz w:val="16"/>
                      <w:szCs w:val="16"/>
                    </w:rPr>
                    <w:t>FRASCO</w:t>
                  </w:r>
                </w:p>
              </w:tc>
              <w:tc>
                <w:tcPr>
                  <w:tcW w:w="527" w:type="pct"/>
                  <w:vAlign w:val="center"/>
                </w:tcPr>
                <w:p w14:paraId="68590D34">
                  <w:pPr>
                    <w:pStyle w:val="80"/>
                    <w:ind w:left="54" w:right="34"/>
                    <w:rPr>
                      <w:sz w:val="16"/>
                      <w:szCs w:val="16"/>
                    </w:rPr>
                  </w:pPr>
                  <w:r>
                    <w:rPr>
                      <w:color w:val="000000"/>
                      <w:sz w:val="16"/>
                      <w:szCs w:val="16"/>
                    </w:rPr>
                    <w:t>3000</w:t>
                  </w:r>
                </w:p>
              </w:tc>
            </w:tr>
            <w:tr w14:paraId="47C1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66B784BA">
                  <w:pPr>
                    <w:jc w:val="center"/>
                    <w:rPr>
                      <w:sz w:val="16"/>
                      <w:szCs w:val="16"/>
                    </w:rPr>
                  </w:pPr>
                  <w:r>
                    <w:rPr>
                      <w:color w:val="000000"/>
                      <w:sz w:val="16"/>
                      <w:szCs w:val="16"/>
                    </w:rPr>
                    <w:t>29</w:t>
                  </w:r>
                </w:p>
              </w:tc>
              <w:tc>
                <w:tcPr>
                  <w:tcW w:w="3030" w:type="pct"/>
                  <w:vAlign w:val="center"/>
                </w:tcPr>
                <w:p w14:paraId="296BB714">
                  <w:pPr>
                    <w:pStyle w:val="80"/>
                    <w:spacing w:line="230" w:lineRule="atLeast"/>
                    <w:jc w:val="both"/>
                    <w:rPr>
                      <w:sz w:val="16"/>
                      <w:szCs w:val="16"/>
                    </w:rPr>
                  </w:pPr>
                  <w:r>
                    <w:rPr>
                      <w:color w:val="000000"/>
                      <w:sz w:val="16"/>
                      <w:szCs w:val="16"/>
                    </w:rPr>
                    <w:t>HIDRÓXIDO DE ALUMÍNIO, CONCENTRAÇÃO 61,5 MG/ML, APRESENTAÇÃO SUSPENSÃO ORAL, FRASCO COM 240 ML.</w:t>
                  </w:r>
                </w:p>
              </w:tc>
              <w:tc>
                <w:tcPr>
                  <w:tcW w:w="965" w:type="pct"/>
                  <w:vAlign w:val="center"/>
                </w:tcPr>
                <w:p w14:paraId="245B3623">
                  <w:pPr>
                    <w:pStyle w:val="80"/>
                    <w:ind w:left="54" w:right="34"/>
                    <w:rPr>
                      <w:sz w:val="16"/>
                      <w:szCs w:val="16"/>
                    </w:rPr>
                  </w:pPr>
                  <w:r>
                    <w:rPr>
                      <w:color w:val="000000"/>
                      <w:sz w:val="16"/>
                      <w:szCs w:val="16"/>
                    </w:rPr>
                    <w:t>FRASCO</w:t>
                  </w:r>
                </w:p>
              </w:tc>
              <w:tc>
                <w:tcPr>
                  <w:tcW w:w="527" w:type="pct"/>
                  <w:vAlign w:val="center"/>
                </w:tcPr>
                <w:p w14:paraId="5A389536">
                  <w:pPr>
                    <w:pStyle w:val="80"/>
                    <w:ind w:left="54" w:right="34"/>
                    <w:rPr>
                      <w:sz w:val="16"/>
                      <w:szCs w:val="16"/>
                    </w:rPr>
                  </w:pPr>
                  <w:r>
                    <w:rPr>
                      <w:color w:val="000000"/>
                      <w:sz w:val="16"/>
                      <w:szCs w:val="16"/>
                    </w:rPr>
                    <w:t>500</w:t>
                  </w:r>
                </w:p>
              </w:tc>
            </w:tr>
            <w:tr w14:paraId="1C64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54AEA705">
                  <w:pPr>
                    <w:jc w:val="center"/>
                    <w:rPr>
                      <w:sz w:val="16"/>
                      <w:szCs w:val="16"/>
                    </w:rPr>
                  </w:pPr>
                  <w:r>
                    <w:rPr>
                      <w:color w:val="000000"/>
                      <w:sz w:val="16"/>
                      <w:szCs w:val="16"/>
                    </w:rPr>
                    <w:t>30</w:t>
                  </w:r>
                </w:p>
              </w:tc>
              <w:tc>
                <w:tcPr>
                  <w:tcW w:w="3030" w:type="pct"/>
                  <w:vAlign w:val="center"/>
                </w:tcPr>
                <w:p w14:paraId="4B4A5224">
                  <w:pPr>
                    <w:pStyle w:val="80"/>
                    <w:spacing w:line="230" w:lineRule="atLeast"/>
                    <w:jc w:val="both"/>
                    <w:rPr>
                      <w:sz w:val="16"/>
                      <w:szCs w:val="16"/>
                    </w:rPr>
                  </w:pPr>
                  <w:r>
                    <w:rPr>
                      <w:color w:val="000000"/>
                      <w:sz w:val="16"/>
                      <w:szCs w:val="16"/>
                    </w:rPr>
                    <w:t>INIBINA (ISOXSUPRINA CLORIDRATO), DOSAGEM 5 MG/ML, FORMA FARMACÊUTICA SOLUÇÃO INJETÁVEL, AMPOLA COM 2 ML.</w:t>
                  </w:r>
                </w:p>
              </w:tc>
              <w:tc>
                <w:tcPr>
                  <w:tcW w:w="965" w:type="pct"/>
                  <w:vAlign w:val="center"/>
                </w:tcPr>
                <w:p w14:paraId="7D3E1B6C">
                  <w:pPr>
                    <w:pStyle w:val="80"/>
                    <w:ind w:left="54" w:right="34"/>
                    <w:rPr>
                      <w:sz w:val="16"/>
                      <w:szCs w:val="16"/>
                    </w:rPr>
                  </w:pPr>
                  <w:r>
                    <w:rPr>
                      <w:color w:val="000000"/>
                      <w:sz w:val="16"/>
                      <w:szCs w:val="16"/>
                    </w:rPr>
                    <w:t>AMPOLA</w:t>
                  </w:r>
                </w:p>
              </w:tc>
              <w:tc>
                <w:tcPr>
                  <w:tcW w:w="527" w:type="pct"/>
                  <w:vAlign w:val="center"/>
                </w:tcPr>
                <w:p w14:paraId="52AEF119">
                  <w:pPr>
                    <w:pStyle w:val="80"/>
                    <w:ind w:left="54" w:right="34"/>
                    <w:rPr>
                      <w:sz w:val="16"/>
                      <w:szCs w:val="16"/>
                    </w:rPr>
                  </w:pPr>
                  <w:r>
                    <w:rPr>
                      <w:color w:val="000000"/>
                      <w:sz w:val="16"/>
                      <w:szCs w:val="16"/>
                    </w:rPr>
                    <w:t>500</w:t>
                  </w:r>
                </w:p>
              </w:tc>
            </w:tr>
            <w:tr w14:paraId="11CD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BB04225">
                  <w:pPr>
                    <w:jc w:val="center"/>
                    <w:rPr>
                      <w:sz w:val="16"/>
                      <w:szCs w:val="16"/>
                    </w:rPr>
                  </w:pPr>
                  <w:r>
                    <w:rPr>
                      <w:color w:val="000000"/>
                      <w:sz w:val="16"/>
                      <w:szCs w:val="16"/>
                    </w:rPr>
                    <w:t>31</w:t>
                  </w:r>
                </w:p>
              </w:tc>
              <w:tc>
                <w:tcPr>
                  <w:tcW w:w="3030" w:type="pct"/>
                  <w:vAlign w:val="center"/>
                </w:tcPr>
                <w:p w14:paraId="43E65996">
                  <w:pPr>
                    <w:pStyle w:val="80"/>
                    <w:spacing w:line="230" w:lineRule="atLeast"/>
                    <w:jc w:val="both"/>
                    <w:rPr>
                      <w:sz w:val="16"/>
                      <w:szCs w:val="16"/>
                    </w:rPr>
                  </w:pPr>
                  <w:r>
                    <w:rPr>
                      <w:color w:val="000000"/>
                      <w:sz w:val="16"/>
                      <w:szCs w:val="16"/>
                    </w:rPr>
                    <w:t>LIDOCAÍNA CLORIDRATO, DOSAGEM 2%, APRESENTAÇÃO GELÉIA, BISNAGA DE 30 G.</w:t>
                  </w:r>
                </w:p>
              </w:tc>
              <w:tc>
                <w:tcPr>
                  <w:tcW w:w="965" w:type="pct"/>
                  <w:vAlign w:val="center"/>
                </w:tcPr>
                <w:p w14:paraId="7707A8A7">
                  <w:pPr>
                    <w:pStyle w:val="80"/>
                    <w:ind w:left="54" w:right="34"/>
                    <w:rPr>
                      <w:sz w:val="16"/>
                      <w:szCs w:val="16"/>
                    </w:rPr>
                  </w:pPr>
                  <w:r>
                    <w:rPr>
                      <w:color w:val="000000"/>
                      <w:sz w:val="16"/>
                      <w:szCs w:val="16"/>
                    </w:rPr>
                    <w:t>BISNAGA</w:t>
                  </w:r>
                </w:p>
              </w:tc>
              <w:tc>
                <w:tcPr>
                  <w:tcW w:w="527" w:type="pct"/>
                  <w:vAlign w:val="center"/>
                </w:tcPr>
                <w:p w14:paraId="7BDE14B6">
                  <w:pPr>
                    <w:pStyle w:val="80"/>
                    <w:ind w:left="54" w:right="34"/>
                    <w:rPr>
                      <w:sz w:val="16"/>
                      <w:szCs w:val="16"/>
                    </w:rPr>
                  </w:pPr>
                  <w:r>
                    <w:rPr>
                      <w:color w:val="000000"/>
                      <w:sz w:val="16"/>
                      <w:szCs w:val="16"/>
                    </w:rPr>
                    <w:t>250</w:t>
                  </w:r>
                </w:p>
              </w:tc>
            </w:tr>
            <w:tr w14:paraId="6DCC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15010062">
                  <w:pPr>
                    <w:jc w:val="center"/>
                    <w:rPr>
                      <w:sz w:val="16"/>
                      <w:szCs w:val="16"/>
                    </w:rPr>
                  </w:pPr>
                  <w:r>
                    <w:rPr>
                      <w:color w:val="000000"/>
                      <w:sz w:val="16"/>
                      <w:szCs w:val="16"/>
                    </w:rPr>
                    <w:t>32</w:t>
                  </w:r>
                </w:p>
              </w:tc>
              <w:tc>
                <w:tcPr>
                  <w:tcW w:w="3030" w:type="pct"/>
                  <w:vAlign w:val="center"/>
                </w:tcPr>
                <w:p w14:paraId="62787788">
                  <w:pPr>
                    <w:pStyle w:val="80"/>
                    <w:spacing w:line="230" w:lineRule="atLeast"/>
                    <w:jc w:val="both"/>
                    <w:rPr>
                      <w:sz w:val="16"/>
                      <w:szCs w:val="16"/>
                    </w:rPr>
                  </w:pPr>
                  <w:r>
                    <w:rPr>
                      <w:color w:val="000000"/>
                      <w:sz w:val="16"/>
                      <w:szCs w:val="16"/>
                    </w:rPr>
                    <w:t>METFORMINA CLORIDRATO 850 MG.</w:t>
                  </w:r>
                </w:p>
              </w:tc>
              <w:tc>
                <w:tcPr>
                  <w:tcW w:w="965" w:type="pct"/>
                  <w:vAlign w:val="center"/>
                </w:tcPr>
                <w:p w14:paraId="428E84A2">
                  <w:pPr>
                    <w:pStyle w:val="80"/>
                    <w:ind w:left="54" w:right="34"/>
                    <w:rPr>
                      <w:sz w:val="16"/>
                      <w:szCs w:val="16"/>
                    </w:rPr>
                  </w:pPr>
                  <w:r>
                    <w:rPr>
                      <w:color w:val="000000"/>
                      <w:sz w:val="16"/>
                      <w:szCs w:val="16"/>
                    </w:rPr>
                    <w:t>COMPRIMIDO</w:t>
                  </w:r>
                </w:p>
              </w:tc>
              <w:tc>
                <w:tcPr>
                  <w:tcW w:w="527" w:type="pct"/>
                  <w:vAlign w:val="center"/>
                </w:tcPr>
                <w:p w14:paraId="708307BA">
                  <w:pPr>
                    <w:pStyle w:val="80"/>
                    <w:ind w:left="54" w:right="34"/>
                    <w:rPr>
                      <w:sz w:val="16"/>
                      <w:szCs w:val="16"/>
                    </w:rPr>
                  </w:pPr>
                  <w:r>
                    <w:rPr>
                      <w:color w:val="000000"/>
                      <w:sz w:val="16"/>
                      <w:szCs w:val="16"/>
                    </w:rPr>
                    <w:t>2500</w:t>
                  </w:r>
                </w:p>
              </w:tc>
            </w:tr>
            <w:tr w14:paraId="524C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527FE9D6">
                  <w:pPr>
                    <w:jc w:val="center"/>
                    <w:rPr>
                      <w:sz w:val="16"/>
                      <w:szCs w:val="16"/>
                    </w:rPr>
                  </w:pPr>
                  <w:r>
                    <w:rPr>
                      <w:color w:val="000000"/>
                      <w:sz w:val="16"/>
                      <w:szCs w:val="16"/>
                    </w:rPr>
                    <w:t>33</w:t>
                  </w:r>
                </w:p>
              </w:tc>
              <w:tc>
                <w:tcPr>
                  <w:tcW w:w="3030" w:type="pct"/>
                  <w:vAlign w:val="center"/>
                </w:tcPr>
                <w:p w14:paraId="103A97ED">
                  <w:pPr>
                    <w:pStyle w:val="80"/>
                    <w:spacing w:line="230" w:lineRule="atLeast"/>
                    <w:jc w:val="both"/>
                    <w:rPr>
                      <w:sz w:val="16"/>
                      <w:szCs w:val="16"/>
                    </w:rPr>
                  </w:pPr>
                  <w:r>
                    <w:rPr>
                      <w:color w:val="000000"/>
                      <w:sz w:val="16"/>
                      <w:szCs w:val="16"/>
                    </w:rPr>
                    <w:t>METILDOPA, DOSAGEM 500 MG.</w:t>
                  </w:r>
                </w:p>
              </w:tc>
              <w:tc>
                <w:tcPr>
                  <w:tcW w:w="965" w:type="pct"/>
                  <w:vAlign w:val="center"/>
                </w:tcPr>
                <w:p w14:paraId="32E32921">
                  <w:pPr>
                    <w:pStyle w:val="80"/>
                    <w:ind w:left="54" w:right="34"/>
                    <w:rPr>
                      <w:sz w:val="16"/>
                      <w:szCs w:val="16"/>
                    </w:rPr>
                  </w:pPr>
                  <w:r>
                    <w:rPr>
                      <w:color w:val="000000"/>
                      <w:sz w:val="16"/>
                      <w:szCs w:val="16"/>
                    </w:rPr>
                    <w:t>COMPRIMIDO</w:t>
                  </w:r>
                </w:p>
              </w:tc>
              <w:tc>
                <w:tcPr>
                  <w:tcW w:w="527" w:type="pct"/>
                  <w:vAlign w:val="center"/>
                </w:tcPr>
                <w:p w14:paraId="4FAD9C25">
                  <w:pPr>
                    <w:pStyle w:val="80"/>
                    <w:ind w:left="54" w:right="34"/>
                    <w:rPr>
                      <w:sz w:val="16"/>
                      <w:szCs w:val="16"/>
                    </w:rPr>
                  </w:pPr>
                  <w:r>
                    <w:rPr>
                      <w:color w:val="000000"/>
                      <w:sz w:val="16"/>
                      <w:szCs w:val="16"/>
                    </w:rPr>
                    <w:t>300</w:t>
                  </w:r>
                </w:p>
              </w:tc>
            </w:tr>
            <w:tr w14:paraId="2F3A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F02BD81">
                  <w:pPr>
                    <w:jc w:val="center"/>
                    <w:rPr>
                      <w:sz w:val="16"/>
                      <w:szCs w:val="16"/>
                    </w:rPr>
                  </w:pPr>
                  <w:r>
                    <w:rPr>
                      <w:color w:val="000000"/>
                      <w:sz w:val="16"/>
                      <w:szCs w:val="16"/>
                    </w:rPr>
                    <w:t>34</w:t>
                  </w:r>
                </w:p>
              </w:tc>
              <w:tc>
                <w:tcPr>
                  <w:tcW w:w="3030" w:type="pct"/>
                  <w:vAlign w:val="center"/>
                </w:tcPr>
                <w:p w14:paraId="372CD7C7">
                  <w:pPr>
                    <w:pStyle w:val="80"/>
                    <w:spacing w:line="230" w:lineRule="atLeast"/>
                    <w:jc w:val="both"/>
                    <w:rPr>
                      <w:sz w:val="16"/>
                      <w:szCs w:val="16"/>
                    </w:rPr>
                  </w:pPr>
                  <w:r>
                    <w:rPr>
                      <w:color w:val="000000"/>
                      <w:sz w:val="16"/>
                      <w:szCs w:val="16"/>
                    </w:rPr>
                    <w:t>METRONIDAZOL, DOSAGEM 250 MG.</w:t>
                  </w:r>
                </w:p>
              </w:tc>
              <w:tc>
                <w:tcPr>
                  <w:tcW w:w="965" w:type="pct"/>
                  <w:vAlign w:val="center"/>
                </w:tcPr>
                <w:p w14:paraId="4E5EC5EF">
                  <w:pPr>
                    <w:pStyle w:val="80"/>
                    <w:ind w:left="54" w:right="34"/>
                    <w:rPr>
                      <w:sz w:val="16"/>
                      <w:szCs w:val="16"/>
                    </w:rPr>
                  </w:pPr>
                  <w:r>
                    <w:rPr>
                      <w:color w:val="000000"/>
                      <w:sz w:val="16"/>
                      <w:szCs w:val="16"/>
                    </w:rPr>
                    <w:t>COMPRIMIDO</w:t>
                  </w:r>
                </w:p>
              </w:tc>
              <w:tc>
                <w:tcPr>
                  <w:tcW w:w="527" w:type="pct"/>
                  <w:vAlign w:val="center"/>
                </w:tcPr>
                <w:p w14:paraId="24DC3718">
                  <w:pPr>
                    <w:pStyle w:val="80"/>
                    <w:ind w:left="54" w:right="34"/>
                    <w:rPr>
                      <w:sz w:val="16"/>
                      <w:szCs w:val="16"/>
                    </w:rPr>
                  </w:pPr>
                  <w:r>
                    <w:rPr>
                      <w:color w:val="000000"/>
                      <w:sz w:val="16"/>
                      <w:szCs w:val="16"/>
                    </w:rPr>
                    <w:t>200</w:t>
                  </w:r>
                </w:p>
              </w:tc>
            </w:tr>
            <w:tr w14:paraId="4778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6DDAAC04">
                  <w:pPr>
                    <w:jc w:val="center"/>
                    <w:rPr>
                      <w:sz w:val="16"/>
                      <w:szCs w:val="16"/>
                    </w:rPr>
                  </w:pPr>
                  <w:r>
                    <w:rPr>
                      <w:color w:val="000000"/>
                      <w:sz w:val="16"/>
                      <w:szCs w:val="16"/>
                    </w:rPr>
                    <w:t>35</w:t>
                  </w:r>
                </w:p>
              </w:tc>
              <w:tc>
                <w:tcPr>
                  <w:tcW w:w="3030" w:type="pct"/>
                  <w:vAlign w:val="center"/>
                </w:tcPr>
                <w:p w14:paraId="7906198C">
                  <w:pPr>
                    <w:pStyle w:val="80"/>
                    <w:spacing w:line="230" w:lineRule="atLeast"/>
                    <w:jc w:val="both"/>
                    <w:rPr>
                      <w:sz w:val="16"/>
                      <w:szCs w:val="16"/>
                    </w:rPr>
                  </w:pPr>
                  <w:r>
                    <w:rPr>
                      <w:color w:val="000000"/>
                      <w:sz w:val="16"/>
                      <w:szCs w:val="16"/>
                    </w:rPr>
                    <w:t>NEOCAÍNA PESADA (BUPIVACAÍNA CLORIDRATO), PUREZA 0,5%, APRESENTAÇÃO SOLUÇÃO INJETÁVEL, FRASCO DE 20 ML.</w:t>
                  </w:r>
                </w:p>
              </w:tc>
              <w:tc>
                <w:tcPr>
                  <w:tcW w:w="965" w:type="pct"/>
                  <w:vAlign w:val="center"/>
                </w:tcPr>
                <w:p w14:paraId="7A0F190D">
                  <w:pPr>
                    <w:pStyle w:val="80"/>
                    <w:ind w:left="54" w:right="34"/>
                    <w:rPr>
                      <w:sz w:val="16"/>
                      <w:szCs w:val="16"/>
                    </w:rPr>
                  </w:pPr>
                  <w:r>
                    <w:rPr>
                      <w:color w:val="000000"/>
                      <w:sz w:val="16"/>
                      <w:szCs w:val="16"/>
                    </w:rPr>
                    <w:t>FRASCO</w:t>
                  </w:r>
                </w:p>
              </w:tc>
              <w:tc>
                <w:tcPr>
                  <w:tcW w:w="527" w:type="pct"/>
                  <w:vAlign w:val="center"/>
                </w:tcPr>
                <w:p w14:paraId="3040F80B">
                  <w:pPr>
                    <w:pStyle w:val="80"/>
                    <w:ind w:left="54" w:right="34"/>
                    <w:rPr>
                      <w:sz w:val="16"/>
                      <w:szCs w:val="16"/>
                    </w:rPr>
                  </w:pPr>
                  <w:r>
                    <w:rPr>
                      <w:color w:val="000000"/>
                      <w:sz w:val="16"/>
                      <w:szCs w:val="16"/>
                    </w:rPr>
                    <w:t>3000</w:t>
                  </w:r>
                </w:p>
              </w:tc>
            </w:tr>
            <w:tr w14:paraId="7C3E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7443EE01">
                  <w:pPr>
                    <w:jc w:val="center"/>
                    <w:rPr>
                      <w:sz w:val="16"/>
                      <w:szCs w:val="16"/>
                    </w:rPr>
                  </w:pPr>
                  <w:r>
                    <w:rPr>
                      <w:color w:val="000000"/>
                      <w:sz w:val="16"/>
                      <w:szCs w:val="16"/>
                    </w:rPr>
                    <w:t>36</w:t>
                  </w:r>
                </w:p>
              </w:tc>
              <w:tc>
                <w:tcPr>
                  <w:tcW w:w="3030" w:type="pct"/>
                  <w:vAlign w:val="center"/>
                </w:tcPr>
                <w:p w14:paraId="6D0E8A21">
                  <w:pPr>
                    <w:pStyle w:val="80"/>
                    <w:spacing w:line="230" w:lineRule="atLeast"/>
                    <w:jc w:val="both"/>
                    <w:rPr>
                      <w:sz w:val="16"/>
                      <w:szCs w:val="16"/>
                    </w:rPr>
                  </w:pPr>
                  <w:r>
                    <w:rPr>
                      <w:color w:val="000000"/>
                      <w:sz w:val="16"/>
                      <w:szCs w:val="16"/>
                    </w:rPr>
                    <w:t>NISTATINA, DOSAGEM 25.000 UI/G, APRESENTAÇÃO CREME VAGINAL, BISNAGA DE 60 G.</w:t>
                  </w:r>
                </w:p>
              </w:tc>
              <w:tc>
                <w:tcPr>
                  <w:tcW w:w="965" w:type="pct"/>
                  <w:vAlign w:val="center"/>
                </w:tcPr>
                <w:p w14:paraId="61D6183C">
                  <w:pPr>
                    <w:pStyle w:val="80"/>
                    <w:ind w:left="54" w:right="34"/>
                    <w:rPr>
                      <w:sz w:val="16"/>
                      <w:szCs w:val="16"/>
                    </w:rPr>
                  </w:pPr>
                  <w:r>
                    <w:rPr>
                      <w:color w:val="000000"/>
                      <w:sz w:val="16"/>
                      <w:szCs w:val="16"/>
                    </w:rPr>
                    <w:t>BISNAGA</w:t>
                  </w:r>
                </w:p>
              </w:tc>
              <w:tc>
                <w:tcPr>
                  <w:tcW w:w="527" w:type="pct"/>
                  <w:vAlign w:val="center"/>
                </w:tcPr>
                <w:p w14:paraId="6D6CA690">
                  <w:pPr>
                    <w:pStyle w:val="80"/>
                    <w:ind w:left="54" w:right="34"/>
                    <w:rPr>
                      <w:sz w:val="16"/>
                      <w:szCs w:val="16"/>
                    </w:rPr>
                  </w:pPr>
                  <w:r>
                    <w:rPr>
                      <w:color w:val="000000"/>
                      <w:sz w:val="16"/>
                      <w:szCs w:val="16"/>
                    </w:rPr>
                    <w:t>1000</w:t>
                  </w:r>
                </w:p>
              </w:tc>
            </w:tr>
            <w:tr w14:paraId="35EA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0FE43D67">
                  <w:pPr>
                    <w:jc w:val="center"/>
                    <w:rPr>
                      <w:sz w:val="16"/>
                      <w:szCs w:val="16"/>
                    </w:rPr>
                  </w:pPr>
                  <w:r>
                    <w:rPr>
                      <w:color w:val="000000"/>
                      <w:sz w:val="16"/>
                      <w:szCs w:val="16"/>
                    </w:rPr>
                    <w:t>37</w:t>
                  </w:r>
                </w:p>
              </w:tc>
              <w:tc>
                <w:tcPr>
                  <w:tcW w:w="3030" w:type="pct"/>
                  <w:vAlign w:val="center"/>
                </w:tcPr>
                <w:p w14:paraId="42143FE8">
                  <w:pPr>
                    <w:pStyle w:val="80"/>
                    <w:spacing w:line="230" w:lineRule="atLeast"/>
                    <w:jc w:val="both"/>
                    <w:rPr>
                      <w:sz w:val="16"/>
                      <w:szCs w:val="16"/>
                    </w:rPr>
                  </w:pPr>
                  <w:r>
                    <w:rPr>
                      <w:color w:val="000000"/>
                      <w:sz w:val="16"/>
                      <w:szCs w:val="16"/>
                    </w:rPr>
                    <w:t>ÓLEO DE GIRASSOL, FRASCO DE 100 ML (ÁCIDOS GRAXOS ESSENCIAIS, COMPOSIÇÃO ÓLEO DE GIRASSOL E VITAMINAS, FORMA FARMACÊUTICA).</w:t>
                  </w:r>
                </w:p>
              </w:tc>
              <w:tc>
                <w:tcPr>
                  <w:tcW w:w="965" w:type="pct"/>
                  <w:vAlign w:val="center"/>
                </w:tcPr>
                <w:p w14:paraId="1DE4768F">
                  <w:pPr>
                    <w:pStyle w:val="80"/>
                    <w:ind w:left="54" w:right="34"/>
                    <w:rPr>
                      <w:sz w:val="16"/>
                      <w:szCs w:val="16"/>
                    </w:rPr>
                  </w:pPr>
                  <w:r>
                    <w:rPr>
                      <w:color w:val="000000"/>
                      <w:sz w:val="16"/>
                      <w:szCs w:val="16"/>
                    </w:rPr>
                    <w:t>FRASCO</w:t>
                  </w:r>
                </w:p>
              </w:tc>
              <w:tc>
                <w:tcPr>
                  <w:tcW w:w="527" w:type="pct"/>
                  <w:vAlign w:val="center"/>
                </w:tcPr>
                <w:p w14:paraId="60A5062B">
                  <w:pPr>
                    <w:pStyle w:val="80"/>
                    <w:ind w:left="54" w:right="34"/>
                    <w:rPr>
                      <w:sz w:val="16"/>
                      <w:szCs w:val="16"/>
                    </w:rPr>
                  </w:pPr>
                  <w:r>
                    <w:rPr>
                      <w:color w:val="000000"/>
                      <w:sz w:val="16"/>
                      <w:szCs w:val="16"/>
                    </w:rPr>
                    <w:t>400</w:t>
                  </w:r>
                </w:p>
              </w:tc>
            </w:tr>
            <w:tr w14:paraId="0273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0008CC9F">
                  <w:pPr>
                    <w:jc w:val="center"/>
                    <w:rPr>
                      <w:sz w:val="16"/>
                      <w:szCs w:val="16"/>
                    </w:rPr>
                  </w:pPr>
                  <w:r>
                    <w:rPr>
                      <w:color w:val="000000"/>
                      <w:sz w:val="16"/>
                      <w:szCs w:val="16"/>
                    </w:rPr>
                    <w:t>38</w:t>
                  </w:r>
                </w:p>
              </w:tc>
              <w:tc>
                <w:tcPr>
                  <w:tcW w:w="3030" w:type="pct"/>
                  <w:vAlign w:val="center"/>
                </w:tcPr>
                <w:p w14:paraId="6C9E92FA">
                  <w:pPr>
                    <w:pStyle w:val="80"/>
                    <w:spacing w:line="230" w:lineRule="atLeast"/>
                    <w:jc w:val="both"/>
                    <w:rPr>
                      <w:sz w:val="16"/>
                      <w:szCs w:val="16"/>
                    </w:rPr>
                  </w:pPr>
                  <w:r>
                    <w:rPr>
                      <w:color w:val="000000"/>
                      <w:sz w:val="16"/>
                      <w:szCs w:val="16"/>
                    </w:rPr>
                    <w:t>PARACETAMOL, DOSAGEM SOLUÇÃO ORAL 200 MG/ML, APRESENTAÇÃO SOLUÇÃO ORAL, FRASCO DE 20 ML.</w:t>
                  </w:r>
                </w:p>
              </w:tc>
              <w:tc>
                <w:tcPr>
                  <w:tcW w:w="965" w:type="pct"/>
                  <w:vAlign w:val="center"/>
                </w:tcPr>
                <w:p w14:paraId="1A7968E6">
                  <w:pPr>
                    <w:pStyle w:val="80"/>
                    <w:ind w:left="54" w:right="34"/>
                    <w:rPr>
                      <w:sz w:val="16"/>
                      <w:szCs w:val="16"/>
                    </w:rPr>
                  </w:pPr>
                  <w:r>
                    <w:rPr>
                      <w:color w:val="000000"/>
                      <w:sz w:val="16"/>
                      <w:szCs w:val="16"/>
                    </w:rPr>
                    <w:t>FRASCO</w:t>
                  </w:r>
                </w:p>
              </w:tc>
              <w:tc>
                <w:tcPr>
                  <w:tcW w:w="527" w:type="pct"/>
                  <w:vAlign w:val="center"/>
                </w:tcPr>
                <w:p w14:paraId="3EBA0C35">
                  <w:pPr>
                    <w:pStyle w:val="80"/>
                    <w:ind w:left="54" w:right="34"/>
                    <w:rPr>
                      <w:sz w:val="16"/>
                      <w:szCs w:val="16"/>
                    </w:rPr>
                  </w:pPr>
                  <w:r>
                    <w:rPr>
                      <w:color w:val="000000"/>
                      <w:sz w:val="16"/>
                      <w:szCs w:val="16"/>
                    </w:rPr>
                    <w:t>450</w:t>
                  </w:r>
                </w:p>
              </w:tc>
            </w:tr>
            <w:tr w14:paraId="4E47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15A4416C">
                  <w:pPr>
                    <w:jc w:val="center"/>
                    <w:rPr>
                      <w:sz w:val="16"/>
                      <w:szCs w:val="16"/>
                    </w:rPr>
                  </w:pPr>
                  <w:r>
                    <w:rPr>
                      <w:color w:val="000000"/>
                      <w:sz w:val="16"/>
                      <w:szCs w:val="16"/>
                    </w:rPr>
                    <w:t>39</w:t>
                  </w:r>
                </w:p>
              </w:tc>
              <w:tc>
                <w:tcPr>
                  <w:tcW w:w="3030" w:type="pct"/>
                  <w:vAlign w:val="center"/>
                </w:tcPr>
                <w:p w14:paraId="596E7EE3">
                  <w:pPr>
                    <w:pStyle w:val="80"/>
                    <w:spacing w:line="230" w:lineRule="atLeast"/>
                    <w:jc w:val="both"/>
                    <w:rPr>
                      <w:sz w:val="16"/>
                      <w:szCs w:val="16"/>
                    </w:rPr>
                  </w:pPr>
                  <w:r>
                    <w:rPr>
                      <w:color w:val="000000"/>
                      <w:sz w:val="16"/>
                      <w:szCs w:val="16"/>
                    </w:rPr>
                    <w:t>POVIDINE TÓPICO (IODOPOVIDONA) (PVPI), CONCENTRAÇÃO A 10% (TEOR DE IODO 1%), FORMA FARMACÊUTICA SOLUÇÃO TÓPICA AQUOSA, FRASCO DE 100 ML.</w:t>
                  </w:r>
                </w:p>
              </w:tc>
              <w:tc>
                <w:tcPr>
                  <w:tcW w:w="965" w:type="pct"/>
                  <w:vAlign w:val="center"/>
                </w:tcPr>
                <w:p w14:paraId="7F06B336">
                  <w:pPr>
                    <w:pStyle w:val="80"/>
                    <w:ind w:left="54" w:right="34"/>
                    <w:rPr>
                      <w:sz w:val="16"/>
                      <w:szCs w:val="16"/>
                    </w:rPr>
                  </w:pPr>
                  <w:r>
                    <w:rPr>
                      <w:color w:val="000000"/>
                      <w:sz w:val="16"/>
                      <w:szCs w:val="16"/>
                    </w:rPr>
                    <w:t>FRASCO</w:t>
                  </w:r>
                </w:p>
              </w:tc>
              <w:tc>
                <w:tcPr>
                  <w:tcW w:w="527" w:type="pct"/>
                  <w:vAlign w:val="center"/>
                </w:tcPr>
                <w:p w14:paraId="3F161C46">
                  <w:pPr>
                    <w:pStyle w:val="80"/>
                    <w:ind w:left="54" w:right="34"/>
                    <w:rPr>
                      <w:sz w:val="16"/>
                      <w:szCs w:val="16"/>
                    </w:rPr>
                  </w:pPr>
                  <w:r>
                    <w:rPr>
                      <w:color w:val="000000"/>
                      <w:sz w:val="16"/>
                      <w:szCs w:val="16"/>
                    </w:rPr>
                    <w:t>150</w:t>
                  </w:r>
                </w:p>
              </w:tc>
            </w:tr>
            <w:tr w14:paraId="18C5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264A9959">
                  <w:pPr>
                    <w:jc w:val="center"/>
                    <w:rPr>
                      <w:color w:val="000000"/>
                      <w:sz w:val="16"/>
                      <w:szCs w:val="16"/>
                    </w:rPr>
                  </w:pPr>
                  <w:r>
                    <w:rPr>
                      <w:color w:val="000000"/>
                      <w:sz w:val="16"/>
                      <w:szCs w:val="16"/>
                    </w:rPr>
                    <w:t>40</w:t>
                  </w:r>
                </w:p>
              </w:tc>
              <w:tc>
                <w:tcPr>
                  <w:tcW w:w="3030" w:type="pct"/>
                  <w:vAlign w:val="center"/>
                </w:tcPr>
                <w:p w14:paraId="16E9A8B3">
                  <w:pPr>
                    <w:pStyle w:val="80"/>
                    <w:spacing w:line="230" w:lineRule="atLeast"/>
                    <w:jc w:val="both"/>
                    <w:rPr>
                      <w:color w:val="000000"/>
                      <w:sz w:val="16"/>
                      <w:szCs w:val="16"/>
                      <w:lang w:eastAsia="pt-BR"/>
                    </w:rPr>
                  </w:pPr>
                  <w:r>
                    <w:rPr>
                      <w:color w:val="000000"/>
                      <w:sz w:val="16"/>
                      <w:szCs w:val="16"/>
                    </w:rPr>
                    <w:t>SULFADIAZINA, DE PRATA, 1%, CREME, POTE 400 G.</w:t>
                  </w:r>
                </w:p>
              </w:tc>
              <w:tc>
                <w:tcPr>
                  <w:tcW w:w="965" w:type="pct"/>
                  <w:vAlign w:val="center"/>
                </w:tcPr>
                <w:p w14:paraId="1CF9ABCD">
                  <w:pPr>
                    <w:pStyle w:val="80"/>
                    <w:ind w:left="54" w:right="34"/>
                    <w:rPr>
                      <w:color w:val="000000"/>
                      <w:sz w:val="16"/>
                      <w:szCs w:val="16"/>
                      <w:lang w:eastAsia="pt-BR"/>
                    </w:rPr>
                  </w:pPr>
                  <w:r>
                    <w:rPr>
                      <w:color w:val="000000"/>
                      <w:sz w:val="16"/>
                      <w:szCs w:val="16"/>
                    </w:rPr>
                    <w:t>POTE</w:t>
                  </w:r>
                </w:p>
              </w:tc>
              <w:tc>
                <w:tcPr>
                  <w:tcW w:w="527" w:type="pct"/>
                  <w:vAlign w:val="center"/>
                </w:tcPr>
                <w:p w14:paraId="3140A9F8">
                  <w:pPr>
                    <w:pStyle w:val="80"/>
                    <w:ind w:left="54" w:right="34"/>
                    <w:rPr>
                      <w:color w:val="000000"/>
                      <w:sz w:val="16"/>
                      <w:szCs w:val="16"/>
                      <w:lang w:eastAsia="pt-BR"/>
                    </w:rPr>
                  </w:pPr>
                  <w:r>
                    <w:rPr>
                      <w:color w:val="000000"/>
                      <w:sz w:val="16"/>
                      <w:szCs w:val="16"/>
                    </w:rPr>
                    <w:t>90</w:t>
                  </w:r>
                </w:p>
              </w:tc>
            </w:tr>
            <w:tr w14:paraId="4BD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68434B66">
                  <w:pPr>
                    <w:jc w:val="center"/>
                    <w:rPr>
                      <w:color w:val="000000"/>
                      <w:sz w:val="16"/>
                      <w:szCs w:val="16"/>
                    </w:rPr>
                  </w:pPr>
                  <w:r>
                    <w:rPr>
                      <w:color w:val="000000"/>
                      <w:sz w:val="16"/>
                      <w:szCs w:val="16"/>
                    </w:rPr>
                    <w:t>41</w:t>
                  </w:r>
                </w:p>
              </w:tc>
              <w:tc>
                <w:tcPr>
                  <w:tcW w:w="3030" w:type="pct"/>
                  <w:vAlign w:val="center"/>
                </w:tcPr>
                <w:p w14:paraId="78B07E4A">
                  <w:pPr>
                    <w:pStyle w:val="80"/>
                    <w:spacing w:line="230" w:lineRule="atLeast"/>
                    <w:jc w:val="both"/>
                    <w:rPr>
                      <w:color w:val="000000"/>
                      <w:sz w:val="16"/>
                      <w:szCs w:val="16"/>
                      <w:lang w:eastAsia="pt-BR"/>
                    </w:rPr>
                  </w:pPr>
                  <w:r>
                    <w:rPr>
                      <w:color w:val="000000"/>
                      <w:sz w:val="16"/>
                      <w:szCs w:val="16"/>
                    </w:rPr>
                    <w:t>TENOXICAM, DOSAGEM 20 MG, INJETÁVEL, AMPOLA.</w:t>
                  </w:r>
                </w:p>
              </w:tc>
              <w:tc>
                <w:tcPr>
                  <w:tcW w:w="965" w:type="pct"/>
                  <w:vAlign w:val="center"/>
                </w:tcPr>
                <w:p w14:paraId="25E9CEDA">
                  <w:pPr>
                    <w:pStyle w:val="80"/>
                    <w:ind w:left="54" w:right="34"/>
                    <w:rPr>
                      <w:color w:val="000000"/>
                      <w:sz w:val="16"/>
                      <w:szCs w:val="16"/>
                      <w:lang w:eastAsia="pt-BR"/>
                    </w:rPr>
                  </w:pPr>
                  <w:r>
                    <w:rPr>
                      <w:color w:val="000000"/>
                      <w:sz w:val="16"/>
                      <w:szCs w:val="16"/>
                    </w:rPr>
                    <w:t>AMPOLA</w:t>
                  </w:r>
                </w:p>
              </w:tc>
              <w:tc>
                <w:tcPr>
                  <w:tcW w:w="527" w:type="pct"/>
                  <w:vAlign w:val="center"/>
                </w:tcPr>
                <w:p w14:paraId="15B13F50">
                  <w:pPr>
                    <w:pStyle w:val="80"/>
                    <w:ind w:left="54" w:right="34"/>
                    <w:rPr>
                      <w:color w:val="000000"/>
                      <w:sz w:val="16"/>
                      <w:szCs w:val="16"/>
                      <w:lang w:eastAsia="pt-BR"/>
                    </w:rPr>
                  </w:pPr>
                  <w:r>
                    <w:rPr>
                      <w:color w:val="000000"/>
                      <w:sz w:val="16"/>
                      <w:szCs w:val="16"/>
                    </w:rPr>
                    <w:t>6000</w:t>
                  </w:r>
                </w:p>
              </w:tc>
            </w:tr>
            <w:tr w14:paraId="77CB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053CA066">
                  <w:pPr>
                    <w:jc w:val="center"/>
                    <w:rPr>
                      <w:color w:val="000000"/>
                      <w:sz w:val="16"/>
                      <w:szCs w:val="16"/>
                    </w:rPr>
                  </w:pPr>
                  <w:r>
                    <w:rPr>
                      <w:color w:val="000000"/>
                      <w:sz w:val="16"/>
                      <w:szCs w:val="16"/>
                    </w:rPr>
                    <w:t>42</w:t>
                  </w:r>
                </w:p>
              </w:tc>
              <w:tc>
                <w:tcPr>
                  <w:tcW w:w="3030" w:type="pct"/>
                  <w:vAlign w:val="center"/>
                </w:tcPr>
                <w:p w14:paraId="01E21FC2">
                  <w:pPr>
                    <w:pStyle w:val="80"/>
                    <w:spacing w:line="230" w:lineRule="atLeast"/>
                    <w:jc w:val="both"/>
                    <w:rPr>
                      <w:color w:val="000000"/>
                      <w:sz w:val="16"/>
                      <w:szCs w:val="16"/>
                      <w:lang w:eastAsia="pt-BR"/>
                    </w:rPr>
                  </w:pPr>
                  <w:r>
                    <w:rPr>
                      <w:color w:val="000000"/>
                      <w:sz w:val="16"/>
                      <w:szCs w:val="16"/>
                    </w:rPr>
                    <w:t>VERSA (ENOXAPARINA), DOSAGEM 40MG/0,4 ML, INDICAÇÃO INJETÁVEL.</w:t>
                  </w:r>
                </w:p>
              </w:tc>
              <w:tc>
                <w:tcPr>
                  <w:tcW w:w="965" w:type="pct"/>
                  <w:vAlign w:val="center"/>
                </w:tcPr>
                <w:p w14:paraId="5AE8F984">
                  <w:pPr>
                    <w:pStyle w:val="80"/>
                    <w:ind w:left="54" w:right="34"/>
                    <w:rPr>
                      <w:color w:val="000000"/>
                      <w:sz w:val="16"/>
                      <w:szCs w:val="16"/>
                      <w:lang w:eastAsia="pt-BR"/>
                    </w:rPr>
                  </w:pPr>
                  <w:r>
                    <w:rPr>
                      <w:color w:val="000000"/>
                      <w:sz w:val="16"/>
                      <w:szCs w:val="16"/>
                    </w:rPr>
                    <w:t>UNIDADE</w:t>
                  </w:r>
                </w:p>
              </w:tc>
              <w:tc>
                <w:tcPr>
                  <w:tcW w:w="527" w:type="pct"/>
                  <w:vAlign w:val="center"/>
                </w:tcPr>
                <w:p w14:paraId="36B924F5">
                  <w:pPr>
                    <w:pStyle w:val="80"/>
                    <w:ind w:left="54" w:right="34"/>
                    <w:rPr>
                      <w:color w:val="000000"/>
                      <w:sz w:val="16"/>
                      <w:szCs w:val="16"/>
                      <w:lang w:eastAsia="pt-BR"/>
                    </w:rPr>
                  </w:pPr>
                  <w:r>
                    <w:rPr>
                      <w:color w:val="000000"/>
                      <w:sz w:val="16"/>
                      <w:szCs w:val="16"/>
                    </w:rPr>
                    <w:t>1000</w:t>
                  </w:r>
                </w:p>
              </w:tc>
            </w:tr>
            <w:tr w14:paraId="3622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58DEF6E4">
                  <w:pPr>
                    <w:jc w:val="center"/>
                    <w:rPr>
                      <w:color w:val="000000"/>
                      <w:sz w:val="16"/>
                      <w:szCs w:val="16"/>
                    </w:rPr>
                  </w:pPr>
                  <w:r>
                    <w:rPr>
                      <w:color w:val="000000"/>
                      <w:sz w:val="16"/>
                      <w:szCs w:val="16"/>
                    </w:rPr>
                    <w:t>43</w:t>
                  </w:r>
                </w:p>
              </w:tc>
              <w:tc>
                <w:tcPr>
                  <w:tcW w:w="3030" w:type="pct"/>
                  <w:vAlign w:val="center"/>
                </w:tcPr>
                <w:p w14:paraId="7CB27865">
                  <w:pPr>
                    <w:pStyle w:val="80"/>
                    <w:spacing w:line="230" w:lineRule="atLeast"/>
                    <w:jc w:val="both"/>
                    <w:rPr>
                      <w:color w:val="000000"/>
                      <w:sz w:val="16"/>
                      <w:szCs w:val="16"/>
                      <w:lang w:eastAsia="pt-BR"/>
                    </w:rPr>
                  </w:pPr>
                  <w:r>
                    <w:rPr>
                      <w:color w:val="000000"/>
                      <w:sz w:val="16"/>
                      <w:szCs w:val="16"/>
                    </w:rPr>
                    <w:t>VITAMINA K (FITOMENADIONA), 10 MG/ML, SOLUÇÃO INJETÁVEL, AMPOLA 1 ML.</w:t>
                  </w:r>
                </w:p>
              </w:tc>
              <w:tc>
                <w:tcPr>
                  <w:tcW w:w="965" w:type="pct"/>
                  <w:vAlign w:val="center"/>
                </w:tcPr>
                <w:p w14:paraId="65C1A649">
                  <w:pPr>
                    <w:pStyle w:val="80"/>
                    <w:ind w:left="54" w:right="34"/>
                    <w:rPr>
                      <w:color w:val="000000"/>
                      <w:sz w:val="16"/>
                      <w:szCs w:val="16"/>
                      <w:lang w:eastAsia="pt-BR"/>
                    </w:rPr>
                  </w:pPr>
                  <w:r>
                    <w:rPr>
                      <w:color w:val="000000"/>
                      <w:sz w:val="16"/>
                      <w:szCs w:val="16"/>
                    </w:rPr>
                    <w:t>AMPOLA</w:t>
                  </w:r>
                </w:p>
              </w:tc>
              <w:tc>
                <w:tcPr>
                  <w:tcW w:w="527" w:type="pct"/>
                  <w:vAlign w:val="center"/>
                </w:tcPr>
                <w:p w14:paraId="5115386D">
                  <w:pPr>
                    <w:pStyle w:val="80"/>
                    <w:ind w:left="54" w:right="34"/>
                    <w:rPr>
                      <w:color w:val="000000"/>
                      <w:sz w:val="16"/>
                      <w:szCs w:val="16"/>
                      <w:lang w:eastAsia="pt-BR"/>
                    </w:rPr>
                  </w:pPr>
                  <w:r>
                    <w:rPr>
                      <w:color w:val="000000"/>
                      <w:sz w:val="16"/>
                      <w:szCs w:val="16"/>
                    </w:rPr>
                    <w:t>4000</w:t>
                  </w:r>
                </w:p>
              </w:tc>
            </w:tr>
          </w:tbl>
          <w:p w14:paraId="68BDA24F">
            <w:pPr>
              <w:autoSpaceDE w:val="0"/>
              <w:autoSpaceDN w:val="0"/>
              <w:adjustRightInd w:val="0"/>
              <w:spacing w:before="240" w:after="120"/>
              <w:jc w:val="both"/>
              <w:rPr>
                <w:rFonts w:eastAsia="Calibri"/>
                <w:bCs/>
                <w:iCs/>
              </w:rPr>
            </w:pPr>
            <w:r>
              <w:rPr>
                <w:rFonts w:eastAsia="Calibri"/>
                <w:bCs/>
                <w:iCs/>
              </w:rPr>
              <w:t>Acrescenta-se que as quantidades informadas neste ETP será suficiente para atender a demanda do município de Trizidela do Vale – MA.</w:t>
            </w:r>
          </w:p>
        </w:tc>
      </w:tr>
      <w:tr w14:paraId="1028E7C2">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3DC247BD">
            <w:pPr>
              <w:autoSpaceDE w:val="0"/>
              <w:autoSpaceDN w:val="0"/>
              <w:adjustRightInd w:val="0"/>
              <w:spacing w:line="160" w:lineRule="exact"/>
              <w:jc w:val="center"/>
              <w:rPr>
                <w:sz w:val="18"/>
                <w:szCs w:val="18"/>
              </w:rPr>
            </w:pPr>
          </w:p>
          <w:p w14:paraId="792A6B56">
            <w:pPr>
              <w:autoSpaceDE w:val="0"/>
              <w:autoSpaceDN w:val="0"/>
              <w:adjustRightInd w:val="0"/>
              <w:spacing w:line="160" w:lineRule="exact"/>
              <w:jc w:val="center"/>
              <w:rPr>
                <w:sz w:val="18"/>
                <w:szCs w:val="18"/>
              </w:rPr>
            </w:pPr>
          </w:p>
          <w:p w14:paraId="6B64AC0A">
            <w:pPr>
              <w:autoSpaceDE w:val="0"/>
              <w:autoSpaceDN w:val="0"/>
              <w:adjustRightInd w:val="0"/>
              <w:spacing w:line="160" w:lineRule="exact"/>
              <w:jc w:val="center"/>
              <w:rPr>
                <w:sz w:val="18"/>
                <w:szCs w:val="18"/>
              </w:rPr>
            </w:pPr>
          </w:p>
        </w:tc>
      </w:tr>
      <w:tr w14:paraId="68E54B11">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shd w:val="solid" w:color="99CCFF" w:fill="auto"/>
            <w:vAlign w:val="center"/>
          </w:tcPr>
          <w:p w14:paraId="0C4FB527">
            <w:pPr>
              <w:autoSpaceDE w:val="0"/>
              <w:autoSpaceDN w:val="0"/>
              <w:adjustRightInd w:val="0"/>
            </w:pPr>
            <w:r>
              <w:rPr>
                <w:b/>
                <w:bCs/>
              </w:rPr>
              <w:t xml:space="preserve">5. </w:t>
            </w:r>
            <w:r>
              <w:t>Descrição dos requisitos necessários e suficientes à escolha da solução</w:t>
            </w:r>
          </w:p>
        </w:tc>
      </w:tr>
      <w:tr w14:paraId="7FA95683">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vAlign w:val="center"/>
          </w:tcPr>
          <w:p w14:paraId="3F7DCA54">
            <w:pPr>
              <w:autoSpaceDE w:val="0"/>
              <w:autoSpaceDN w:val="0"/>
              <w:adjustRightInd w:val="0"/>
              <w:spacing w:before="240" w:after="120"/>
              <w:jc w:val="both"/>
              <w:rPr>
                <w:rFonts w:eastAsia="Calibri"/>
                <w:bCs/>
              </w:rPr>
            </w:pPr>
            <w:r>
              <w:rPr>
                <w:rFonts w:eastAsia="Calibri"/>
                <w:bCs/>
              </w:rPr>
              <w:t>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w:t>
            </w:r>
          </w:p>
          <w:p w14:paraId="57C7DBB8">
            <w:pPr>
              <w:autoSpaceDE w:val="0"/>
              <w:autoSpaceDN w:val="0"/>
              <w:adjustRightInd w:val="0"/>
              <w:spacing w:before="240" w:after="120"/>
              <w:jc w:val="both"/>
              <w:rPr>
                <w:rFonts w:eastAsia="Calibri"/>
                <w:bCs/>
              </w:rPr>
            </w:pPr>
            <w:r>
              <w:rPr>
                <w:rFonts w:eastAsia="Calibri"/>
                <w:bCs/>
              </w:rPr>
              <w:t>Será concedido a participação de pessoa física, conforme Decreto Municipal n° 05/2024 de 2024.</w:t>
            </w:r>
          </w:p>
          <w:p w14:paraId="29450E91">
            <w:pPr>
              <w:autoSpaceDE w:val="0"/>
              <w:autoSpaceDN w:val="0"/>
              <w:adjustRightInd w:val="0"/>
              <w:spacing w:before="240" w:after="120"/>
              <w:jc w:val="both"/>
              <w:rPr>
                <w:rFonts w:eastAsia="Calibri"/>
                <w:bCs/>
              </w:rPr>
            </w:pPr>
            <w:r>
              <w:rPr>
                <w:rFonts w:eastAsia="Calibri"/>
                <w:bCs/>
              </w:rPr>
              <w:t>A contratação deverá se dar através de Pregão Eletrônico.</w:t>
            </w:r>
          </w:p>
          <w:p w14:paraId="594C99A8">
            <w:pPr>
              <w:autoSpaceDE w:val="0"/>
              <w:autoSpaceDN w:val="0"/>
              <w:adjustRightInd w:val="0"/>
              <w:spacing w:before="240" w:after="120"/>
              <w:jc w:val="both"/>
              <w:rPr>
                <w:rFonts w:eastAsia="Calibri"/>
                <w:bCs/>
              </w:rPr>
            </w:pPr>
            <w:r>
              <w:rPr>
                <w:rFonts w:eastAsia="Calibri"/>
                <w:bCs/>
              </w:rPr>
              <w:t xml:space="preserve">A presente contratação apresenta a possibilidade de ocorrência de impactos ambientais. </w:t>
            </w:r>
          </w:p>
          <w:p w14:paraId="6AAF98B9">
            <w:pPr>
              <w:autoSpaceDE w:val="0"/>
              <w:autoSpaceDN w:val="0"/>
              <w:adjustRightInd w:val="0"/>
              <w:spacing w:before="240" w:after="120"/>
              <w:jc w:val="both"/>
              <w:rPr>
                <w:rFonts w:eastAsia="Calibri"/>
                <w:bCs/>
              </w:rPr>
            </w:pPr>
            <w:r>
              <w:rPr>
                <w:rFonts w:eastAsia="Calibri"/>
                <w:bCs/>
              </w:rPr>
              <w:t>Não será admitida a subcontratação do objeto contratual.</w:t>
            </w:r>
          </w:p>
          <w:p w14:paraId="6D82D11D">
            <w:pPr>
              <w:autoSpaceDE w:val="0"/>
              <w:autoSpaceDN w:val="0"/>
              <w:adjustRightInd w:val="0"/>
              <w:spacing w:before="240" w:after="120"/>
              <w:jc w:val="both"/>
              <w:rPr>
                <w:rFonts w:eastAsia="Calibri"/>
                <w:bCs/>
              </w:rPr>
            </w:pPr>
            <w:r>
              <w:rPr>
                <w:rFonts w:eastAsia="Calibri"/>
                <w:bCs/>
              </w:rPr>
              <w:t>Não haverá exigência da garantia da contratação dos arts. 96 e seguintes da Lei n° 14.133/21.</w:t>
            </w:r>
          </w:p>
          <w:p w14:paraId="4E9D328E">
            <w:pPr>
              <w:autoSpaceDE w:val="0"/>
              <w:autoSpaceDN w:val="0"/>
              <w:adjustRightInd w:val="0"/>
              <w:spacing w:before="240" w:after="120"/>
              <w:jc w:val="both"/>
            </w:pPr>
            <w:r>
              <w:rPr>
                <w:rFonts w:eastAsia="Calibri"/>
                <w:bCs/>
              </w:rPr>
              <w:t xml:space="preserve">O objeto a ser contratado, pelas suas características e com base nas justificativas acima mencionadas, não possui natureza continuada, não havendo a necessidade de prorrogação contratual para além da vigência prevista. </w:t>
            </w:r>
          </w:p>
        </w:tc>
      </w:tr>
      <w:tr w14:paraId="7185BB7C">
        <w:tblPrEx>
          <w:tblCellMar>
            <w:top w:w="0" w:type="dxa"/>
            <w:left w:w="70" w:type="dxa"/>
            <w:bottom w:w="0" w:type="dxa"/>
            <w:right w:w="70" w:type="dxa"/>
          </w:tblCellMar>
        </w:tblPrEx>
        <w:trPr>
          <w:gridAfter w:val="9"/>
          <w:wAfter w:w="274" w:type="dxa"/>
          <w:trHeight w:val="374" w:hRule="atLeast"/>
          <w:jc w:val="center"/>
        </w:trPr>
        <w:tc>
          <w:tcPr>
            <w:tcW w:w="9773" w:type="dxa"/>
            <w:gridSpan w:val="2"/>
          </w:tcPr>
          <w:p w14:paraId="1E68D322">
            <w:pPr>
              <w:autoSpaceDE w:val="0"/>
              <w:autoSpaceDN w:val="0"/>
              <w:adjustRightInd w:val="0"/>
              <w:spacing w:line="160" w:lineRule="exact"/>
              <w:jc w:val="center"/>
              <w:rPr>
                <w:sz w:val="18"/>
                <w:szCs w:val="18"/>
              </w:rPr>
            </w:pPr>
          </w:p>
          <w:p w14:paraId="048D1415">
            <w:pPr>
              <w:autoSpaceDE w:val="0"/>
              <w:autoSpaceDN w:val="0"/>
              <w:adjustRightInd w:val="0"/>
              <w:spacing w:line="160" w:lineRule="exact"/>
              <w:jc w:val="center"/>
              <w:rPr>
                <w:sz w:val="18"/>
                <w:szCs w:val="18"/>
              </w:rPr>
            </w:pPr>
          </w:p>
          <w:p w14:paraId="3348237A">
            <w:pPr>
              <w:autoSpaceDE w:val="0"/>
              <w:autoSpaceDN w:val="0"/>
              <w:adjustRightInd w:val="0"/>
              <w:spacing w:line="160" w:lineRule="exact"/>
              <w:jc w:val="center"/>
              <w:rPr>
                <w:sz w:val="18"/>
                <w:szCs w:val="18"/>
              </w:rPr>
            </w:pPr>
          </w:p>
        </w:tc>
      </w:tr>
      <w:tr w14:paraId="06EA8684">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shd w:val="solid" w:color="99CCFF" w:fill="auto"/>
            <w:vAlign w:val="center"/>
          </w:tcPr>
          <w:p w14:paraId="32767EC8">
            <w:pPr>
              <w:autoSpaceDE w:val="0"/>
              <w:autoSpaceDN w:val="0"/>
              <w:adjustRightInd w:val="0"/>
            </w:pPr>
            <w:r>
              <w:rPr>
                <w:b/>
                <w:bCs/>
              </w:rPr>
              <w:t xml:space="preserve">6. </w:t>
            </w:r>
            <w:r>
              <w:t>Resultados pretendidos, em termos de efetividade e de desenvolvimento nacional sustentável;</w:t>
            </w:r>
          </w:p>
        </w:tc>
      </w:tr>
      <w:tr w14:paraId="257ADAF1">
        <w:tblPrEx>
          <w:tblCellMar>
            <w:top w:w="0" w:type="dxa"/>
            <w:left w:w="70" w:type="dxa"/>
            <w:bottom w:w="0" w:type="dxa"/>
            <w:right w:w="70" w:type="dxa"/>
          </w:tblCellMar>
        </w:tblPrEx>
        <w:trPr>
          <w:gridAfter w:val="9"/>
          <w:wAfter w:w="274" w:type="dxa"/>
          <w:trHeight w:val="284" w:hRule="atLeast"/>
          <w:jc w:val="center"/>
        </w:trPr>
        <w:tc>
          <w:tcPr>
            <w:tcW w:w="9773" w:type="dxa"/>
            <w:gridSpan w:val="2"/>
            <w:tcBorders>
              <w:top w:val="single" w:color="auto" w:sz="6" w:space="0"/>
              <w:left w:val="single" w:color="auto" w:sz="6" w:space="0"/>
              <w:bottom w:val="single" w:color="auto" w:sz="6" w:space="0"/>
              <w:right w:val="single" w:color="auto" w:sz="6" w:space="0"/>
            </w:tcBorders>
            <w:vAlign w:val="center"/>
          </w:tcPr>
          <w:p w14:paraId="6E3730D8">
            <w:pPr>
              <w:spacing w:before="100" w:beforeAutospacing="1" w:after="100" w:afterAutospacing="1"/>
              <w:jc w:val="both"/>
            </w:pPr>
            <w:r>
              <w:t>A aquisição de medicamentos hospitalares pelo município de Trizidela do Vale/MA, além de atender às necessidades imediatas de saúde da população, busca alcançar resultados em termos de efetividade e desenvolvimento nacional sustentável. Abaixo, estão os principais resultados pretendidos:</w:t>
            </w:r>
          </w:p>
          <w:p w14:paraId="5659C5D4">
            <w:pPr>
              <w:spacing w:before="100" w:beforeAutospacing="1" w:after="100" w:afterAutospacing="1"/>
              <w:jc w:val="both"/>
              <w:outlineLvl w:val="2"/>
              <w:rPr>
                <w:b/>
                <w:bCs/>
              </w:rPr>
            </w:pPr>
            <w:r>
              <w:rPr>
                <w:b/>
                <w:bCs/>
              </w:rPr>
              <w:t>1. Efetividade</w:t>
            </w:r>
          </w:p>
          <w:p w14:paraId="4D073D7E">
            <w:pPr>
              <w:spacing w:before="100" w:beforeAutospacing="1" w:after="100" w:afterAutospacing="1"/>
              <w:jc w:val="both"/>
            </w:pPr>
            <w:r>
              <w:rPr>
                <w:b/>
                <w:bCs/>
              </w:rPr>
              <w:t>a. Melhoria na qualidade do atendimento de saúde:</w:t>
            </w:r>
          </w:p>
          <w:p w14:paraId="29CEDEB2">
            <w:pPr>
              <w:numPr>
                <w:ilvl w:val="0"/>
                <w:numId w:val="9"/>
              </w:numPr>
              <w:spacing w:before="100" w:beforeAutospacing="1" w:after="100" w:afterAutospacing="1"/>
              <w:jc w:val="both"/>
            </w:pPr>
            <w:r>
              <w:t>Assegurar que os profissionais de saúde disponham de todos os medicamentos necessários para tratar uma ampla gama de condições médicas, permitindo um atendimento eficiente e eficaz.</w:t>
            </w:r>
          </w:p>
          <w:p w14:paraId="004216EE">
            <w:pPr>
              <w:numPr>
                <w:ilvl w:val="0"/>
                <w:numId w:val="9"/>
              </w:numPr>
              <w:spacing w:before="100" w:beforeAutospacing="1" w:after="100" w:afterAutospacing="1"/>
              <w:jc w:val="both"/>
            </w:pPr>
            <w:r>
              <w:t>Reduzir os índices de descontinuidade de tratamentos devido à falta de medicamentos, resultando em melhores desfechos clínicos e aumento da satisfação dos pacientes.</w:t>
            </w:r>
          </w:p>
          <w:p w14:paraId="027647C9">
            <w:pPr>
              <w:spacing w:before="100" w:beforeAutospacing="1" w:after="100" w:afterAutospacing="1"/>
              <w:jc w:val="both"/>
            </w:pPr>
            <w:r>
              <w:rPr>
                <w:b/>
                <w:bCs/>
              </w:rPr>
              <w:t>b. Agilidade na resposta a emergências:</w:t>
            </w:r>
          </w:p>
          <w:p w14:paraId="0EAC9AA7">
            <w:pPr>
              <w:numPr>
                <w:ilvl w:val="0"/>
                <w:numId w:val="10"/>
              </w:numPr>
              <w:spacing w:before="100" w:beforeAutospacing="1" w:after="100" w:afterAutospacing="1"/>
              <w:jc w:val="both"/>
            </w:pPr>
            <w:r>
              <w:t>Garantir a disponibilidade de medicamentos essenciais para situações de emergência, como pandemias, surtos epidêmicos, ou catástrofes, permitindo uma resposta rápida e adequada às necessidades da população.</w:t>
            </w:r>
          </w:p>
          <w:p w14:paraId="0EB5B61A">
            <w:pPr>
              <w:spacing w:before="100" w:beforeAutospacing="1" w:after="100" w:afterAutospacing="1"/>
              <w:jc w:val="both"/>
            </w:pPr>
            <w:r>
              <w:rPr>
                <w:b/>
                <w:bCs/>
              </w:rPr>
              <w:t>c. Redução de custos a longo prazo:</w:t>
            </w:r>
          </w:p>
          <w:p w14:paraId="6C17B4EF">
            <w:pPr>
              <w:numPr>
                <w:ilvl w:val="0"/>
                <w:numId w:val="11"/>
              </w:numPr>
              <w:spacing w:before="100" w:beforeAutospacing="1" w:after="100" w:afterAutospacing="1"/>
              <w:jc w:val="both"/>
            </w:pPr>
            <w:r>
              <w:t>Ao garantir o abastecimento contínuo e planejado de medicamentos, o município pode evitar compras emergenciais, que geralmente são mais onerosas, e otimizar a gestão dos recursos públicos.</w:t>
            </w:r>
          </w:p>
          <w:p w14:paraId="648520D5">
            <w:pPr>
              <w:spacing w:before="100" w:beforeAutospacing="1" w:after="100" w:afterAutospacing="1"/>
              <w:jc w:val="both"/>
            </w:pPr>
            <w:r>
              <w:rPr>
                <w:b/>
                <w:bCs/>
              </w:rPr>
              <w:t>d. Aumento da confiança da população nos serviços de saúde:</w:t>
            </w:r>
          </w:p>
          <w:p w14:paraId="6249721B">
            <w:pPr>
              <w:numPr>
                <w:ilvl w:val="0"/>
                <w:numId w:val="12"/>
              </w:numPr>
              <w:spacing w:before="100" w:beforeAutospacing="1" w:after="100" w:afterAutospacing="1"/>
              <w:jc w:val="both"/>
            </w:pPr>
            <w:r>
              <w:t>Um abastecimento consistente e adequado de medicamentos fortalece a confiança da população nos serviços públicos de saúde, promovendo maior adesão aos tratamentos e às recomendações médicas.</w:t>
            </w:r>
          </w:p>
          <w:p w14:paraId="36AB50C6">
            <w:pPr>
              <w:spacing w:before="100" w:beforeAutospacing="1" w:after="100" w:afterAutospacing="1"/>
              <w:jc w:val="both"/>
              <w:outlineLvl w:val="2"/>
              <w:rPr>
                <w:b/>
                <w:bCs/>
              </w:rPr>
            </w:pPr>
            <w:r>
              <w:rPr>
                <w:b/>
                <w:bCs/>
              </w:rPr>
              <w:t>2. Desenvolvimento Nacional Sustentável</w:t>
            </w:r>
          </w:p>
          <w:p w14:paraId="65468309">
            <w:pPr>
              <w:spacing w:before="100" w:beforeAutospacing="1" w:after="100" w:afterAutospacing="1"/>
              <w:jc w:val="both"/>
            </w:pPr>
            <w:r>
              <w:rPr>
                <w:b/>
                <w:bCs/>
              </w:rPr>
              <w:t>a. Fortalecimento da cadeia produtiva nacional:</w:t>
            </w:r>
          </w:p>
          <w:p w14:paraId="5D1DD891">
            <w:pPr>
              <w:numPr>
                <w:ilvl w:val="0"/>
                <w:numId w:val="13"/>
              </w:numPr>
              <w:spacing w:before="100" w:beforeAutospacing="1" w:after="100" w:afterAutospacing="1"/>
              <w:jc w:val="both"/>
            </w:pPr>
            <w:r>
              <w:t>Priorizar a aquisição de medicamentos de fornecedores nacionais, contribuindo para o fortalecimento da indústria farmacêutica brasileira, geração de empregos e desenvolvimento econômico do país.</w:t>
            </w:r>
          </w:p>
          <w:p w14:paraId="5D0A2CE2">
            <w:pPr>
              <w:numPr>
                <w:ilvl w:val="0"/>
                <w:numId w:val="13"/>
              </w:numPr>
              <w:spacing w:before="100" w:beforeAutospacing="1" w:after="100" w:afterAutospacing="1"/>
              <w:jc w:val="both"/>
            </w:pPr>
            <w:r>
              <w:t>Estimular a inovação e a competitividade dentro do setor farmacêutico nacional, promovendo o desenvolvimento de novas tecnologias e soluções em saúde.</w:t>
            </w:r>
          </w:p>
          <w:p w14:paraId="6A68BDC1">
            <w:pPr>
              <w:spacing w:before="100" w:beforeAutospacing="1" w:after="100" w:afterAutospacing="1"/>
              <w:jc w:val="both"/>
            </w:pPr>
            <w:r>
              <w:rPr>
                <w:b/>
                <w:bCs/>
              </w:rPr>
              <w:t>b. Promoção da sustentabilidade ambiental:</w:t>
            </w:r>
          </w:p>
          <w:p w14:paraId="4F448548">
            <w:pPr>
              <w:numPr>
                <w:ilvl w:val="0"/>
                <w:numId w:val="14"/>
              </w:numPr>
              <w:spacing w:before="100" w:beforeAutospacing="1" w:after="100" w:afterAutospacing="1"/>
              <w:jc w:val="both"/>
            </w:pPr>
            <w:r>
              <w:t>Optar por medicamentos produzidos de forma sustentável, com menor impacto ambiental, e incentivar a adoção de práticas ecológicas por parte dos fornecedores, como o uso de embalagens recicláveis e processos de produção menos poluentes.</w:t>
            </w:r>
          </w:p>
          <w:p w14:paraId="12B9F1C7">
            <w:pPr>
              <w:numPr>
                <w:ilvl w:val="0"/>
                <w:numId w:val="14"/>
              </w:numPr>
              <w:spacing w:before="100" w:beforeAutospacing="1" w:after="100" w:afterAutospacing="1"/>
              <w:jc w:val="both"/>
            </w:pPr>
            <w:r>
              <w:t>Implementar práticas de descarte seguro de medicamentos vencidos ou não utilizados, minimizando o impacto ambiental e os riscos à saúde pública.</w:t>
            </w:r>
          </w:p>
          <w:p w14:paraId="027D11E0">
            <w:pPr>
              <w:spacing w:before="100" w:beforeAutospacing="1" w:after="100" w:afterAutospacing="1"/>
              <w:jc w:val="both"/>
            </w:pPr>
            <w:r>
              <w:rPr>
                <w:b/>
                <w:bCs/>
              </w:rPr>
              <w:t>c. Redução das desigualdades regionais:</w:t>
            </w:r>
          </w:p>
          <w:p w14:paraId="132362CB">
            <w:pPr>
              <w:numPr>
                <w:ilvl w:val="0"/>
                <w:numId w:val="15"/>
              </w:numPr>
              <w:spacing w:before="100" w:beforeAutospacing="1" w:after="100" w:afterAutospacing="1"/>
              <w:jc w:val="both"/>
            </w:pPr>
            <w:r>
              <w:t>Garantir o acesso equitativo a medicamentos de qualidade em regiões menos favorecidas, contribuindo para a redução das desigualdades em saúde e promovendo a inclusão social.</w:t>
            </w:r>
          </w:p>
          <w:p w14:paraId="4F91C3DD">
            <w:pPr>
              <w:spacing w:before="100" w:beforeAutospacing="1" w:after="100" w:afterAutospacing="1"/>
              <w:jc w:val="both"/>
            </w:pPr>
            <w:r>
              <w:rPr>
                <w:b/>
                <w:bCs/>
              </w:rPr>
              <w:t>d. Incentivo à transparência e à governança:</w:t>
            </w:r>
          </w:p>
          <w:p w14:paraId="2613D605">
            <w:pPr>
              <w:numPr>
                <w:ilvl w:val="0"/>
                <w:numId w:val="16"/>
              </w:numPr>
              <w:spacing w:before="100" w:beforeAutospacing="1" w:after="100" w:afterAutospacing="1"/>
              <w:jc w:val="both"/>
            </w:pPr>
            <w:r>
              <w:t>Adotar processos de aquisição transparentes e éticos, que garantam a concorrência justa e a boa governança, aumentando a confiança dos cidadãos na gestão pública e evitando práticas de corrupção ou desperdício de recursos.</w:t>
            </w:r>
          </w:p>
          <w:p w14:paraId="62064466">
            <w:pPr>
              <w:spacing w:before="100" w:beforeAutospacing="1" w:after="100" w:afterAutospacing="1"/>
              <w:jc w:val="both"/>
              <w:rPr>
                <w:szCs w:val="24"/>
              </w:rPr>
            </w:pPr>
            <w:r>
              <w:t>Esses resultados pretendem não apenas atender às necessidades imediatas da população, mas também contribuir para o desenvolvimento de uma sociedade mais justa, sustentável e economicamente robusta, com uma saúde pública fortalecida e acessível para todos.</w:t>
            </w:r>
          </w:p>
        </w:tc>
      </w:tr>
      <w:tr w14:paraId="0238DE70">
        <w:tblPrEx>
          <w:tblCellMar>
            <w:top w:w="0" w:type="dxa"/>
            <w:left w:w="70" w:type="dxa"/>
            <w:bottom w:w="0" w:type="dxa"/>
            <w:right w:w="70" w:type="dxa"/>
          </w:tblCellMar>
        </w:tblPrEx>
        <w:trPr>
          <w:gridAfter w:val="9"/>
          <w:wAfter w:w="274" w:type="dxa"/>
          <w:trHeight w:val="374" w:hRule="atLeast"/>
          <w:jc w:val="center"/>
        </w:trPr>
        <w:tc>
          <w:tcPr>
            <w:tcW w:w="9773" w:type="dxa"/>
            <w:gridSpan w:val="2"/>
          </w:tcPr>
          <w:p w14:paraId="752E19E0">
            <w:pPr>
              <w:autoSpaceDE w:val="0"/>
              <w:autoSpaceDN w:val="0"/>
              <w:adjustRightInd w:val="0"/>
              <w:rPr>
                <w:b/>
                <w:bCs/>
              </w:rPr>
            </w:pPr>
          </w:p>
          <w:p w14:paraId="164E411A">
            <w:pPr>
              <w:autoSpaceDE w:val="0"/>
              <w:autoSpaceDN w:val="0"/>
              <w:adjustRightInd w:val="0"/>
              <w:rPr>
                <w:b/>
                <w:bCs/>
              </w:rPr>
            </w:pPr>
          </w:p>
          <w:p w14:paraId="53243073">
            <w:pPr>
              <w:autoSpaceDE w:val="0"/>
              <w:autoSpaceDN w:val="0"/>
              <w:adjustRightInd w:val="0"/>
              <w:rPr>
                <w:b/>
                <w:bCs/>
              </w:rPr>
            </w:pPr>
            <w:r>
              <w:rPr>
                <w:b/>
                <w:bCs/>
              </w:rPr>
              <w:t>Eixo 2 – Das soluções:</w:t>
            </w:r>
          </w:p>
          <w:p w14:paraId="3E11ED27">
            <w:pPr>
              <w:autoSpaceDE w:val="0"/>
              <w:autoSpaceDN w:val="0"/>
              <w:adjustRightInd w:val="0"/>
              <w:rPr>
                <w:b/>
                <w:bCs/>
              </w:rPr>
            </w:pPr>
          </w:p>
          <w:p w14:paraId="50C3CA68">
            <w:pPr>
              <w:autoSpaceDE w:val="0"/>
              <w:autoSpaceDN w:val="0"/>
              <w:adjustRightInd w:val="0"/>
              <w:rPr>
                <w:b/>
                <w:bCs/>
              </w:rPr>
            </w:pPr>
          </w:p>
        </w:tc>
      </w:tr>
      <w:tr w14:paraId="30DD4105">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shd w:val="solid" w:color="99CCFF" w:fill="auto"/>
            <w:vAlign w:val="center"/>
          </w:tcPr>
          <w:p w14:paraId="5ABA1C51">
            <w:pPr>
              <w:autoSpaceDE w:val="0"/>
              <w:autoSpaceDN w:val="0"/>
              <w:adjustRightInd w:val="0"/>
            </w:pPr>
            <w:r>
              <w:rPr>
                <w:b/>
                <w:bCs/>
              </w:rPr>
              <w:t xml:space="preserve">7. </w:t>
            </w:r>
            <w:r>
              <w:t>Levantamento de mercado (prospecção e análise das alternativas possíveis de soluções)</w:t>
            </w:r>
          </w:p>
        </w:tc>
      </w:tr>
      <w:tr w14:paraId="4464EB47">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vAlign w:val="center"/>
          </w:tcPr>
          <w:p w14:paraId="33143562">
            <w:pPr>
              <w:pStyle w:val="40"/>
              <w:ind w:left="0"/>
              <w:jc w:val="both"/>
            </w:pPr>
          </w:p>
          <w:p w14:paraId="2950BEE7">
            <w:pPr>
              <w:pStyle w:val="40"/>
              <w:ind w:left="0"/>
              <w:jc w:val="both"/>
            </w:pPr>
            <w:r>
              <w:t>O levantamento de mercado realizado para o processo licitatório de medicamentos hospitalares, incluiu a prospecção e análise de soluções disponíveis no mercado. Este levantamento considerou:</w:t>
            </w:r>
          </w:p>
          <w:p w14:paraId="19B876A4">
            <w:pPr>
              <w:pStyle w:val="40"/>
              <w:ind w:left="0"/>
              <w:jc w:val="both"/>
            </w:pPr>
          </w:p>
          <w:p w14:paraId="54AC396F">
            <w:pPr>
              <w:pStyle w:val="40"/>
              <w:numPr>
                <w:ilvl w:val="0"/>
                <w:numId w:val="17"/>
              </w:numPr>
              <w:spacing w:after="200" w:line="276" w:lineRule="auto"/>
              <w:jc w:val="both"/>
            </w:pPr>
            <w:r>
              <w:t>Diante das necessidades apontadas neste estudo, o atendimento à solução exige a contratação de empresa especializada cujo o ramo de atividade seja compatível com o objeto pretendido.</w:t>
            </w:r>
          </w:p>
          <w:p w14:paraId="6E243894">
            <w:pPr>
              <w:pStyle w:val="40"/>
              <w:numPr>
                <w:ilvl w:val="0"/>
                <w:numId w:val="17"/>
              </w:numPr>
              <w:spacing w:after="200" w:line="276" w:lineRule="auto"/>
              <w:jc w:val="both"/>
            </w:pPr>
            <w:r>
              <w:t xml:space="preserve">Foram analisadas contratações similares por outros órgãos e entidades, e em sites eletrônicos. </w:t>
            </w:r>
          </w:p>
          <w:p w14:paraId="7E9B7D1F">
            <w:pPr>
              <w:autoSpaceDE w:val="0"/>
              <w:autoSpaceDN w:val="0"/>
              <w:adjustRightInd w:val="0"/>
              <w:jc w:val="both"/>
            </w:pPr>
            <w:r>
              <w:t>Logo, a aquisição dos materiais do objeto do presente Estudo Técnico Preliminar se constitui, no atual cenário, em objeto de frequente aquisição por órgãos públicos, em todas as suas esferas. Sendo assim, verifica-se a ampla disponibilidade de empresas aptas ao fornecimento dos itens a serem adquiridos, conforme os requisitos estabelecidos neste documento.</w:t>
            </w:r>
          </w:p>
          <w:p w14:paraId="2E1C1C1A">
            <w:pPr>
              <w:autoSpaceDE w:val="0"/>
              <w:autoSpaceDN w:val="0"/>
              <w:adjustRightInd w:val="0"/>
              <w:jc w:val="both"/>
            </w:pPr>
          </w:p>
          <w:p w14:paraId="076EE572">
            <w:pPr>
              <w:autoSpaceDE w:val="0"/>
              <w:autoSpaceDN w:val="0"/>
              <w:adjustRightInd w:val="0"/>
              <w:jc w:val="both"/>
            </w:pPr>
            <w:r>
              <w:t xml:space="preserve">O tipo de solução a contratar é o Pregão Eletrônico por se tratar de bens comuns. </w:t>
            </w:r>
          </w:p>
        </w:tc>
      </w:tr>
      <w:tr w14:paraId="1950C0B4">
        <w:tblPrEx>
          <w:tblCellMar>
            <w:top w:w="0" w:type="dxa"/>
            <w:left w:w="70" w:type="dxa"/>
            <w:bottom w:w="0" w:type="dxa"/>
            <w:right w:w="70" w:type="dxa"/>
          </w:tblCellMar>
        </w:tblPrEx>
        <w:trPr>
          <w:gridAfter w:val="9"/>
          <w:wAfter w:w="274" w:type="dxa"/>
          <w:trHeight w:val="374" w:hRule="atLeast"/>
          <w:jc w:val="center"/>
        </w:trPr>
        <w:tc>
          <w:tcPr>
            <w:tcW w:w="9773" w:type="dxa"/>
            <w:gridSpan w:val="2"/>
          </w:tcPr>
          <w:p w14:paraId="6EA2EAB7">
            <w:pPr>
              <w:autoSpaceDE w:val="0"/>
              <w:autoSpaceDN w:val="0"/>
              <w:adjustRightInd w:val="0"/>
              <w:spacing w:line="160" w:lineRule="exact"/>
              <w:rPr>
                <w:sz w:val="18"/>
                <w:szCs w:val="18"/>
              </w:rPr>
            </w:pPr>
          </w:p>
          <w:p w14:paraId="7B136C35">
            <w:pPr>
              <w:autoSpaceDE w:val="0"/>
              <w:autoSpaceDN w:val="0"/>
              <w:adjustRightInd w:val="0"/>
              <w:spacing w:line="160" w:lineRule="exact"/>
              <w:rPr>
                <w:sz w:val="18"/>
                <w:szCs w:val="18"/>
              </w:rPr>
            </w:pPr>
          </w:p>
          <w:p w14:paraId="332B25AA">
            <w:pPr>
              <w:autoSpaceDE w:val="0"/>
              <w:autoSpaceDN w:val="0"/>
              <w:adjustRightInd w:val="0"/>
              <w:spacing w:line="160" w:lineRule="exact"/>
              <w:jc w:val="center"/>
              <w:rPr>
                <w:sz w:val="18"/>
                <w:szCs w:val="18"/>
              </w:rPr>
            </w:pPr>
          </w:p>
        </w:tc>
      </w:tr>
      <w:tr w14:paraId="1C3D5BB1">
        <w:tblPrEx>
          <w:tblCellMar>
            <w:top w:w="0" w:type="dxa"/>
            <w:left w:w="70" w:type="dxa"/>
            <w:bottom w:w="0" w:type="dxa"/>
            <w:right w:w="70" w:type="dxa"/>
          </w:tblCellMar>
        </w:tblPrEx>
        <w:trPr>
          <w:gridAfter w:val="9"/>
          <w:wAfter w:w="274" w:type="dxa"/>
          <w:trHeight w:val="864" w:hRule="atLeast"/>
          <w:jc w:val="center"/>
        </w:trPr>
        <w:tc>
          <w:tcPr>
            <w:tcW w:w="9773" w:type="dxa"/>
            <w:gridSpan w:val="2"/>
            <w:tcBorders>
              <w:top w:val="single" w:color="auto" w:sz="6" w:space="0"/>
              <w:left w:val="single" w:color="auto" w:sz="6" w:space="0"/>
              <w:bottom w:val="single" w:color="auto" w:sz="6" w:space="0"/>
              <w:right w:val="single" w:color="auto" w:sz="6" w:space="0"/>
            </w:tcBorders>
            <w:shd w:val="solid" w:color="99CCFF" w:fill="auto"/>
            <w:vAlign w:val="center"/>
          </w:tcPr>
          <w:p w14:paraId="49FD79FB">
            <w:pPr>
              <w:autoSpaceDE w:val="0"/>
              <w:autoSpaceDN w:val="0"/>
              <w:adjustRightInd w:val="0"/>
              <w:jc w:val="both"/>
              <w:rPr>
                <w:b/>
                <w:bCs/>
              </w:rPr>
            </w:pPr>
            <w:r>
              <w:rPr>
                <w:b/>
                <w:bCs/>
              </w:rPr>
              <w:t xml:space="preserve">8. </w:t>
            </w:r>
            <w: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Pr>
                <w:b/>
                <w:bCs/>
              </w:rPr>
              <w:t>*</w:t>
            </w:r>
          </w:p>
        </w:tc>
      </w:tr>
      <w:tr w14:paraId="31597C0F">
        <w:tblPrEx>
          <w:tblCellMar>
            <w:top w:w="0" w:type="dxa"/>
            <w:left w:w="70" w:type="dxa"/>
            <w:bottom w:w="0" w:type="dxa"/>
            <w:right w:w="70" w:type="dxa"/>
          </w:tblCellMar>
        </w:tblPrEx>
        <w:trPr>
          <w:gridAfter w:val="9"/>
          <w:wAfter w:w="274" w:type="dxa"/>
          <w:trHeight w:val="57" w:hRule="atLeast"/>
          <w:jc w:val="center"/>
        </w:trPr>
        <w:tc>
          <w:tcPr>
            <w:tcW w:w="9773" w:type="dxa"/>
            <w:gridSpan w:val="2"/>
            <w:tcBorders>
              <w:top w:val="single" w:color="auto" w:sz="6" w:space="0"/>
              <w:left w:val="single" w:color="auto" w:sz="6" w:space="0"/>
              <w:bottom w:val="single" w:color="auto" w:sz="6" w:space="0"/>
              <w:right w:val="single" w:color="auto" w:sz="6" w:space="0"/>
            </w:tcBorders>
            <w:vAlign w:val="center"/>
          </w:tcPr>
          <w:p w14:paraId="78F3500B">
            <w:pPr>
              <w:autoSpaceDE w:val="0"/>
              <w:autoSpaceDN w:val="0"/>
              <w:adjustRightInd w:val="0"/>
              <w:spacing w:before="240" w:after="120"/>
              <w:jc w:val="both"/>
            </w:pPr>
            <w:r>
              <w:t>A estimativa do valor da contratação está a seguir, onde demonstram os itens, quantitativos e valores unitários da contratação. (Valor praticado por sites eletrônicos e por outro órgão público – Termo de Homologação – PE-32/2023 - PMPP) – doc. em Anexos.</w:t>
            </w:r>
          </w:p>
          <w:tbl>
            <w:tblPr>
              <w:tblStyle w:val="25"/>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707"/>
              <w:gridCol w:w="1419"/>
              <w:gridCol w:w="850"/>
              <w:gridCol w:w="1145"/>
              <w:gridCol w:w="28"/>
              <w:gridCol w:w="1103"/>
              <w:gridCol w:w="28"/>
            </w:tblGrid>
            <w:tr w14:paraId="5531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29529F6C">
                  <w:pPr>
                    <w:jc w:val="center"/>
                    <w:rPr>
                      <w:b/>
                      <w:sz w:val="16"/>
                      <w:szCs w:val="16"/>
                    </w:rPr>
                  </w:pPr>
                  <w:r>
                    <w:rPr>
                      <w:b/>
                      <w:sz w:val="16"/>
                      <w:szCs w:val="16"/>
                    </w:rPr>
                    <w:t>ITEM</w:t>
                  </w:r>
                </w:p>
              </w:tc>
              <w:tc>
                <w:tcPr>
                  <w:tcW w:w="2006" w:type="pct"/>
                  <w:vAlign w:val="center"/>
                </w:tcPr>
                <w:p w14:paraId="61BABB96">
                  <w:pPr>
                    <w:jc w:val="center"/>
                    <w:rPr>
                      <w:sz w:val="16"/>
                      <w:szCs w:val="16"/>
                    </w:rPr>
                  </w:pPr>
                  <w:r>
                    <w:rPr>
                      <w:b/>
                      <w:sz w:val="16"/>
                      <w:szCs w:val="16"/>
                    </w:rPr>
                    <w:t>DESCRIÇÃO</w:t>
                  </w:r>
                </w:p>
              </w:tc>
              <w:tc>
                <w:tcPr>
                  <w:tcW w:w="768" w:type="pct"/>
                  <w:vAlign w:val="center"/>
                </w:tcPr>
                <w:p w14:paraId="53BB6306">
                  <w:pPr>
                    <w:jc w:val="center"/>
                    <w:rPr>
                      <w:b/>
                      <w:sz w:val="16"/>
                      <w:szCs w:val="16"/>
                    </w:rPr>
                  </w:pPr>
                  <w:r>
                    <w:rPr>
                      <w:b/>
                      <w:sz w:val="16"/>
                      <w:szCs w:val="16"/>
                    </w:rPr>
                    <w:t>UNID.</w:t>
                  </w:r>
                </w:p>
              </w:tc>
              <w:tc>
                <w:tcPr>
                  <w:tcW w:w="460" w:type="pct"/>
                  <w:vAlign w:val="center"/>
                </w:tcPr>
                <w:p w14:paraId="56D2CED8">
                  <w:pPr>
                    <w:jc w:val="center"/>
                    <w:rPr>
                      <w:b/>
                      <w:sz w:val="16"/>
                      <w:szCs w:val="16"/>
                    </w:rPr>
                  </w:pPr>
                  <w:r>
                    <w:rPr>
                      <w:b/>
                      <w:sz w:val="16"/>
                      <w:szCs w:val="16"/>
                    </w:rPr>
                    <w:t>QUANT.</w:t>
                  </w:r>
                </w:p>
              </w:tc>
              <w:tc>
                <w:tcPr>
                  <w:tcW w:w="620" w:type="pct"/>
                  <w:vAlign w:val="center"/>
                </w:tcPr>
                <w:p w14:paraId="7056235C">
                  <w:pPr>
                    <w:jc w:val="center"/>
                    <w:rPr>
                      <w:b/>
                      <w:sz w:val="16"/>
                      <w:szCs w:val="16"/>
                    </w:rPr>
                  </w:pPr>
                  <w:r>
                    <w:rPr>
                      <w:b/>
                      <w:sz w:val="16"/>
                      <w:szCs w:val="16"/>
                    </w:rPr>
                    <w:t>VALOR UNITÁRIO R$</w:t>
                  </w:r>
                </w:p>
              </w:tc>
              <w:tc>
                <w:tcPr>
                  <w:tcW w:w="612" w:type="pct"/>
                  <w:gridSpan w:val="2"/>
                  <w:vAlign w:val="center"/>
                </w:tcPr>
                <w:p w14:paraId="33977A08">
                  <w:pPr>
                    <w:jc w:val="center"/>
                    <w:rPr>
                      <w:b/>
                      <w:sz w:val="16"/>
                      <w:szCs w:val="16"/>
                    </w:rPr>
                  </w:pPr>
                  <w:r>
                    <w:rPr>
                      <w:b/>
                      <w:sz w:val="16"/>
                      <w:szCs w:val="16"/>
                    </w:rPr>
                    <w:t>VALOR TOTAL R$</w:t>
                  </w:r>
                </w:p>
              </w:tc>
            </w:tr>
            <w:tr w14:paraId="379A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646" w:hRule="atLeast"/>
                <w:jc w:val="center"/>
              </w:trPr>
              <w:tc>
                <w:tcPr>
                  <w:tcW w:w="520" w:type="pct"/>
                  <w:vAlign w:val="center"/>
                </w:tcPr>
                <w:p w14:paraId="60ED23FD">
                  <w:pPr>
                    <w:jc w:val="center"/>
                    <w:rPr>
                      <w:sz w:val="16"/>
                      <w:szCs w:val="16"/>
                    </w:rPr>
                  </w:pPr>
                  <w:r>
                    <w:rPr>
                      <w:color w:val="000000"/>
                      <w:sz w:val="16"/>
                      <w:szCs w:val="16"/>
                    </w:rPr>
                    <w:t>1</w:t>
                  </w:r>
                </w:p>
              </w:tc>
              <w:tc>
                <w:tcPr>
                  <w:tcW w:w="2006" w:type="pct"/>
                  <w:vAlign w:val="center"/>
                </w:tcPr>
                <w:p w14:paraId="048A96C7">
                  <w:pPr>
                    <w:pStyle w:val="80"/>
                    <w:tabs>
                      <w:tab w:val="left" w:pos="2330"/>
                    </w:tabs>
                    <w:ind w:right="59"/>
                    <w:jc w:val="both"/>
                    <w:rPr>
                      <w:sz w:val="16"/>
                      <w:szCs w:val="16"/>
                    </w:rPr>
                  </w:pPr>
                  <w:r>
                    <w:rPr>
                      <w:color w:val="000000"/>
                      <w:sz w:val="16"/>
                      <w:szCs w:val="16"/>
                    </w:rPr>
                    <w:t>AMBROXOL, COMPOSIÇÃO SAL CLORIDRATO, CONCENTRAÇÃO 3 MG/ML, APLICAÇÃO XAROPE INFANTIL, FRASCO COM 120 ML.</w:t>
                  </w:r>
                </w:p>
              </w:tc>
              <w:tc>
                <w:tcPr>
                  <w:tcW w:w="768" w:type="pct"/>
                  <w:vAlign w:val="center"/>
                </w:tcPr>
                <w:p w14:paraId="53C6F90E">
                  <w:pPr>
                    <w:pStyle w:val="80"/>
                    <w:ind w:left="50" w:right="35"/>
                    <w:rPr>
                      <w:sz w:val="16"/>
                      <w:szCs w:val="16"/>
                    </w:rPr>
                  </w:pPr>
                  <w:r>
                    <w:rPr>
                      <w:color w:val="000000"/>
                      <w:sz w:val="16"/>
                      <w:szCs w:val="16"/>
                    </w:rPr>
                    <w:t>FRASCO</w:t>
                  </w:r>
                </w:p>
              </w:tc>
              <w:tc>
                <w:tcPr>
                  <w:tcW w:w="460" w:type="pct"/>
                  <w:vAlign w:val="center"/>
                </w:tcPr>
                <w:p w14:paraId="134D60BC">
                  <w:pPr>
                    <w:pStyle w:val="80"/>
                    <w:ind w:left="50" w:right="35"/>
                    <w:rPr>
                      <w:sz w:val="16"/>
                      <w:szCs w:val="16"/>
                    </w:rPr>
                  </w:pPr>
                  <w:r>
                    <w:rPr>
                      <w:color w:val="000000"/>
                      <w:sz w:val="16"/>
                      <w:szCs w:val="16"/>
                    </w:rPr>
                    <w:t>500</w:t>
                  </w:r>
                </w:p>
              </w:tc>
              <w:tc>
                <w:tcPr>
                  <w:tcW w:w="620" w:type="pct"/>
                  <w:vAlign w:val="center"/>
                </w:tcPr>
                <w:p w14:paraId="1A84CD30">
                  <w:pPr>
                    <w:pStyle w:val="80"/>
                    <w:ind w:right="108"/>
                    <w:jc w:val="right"/>
                    <w:rPr>
                      <w:sz w:val="16"/>
                      <w:szCs w:val="16"/>
                    </w:rPr>
                  </w:pPr>
                  <w:r>
                    <w:rPr>
                      <w:sz w:val="16"/>
                      <w:szCs w:val="16"/>
                    </w:rPr>
                    <w:t>9,23</w:t>
                  </w:r>
                </w:p>
              </w:tc>
              <w:tc>
                <w:tcPr>
                  <w:tcW w:w="612" w:type="pct"/>
                  <w:gridSpan w:val="2"/>
                  <w:vAlign w:val="center"/>
                </w:tcPr>
                <w:p w14:paraId="73C06973">
                  <w:pPr>
                    <w:jc w:val="right"/>
                    <w:rPr>
                      <w:color w:val="000000"/>
                      <w:sz w:val="16"/>
                      <w:szCs w:val="16"/>
                    </w:rPr>
                  </w:pPr>
                  <w:r>
                    <w:rPr>
                      <w:color w:val="000000"/>
                      <w:sz w:val="16"/>
                      <w:szCs w:val="16"/>
                    </w:rPr>
                    <w:t>4615,00</w:t>
                  </w:r>
                </w:p>
              </w:tc>
            </w:tr>
            <w:tr w14:paraId="2D7F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3725BEC3">
                  <w:pPr>
                    <w:jc w:val="center"/>
                    <w:rPr>
                      <w:sz w:val="16"/>
                      <w:szCs w:val="16"/>
                    </w:rPr>
                  </w:pPr>
                  <w:r>
                    <w:rPr>
                      <w:color w:val="000000"/>
                      <w:sz w:val="16"/>
                      <w:szCs w:val="16"/>
                    </w:rPr>
                    <w:t>2</w:t>
                  </w:r>
                </w:p>
              </w:tc>
              <w:tc>
                <w:tcPr>
                  <w:tcW w:w="2006" w:type="pct"/>
                  <w:vAlign w:val="center"/>
                </w:tcPr>
                <w:p w14:paraId="3E142066">
                  <w:pPr>
                    <w:pStyle w:val="80"/>
                    <w:spacing w:line="237" w:lineRule="auto"/>
                    <w:ind w:right="56"/>
                    <w:jc w:val="both"/>
                    <w:rPr>
                      <w:sz w:val="16"/>
                      <w:szCs w:val="16"/>
                    </w:rPr>
                  </w:pPr>
                  <w:r>
                    <w:rPr>
                      <w:color w:val="000000"/>
                      <w:sz w:val="16"/>
                      <w:szCs w:val="16"/>
                    </w:rPr>
                    <w:t>AMOXICILINA, CONCENTRAÇÃO 250MG, FRASCO COM 150 ML.</w:t>
                  </w:r>
                </w:p>
              </w:tc>
              <w:tc>
                <w:tcPr>
                  <w:tcW w:w="768" w:type="pct"/>
                  <w:vAlign w:val="center"/>
                </w:tcPr>
                <w:p w14:paraId="252BAF90">
                  <w:pPr>
                    <w:pStyle w:val="80"/>
                    <w:ind w:left="50" w:right="35"/>
                    <w:rPr>
                      <w:sz w:val="16"/>
                      <w:szCs w:val="16"/>
                    </w:rPr>
                  </w:pPr>
                  <w:r>
                    <w:rPr>
                      <w:color w:val="000000"/>
                      <w:sz w:val="16"/>
                      <w:szCs w:val="16"/>
                    </w:rPr>
                    <w:t>FRASCO</w:t>
                  </w:r>
                </w:p>
              </w:tc>
              <w:tc>
                <w:tcPr>
                  <w:tcW w:w="460" w:type="pct"/>
                  <w:vAlign w:val="center"/>
                </w:tcPr>
                <w:p w14:paraId="17FAFE3B">
                  <w:pPr>
                    <w:pStyle w:val="80"/>
                    <w:ind w:left="50" w:right="35"/>
                    <w:rPr>
                      <w:sz w:val="16"/>
                      <w:szCs w:val="16"/>
                    </w:rPr>
                  </w:pPr>
                  <w:r>
                    <w:rPr>
                      <w:color w:val="000000"/>
                      <w:sz w:val="16"/>
                      <w:szCs w:val="16"/>
                    </w:rPr>
                    <w:t>200</w:t>
                  </w:r>
                </w:p>
              </w:tc>
              <w:tc>
                <w:tcPr>
                  <w:tcW w:w="620" w:type="pct"/>
                  <w:vAlign w:val="center"/>
                </w:tcPr>
                <w:p w14:paraId="12F7EBE3">
                  <w:pPr>
                    <w:pStyle w:val="80"/>
                    <w:ind w:left="123" w:right="108"/>
                    <w:jc w:val="right"/>
                    <w:rPr>
                      <w:sz w:val="16"/>
                      <w:szCs w:val="16"/>
                    </w:rPr>
                  </w:pPr>
                  <w:r>
                    <w:rPr>
                      <w:sz w:val="16"/>
                      <w:szCs w:val="16"/>
                    </w:rPr>
                    <w:t>25,67</w:t>
                  </w:r>
                </w:p>
              </w:tc>
              <w:tc>
                <w:tcPr>
                  <w:tcW w:w="612" w:type="pct"/>
                  <w:gridSpan w:val="2"/>
                  <w:vAlign w:val="center"/>
                </w:tcPr>
                <w:p w14:paraId="4C211DC2">
                  <w:pPr>
                    <w:jc w:val="right"/>
                    <w:rPr>
                      <w:color w:val="000000"/>
                      <w:sz w:val="16"/>
                      <w:szCs w:val="16"/>
                    </w:rPr>
                  </w:pPr>
                  <w:r>
                    <w:rPr>
                      <w:color w:val="000000"/>
                      <w:sz w:val="16"/>
                      <w:szCs w:val="16"/>
                    </w:rPr>
                    <w:t>5134,00</w:t>
                  </w:r>
                </w:p>
              </w:tc>
            </w:tr>
            <w:tr w14:paraId="0C04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0F962126">
                  <w:pPr>
                    <w:jc w:val="center"/>
                    <w:rPr>
                      <w:sz w:val="16"/>
                      <w:szCs w:val="16"/>
                    </w:rPr>
                  </w:pPr>
                  <w:r>
                    <w:rPr>
                      <w:color w:val="000000"/>
                      <w:sz w:val="16"/>
                      <w:szCs w:val="16"/>
                    </w:rPr>
                    <w:t>3</w:t>
                  </w:r>
                </w:p>
              </w:tc>
              <w:tc>
                <w:tcPr>
                  <w:tcW w:w="2006" w:type="pct"/>
                  <w:vAlign w:val="center"/>
                </w:tcPr>
                <w:p w14:paraId="0D8278C3">
                  <w:pPr>
                    <w:jc w:val="both"/>
                    <w:rPr>
                      <w:color w:val="000000"/>
                      <w:sz w:val="16"/>
                      <w:szCs w:val="16"/>
                    </w:rPr>
                  </w:pPr>
                  <w:r>
                    <w:rPr>
                      <w:color w:val="000000"/>
                      <w:sz w:val="16"/>
                      <w:szCs w:val="16"/>
                    </w:rPr>
                    <w:t>AMPICILINA, DOSAGEM 1 G, TIPO USO INJETÁVEL.</w:t>
                  </w:r>
                </w:p>
              </w:tc>
              <w:tc>
                <w:tcPr>
                  <w:tcW w:w="768" w:type="pct"/>
                  <w:vAlign w:val="center"/>
                </w:tcPr>
                <w:p w14:paraId="615F8F07">
                  <w:pPr>
                    <w:pStyle w:val="80"/>
                    <w:ind w:left="54" w:right="34"/>
                    <w:rPr>
                      <w:sz w:val="16"/>
                      <w:szCs w:val="16"/>
                    </w:rPr>
                  </w:pPr>
                  <w:r>
                    <w:rPr>
                      <w:color w:val="000000"/>
                      <w:sz w:val="16"/>
                      <w:szCs w:val="16"/>
                    </w:rPr>
                    <w:t>FRASCO</w:t>
                  </w:r>
                </w:p>
              </w:tc>
              <w:tc>
                <w:tcPr>
                  <w:tcW w:w="460" w:type="pct"/>
                  <w:vAlign w:val="center"/>
                </w:tcPr>
                <w:p w14:paraId="29FEF69B">
                  <w:pPr>
                    <w:pStyle w:val="80"/>
                    <w:ind w:left="54" w:right="34"/>
                    <w:rPr>
                      <w:sz w:val="16"/>
                      <w:szCs w:val="16"/>
                    </w:rPr>
                  </w:pPr>
                  <w:r>
                    <w:rPr>
                      <w:color w:val="000000"/>
                      <w:sz w:val="16"/>
                      <w:szCs w:val="16"/>
                    </w:rPr>
                    <w:t>2000</w:t>
                  </w:r>
                </w:p>
              </w:tc>
              <w:tc>
                <w:tcPr>
                  <w:tcW w:w="620" w:type="pct"/>
                  <w:vAlign w:val="center"/>
                </w:tcPr>
                <w:p w14:paraId="354763D6">
                  <w:pPr>
                    <w:pStyle w:val="80"/>
                    <w:ind w:left="123" w:right="108"/>
                    <w:jc w:val="right"/>
                    <w:rPr>
                      <w:sz w:val="16"/>
                      <w:szCs w:val="16"/>
                    </w:rPr>
                  </w:pPr>
                  <w:r>
                    <w:rPr>
                      <w:sz w:val="16"/>
                      <w:szCs w:val="16"/>
                    </w:rPr>
                    <w:t>6,95</w:t>
                  </w:r>
                </w:p>
              </w:tc>
              <w:tc>
                <w:tcPr>
                  <w:tcW w:w="612" w:type="pct"/>
                  <w:gridSpan w:val="2"/>
                  <w:vAlign w:val="center"/>
                </w:tcPr>
                <w:p w14:paraId="0ECDE62E">
                  <w:pPr>
                    <w:jc w:val="right"/>
                    <w:rPr>
                      <w:color w:val="000000"/>
                      <w:sz w:val="16"/>
                      <w:szCs w:val="16"/>
                    </w:rPr>
                  </w:pPr>
                  <w:r>
                    <w:rPr>
                      <w:color w:val="000000"/>
                      <w:sz w:val="16"/>
                      <w:szCs w:val="16"/>
                    </w:rPr>
                    <w:t>13900,00</w:t>
                  </w:r>
                </w:p>
              </w:tc>
            </w:tr>
            <w:tr w14:paraId="56EC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19224F9E">
                  <w:pPr>
                    <w:jc w:val="center"/>
                    <w:rPr>
                      <w:sz w:val="16"/>
                      <w:szCs w:val="16"/>
                    </w:rPr>
                  </w:pPr>
                  <w:r>
                    <w:rPr>
                      <w:color w:val="000000"/>
                      <w:sz w:val="16"/>
                      <w:szCs w:val="16"/>
                    </w:rPr>
                    <w:t>4</w:t>
                  </w:r>
                </w:p>
              </w:tc>
              <w:tc>
                <w:tcPr>
                  <w:tcW w:w="2006" w:type="pct"/>
                  <w:vAlign w:val="center"/>
                </w:tcPr>
                <w:p w14:paraId="54551A3E">
                  <w:pPr>
                    <w:pStyle w:val="80"/>
                    <w:tabs>
                      <w:tab w:val="left" w:pos="1167"/>
                      <w:tab w:val="left" w:pos="2506"/>
                    </w:tabs>
                    <w:spacing w:line="226" w:lineRule="exact"/>
                    <w:ind w:right="62"/>
                    <w:jc w:val="both"/>
                    <w:rPr>
                      <w:sz w:val="16"/>
                      <w:szCs w:val="16"/>
                    </w:rPr>
                  </w:pPr>
                  <w:r>
                    <w:rPr>
                      <w:color w:val="000000"/>
                      <w:sz w:val="16"/>
                      <w:szCs w:val="16"/>
                    </w:rPr>
                    <w:t>ATENOLOL 25 MG.</w:t>
                  </w:r>
                </w:p>
              </w:tc>
              <w:tc>
                <w:tcPr>
                  <w:tcW w:w="768" w:type="pct"/>
                  <w:vAlign w:val="center"/>
                </w:tcPr>
                <w:p w14:paraId="5FDC9F0D">
                  <w:pPr>
                    <w:pStyle w:val="80"/>
                    <w:ind w:left="54" w:right="34"/>
                    <w:rPr>
                      <w:sz w:val="16"/>
                      <w:szCs w:val="16"/>
                    </w:rPr>
                  </w:pPr>
                  <w:r>
                    <w:rPr>
                      <w:color w:val="000000"/>
                      <w:sz w:val="16"/>
                      <w:szCs w:val="16"/>
                    </w:rPr>
                    <w:t>COMPRIMIDO</w:t>
                  </w:r>
                </w:p>
              </w:tc>
              <w:tc>
                <w:tcPr>
                  <w:tcW w:w="460" w:type="pct"/>
                  <w:vAlign w:val="center"/>
                </w:tcPr>
                <w:p w14:paraId="2DCEB075">
                  <w:pPr>
                    <w:pStyle w:val="80"/>
                    <w:ind w:left="54" w:right="34"/>
                    <w:rPr>
                      <w:sz w:val="16"/>
                      <w:szCs w:val="16"/>
                    </w:rPr>
                  </w:pPr>
                  <w:r>
                    <w:rPr>
                      <w:color w:val="000000"/>
                      <w:sz w:val="16"/>
                      <w:szCs w:val="16"/>
                    </w:rPr>
                    <w:t>2000</w:t>
                  </w:r>
                </w:p>
              </w:tc>
              <w:tc>
                <w:tcPr>
                  <w:tcW w:w="620" w:type="pct"/>
                  <w:vAlign w:val="center"/>
                </w:tcPr>
                <w:p w14:paraId="6D544035">
                  <w:pPr>
                    <w:pStyle w:val="80"/>
                    <w:ind w:left="123" w:right="108"/>
                    <w:jc w:val="right"/>
                    <w:rPr>
                      <w:sz w:val="16"/>
                      <w:szCs w:val="16"/>
                    </w:rPr>
                  </w:pPr>
                  <w:r>
                    <w:rPr>
                      <w:sz w:val="16"/>
                      <w:szCs w:val="16"/>
                    </w:rPr>
                    <w:t>0,06</w:t>
                  </w:r>
                </w:p>
              </w:tc>
              <w:tc>
                <w:tcPr>
                  <w:tcW w:w="612" w:type="pct"/>
                  <w:gridSpan w:val="2"/>
                  <w:vAlign w:val="center"/>
                </w:tcPr>
                <w:p w14:paraId="54302AF0">
                  <w:pPr>
                    <w:jc w:val="right"/>
                    <w:rPr>
                      <w:color w:val="000000"/>
                      <w:sz w:val="16"/>
                      <w:szCs w:val="16"/>
                    </w:rPr>
                  </w:pPr>
                  <w:r>
                    <w:rPr>
                      <w:color w:val="000000"/>
                      <w:sz w:val="16"/>
                      <w:szCs w:val="16"/>
                    </w:rPr>
                    <w:t>120,00</w:t>
                  </w:r>
                </w:p>
              </w:tc>
            </w:tr>
            <w:tr w14:paraId="1F2F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256" w:hRule="atLeast"/>
                <w:jc w:val="center"/>
              </w:trPr>
              <w:tc>
                <w:tcPr>
                  <w:tcW w:w="520" w:type="pct"/>
                  <w:vAlign w:val="center"/>
                </w:tcPr>
                <w:p w14:paraId="398BC640">
                  <w:pPr>
                    <w:jc w:val="center"/>
                    <w:rPr>
                      <w:sz w:val="16"/>
                      <w:szCs w:val="16"/>
                    </w:rPr>
                  </w:pPr>
                  <w:r>
                    <w:rPr>
                      <w:color w:val="000000"/>
                      <w:sz w:val="16"/>
                      <w:szCs w:val="16"/>
                    </w:rPr>
                    <w:t>5</w:t>
                  </w:r>
                </w:p>
              </w:tc>
              <w:tc>
                <w:tcPr>
                  <w:tcW w:w="2006" w:type="pct"/>
                  <w:vAlign w:val="center"/>
                </w:tcPr>
                <w:p w14:paraId="4241593F">
                  <w:pPr>
                    <w:pStyle w:val="80"/>
                    <w:tabs>
                      <w:tab w:val="left" w:pos="1167"/>
                      <w:tab w:val="left" w:pos="2506"/>
                    </w:tabs>
                    <w:spacing w:line="230" w:lineRule="atLeast"/>
                    <w:ind w:right="62"/>
                    <w:jc w:val="both"/>
                    <w:rPr>
                      <w:sz w:val="16"/>
                      <w:szCs w:val="16"/>
                    </w:rPr>
                  </w:pPr>
                  <w:r>
                    <w:rPr>
                      <w:color w:val="000000"/>
                      <w:sz w:val="16"/>
                      <w:szCs w:val="16"/>
                    </w:rPr>
                    <w:t>ATROVENT (IPRATRÓPIO BROMETO), DOSAGEM 0,25 MG/ML, USO SOLUÇÃO PARA INALAÇÃO, FRASCO COM 20 ML.</w:t>
                  </w:r>
                </w:p>
              </w:tc>
              <w:tc>
                <w:tcPr>
                  <w:tcW w:w="768" w:type="pct"/>
                  <w:vAlign w:val="center"/>
                </w:tcPr>
                <w:p w14:paraId="6009911D">
                  <w:pPr>
                    <w:pStyle w:val="80"/>
                    <w:ind w:left="54" w:right="34"/>
                    <w:rPr>
                      <w:sz w:val="16"/>
                      <w:szCs w:val="16"/>
                    </w:rPr>
                  </w:pPr>
                  <w:r>
                    <w:rPr>
                      <w:color w:val="000000"/>
                      <w:sz w:val="16"/>
                      <w:szCs w:val="16"/>
                    </w:rPr>
                    <w:t>FRASCO</w:t>
                  </w:r>
                </w:p>
              </w:tc>
              <w:tc>
                <w:tcPr>
                  <w:tcW w:w="460" w:type="pct"/>
                  <w:vAlign w:val="center"/>
                </w:tcPr>
                <w:p w14:paraId="6A10ED75">
                  <w:pPr>
                    <w:pStyle w:val="80"/>
                    <w:ind w:left="54" w:right="34"/>
                    <w:rPr>
                      <w:sz w:val="16"/>
                      <w:szCs w:val="16"/>
                    </w:rPr>
                  </w:pPr>
                  <w:r>
                    <w:rPr>
                      <w:color w:val="000000"/>
                      <w:sz w:val="16"/>
                      <w:szCs w:val="16"/>
                    </w:rPr>
                    <w:t>250</w:t>
                  </w:r>
                </w:p>
              </w:tc>
              <w:tc>
                <w:tcPr>
                  <w:tcW w:w="620" w:type="pct"/>
                  <w:vAlign w:val="center"/>
                </w:tcPr>
                <w:p w14:paraId="26729F3C">
                  <w:pPr>
                    <w:pStyle w:val="80"/>
                    <w:ind w:left="123" w:right="108"/>
                    <w:jc w:val="right"/>
                    <w:rPr>
                      <w:sz w:val="16"/>
                      <w:szCs w:val="16"/>
                    </w:rPr>
                  </w:pPr>
                  <w:r>
                    <w:rPr>
                      <w:sz w:val="16"/>
                      <w:szCs w:val="16"/>
                    </w:rPr>
                    <w:t>6,00</w:t>
                  </w:r>
                </w:p>
              </w:tc>
              <w:tc>
                <w:tcPr>
                  <w:tcW w:w="612" w:type="pct"/>
                  <w:gridSpan w:val="2"/>
                  <w:vAlign w:val="center"/>
                </w:tcPr>
                <w:p w14:paraId="165392B2">
                  <w:pPr>
                    <w:jc w:val="right"/>
                    <w:rPr>
                      <w:color w:val="000000"/>
                      <w:sz w:val="16"/>
                      <w:szCs w:val="16"/>
                    </w:rPr>
                  </w:pPr>
                  <w:r>
                    <w:rPr>
                      <w:color w:val="000000"/>
                      <w:sz w:val="16"/>
                      <w:szCs w:val="16"/>
                    </w:rPr>
                    <w:t>1500,00</w:t>
                  </w:r>
                </w:p>
              </w:tc>
            </w:tr>
            <w:tr w14:paraId="7990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7C187571">
                  <w:pPr>
                    <w:jc w:val="center"/>
                    <w:rPr>
                      <w:sz w:val="16"/>
                      <w:szCs w:val="16"/>
                    </w:rPr>
                  </w:pPr>
                  <w:r>
                    <w:rPr>
                      <w:color w:val="000000"/>
                      <w:sz w:val="16"/>
                      <w:szCs w:val="16"/>
                    </w:rPr>
                    <w:t>6</w:t>
                  </w:r>
                </w:p>
              </w:tc>
              <w:tc>
                <w:tcPr>
                  <w:tcW w:w="2006" w:type="pct"/>
                  <w:vAlign w:val="center"/>
                </w:tcPr>
                <w:p w14:paraId="515E634A">
                  <w:pPr>
                    <w:pStyle w:val="80"/>
                    <w:spacing w:line="230" w:lineRule="atLeast"/>
                    <w:ind w:right="47"/>
                    <w:jc w:val="both"/>
                    <w:rPr>
                      <w:sz w:val="16"/>
                      <w:szCs w:val="16"/>
                    </w:rPr>
                  </w:pPr>
                  <w:r>
                    <w:rPr>
                      <w:color w:val="000000"/>
                      <w:sz w:val="16"/>
                      <w:szCs w:val="16"/>
                    </w:rPr>
                    <w:t>BISSULFATO DE CLOPIDOGREL 75 MG.</w:t>
                  </w:r>
                </w:p>
              </w:tc>
              <w:tc>
                <w:tcPr>
                  <w:tcW w:w="768" w:type="pct"/>
                  <w:vAlign w:val="center"/>
                </w:tcPr>
                <w:p w14:paraId="2D13F5CF">
                  <w:pPr>
                    <w:pStyle w:val="80"/>
                    <w:ind w:left="54" w:right="34"/>
                    <w:rPr>
                      <w:sz w:val="16"/>
                      <w:szCs w:val="16"/>
                    </w:rPr>
                  </w:pPr>
                  <w:r>
                    <w:rPr>
                      <w:color w:val="000000"/>
                      <w:sz w:val="16"/>
                      <w:szCs w:val="16"/>
                    </w:rPr>
                    <w:t>COMPRIMIDO</w:t>
                  </w:r>
                </w:p>
              </w:tc>
              <w:tc>
                <w:tcPr>
                  <w:tcW w:w="460" w:type="pct"/>
                  <w:vAlign w:val="center"/>
                </w:tcPr>
                <w:p w14:paraId="71C9DD90">
                  <w:pPr>
                    <w:pStyle w:val="80"/>
                    <w:ind w:left="54" w:right="34"/>
                    <w:rPr>
                      <w:sz w:val="16"/>
                      <w:szCs w:val="16"/>
                    </w:rPr>
                  </w:pPr>
                  <w:r>
                    <w:rPr>
                      <w:color w:val="000000"/>
                      <w:sz w:val="16"/>
                      <w:szCs w:val="16"/>
                    </w:rPr>
                    <w:t>1080</w:t>
                  </w:r>
                </w:p>
              </w:tc>
              <w:tc>
                <w:tcPr>
                  <w:tcW w:w="620" w:type="pct"/>
                  <w:vAlign w:val="center"/>
                </w:tcPr>
                <w:p w14:paraId="6845D592">
                  <w:pPr>
                    <w:pStyle w:val="80"/>
                    <w:spacing w:before="115"/>
                    <w:ind w:left="123" w:right="108"/>
                    <w:jc w:val="right"/>
                    <w:rPr>
                      <w:sz w:val="16"/>
                      <w:szCs w:val="16"/>
                    </w:rPr>
                  </w:pPr>
                  <w:r>
                    <w:rPr>
                      <w:sz w:val="16"/>
                      <w:szCs w:val="16"/>
                    </w:rPr>
                    <w:t>0,49</w:t>
                  </w:r>
                </w:p>
              </w:tc>
              <w:tc>
                <w:tcPr>
                  <w:tcW w:w="612" w:type="pct"/>
                  <w:gridSpan w:val="2"/>
                  <w:vAlign w:val="center"/>
                </w:tcPr>
                <w:p w14:paraId="5A1F3068">
                  <w:pPr>
                    <w:jc w:val="right"/>
                    <w:rPr>
                      <w:color w:val="000000"/>
                      <w:sz w:val="16"/>
                      <w:szCs w:val="16"/>
                    </w:rPr>
                  </w:pPr>
                  <w:r>
                    <w:rPr>
                      <w:color w:val="000000"/>
                      <w:sz w:val="16"/>
                      <w:szCs w:val="16"/>
                    </w:rPr>
                    <w:t>529,20</w:t>
                  </w:r>
                </w:p>
              </w:tc>
            </w:tr>
            <w:tr w14:paraId="2DC6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4912E393">
                  <w:pPr>
                    <w:jc w:val="center"/>
                    <w:rPr>
                      <w:sz w:val="16"/>
                      <w:szCs w:val="16"/>
                    </w:rPr>
                  </w:pPr>
                  <w:r>
                    <w:rPr>
                      <w:color w:val="000000"/>
                      <w:sz w:val="16"/>
                      <w:szCs w:val="16"/>
                    </w:rPr>
                    <w:t>7</w:t>
                  </w:r>
                </w:p>
              </w:tc>
              <w:tc>
                <w:tcPr>
                  <w:tcW w:w="2006" w:type="pct"/>
                  <w:vAlign w:val="center"/>
                </w:tcPr>
                <w:p w14:paraId="74B166A0">
                  <w:pPr>
                    <w:pStyle w:val="80"/>
                    <w:spacing w:line="210" w:lineRule="exact"/>
                    <w:jc w:val="both"/>
                    <w:rPr>
                      <w:sz w:val="16"/>
                      <w:szCs w:val="16"/>
                    </w:rPr>
                  </w:pPr>
                  <w:r>
                    <w:rPr>
                      <w:color w:val="000000"/>
                      <w:sz w:val="16"/>
                      <w:szCs w:val="16"/>
                    </w:rPr>
                    <w:t>BROMOPRIDA, DOSAGEM 5 MG/ML, APRESENTAÇÃO INJETÁVEL, AMPOLA COM 2 ML.</w:t>
                  </w:r>
                </w:p>
              </w:tc>
              <w:tc>
                <w:tcPr>
                  <w:tcW w:w="768" w:type="pct"/>
                  <w:vAlign w:val="center"/>
                </w:tcPr>
                <w:p w14:paraId="54BAFB5D">
                  <w:pPr>
                    <w:pStyle w:val="80"/>
                    <w:spacing w:line="210" w:lineRule="exact"/>
                    <w:ind w:left="54" w:right="34"/>
                    <w:rPr>
                      <w:sz w:val="16"/>
                      <w:szCs w:val="16"/>
                    </w:rPr>
                  </w:pPr>
                  <w:r>
                    <w:rPr>
                      <w:color w:val="000000"/>
                      <w:sz w:val="16"/>
                      <w:szCs w:val="16"/>
                    </w:rPr>
                    <w:t>AMPOLA</w:t>
                  </w:r>
                </w:p>
              </w:tc>
              <w:tc>
                <w:tcPr>
                  <w:tcW w:w="460" w:type="pct"/>
                  <w:vAlign w:val="center"/>
                </w:tcPr>
                <w:p w14:paraId="244A06B6">
                  <w:pPr>
                    <w:pStyle w:val="80"/>
                    <w:spacing w:line="210" w:lineRule="exact"/>
                    <w:ind w:left="54" w:right="34"/>
                    <w:rPr>
                      <w:sz w:val="16"/>
                      <w:szCs w:val="16"/>
                    </w:rPr>
                  </w:pPr>
                  <w:r>
                    <w:rPr>
                      <w:color w:val="000000"/>
                      <w:sz w:val="16"/>
                      <w:szCs w:val="16"/>
                    </w:rPr>
                    <w:t>5000</w:t>
                  </w:r>
                </w:p>
              </w:tc>
              <w:tc>
                <w:tcPr>
                  <w:tcW w:w="620" w:type="pct"/>
                  <w:vAlign w:val="center"/>
                </w:tcPr>
                <w:p w14:paraId="46F04B7C">
                  <w:pPr>
                    <w:pStyle w:val="80"/>
                    <w:spacing w:line="210" w:lineRule="exact"/>
                    <w:ind w:left="123" w:right="108"/>
                    <w:jc w:val="right"/>
                    <w:rPr>
                      <w:sz w:val="16"/>
                      <w:szCs w:val="16"/>
                    </w:rPr>
                  </w:pPr>
                  <w:r>
                    <w:rPr>
                      <w:sz w:val="16"/>
                      <w:szCs w:val="16"/>
                    </w:rPr>
                    <w:t>1,22</w:t>
                  </w:r>
                </w:p>
              </w:tc>
              <w:tc>
                <w:tcPr>
                  <w:tcW w:w="612" w:type="pct"/>
                  <w:gridSpan w:val="2"/>
                  <w:vAlign w:val="center"/>
                </w:tcPr>
                <w:p w14:paraId="0B8CA5F2">
                  <w:pPr>
                    <w:jc w:val="right"/>
                    <w:rPr>
                      <w:color w:val="000000"/>
                      <w:sz w:val="16"/>
                      <w:szCs w:val="16"/>
                    </w:rPr>
                  </w:pPr>
                  <w:r>
                    <w:rPr>
                      <w:color w:val="000000"/>
                      <w:sz w:val="16"/>
                      <w:szCs w:val="16"/>
                    </w:rPr>
                    <w:t>6100,00</w:t>
                  </w:r>
                </w:p>
              </w:tc>
            </w:tr>
            <w:tr w14:paraId="3EAF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45DED2B2">
                  <w:pPr>
                    <w:jc w:val="center"/>
                    <w:rPr>
                      <w:sz w:val="16"/>
                      <w:szCs w:val="16"/>
                    </w:rPr>
                  </w:pPr>
                  <w:r>
                    <w:rPr>
                      <w:color w:val="000000"/>
                      <w:sz w:val="16"/>
                      <w:szCs w:val="16"/>
                    </w:rPr>
                    <w:t>8</w:t>
                  </w:r>
                </w:p>
              </w:tc>
              <w:tc>
                <w:tcPr>
                  <w:tcW w:w="2006" w:type="pct"/>
                  <w:vAlign w:val="center"/>
                </w:tcPr>
                <w:p w14:paraId="1045C38B">
                  <w:pPr>
                    <w:pStyle w:val="80"/>
                    <w:spacing w:line="230" w:lineRule="atLeast"/>
                    <w:jc w:val="both"/>
                    <w:rPr>
                      <w:sz w:val="16"/>
                      <w:szCs w:val="16"/>
                    </w:rPr>
                  </w:pPr>
                  <w:r>
                    <w:rPr>
                      <w:color w:val="000000"/>
                      <w:sz w:val="16"/>
                      <w:szCs w:val="16"/>
                    </w:rPr>
                    <w:t>CETAMINA CLORIDRATO (KETALAR), DOSAGEM 50 MG/ML, APLICAÇÃO SOLUÇÃO INJETÁVEL, FRASCO 10 ML.</w:t>
                  </w:r>
                </w:p>
              </w:tc>
              <w:tc>
                <w:tcPr>
                  <w:tcW w:w="768" w:type="pct"/>
                  <w:vAlign w:val="center"/>
                </w:tcPr>
                <w:p w14:paraId="5F6B6CE8">
                  <w:pPr>
                    <w:pStyle w:val="80"/>
                    <w:ind w:left="54" w:right="34"/>
                    <w:rPr>
                      <w:sz w:val="16"/>
                      <w:szCs w:val="16"/>
                    </w:rPr>
                  </w:pPr>
                  <w:r>
                    <w:rPr>
                      <w:color w:val="000000"/>
                      <w:sz w:val="16"/>
                      <w:szCs w:val="16"/>
                    </w:rPr>
                    <w:t>FRASCO</w:t>
                  </w:r>
                </w:p>
              </w:tc>
              <w:tc>
                <w:tcPr>
                  <w:tcW w:w="460" w:type="pct"/>
                  <w:vAlign w:val="center"/>
                </w:tcPr>
                <w:p w14:paraId="373DF013">
                  <w:pPr>
                    <w:pStyle w:val="80"/>
                    <w:ind w:left="54" w:right="34"/>
                    <w:rPr>
                      <w:sz w:val="16"/>
                      <w:szCs w:val="16"/>
                    </w:rPr>
                  </w:pPr>
                  <w:r>
                    <w:rPr>
                      <w:color w:val="000000"/>
                      <w:sz w:val="16"/>
                      <w:szCs w:val="16"/>
                    </w:rPr>
                    <w:t>150</w:t>
                  </w:r>
                </w:p>
              </w:tc>
              <w:tc>
                <w:tcPr>
                  <w:tcW w:w="620" w:type="pct"/>
                  <w:vAlign w:val="center"/>
                </w:tcPr>
                <w:p w14:paraId="5E2FE30A">
                  <w:pPr>
                    <w:pStyle w:val="80"/>
                    <w:spacing w:before="115"/>
                    <w:ind w:left="123" w:right="108"/>
                    <w:jc w:val="right"/>
                    <w:rPr>
                      <w:sz w:val="16"/>
                      <w:szCs w:val="16"/>
                    </w:rPr>
                  </w:pPr>
                  <w:r>
                    <w:rPr>
                      <w:sz w:val="16"/>
                      <w:szCs w:val="16"/>
                    </w:rPr>
                    <w:t>21,20</w:t>
                  </w:r>
                </w:p>
              </w:tc>
              <w:tc>
                <w:tcPr>
                  <w:tcW w:w="612" w:type="pct"/>
                  <w:gridSpan w:val="2"/>
                  <w:vAlign w:val="center"/>
                </w:tcPr>
                <w:p w14:paraId="6E25E42D">
                  <w:pPr>
                    <w:jc w:val="right"/>
                    <w:rPr>
                      <w:color w:val="000000"/>
                      <w:sz w:val="16"/>
                      <w:szCs w:val="16"/>
                    </w:rPr>
                  </w:pPr>
                  <w:r>
                    <w:rPr>
                      <w:color w:val="000000"/>
                      <w:sz w:val="16"/>
                      <w:szCs w:val="16"/>
                    </w:rPr>
                    <w:t>3180,00</w:t>
                  </w:r>
                </w:p>
              </w:tc>
            </w:tr>
            <w:tr w14:paraId="42A0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201" w:hRule="atLeast"/>
                <w:jc w:val="center"/>
              </w:trPr>
              <w:tc>
                <w:tcPr>
                  <w:tcW w:w="520" w:type="pct"/>
                  <w:vAlign w:val="center"/>
                </w:tcPr>
                <w:p w14:paraId="6E0C5A32">
                  <w:pPr>
                    <w:jc w:val="center"/>
                    <w:rPr>
                      <w:sz w:val="16"/>
                      <w:szCs w:val="16"/>
                    </w:rPr>
                  </w:pPr>
                  <w:r>
                    <w:rPr>
                      <w:color w:val="000000"/>
                      <w:sz w:val="16"/>
                      <w:szCs w:val="16"/>
                    </w:rPr>
                    <w:t>9</w:t>
                  </w:r>
                </w:p>
              </w:tc>
              <w:tc>
                <w:tcPr>
                  <w:tcW w:w="2006" w:type="pct"/>
                  <w:vAlign w:val="center"/>
                </w:tcPr>
                <w:p w14:paraId="6AED1B29">
                  <w:pPr>
                    <w:pStyle w:val="80"/>
                    <w:spacing w:line="230" w:lineRule="exact"/>
                    <w:jc w:val="both"/>
                    <w:rPr>
                      <w:sz w:val="16"/>
                      <w:szCs w:val="16"/>
                    </w:rPr>
                  </w:pPr>
                  <w:r>
                    <w:rPr>
                      <w:color w:val="000000"/>
                      <w:sz w:val="16"/>
                      <w:szCs w:val="16"/>
                    </w:rPr>
                    <w:t>CETOPROFENO DE 50MG/ML, AMPOLA DE 2ML.</w:t>
                  </w:r>
                </w:p>
              </w:tc>
              <w:tc>
                <w:tcPr>
                  <w:tcW w:w="768" w:type="pct"/>
                  <w:vAlign w:val="center"/>
                </w:tcPr>
                <w:p w14:paraId="2537DC6C">
                  <w:pPr>
                    <w:pStyle w:val="80"/>
                    <w:ind w:left="54" w:right="34"/>
                    <w:rPr>
                      <w:sz w:val="16"/>
                      <w:szCs w:val="16"/>
                    </w:rPr>
                  </w:pPr>
                  <w:r>
                    <w:rPr>
                      <w:color w:val="000000"/>
                      <w:sz w:val="16"/>
                      <w:szCs w:val="16"/>
                    </w:rPr>
                    <w:t>AMPOLA</w:t>
                  </w:r>
                </w:p>
              </w:tc>
              <w:tc>
                <w:tcPr>
                  <w:tcW w:w="460" w:type="pct"/>
                  <w:vAlign w:val="center"/>
                </w:tcPr>
                <w:p w14:paraId="6B0FDDB2">
                  <w:pPr>
                    <w:pStyle w:val="80"/>
                    <w:ind w:left="54" w:right="34"/>
                    <w:rPr>
                      <w:sz w:val="16"/>
                      <w:szCs w:val="16"/>
                    </w:rPr>
                  </w:pPr>
                  <w:r>
                    <w:rPr>
                      <w:color w:val="000000"/>
                      <w:sz w:val="16"/>
                      <w:szCs w:val="16"/>
                    </w:rPr>
                    <w:t>4500</w:t>
                  </w:r>
                </w:p>
              </w:tc>
              <w:tc>
                <w:tcPr>
                  <w:tcW w:w="620" w:type="pct"/>
                  <w:vAlign w:val="center"/>
                </w:tcPr>
                <w:p w14:paraId="5AB8D3EC">
                  <w:pPr>
                    <w:pStyle w:val="80"/>
                    <w:spacing w:before="116"/>
                    <w:ind w:left="123" w:right="108"/>
                    <w:jc w:val="right"/>
                    <w:rPr>
                      <w:sz w:val="16"/>
                      <w:szCs w:val="16"/>
                    </w:rPr>
                  </w:pPr>
                  <w:r>
                    <w:rPr>
                      <w:sz w:val="16"/>
                      <w:szCs w:val="16"/>
                    </w:rPr>
                    <w:t>3,88</w:t>
                  </w:r>
                </w:p>
              </w:tc>
              <w:tc>
                <w:tcPr>
                  <w:tcW w:w="612" w:type="pct"/>
                  <w:gridSpan w:val="2"/>
                  <w:vAlign w:val="center"/>
                </w:tcPr>
                <w:p w14:paraId="7FA6F20D">
                  <w:pPr>
                    <w:jc w:val="right"/>
                    <w:rPr>
                      <w:color w:val="000000"/>
                      <w:sz w:val="16"/>
                      <w:szCs w:val="16"/>
                    </w:rPr>
                  </w:pPr>
                  <w:r>
                    <w:rPr>
                      <w:color w:val="000000"/>
                      <w:sz w:val="16"/>
                      <w:szCs w:val="16"/>
                    </w:rPr>
                    <w:t>17460,00</w:t>
                  </w:r>
                </w:p>
              </w:tc>
            </w:tr>
            <w:tr w14:paraId="6466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288" w:hRule="atLeast"/>
                <w:jc w:val="center"/>
              </w:trPr>
              <w:tc>
                <w:tcPr>
                  <w:tcW w:w="520" w:type="pct"/>
                  <w:vAlign w:val="center"/>
                </w:tcPr>
                <w:p w14:paraId="305C6104">
                  <w:pPr>
                    <w:jc w:val="center"/>
                    <w:rPr>
                      <w:sz w:val="16"/>
                      <w:szCs w:val="16"/>
                    </w:rPr>
                  </w:pPr>
                  <w:r>
                    <w:rPr>
                      <w:color w:val="000000"/>
                      <w:sz w:val="16"/>
                      <w:szCs w:val="16"/>
                    </w:rPr>
                    <w:t>10</w:t>
                  </w:r>
                </w:p>
              </w:tc>
              <w:tc>
                <w:tcPr>
                  <w:tcW w:w="2006" w:type="pct"/>
                  <w:vAlign w:val="center"/>
                </w:tcPr>
                <w:p w14:paraId="6302A0EE">
                  <w:pPr>
                    <w:pStyle w:val="80"/>
                    <w:spacing w:line="210" w:lineRule="exact"/>
                    <w:jc w:val="both"/>
                    <w:rPr>
                      <w:sz w:val="16"/>
                      <w:szCs w:val="16"/>
                    </w:rPr>
                  </w:pPr>
                  <w:r>
                    <w:rPr>
                      <w:color w:val="000000"/>
                      <w:sz w:val="16"/>
                      <w:szCs w:val="16"/>
                    </w:rPr>
                    <w:t>CETOPROFENO DE 100MG, PÓ LIOFILO P/INJ.</w:t>
                  </w:r>
                </w:p>
              </w:tc>
              <w:tc>
                <w:tcPr>
                  <w:tcW w:w="768" w:type="pct"/>
                  <w:vAlign w:val="center"/>
                </w:tcPr>
                <w:p w14:paraId="76E4B96D">
                  <w:pPr>
                    <w:pStyle w:val="80"/>
                    <w:spacing w:line="210" w:lineRule="exact"/>
                    <w:ind w:left="54" w:right="34"/>
                    <w:rPr>
                      <w:sz w:val="16"/>
                      <w:szCs w:val="16"/>
                    </w:rPr>
                  </w:pPr>
                  <w:r>
                    <w:rPr>
                      <w:color w:val="000000"/>
                      <w:sz w:val="16"/>
                      <w:szCs w:val="16"/>
                    </w:rPr>
                    <w:t>AMPOLA</w:t>
                  </w:r>
                </w:p>
              </w:tc>
              <w:tc>
                <w:tcPr>
                  <w:tcW w:w="460" w:type="pct"/>
                  <w:vAlign w:val="center"/>
                </w:tcPr>
                <w:p w14:paraId="3FAA8B2D">
                  <w:pPr>
                    <w:pStyle w:val="80"/>
                    <w:spacing w:line="210" w:lineRule="exact"/>
                    <w:ind w:left="54" w:right="34"/>
                    <w:rPr>
                      <w:sz w:val="16"/>
                      <w:szCs w:val="16"/>
                    </w:rPr>
                  </w:pPr>
                  <w:r>
                    <w:rPr>
                      <w:color w:val="000000"/>
                      <w:sz w:val="16"/>
                      <w:szCs w:val="16"/>
                    </w:rPr>
                    <w:t>8000</w:t>
                  </w:r>
                </w:p>
              </w:tc>
              <w:tc>
                <w:tcPr>
                  <w:tcW w:w="620" w:type="pct"/>
                  <w:vAlign w:val="center"/>
                </w:tcPr>
                <w:p w14:paraId="0CAA0B80">
                  <w:pPr>
                    <w:pStyle w:val="80"/>
                    <w:spacing w:line="210" w:lineRule="exact"/>
                    <w:ind w:left="123" w:right="108"/>
                    <w:jc w:val="right"/>
                    <w:rPr>
                      <w:sz w:val="16"/>
                      <w:szCs w:val="16"/>
                    </w:rPr>
                  </w:pPr>
                  <w:r>
                    <w:rPr>
                      <w:sz w:val="16"/>
                      <w:szCs w:val="16"/>
                    </w:rPr>
                    <w:t>10,99</w:t>
                  </w:r>
                </w:p>
              </w:tc>
              <w:tc>
                <w:tcPr>
                  <w:tcW w:w="612" w:type="pct"/>
                  <w:gridSpan w:val="2"/>
                  <w:vAlign w:val="center"/>
                </w:tcPr>
                <w:p w14:paraId="7287F248">
                  <w:pPr>
                    <w:jc w:val="right"/>
                    <w:rPr>
                      <w:color w:val="000000"/>
                      <w:sz w:val="16"/>
                      <w:szCs w:val="16"/>
                    </w:rPr>
                  </w:pPr>
                  <w:r>
                    <w:rPr>
                      <w:color w:val="000000"/>
                      <w:sz w:val="16"/>
                      <w:szCs w:val="16"/>
                    </w:rPr>
                    <w:t>87920,00</w:t>
                  </w:r>
                </w:p>
              </w:tc>
            </w:tr>
            <w:tr w14:paraId="0F24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51AC4FFB">
                  <w:pPr>
                    <w:jc w:val="center"/>
                    <w:rPr>
                      <w:sz w:val="16"/>
                      <w:szCs w:val="16"/>
                    </w:rPr>
                  </w:pPr>
                  <w:r>
                    <w:rPr>
                      <w:color w:val="000000"/>
                      <w:sz w:val="16"/>
                      <w:szCs w:val="16"/>
                    </w:rPr>
                    <w:t>11</w:t>
                  </w:r>
                </w:p>
              </w:tc>
              <w:tc>
                <w:tcPr>
                  <w:tcW w:w="2006" w:type="pct"/>
                  <w:vAlign w:val="center"/>
                </w:tcPr>
                <w:p w14:paraId="5A852F31">
                  <w:pPr>
                    <w:pStyle w:val="80"/>
                    <w:spacing w:line="210" w:lineRule="exact"/>
                    <w:jc w:val="both"/>
                    <w:rPr>
                      <w:sz w:val="16"/>
                      <w:szCs w:val="16"/>
                    </w:rPr>
                  </w:pPr>
                  <w:r>
                    <w:rPr>
                      <w:color w:val="000000"/>
                      <w:sz w:val="16"/>
                      <w:szCs w:val="16"/>
                    </w:rPr>
                    <w:t>CIPROFLOXACINO CLORIDRATO, DOSAGEM 2 MG/ML, APRESENTAÇÃO SOLUÇÃO INJETÁVEL, BOLSA DE 100 ML.</w:t>
                  </w:r>
                </w:p>
              </w:tc>
              <w:tc>
                <w:tcPr>
                  <w:tcW w:w="768" w:type="pct"/>
                  <w:vAlign w:val="center"/>
                </w:tcPr>
                <w:p w14:paraId="427050EE">
                  <w:pPr>
                    <w:pStyle w:val="80"/>
                    <w:spacing w:line="210" w:lineRule="exact"/>
                    <w:ind w:left="54" w:right="34"/>
                    <w:rPr>
                      <w:sz w:val="16"/>
                      <w:szCs w:val="16"/>
                    </w:rPr>
                  </w:pPr>
                  <w:r>
                    <w:rPr>
                      <w:color w:val="000000"/>
                      <w:sz w:val="16"/>
                      <w:szCs w:val="16"/>
                    </w:rPr>
                    <w:t>BOLSA</w:t>
                  </w:r>
                </w:p>
              </w:tc>
              <w:tc>
                <w:tcPr>
                  <w:tcW w:w="460" w:type="pct"/>
                  <w:vAlign w:val="center"/>
                </w:tcPr>
                <w:p w14:paraId="69DD840A">
                  <w:pPr>
                    <w:pStyle w:val="80"/>
                    <w:spacing w:line="210" w:lineRule="exact"/>
                    <w:ind w:left="54" w:right="34"/>
                    <w:rPr>
                      <w:sz w:val="16"/>
                      <w:szCs w:val="16"/>
                    </w:rPr>
                  </w:pPr>
                  <w:r>
                    <w:rPr>
                      <w:color w:val="000000"/>
                      <w:sz w:val="16"/>
                      <w:szCs w:val="16"/>
                    </w:rPr>
                    <w:t>2000</w:t>
                  </w:r>
                </w:p>
              </w:tc>
              <w:tc>
                <w:tcPr>
                  <w:tcW w:w="620" w:type="pct"/>
                  <w:vAlign w:val="center"/>
                </w:tcPr>
                <w:p w14:paraId="721F5BB5">
                  <w:pPr>
                    <w:pStyle w:val="80"/>
                    <w:spacing w:line="210" w:lineRule="exact"/>
                    <w:ind w:left="123" w:right="108"/>
                    <w:jc w:val="right"/>
                    <w:rPr>
                      <w:sz w:val="16"/>
                      <w:szCs w:val="16"/>
                    </w:rPr>
                  </w:pPr>
                  <w:r>
                    <w:rPr>
                      <w:sz w:val="16"/>
                      <w:szCs w:val="16"/>
                    </w:rPr>
                    <w:t>11,25</w:t>
                  </w:r>
                </w:p>
              </w:tc>
              <w:tc>
                <w:tcPr>
                  <w:tcW w:w="612" w:type="pct"/>
                  <w:gridSpan w:val="2"/>
                  <w:vAlign w:val="center"/>
                </w:tcPr>
                <w:p w14:paraId="380E140F">
                  <w:pPr>
                    <w:jc w:val="right"/>
                    <w:rPr>
                      <w:color w:val="000000"/>
                      <w:sz w:val="16"/>
                      <w:szCs w:val="16"/>
                    </w:rPr>
                  </w:pPr>
                  <w:r>
                    <w:rPr>
                      <w:color w:val="000000"/>
                      <w:sz w:val="16"/>
                      <w:szCs w:val="16"/>
                    </w:rPr>
                    <w:t>22500,00</w:t>
                  </w:r>
                </w:p>
              </w:tc>
            </w:tr>
            <w:tr w14:paraId="011C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7EAECD7C">
                  <w:pPr>
                    <w:jc w:val="center"/>
                    <w:rPr>
                      <w:sz w:val="16"/>
                      <w:szCs w:val="16"/>
                    </w:rPr>
                  </w:pPr>
                  <w:r>
                    <w:rPr>
                      <w:color w:val="000000"/>
                      <w:sz w:val="16"/>
                      <w:szCs w:val="16"/>
                    </w:rPr>
                    <w:t>12</w:t>
                  </w:r>
                </w:p>
              </w:tc>
              <w:tc>
                <w:tcPr>
                  <w:tcW w:w="2006" w:type="pct"/>
                  <w:vAlign w:val="center"/>
                </w:tcPr>
                <w:p w14:paraId="130E1598">
                  <w:pPr>
                    <w:pStyle w:val="80"/>
                    <w:spacing w:line="210" w:lineRule="exact"/>
                    <w:jc w:val="both"/>
                    <w:rPr>
                      <w:sz w:val="16"/>
                      <w:szCs w:val="16"/>
                    </w:rPr>
                  </w:pPr>
                  <w:r>
                    <w:rPr>
                      <w:color w:val="000000"/>
                      <w:sz w:val="16"/>
                      <w:szCs w:val="16"/>
                    </w:rPr>
                    <w:t>DESLANÓSIDO, DOSAGEM 0,2 MG/ML, APRESENTAÇÃO SOLUÇÃO INJETÁVEL, AMPOLA DE 2 ML.</w:t>
                  </w:r>
                </w:p>
              </w:tc>
              <w:tc>
                <w:tcPr>
                  <w:tcW w:w="768" w:type="pct"/>
                  <w:vAlign w:val="center"/>
                </w:tcPr>
                <w:p w14:paraId="1E5F3253">
                  <w:pPr>
                    <w:pStyle w:val="80"/>
                    <w:spacing w:line="210" w:lineRule="exact"/>
                    <w:ind w:left="54" w:right="34"/>
                    <w:rPr>
                      <w:sz w:val="16"/>
                      <w:szCs w:val="16"/>
                    </w:rPr>
                  </w:pPr>
                  <w:r>
                    <w:rPr>
                      <w:color w:val="000000"/>
                      <w:sz w:val="16"/>
                      <w:szCs w:val="16"/>
                    </w:rPr>
                    <w:t>AMPOLA</w:t>
                  </w:r>
                </w:p>
              </w:tc>
              <w:tc>
                <w:tcPr>
                  <w:tcW w:w="460" w:type="pct"/>
                  <w:vAlign w:val="center"/>
                </w:tcPr>
                <w:p w14:paraId="451A6648">
                  <w:pPr>
                    <w:pStyle w:val="80"/>
                    <w:spacing w:line="210" w:lineRule="exact"/>
                    <w:ind w:left="54" w:right="34"/>
                    <w:rPr>
                      <w:sz w:val="16"/>
                      <w:szCs w:val="16"/>
                    </w:rPr>
                  </w:pPr>
                  <w:r>
                    <w:rPr>
                      <w:color w:val="000000"/>
                      <w:sz w:val="16"/>
                      <w:szCs w:val="16"/>
                    </w:rPr>
                    <w:t>1500</w:t>
                  </w:r>
                </w:p>
              </w:tc>
              <w:tc>
                <w:tcPr>
                  <w:tcW w:w="620" w:type="pct"/>
                  <w:vAlign w:val="center"/>
                </w:tcPr>
                <w:p w14:paraId="20D2A09D">
                  <w:pPr>
                    <w:pStyle w:val="80"/>
                    <w:spacing w:line="210" w:lineRule="exact"/>
                    <w:ind w:left="123" w:right="108"/>
                    <w:jc w:val="right"/>
                    <w:rPr>
                      <w:sz w:val="16"/>
                      <w:szCs w:val="16"/>
                    </w:rPr>
                  </w:pPr>
                  <w:r>
                    <w:rPr>
                      <w:sz w:val="16"/>
                      <w:szCs w:val="16"/>
                    </w:rPr>
                    <w:t>2,50</w:t>
                  </w:r>
                </w:p>
              </w:tc>
              <w:tc>
                <w:tcPr>
                  <w:tcW w:w="612" w:type="pct"/>
                  <w:gridSpan w:val="2"/>
                  <w:vAlign w:val="center"/>
                </w:tcPr>
                <w:p w14:paraId="4B687350">
                  <w:pPr>
                    <w:jc w:val="right"/>
                    <w:rPr>
                      <w:color w:val="000000"/>
                      <w:sz w:val="16"/>
                      <w:szCs w:val="16"/>
                    </w:rPr>
                  </w:pPr>
                  <w:r>
                    <w:rPr>
                      <w:color w:val="000000"/>
                      <w:sz w:val="16"/>
                      <w:szCs w:val="16"/>
                    </w:rPr>
                    <w:t>3750,00</w:t>
                  </w:r>
                </w:p>
              </w:tc>
            </w:tr>
            <w:tr w14:paraId="31D3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415E3E8A">
                  <w:pPr>
                    <w:jc w:val="center"/>
                    <w:rPr>
                      <w:sz w:val="16"/>
                      <w:szCs w:val="16"/>
                    </w:rPr>
                  </w:pPr>
                  <w:r>
                    <w:rPr>
                      <w:color w:val="000000"/>
                      <w:sz w:val="16"/>
                      <w:szCs w:val="16"/>
                    </w:rPr>
                    <w:t>13</w:t>
                  </w:r>
                </w:p>
              </w:tc>
              <w:tc>
                <w:tcPr>
                  <w:tcW w:w="2006" w:type="pct"/>
                  <w:vAlign w:val="center"/>
                </w:tcPr>
                <w:p w14:paraId="57920B46">
                  <w:pPr>
                    <w:pStyle w:val="80"/>
                    <w:spacing w:line="230" w:lineRule="atLeast"/>
                    <w:jc w:val="both"/>
                    <w:rPr>
                      <w:sz w:val="16"/>
                      <w:szCs w:val="16"/>
                    </w:rPr>
                  </w:pPr>
                  <w:r>
                    <w:rPr>
                      <w:color w:val="000000"/>
                      <w:sz w:val="16"/>
                      <w:szCs w:val="16"/>
                    </w:rPr>
                    <w:t>DEXAMETASONA, CONCENTRAÇÃO 2 MG/ML, FORMA FARMACÊUTICA SOLUÇÃO INJETÁVEL, AMPOLA COM 1 ML.</w:t>
                  </w:r>
                </w:p>
              </w:tc>
              <w:tc>
                <w:tcPr>
                  <w:tcW w:w="768" w:type="pct"/>
                  <w:vAlign w:val="center"/>
                </w:tcPr>
                <w:p w14:paraId="18C76B40">
                  <w:pPr>
                    <w:pStyle w:val="80"/>
                    <w:ind w:left="54" w:right="34"/>
                    <w:rPr>
                      <w:sz w:val="16"/>
                      <w:szCs w:val="16"/>
                    </w:rPr>
                  </w:pPr>
                  <w:r>
                    <w:rPr>
                      <w:color w:val="000000"/>
                      <w:sz w:val="16"/>
                      <w:szCs w:val="16"/>
                    </w:rPr>
                    <w:t>AMPOLA</w:t>
                  </w:r>
                </w:p>
              </w:tc>
              <w:tc>
                <w:tcPr>
                  <w:tcW w:w="460" w:type="pct"/>
                  <w:vAlign w:val="center"/>
                </w:tcPr>
                <w:p w14:paraId="356A4287">
                  <w:pPr>
                    <w:pStyle w:val="80"/>
                    <w:ind w:left="54" w:right="34"/>
                    <w:rPr>
                      <w:sz w:val="16"/>
                      <w:szCs w:val="16"/>
                    </w:rPr>
                  </w:pPr>
                  <w:r>
                    <w:rPr>
                      <w:color w:val="000000"/>
                      <w:sz w:val="16"/>
                      <w:szCs w:val="16"/>
                    </w:rPr>
                    <w:t>4500</w:t>
                  </w:r>
                </w:p>
              </w:tc>
              <w:tc>
                <w:tcPr>
                  <w:tcW w:w="620" w:type="pct"/>
                  <w:vAlign w:val="center"/>
                </w:tcPr>
                <w:p w14:paraId="48870B6F">
                  <w:pPr>
                    <w:pStyle w:val="80"/>
                    <w:ind w:left="123" w:right="108"/>
                    <w:jc w:val="right"/>
                    <w:rPr>
                      <w:sz w:val="16"/>
                      <w:szCs w:val="16"/>
                    </w:rPr>
                  </w:pPr>
                  <w:r>
                    <w:rPr>
                      <w:sz w:val="16"/>
                      <w:szCs w:val="16"/>
                    </w:rPr>
                    <w:t>0,72</w:t>
                  </w:r>
                </w:p>
              </w:tc>
              <w:tc>
                <w:tcPr>
                  <w:tcW w:w="612" w:type="pct"/>
                  <w:gridSpan w:val="2"/>
                  <w:vAlign w:val="center"/>
                </w:tcPr>
                <w:p w14:paraId="7FCE8BB8">
                  <w:pPr>
                    <w:jc w:val="right"/>
                    <w:rPr>
                      <w:color w:val="000000"/>
                      <w:sz w:val="16"/>
                      <w:szCs w:val="16"/>
                    </w:rPr>
                  </w:pPr>
                  <w:r>
                    <w:rPr>
                      <w:color w:val="000000"/>
                      <w:sz w:val="16"/>
                      <w:szCs w:val="16"/>
                    </w:rPr>
                    <w:t>3240,00</w:t>
                  </w:r>
                </w:p>
              </w:tc>
            </w:tr>
            <w:tr w14:paraId="74FF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0900ACC4">
                  <w:pPr>
                    <w:jc w:val="center"/>
                    <w:rPr>
                      <w:sz w:val="16"/>
                      <w:szCs w:val="16"/>
                    </w:rPr>
                  </w:pPr>
                  <w:r>
                    <w:rPr>
                      <w:color w:val="000000"/>
                      <w:sz w:val="16"/>
                      <w:szCs w:val="16"/>
                    </w:rPr>
                    <w:t>14</w:t>
                  </w:r>
                </w:p>
              </w:tc>
              <w:tc>
                <w:tcPr>
                  <w:tcW w:w="2006" w:type="pct"/>
                  <w:vAlign w:val="center"/>
                </w:tcPr>
                <w:p w14:paraId="79F09019">
                  <w:pPr>
                    <w:pStyle w:val="80"/>
                    <w:spacing w:line="230" w:lineRule="atLeast"/>
                    <w:jc w:val="both"/>
                    <w:rPr>
                      <w:sz w:val="16"/>
                      <w:szCs w:val="16"/>
                    </w:rPr>
                  </w:pPr>
                  <w:r>
                    <w:rPr>
                      <w:color w:val="000000"/>
                      <w:sz w:val="16"/>
                      <w:szCs w:val="16"/>
                    </w:rPr>
                    <w:t>DEXAMETASONA, DOSAGEM 4 MG/ML, FORMA FARMACÊUTICA SOLUÇÃO INJETÁVEL, AMPOLA 2,5ML.</w:t>
                  </w:r>
                </w:p>
              </w:tc>
              <w:tc>
                <w:tcPr>
                  <w:tcW w:w="768" w:type="pct"/>
                  <w:vAlign w:val="center"/>
                </w:tcPr>
                <w:p w14:paraId="1CD5186E">
                  <w:pPr>
                    <w:pStyle w:val="80"/>
                    <w:ind w:left="54" w:right="34"/>
                    <w:rPr>
                      <w:sz w:val="16"/>
                      <w:szCs w:val="16"/>
                    </w:rPr>
                  </w:pPr>
                  <w:r>
                    <w:rPr>
                      <w:color w:val="000000"/>
                      <w:sz w:val="16"/>
                      <w:szCs w:val="16"/>
                    </w:rPr>
                    <w:t>AMPOLA</w:t>
                  </w:r>
                </w:p>
              </w:tc>
              <w:tc>
                <w:tcPr>
                  <w:tcW w:w="460" w:type="pct"/>
                  <w:vAlign w:val="center"/>
                </w:tcPr>
                <w:p w14:paraId="3616E57D">
                  <w:pPr>
                    <w:pStyle w:val="80"/>
                    <w:ind w:left="54" w:right="34"/>
                    <w:rPr>
                      <w:sz w:val="16"/>
                      <w:szCs w:val="16"/>
                    </w:rPr>
                  </w:pPr>
                  <w:r>
                    <w:rPr>
                      <w:color w:val="000000"/>
                      <w:sz w:val="16"/>
                      <w:szCs w:val="16"/>
                    </w:rPr>
                    <w:t>15000</w:t>
                  </w:r>
                </w:p>
              </w:tc>
              <w:tc>
                <w:tcPr>
                  <w:tcW w:w="620" w:type="pct"/>
                  <w:vAlign w:val="center"/>
                </w:tcPr>
                <w:p w14:paraId="276EC8B9">
                  <w:pPr>
                    <w:pStyle w:val="80"/>
                    <w:ind w:left="123" w:right="108"/>
                    <w:jc w:val="right"/>
                    <w:rPr>
                      <w:sz w:val="16"/>
                      <w:szCs w:val="16"/>
                    </w:rPr>
                  </w:pPr>
                  <w:r>
                    <w:rPr>
                      <w:sz w:val="16"/>
                      <w:szCs w:val="16"/>
                    </w:rPr>
                    <w:t>0,98</w:t>
                  </w:r>
                </w:p>
              </w:tc>
              <w:tc>
                <w:tcPr>
                  <w:tcW w:w="612" w:type="pct"/>
                  <w:gridSpan w:val="2"/>
                  <w:vAlign w:val="center"/>
                </w:tcPr>
                <w:p w14:paraId="601732A7">
                  <w:pPr>
                    <w:jc w:val="right"/>
                    <w:rPr>
                      <w:color w:val="000000"/>
                      <w:sz w:val="16"/>
                      <w:szCs w:val="16"/>
                    </w:rPr>
                  </w:pPr>
                  <w:r>
                    <w:rPr>
                      <w:color w:val="000000"/>
                      <w:sz w:val="16"/>
                      <w:szCs w:val="16"/>
                    </w:rPr>
                    <w:t>14700,00</w:t>
                  </w:r>
                </w:p>
              </w:tc>
            </w:tr>
            <w:tr w14:paraId="1807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79CF718A">
                  <w:pPr>
                    <w:jc w:val="center"/>
                    <w:rPr>
                      <w:sz w:val="16"/>
                      <w:szCs w:val="16"/>
                    </w:rPr>
                  </w:pPr>
                  <w:r>
                    <w:rPr>
                      <w:color w:val="000000"/>
                      <w:sz w:val="16"/>
                      <w:szCs w:val="16"/>
                    </w:rPr>
                    <w:t>15</w:t>
                  </w:r>
                </w:p>
              </w:tc>
              <w:tc>
                <w:tcPr>
                  <w:tcW w:w="2006" w:type="pct"/>
                  <w:vAlign w:val="center"/>
                </w:tcPr>
                <w:p w14:paraId="2643AC34">
                  <w:pPr>
                    <w:pStyle w:val="80"/>
                    <w:spacing w:line="230" w:lineRule="atLeast"/>
                    <w:jc w:val="both"/>
                    <w:rPr>
                      <w:sz w:val="16"/>
                      <w:szCs w:val="16"/>
                    </w:rPr>
                  </w:pPr>
                  <w:r>
                    <w:rPr>
                      <w:color w:val="000000"/>
                      <w:sz w:val="16"/>
                      <w:szCs w:val="16"/>
                    </w:rPr>
                    <w:t>DICLOFENACO, COMPOSIÇÃO SAL RESINATO, CONCENTRAÇÃO 15 MG/ML, FORMA FARMACÊUTICA SUSPENSÃO ORAL - GOTAS, FRASCO DE 20 ML.</w:t>
                  </w:r>
                </w:p>
              </w:tc>
              <w:tc>
                <w:tcPr>
                  <w:tcW w:w="768" w:type="pct"/>
                  <w:vAlign w:val="center"/>
                </w:tcPr>
                <w:p w14:paraId="0D31FE1E">
                  <w:pPr>
                    <w:pStyle w:val="80"/>
                    <w:ind w:left="54" w:right="34"/>
                    <w:rPr>
                      <w:sz w:val="16"/>
                      <w:szCs w:val="16"/>
                    </w:rPr>
                  </w:pPr>
                  <w:r>
                    <w:rPr>
                      <w:color w:val="000000"/>
                      <w:sz w:val="16"/>
                      <w:szCs w:val="16"/>
                    </w:rPr>
                    <w:t>FRASCO</w:t>
                  </w:r>
                </w:p>
              </w:tc>
              <w:tc>
                <w:tcPr>
                  <w:tcW w:w="460" w:type="pct"/>
                  <w:vAlign w:val="center"/>
                </w:tcPr>
                <w:p w14:paraId="51EE735A">
                  <w:pPr>
                    <w:pStyle w:val="80"/>
                    <w:ind w:left="54" w:right="34"/>
                    <w:rPr>
                      <w:sz w:val="16"/>
                      <w:szCs w:val="16"/>
                    </w:rPr>
                  </w:pPr>
                  <w:r>
                    <w:rPr>
                      <w:color w:val="000000"/>
                      <w:sz w:val="16"/>
                      <w:szCs w:val="16"/>
                    </w:rPr>
                    <w:t>200</w:t>
                  </w:r>
                </w:p>
              </w:tc>
              <w:tc>
                <w:tcPr>
                  <w:tcW w:w="620" w:type="pct"/>
                  <w:vAlign w:val="center"/>
                </w:tcPr>
                <w:p w14:paraId="43CC3536">
                  <w:pPr>
                    <w:pStyle w:val="80"/>
                    <w:ind w:left="123" w:right="108"/>
                    <w:jc w:val="right"/>
                    <w:rPr>
                      <w:sz w:val="16"/>
                      <w:szCs w:val="16"/>
                    </w:rPr>
                  </w:pPr>
                  <w:r>
                    <w:rPr>
                      <w:sz w:val="16"/>
                      <w:szCs w:val="16"/>
                    </w:rPr>
                    <w:t>6,98</w:t>
                  </w:r>
                </w:p>
              </w:tc>
              <w:tc>
                <w:tcPr>
                  <w:tcW w:w="612" w:type="pct"/>
                  <w:gridSpan w:val="2"/>
                  <w:vAlign w:val="center"/>
                </w:tcPr>
                <w:p w14:paraId="0C223994">
                  <w:pPr>
                    <w:jc w:val="right"/>
                    <w:rPr>
                      <w:color w:val="000000"/>
                      <w:sz w:val="16"/>
                      <w:szCs w:val="16"/>
                    </w:rPr>
                  </w:pPr>
                  <w:r>
                    <w:rPr>
                      <w:color w:val="000000"/>
                      <w:sz w:val="16"/>
                      <w:szCs w:val="16"/>
                    </w:rPr>
                    <w:t>1396,00</w:t>
                  </w:r>
                </w:p>
              </w:tc>
            </w:tr>
            <w:tr w14:paraId="30E6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765AD759">
                  <w:pPr>
                    <w:jc w:val="center"/>
                    <w:rPr>
                      <w:sz w:val="16"/>
                      <w:szCs w:val="16"/>
                    </w:rPr>
                  </w:pPr>
                  <w:r>
                    <w:rPr>
                      <w:color w:val="000000"/>
                      <w:sz w:val="16"/>
                      <w:szCs w:val="16"/>
                    </w:rPr>
                    <w:t>16</w:t>
                  </w:r>
                </w:p>
              </w:tc>
              <w:tc>
                <w:tcPr>
                  <w:tcW w:w="2006" w:type="pct"/>
                  <w:vAlign w:val="center"/>
                </w:tcPr>
                <w:p w14:paraId="16046327">
                  <w:pPr>
                    <w:pStyle w:val="80"/>
                    <w:spacing w:line="230" w:lineRule="atLeast"/>
                    <w:jc w:val="both"/>
                    <w:rPr>
                      <w:sz w:val="16"/>
                      <w:szCs w:val="16"/>
                    </w:rPr>
                  </w:pPr>
                  <w:r>
                    <w:rPr>
                      <w:color w:val="000000"/>
                      <w:sz w:val="16"/>
                      <w:szCs w:val="16"/>
                    </w:rPr>
                    <w:t>DIMETICONA, CONCENTRAÇÃO 75 MG/ML, FORMA FARMACEUTICA EMULSÃO ORAL- GOTAS, FRASCO DE 10 ML.</w:t>
                  </w:r>
                </w:p>
              </w:tc>
              <w:tc>
                <w:tcPr>
                  <w:tcW w:w="768" w:type="pct"/>
                  <w:vAlign w:val="center"/>
                </w:tcPr>
                <w:p w14:paraId="415C7F59">
                  <w:pPr>
                    <w:pStyle w:val="80"/>
                    <w:ind w:left="54" w:right="34"/>
                    <w:rPr>
                      <w:sz w:val="16"/>
                      <w:szCs w:val="16"/>
                    </w:rPr>
                  </w:pPr>
                  <w:r>
                    <w:rPr>
                      <w:color w:val="000000"/>
                      <w:sz w:val="16"/>
                      <w:szCs w:val="16"/>
                    </w:rPr>
                    <w:t>FRASCO</w:t>
                  </w:r>
                </w:p>
              </w:tc>
              <w:tc>
                <w:tcPr>
                  <w:tcW w:w="460" w:type="pct"/>
                  <w:vAlign w:val="center"/>
                </w:tcPr>
                <w:p w14:paraId="148E4B4E">
                  <w:pPr>
                    <w:pStyle w:val="80"/>
                    <w:ind w:left="54" w:right="34"/>
                    <w:rPr>
                      <w:sz w:val="16"/>
                      <w:szCs w:val="16"/>
                    </w:rPr>
                  </w:pPr>
                  <w:r>
                    <w:rPr>
                      <w:color w:val="000000"/>
                      <w:sz w:val="16"/>
                      <w:szCs w:val="16"/>
                    </w:rPr>
                    <w:t>400</w:t>
                  </w:r>
                </w:p>
              </w:tc>
              <w:tc>
                <w:tcPr>
                  <w:tcW w:w="620" w:type="pct"/>
                  <w:vAlign w:val="center"/>
                </w:tcPr>
                <w:p w14:paraId="31EBBE3D">
                  <w:pPr>
                    <w:pStyle w:val="80"/>
                    <w:ind w:left="123" w:right="108"/>
                    <w:jc w:val="right"/>
                    <w:rPr>
                      <w:sz w:val="16"/>
                      <w:szCs w:val="16"/>
                    </w:rPr>
                  </w:pPr>
                  <w:r>
                    <w:rPr>
                      <w:sz w:val="16"/>
                      <w:szCs w:val="16"/>
                    </w:rPr>
                    <w:t>3,40</w:t>
                  </w:r>
                </w:p>
              </w:tc>
              <w:tc>
                <w:tcPr>
                  <w:tcW w:w="612" w:type="pct"/>
                  <w:gridSpan w:val="2"/>
                  <w:vAlign w:val="center"/>
                </w:tcPr>
                <w:p w14:paraId="3BEDE7E7">
                  <w:pPr>
                    <w:jc w:val="right"/>
                    <w:rPr>
                      <w:color w:val="000000"/>
                      <w:sz w:val="16"/>
                      <w:szCs w:val="16"/>
                    </w:rPr>
                  </w:pPr>
                  <w:r>
                    <w:rPr>
                      <w:color w:val="000000"/>
                      <w:sz w:val="16"/>
                      <w:szCs w:val="16"/>
                    </w:rPr>
                    <w:t>1360,00</w:t>
                  </w:r>
                </w:p>
              </w:tc>
            </w:tr>
            <w:tr w14:paraId="2606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0F8493E1">
                  <w:pPr>
                    <w:jc w:val="center"/>
                    <w:rPr>
                      <w:sz w:val="16"/>
                      <w:szCs w:val="16"/>
                    </w:rPr>
                  </w:pPr>
                  <w:r>
                    <w:rPr>
                      <w:color w:val="000000"/>
                      <w:sz w:val="16"/>
                      <w:szCs w:val="16"/>
                    </w:rPr>
                    <w:t>17</w:t>
                  </w:r>
                </w:p>
              </w:tc>
              <w:tc>
                <w:tcPr>
                  <w:tcW w:w="2006" w:type="pct"/>
                  <w:vAlign w:val="center"/>
                </w:tcPr>
                <w:p w14:paraId="6C29D38F">
                  <w:pPr>
                    <w:pStyle w:val="80"/>
                    <w:spacing w:line="230" w:lineRule="atLeast"/>
                    <w:jc w:val="both"/>
                    <w:rPr>
                      <w:sz w:val="16"/>
                      <w:szCs w:val="16"/>
                    </w:rPr>
                  </w:pPr>
                  <w:r>
                    <w:rPr>
                      <w:color w:val="000000"/>
                      <w:sz w:val="16"/>
                      <w:szCs w:val="16"/>
                    </w:rPr>
                    <w:t>DIPIRONA SÓDICA, CONCENTRAÇÃO 1G, AMPOLA COM 2 ML.</w:t>
                  </w:r>
                </w:p>
              </w:tc>
              <w:tc>
                <w:tcPr>
                  <w:tcW w:w="768" w:type="pct"/>
                  <w:vAlign w:val="center"/>
                </w:tcPr>
                <w:p w14:paraId="1BA61754">
                  <w:pPr>
                    <w:pStyle w:val="80"/>
                    <w:ind w:left="54" w:right="34"/>
                    <w:rPr>
                      <w:sz w:val="16"/>
                      <w:szCs w:val="16"/>
                    </w:rPr>
                  </w:pPr>
                  <w:r>
                    <w:rPr>
                      <w:color w:val="000000"/>
                      <w:sz w:val="16"/>
                      <w:szCs w:val="16"/>
                    </w:rPr>
                    <w:t>AMPOLA</w:t>
                  </w:r>
                </w:p>
              </w:tc>
              <w:tc>
                <w:tcPr>
                  <w:tcW w:w="460" w:type="pct"/>
                  <w:vAlign w:val="center"/>
                </w:tcPr>
                <w:p w14:paraId="4DD9A717">
                  <w:pPr>
                    <w:pStyle w:val="80"/>
                    <w:ind w:left="54" w:right="34"/>
                    <w:rPr>
                      <w:sz w:val="16"/>
                      <w:szCs w:val="16"/>
                    </w:rPr>
                  </w:pPr>
                  <w:r>
                    <w:rPr>
                      <w:color w:val="000000"/>
                      <w:sz w:val="16"/>
                      <w:szCs w:val="16"/>
                    </w:rPr>
                    <w:t>15000</w:t>
                  </w:r>
                </w:p>
              </w:tc>
              <w:tc>
                <w:tcPr>
                  <w:tcW w:w="620" w:type="pct"/>
                  <w:vAlign w:val="center"/>
                </w:tcPr>
                <w:p w14:paraId="31EBF253">
                  <w:pPr>
                    <w:pStyle w:val="80"/>
                    <w:ind w:left="123" w:right="108"/>
                    <w:jc w:val="right"/>
                    <w:rPr>
                      <w:sz w:val="16"/>
                      <w:szCs w:val="16"/>
                    </w:rPr>
                  </w:pPr>
                  <w:r>
                    <w:rPr>
                      <w:sz w:val="16"/>
                      <w:szCs w:val="16"/>
                    </w:rPr>
                    <w:t>0,82</w:t>
                  </w:r>
                </w:p>
              </w:tc>
              <w:tc>
                <w:tcPr>
                  <w:tcW w:w="612" w:type="pct"/>
                  <w:gridSpan w:val="2"/>
                  <w:vAlign w:val="center"/>
                </w:tcPr>
                <w:p w14:paraId="43BC333E">
                  <w:pPr>
                    <w:jc w:val="right"/>
                    <w:rPr>
                      <w:color w:val="000000"/>
                      <w:sz w:val="16"/>
                      <w:szCs w:val="16"/>
                    </w:rPr>
                  </w:pPr>
                  <w:r>
                    <w:rPr>
                      <w:color w:val="000000"/>
                      <w:sz w:val="16"/>
                      <w:szCs w:val="16"/>
                    </w:rPr>
                    <w:t>12300,00</w:t>
                  </w:r>
                </w:p>
              </w:tc>
            </w:tr>
            <w:tr w14:paraId="34F2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68BDC265">
                  <w:pPr>
                    <w:jc w:val="center"/>
                    <w:rPr>
                      <w:sz w:val="16"/>
                      <w:szCs w:val="16"/>
                    </w:rPr>
                  </w:pPr>
                  <w:r>
                    <w:rPr>
                      <w:color w:val="000000"/>
                      <w:sz w:val="16"/>
                      <w:szCs w:val="16"/>
                    </w:rPr>
                    <w:t>18</w:t>
                  </w:r>
                </w:p>
              </w:tc>
              <w:tc>
                <w:tcPr>
                  <w:tcW w:w="2006" w:type="pct"/>
                  <w:vAlign w:val="center"/>
                </w:tcPr>
                <w:p w14:paraId="52D78D88">
                  <w:pPr>
                    <w:pStyle w:val="80"/>
                    <w:spacing w:line="230" w:lineRule="atLeast"/>
                    <w:jc w:val="both"/>
                    <w:rPr>
                      <w:sz w:val="16"/>
                      <w:szCs w:val="16"/>
                    </w:rPr>
                  </w:pPr>
                  <w:r>
                    <w:rPr>
                      <w:color w:val="000000"/>
                      <w:sz w:val="16"/>
                      <w:szCs w:val="16"/>
                    </w:rPr>
                    <w:t>DIPIRONA SÓDICA, DOSAGEM 500 MG/ML, APRESENTAÇÃO SOLUÇÃO ORAL (GOTAS), FRASCO DE 10 ML.</w:t>
                  </w:r>
                </w:p>
              </w:tc>
              <w:tc>
                <w:tcPr>
                  <w:tcW w:w="768" w:type="pct"/>
                  <w:vAlign w:val="center"/>
                </w:tcPr>
                <w:p w14:paraId="325D8960">
                  <w:pPr>
                    <w:pStyle w:val="80"/>
                    <w:ind w:left="54" w:right="34"/>
                    <w:rPr>
                      <w:sz w:val="16"/>
                      <w:szCs w:val="16"/>
                    </w:rPr>
                  </w:pPr>
                  <w:r>
                    <w:rPr>
                      <w:color w:val="000000"/>
                      <w:sz w:val="16"/>
                      <w:szCs w:val="16"/>
                    </w:rPr>
                    <w:t>FRASCO</w:t>
                  </w:r>
                </w:p>
              </w:tc>
              <w:tc>
                <w:tcPr>
                  <w:tcW w:w="460" w:type="pct"/>
                  <w:vAlign w:val="center"/>
                </w:tcPr>
                <w:p w14:paraId="496C0217">
                  <w:pPr>
                    <w:pStyle w:val="80"/>
                    <w:ind w:left="54" w:right="34"/>
                    <w:rPr>
                      <w:sz w:val="16"/>
                      <w:szCs w:val="16"/>
                    </w:rPr>
                  </w:pPr>
                  <w:r>
                    <w:rPr>
                      <w:color w:val="000000"/>
                      <w:sz w:val="16"/>
                      <w:szCs w:val="16"/>
                    </w:rPr>
                    <w:t>300</w:t>
                  </w:r>
                </w:p>
              </w:tc>
              <w:tc>
                <w:tcPr>
                  <w:tcW w:w="620" w:type="pct"/>
                  <w:vAlign w:val="center"/>
                </w:tcPr>
                <w:p w14:paraId="4F98FA81">
                  <w:pPr>
                    <w:pStyle w:val="80"/>
                    <w:ind w:left="123" w:right="108"/>
                    <w:jc w:val="right"/>
                    <w:rPr>
                      <w:sz w:val="16"/>
                      <w:szCs w:val="16"/>
                    </w:rPr>
                  </w:pPr>
                  <w:r>
                    <w:rPr>
                      <w:sz w:val="16"/>
                      <w:szCs w:val="16"/>
                    </w:rPr>
                    <w:t>1,18</w:t>
                  </w:r>
                </w:p>
              </w:tc>
              <w:tc>
                <w:tcPr>
                  <w:tcW w:w="612" w:type="pct"/>
                  <w:gridSpan w:val="2"/>
                  <w:vAlign w:val="center"/>
                </w:tcPr>
                <w:p w14:paraId="3ACF1203">
                  <w:pPr>
                    <w:jc w:val="right"/>
                    <w:rPr>
                      <w:color w:val="000000"/>
                      <w:sz w:val="16"/>
                      <w:szCs w:val="16"/>
                    </w:rPr>
                  </w:pPr>
                  <w:r>
                    <w:rPr>
                      <w:color w:val="000000"/>
                      <w:sz w:val="16"/>
                      <w:szCs w:val="16"/>
                    </w:rPr>
                    <w:t>354,00</w:t>
                  </w:r>
                </w:p>
              </w:tc>
            </w:tr>
            <w:tr w14:paraId="1939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61B68AF2">
                  <w:pPr>
                    <w:jc w:val="center"/>
                    <w:rPr>
                      <w:sz w:val="16"/>
                      <w:szCs w:val="16"/>
                    </w:rPr>
                  </w:pPr>
                  <w:r>
                    <w:rPr>
                      <w:color w:val="000000"/>
                      <w:sz w:val="16"/>
                      <w:szCs w:val="16"/>
                    </w:rPr>
                    <w:t>19</w:t>
                  </w:r>
                </w:p>
              </w:tc>
              <w:tc>
                <w:tcPr>
                  <w:tcW w:w="2006" w:type="pct"/>
                  <w:vAlign w:val="center"/>
                </w:tcPr>
                <w:p w14:paraId="32FD3DF5">
                  <w:pPr>
                    <w:pStyle w:val="80"/>
                    <w:spacing w:line="230" w:lineRule="atLeast"/>
                    <w:jc w:val="both"/>
                    <w:rPr>
                      <w:sz w:val="16"/>
                      <w:szCs w:val="16"/>
                    </w:rPr>
                  </w:pPr>
                  <w:r>
                    <w:rPr>
                      <w:color w:val="000000"/>
                      <w:sz w:val="16"/>
                      <w:szCs w:val="16"/>
                    </w:rPr>
                    <w:t>DOPAMINA, DOSAGEM 5 MG/ML, APRESENTAÇÃO SOLUÇÃO INJETÁVEL, AMPOLA COM 10 ML.</w:t>
                  </w:r>
                </w:p>
              </w:tc>
              <w:tc>
                <w:tcPr>
                  <w:tcW w:w="768" w:type="pct"/>
                  <w:vAlign w:val="center"/>
                </w:tcPr>
                <w:p w14:paraId="383EA3E4">
                  <w:pPr>
                    <w:pStyle w:val="80"/>
                    <w:ind w:left="54" w:right="34"/>
                    <w:rPr>
                      <w:sz w:val="16"/>
                      <w:szCs w:val="16"/>
                    </w:rPr>
                  </w:pPr>
                  <w:r>
                    <w:rPr>
                      <w:color w:val="000000"/>
                      <w:sz w:val="16"/>
                      <w:szCs w:val="16"/>
                    </w:rPr>
                    <w:t>AMPOLA</w:t>
                  </w:r>
                </w:p>
              </w:tc>
              <w:tc>
                <w:tcPr>
                  <w:tcW w:w="460" w:type="pct"/>
                  <w:vAlign w:val="center"/>
                </w:tcPr>
                <w:p w14:paraId="56222B08">
                  <w:pPr>
                    <w:pStyle w:val="80"/>
                    <w:ind w:left="54" w:right="34"/>
                    <w:rPr>
                      <w:sz w:val="16"/>
                      <w:szCs w:val="16"/>
                    </w:rPr>
                  </w:pPr>
                  <w:r>
                    <w:rPr>
                      <w:color w:val="000000"/>
                      <w:sz w:val="16"/>
                      <w:szCs w:val="16"/>
                    </w:rPr>
                    <w:t>750</w:t>
                  </w:r>
                </w:p>
              </w:tc>
              <w:tc>
                <w:tcPr>
                  <w:tcW w:w="620" w:type="pct"/>
                  <w:vAlign w:val="center"/>
                </w:tcPr>
                <w:p w14:paraId="77D9BD80">
                  <w:pPr>
                    <w:pStyle w:val="80"/>
                    <w:ind w:left="123" w:right="108"/>
                    <w:jc w:val="right"/>
                    <w:rPr>
                      <w:sz w:val="16"/>
                      <w:szCs w:val="16"/>
                    </w:rPr>
                  </w:pPr>
                  <w:r>
                    <w:rPr>
                      <w:sz w:val="16"/>
                      <w:szCs w:val="16"/>
                    </w:rPr>
                    <w:t>3,57</w:t>
                  </w:r>
                </w:p>
              </w:tc>
              <w:tc>
                <w:tcPr>
                  <w:tcW w:w="612" w:type="pct"/>
                  <w:gridSpan w:val="2"/>
                  <w:vAlign w:val="center"/>
                </w:tcPr>
                <w:p w14:paraId="7747D168">
                  <w:pPr>
                    <w:jc w:val="right"/>
                    <w:rPr>
                      <w:color w:val="000000"/>
                      <w:sz w:val="16"/>
                      <w:szCs w:val="16"/>
                    </w:rPr>
                  </w:pPr>
                  <w:r>
                    <w:rPr>
                      <w:color w:val="000000"/>
                      <w:sz w:val="16"/>
                      <w:szCs w:val="16"/>
                    </w:rPr>
                    <w:t>2677,50</w:t>
                  </w:r>
                </w:p>
              </w:tc>
            </w:tr>
            <w:tr w14:paraId="2176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288" w:hRule="atLeast"/>
                <w:jc w:val="center"/>
              </w:trPr>
              <w:tc>
                <w:tcPr>
                  <w:tcW w:w="520" w:type="pct"/>
                  <w:vAlign w:val="center"/>
                </w:tcPr>
                <w:p w14:paraId="4BB0EE55">
                  <w:pPr>
                    <w:jc w:val="center"/>
                    <w:rPr>
                      <w:sz w:val="16"/>
                      <w:szCs w:val="16"/>
                    </w:rPr>
                  </w:pPr>
                  <w:r>
                    <w:rPr>
                      <w:color w:val="000000"/>
                      <w:sz w:val="16"/>
                      <w:szCs w:val="16"/>
                    </w:rPr>
                    <w:t>20</w:t>
                  </w:r>
                </w:p>
              </w:tc>
              <w:tc>
                <w:tcPr>
                  <w:tcW w:w="2006" w:type="pct"/>
                  <w:vAlign w:val="center"/>
                </w:tcPr>
                <w:p w14:paraId="5DB40AD8">
                  <w:pPr>
                    <w:pStyle w:val="80"/>
                    <w:spacing w:line="230" w:lineRule="atLeast"/>
                    <w:jc w:val="both"/>
                    <w:rPr>
                      <w:sz w:val="16"/>
                      <w:szCs w:val="16"/>
                    </w:rPr>
                  </w:pPr>
                  <w:r>
                    <w:rPr>
                      <w:color w:val="000000"/>
                      <w:sz w:val="16"/>
                      <w:szCs w:val="16"/>
                    </w:rPr>
                    <w:t>ENALAPRIL 10 MG.</w:t>
                  </w:r>
                </w:p>
              </w:tc>
              <w:tc>
                <w:tcPr>
                  <w:tcW w:w="768" w:type="pct"/>
                  <w:vAlign w:val="center"/>
                </w:tcPr>
                <w:p w14:paraId="5F10E3BF">
                  <w:pPr>
                    <w:pStyle w:val="80"/>
                    <w:ind w:left="54" w:right="34"/>
                    <w:rPr>
                      <w:sz w:val="16"/>
                      <w:szCs w:val="16"/>
                    </w:rPr>
                  </w:pPr>
                  <w:r>
                    <w:rPr>
                      <w:color w:val="000000"/>
                      <w:sz w:val="16"/>
                      <w:szCs w:val="16"/>
                    </w:rPr>
                    <w:t>COMPRIMIDO</w:t>
                  </w:r>
                </w:p>
              </w:tc>
              <w:tc>
                <w:tcPr>
                  <w:tcW w:w="460" w:type="pct"/>
                  <w:vAlign w:val="center"/>
                </w:tcPr>
                <w:p w14:paraId="25FE0A14">
                  <w:pPr>
                    <w:pStyle w:val="80"/>
                    <w:ind w:left="54" w:right="34"/>
                    <w:rPr>
                      <w:sz w:val="16"/>
                      <w:szCs w:val="16"/>
                    </w:rPr>
                  </w:pPr>
                  <w:r>
                    <w:rPr>
                      <w:color w:val="000000"/>
                      <w:sz w:val="16"/>
                      <w:szCs w:val="16"/>
                    </w:rPr>
                    <w:t>2000</w:t>
                  </w:r>
                </w:p>
              </w:tc>
              <w:tc>
                <w:tcPr>
                  <w:tcW w:w="620" w:type="pct"/>
                  <w:vAlign w:val="center"/>
                </w:tcPr>
                <w:p w14:paraId="1DD56621">
                  <w:pPr>
                    <w:pStyle w:val="80"/>
                    <w:ind w:left="123" w:right="108"/>
                    <w:jc w:val="right"/>
                    <w:rPr>
                      <w:sz w:val="16"/>
                      <w:szCs w:val="16"/>
                    </w:rPr>
                  </w:pPr>
                  <w:r>
                    <w:rPr>
                      <w:sz w:val="16"/>
                      <w:szCs w:val="16"/>
                    </w:rPr>
                    <w:t>0,05</w:t>
                  </w:r>
                </w:p>
              </w:tc>
              <w:tc>
                <w:tcPr>
                  <w:tcW w:w="612" w:type="pct"/>
                  <w:gridSpan w:val="2"/>
                  <w:vAlign w:val="center"/>
                </w:tcPr>
                <w:p w14:paraId="1EBBB0B2">
                  <w:pPr>
                    <w:jc w:val="right"/>
                    <w:rPr>
                      <w:color w:val="000000"/>
                      <w:sz w:val="16"/>
                      <w:szCs w:val="16"/>
                    </w:rPr>
                  </w:pPr>
                  <w:r>
                    <w:rPr>
                      <w:color w:val="000000"/>
                      <w:sz w:val="16"/>
                      <w:szCs w:val="16"/>
                    </w:rPr>
                    <w:t>100,00</w:t>
                  </w:r>
                </w:p>
              </w:tc>
            </w:tr>
            <w:tr w14:paraId="6974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534F025A">
                  <w:pPr>
                    <w:jc w:val="center"/>
                    <w:rPr>
                      <w:sz w:val="16"/>
                      <w:szCs w:val="16"/>
                    </w:rPr>
                  </w:pPr>
                  <w:r>
                    <w:rPr>
                      <w:color w:val="000000"/>
                      <w:sz w:val="16"/>
                      <w:szCs w:val="16"/>
                    </w:rPr>
                    <w:t>21</w:t>
                  </w:r>
                </w:p>
              </w:tc>
              <w:tc>
                <w:tcPr>
                  <w:tcW w:w="2006" w:type="pct"/>
                  <w:vAlign w:val="center"/>
                </w:tcPr>
                <w:p w14:paraId="191A1D6D">
                  <w:pPr>
                    <w:pStyle w:val="80"/>
                    <w:spacing w:line="230" w:lineRule="atLeast"/>
                    <w:jc w:val="both"/>
                    <w:rPr>
                      <w:sz w:val="16"/>
                      <w:szCs w:val="16"/>
                    </w:rPr>
                  </w:pPr>
                  <w:r>
                    <w:rPr>
                      <w:color w:val="000000"/>
                      <w:sz w:val="16"/>
                      <w:szCs w:val="16"/>
                    </w:rPr>
                    <w:t>EPINEFRINA (ADRENALINA), DOSAGEM 1MG/ML, USO SOLUÇÃO INJETÁVEL.</w:t>
                  </w:r>
                </w:p>
              </w:tc>
              <w:tc>
                <w:tcPr>
                  <w:tcW w:w="768" w:type="pct"/>
                  <w:vAlign w:val="center"/>
                </w:tcPr>
                <w:p w14:paraId="19E79333">
                  <w:pPr>
                    <w:pStyle w:val="80"/>
                    <w:ind w:left="54" w:right="34"/>
                    <w:rPr>
                      <w:sz w:val="16"/>
                      <w:szCs w:val="16"/>
                    </w:rPr>
                  </w:pPr>
                  <w:r>
                    <w:rPr>
                      <w:color w:val="000000"/>
                      <w:sz w:val="16"/>
                      <w:szCs w:val="16"/>
                    </w:rPr>
                    <w:t>AMPOLA</w:t>
                  </w:r>
                </w:p>
              </w:tc>
              <w:tc>
                <w:tcPr>
                  <w:tcW w:w="460" w:type="pct"/>
                  <w:vAlign w:val="center"/>
                </w:tcPr>
                <w:p w14:paraId="6406D2A2">
                  <w:pPr>
                    <w:pStyle w:val="80"/>
                    <w:ind w:left="54" w:right="34"/>
                    <w:rPr>
                      <w:sz w:val="16"/>
                      <w:szCs w:val="16"/>
                    </w:rPr>
                  </w:pPr>
                  <w:r>
                    <w:rPr>
                      <w:color w:val="000000"/>
                      <w:sz w:val="16"/>
                      <w:szCs w:val="16"/>
                    </w:rPr>
                    <w:t>2000</w:t>
                  </w:r>
                </w:p>
              </w:tc>
              <w:tc>
                <w:tcPr>
                  <w:tcW w:w="620" w:type="pct"/>
                  <w:vAlign w:val="center"/>
                </w:tcPr>
                <w:p w14:paraId="74CB7926">
                  <w:pPr>
                    <w:pStyle w:val="80"/>
                    <w:ind w:left="123" w:right="108"/>
                    <w:jc w:val="right"/>
                    <w:rPr>
                      <w:sz w:val="16"/>
                      <w:szCs w:val="16"/>
                    </w:rPr>
                  </w:pPr>
                  <w:r>
                    <w:rPr>
                      <w:sz w:val="16"/>
                      <w:szCs w:val="16"/>
                    </w:rPr>
                    <w:t>1,39</w:t>
                  </w:r>
                </w:p>
              </w:tc>
              <w:tc>
                <w:tcPr>
                  <w:tcW w:w="612" w:type="pct"/>
                  <w:gridSpan w:val="2"/>
                  <w:vAlign w:val="center"/>
                </w:tcPr>
                <w:p w14:paraId="3CF3A103">
                  <w:pPr>
                    <w:jc w:val="right"/>
                    <w:rPr>
                      <w:color w:val="000000"/>
                      <w:sz w:val="16"/>
                      <w:szCs w:val="16"/>
                    </w:rPr>
                  </w:pPr>
                  <w:r>
                    <w:rPr>
                      <w:color w:val="000000"/>
                      <w:sz w:val="16"/>
                      <w:szCs w:val="16"/>
                    </w:rPr>
                    <w:t>2780,00</w:t>
                  </w:r>
                </w:p>
              </w:tc>
            </w:tr>
            <w:tr w14:paraId="4230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41EEF010">
                  <w:pPr>
                    <w:jc w:val="center"/>
                    <w:rPr>
                      <w:sz w:val="16"/>
                      <w:szCs w:val="16"/>
                    </w:rPr>
                  </w:pPr>
                  <w:r>
                    <w:rPr>
                      <w:color w:val="000000"/>
                      <w:sz w:val="16"/>
                      <w:szCs w:val="16"/>
                    </w:rPr>
                    <w:t>22</w:t>
                  </w:r>
                </w:p>
              </w:tc>
              <w:tc>
                <w:tcPr>
                  <w:tcW w:w="2006" w:type="pct"/>
                  <w:vAlign w:val="center"/>
                </w:tcPr>
                <w:p w14:paraId="067C6850">
                  <w:pPr>
                    <w:pStyle w:val="80"/>
                    <w:spacing w:line="230" w:lineRule="atLeast"/>
                    <w:jc w:val="both"/>
                    <w:rPr>
                      <w:sz w:val="16"/>
                      <w:szCs w:val="16"/>
                    </w:rPr>
                  </w:pPr>
                  <w:r>
                    <w:rPr>
                      <w:color w:val="000000"/>
                      <w:sz w:val="16"/>
                      <w:szCs w:val="16"/>
                    </w:rPr>
                    <w:t>FLORAX ADULTO (SACCHAROMYCES CEREVISIAE), DOSAGEM 100 MILHÕES/ML, FORMA FARMACÊUTICA SUSPENSÃO ORAL, FLACONETE COM 5 ML.</w:t>
                  </w:r>
                </w:p>
              </w:tc>
              <w:tc>
                <w:tcPr>
                  <w:tcW w:w="768" w:type="pct"/>
                  <w:vAlign w:val="center"/>
                </w:tcPr>
                <w:p w14:paraId="6DBA7803">
                  <w:pPr>
                    <w:pStyle w:val="80"/>
                    <w:ind w:left="54" w:right="34"/>
                    <w:rPr>
                      <w:sz w:val="16"/>
                      <w:szCs w:val="16"/>
                    </w:rPr>
                  </w:pPr>
                  <w:r>
                    <w:rPr>
                      <w:color w:val="000000"/>
                      <w:sz w:val="16"/>
                      <w:szCs w:val="16"/>
                    </w:rPr>
                    <w:t>FLACONETE</w:t>
                  </w:r>
                </w:p>
              </w:tc>
              <w:tc>
                <w:tcPr>
                  <w:tcW w:w="460" w:type="pct"/>
                  <w:vAlign w:val="center"/>
                </w:tcPr>
                <w:p w14:paraId="259AF8B6">
                  <w:pPr>
                    <w:pStyle w:val="80"/>
                    <w:ind w:left="54" w:right="34"/>
                    <w:rPr>
                      <w:sz w:val="16"/>
                      <w:szCs w:val="16"/>
                    </w:rPr>
                  </w:pPr>
                  <w:r>
                    <w:rPr>
                      <w:color w:val="000000"/>
                      <w:sz w:val="16"/>
                      <w:szCs w:val="16"/>
                    </w:rPr>
                    <w:t>500</w:t>
                  </w:r>
                </w:p>
              </w:tc>
              <w:tc>
                <w:tcPr>
                  <w:tcW w:w="620" w:type="pct"/>
                  <w:vAlign w:val="center"/>
                </w:tcPr>
                <w:p w14:paraId="45442E11">
                  <w:pPr>
                    <w:pStyle w:val="80"/>
                    <w:ind w:left="123" w:right="108"/>
                    <w:jc w:val="right"/>
                    <w:rPr>
                      <w:sz w:val="16"/>
                      <w:szCs w:val="16"/>
                    </w:rPr>
                  </w:pPr>
                  <w:r>
                    <w:rPr>
                      <w:sz w:val="16"/>
                      <w:szCs w:val="16"/>
                    </w:rPr>
                    <w:t>8,76</w:t>
                  </w:r>
                </w:p>
              </w:tc>
              <w:tc>
                <w:tcPr>
                  <w:tcW w:w="612" w:type="pct"/>
                  <w:gridSpan w:val="2"/>
                  <w:vAlign w:val="center"/>
                </w:tcPr>
                <w:p w14:paraId="63A814BF">
                  <w:pPr>
                    <w:jc w:val="right"/>
                    <w:rPr>
                      <w:color w:val="000000"/>
                      <w:sz w:val="16"/>
                      <w:szCs w:val="16"/>
                    </w:rPr>
                  </w:pPr>
                  <w:r>
                    <w:rPr>
                      <w:color w:val="000000"/>
                      <w:sz w:val="16"/>
                      <w:szCs w:val="16"/>
                    </w:rPr>
                    <w:t>4380,00</w:t>
                  </w:r>
                </w:p>
              </w:tc>
            </w:tr>
            <w:tr w14:paraId="5EDF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63CF609E">
                  <w:pPr>
                    <w:jc w:val="center"/>
                    <w:rPr>
                      <w:sz w:val="16"/>
                      <w:szCs w:val="16"/>
                    </w:rPr>
                  </w:pPr>
                  <w:r>
                    <w:rPr>
                      <w:color w:val="000000"/>
                      <w:sz w:val="16"/>
                      <w:szCs w:val="16"/>
                    </w:rPr>
                    <w:t>23</w:t>
                  </w:r>
                </w:p>
              </w:tc>
              <w:tc>
                <w:tcPr>
                  <w:tcW w:w="2006" w:type="pct"/>
                  <w:vAlign w:val="center"/>
                </w:tcPr>
                <w:p w14:paraId="25BA8403">
                  <w:pPr>
                    <w:pStyle w:val="80"/>
                    <w:spacing w:line="230" w:lineRule="atLeast"/>
                    <w:jc w:val="both"/>
                    <w:rPr>
                      <w:sz w:val="16"/>
                      <w:szCs w:val="16"/>
                    </w:rPr>
                  </w:pPr>
                  <w:r>
                    <w:rPr>
                      <w:color w:val="000000"/>
                      <w:sz w:val="16"/>
                      <w:szCs w:val="16"/>
                    </w:rPr>
                    <w:t>FLORAX INFANTIL (SACCHAROMYCES CEREVISIAE), DOSAGEM 50 MILHÕES/ML, FORMA FARMACÊUTICA SUSPENSÃO ORAL, FLACONETE COM 5 ML.</w:t>
                  </w:r>
                </w:p>
              </w:tc>
              <w:tc>
                <w:tcPr>
                  <w:tcW w:w="768" w:type="pct"/>
                  <w:vAlign w:val="center"/>
                </w:tcPr>
                <w:p w14:paraId="7F672F2B">
                  <w:pPr>
                    <w:pStyle w:val="80"/>
                    <w:ind w:left="54" w:right="34"/>
                    <w:rPr>
                      <w:sz w:val="16"/>
                      <w:szCs w:val="16"/>
                    </w:rPr>
                  </w:pPr>
                  <w:r>
                    <w:rPr>
                      <w:color w:val="000000"/>
                      <w:sz w:val="16"/>
                      <w:szCs w:val="16"/>
                    </w:rPr>
                    <w:t>FLACONETE</w:t>
                  </w:r>
                </w:p>
              </w:tc>
              <w:tc>
                <w:tcPr>
                  <w:tcW w:w="460" w:type="pct"/>
                  <w:vAlign w:val="center"/>
                </w:tcPr>
                <w:p w14:paraId="34897AC9">
                  <w:pPr>
                    <w:pStyle w:val="80"/>
                    <w:ind w:left="54" w:right="34"/>
                    <w:rPr>
                      <w:sz w:val="16"/>
                      <w:szCs w:val="16"/>
                    </w:rPr>
                  </w:pPr>
                  <w:r>
                    <w:rPr>
                      <w:color w:val="000000"/>
                      <w:sz w:val="16"/>
                      <w:szCs w:val="16"/>
                    </w:rPr>
                    <w:t>500</w:t>
                  </w:r>
                </w:p>
              </w:tc>
              <w:tc>
                <w:tcPr>
                  <w:tcW w:w="620" w:type="pct"/>
                  <w:vAlign w:val="center"/>
                </w:tcPr>
                <w:p w14:paraId="193835BB">
                  <w:pPr>
                    <w:pStyle w:val="80"/>
                    <w:ind w:left="123" w:right="108"/>
                    <w:jc w:val="right"/>
                    <w:rPr>
                      <w:sz w:val="16"/>
                      <w:szCs w:val="16"/>
                    </w:rPr>
                  </w:pPr>
                  <w:r>
                    <w:rPr>
                      <w:sz w:val="16"/>
                      <w:szCs w:val="16"/>
                    </w:rPr>
                    <w:t>7,19</w:t>
                  </w:r>
                </w:p>
              </w:tc>
              <w:tc>
                <w:tcPr>
                  <w:tcW w:w="612" w:type="pct"/>
                  <w:gridSpan w:val="2"/>
                  <w:vAlign w:val="center"/>
                </w:tcPr>
                <w:p w14:paraId="1C721011">
                  <w:pPr>
                    <w:jc w:val="right"/>
                    <w:rPr>
                      <w:color w:val="000000"/>
                      <w:sz w:val="16"/>
                      <w:szCs w:val="16"/>
                    </w:rPr>
                  </w:pPr>
                  <w:r>
                    <w:rPr>
                      <w:color w:val="000000"/>
                      <w:sz w:val="16"/>
                      <w:szCs w:val="16"/>
                    </w:rPr>
                    <w:t>3595,00</w:t>
                  </w:r>
                </w:p>
              </w:tc>
            </w:tr>
            <w:tr w14:paraId="4368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300638B8">
                  <w:pPr>
                    <w:jc w:val="center"/>
                    <w:rPr>
                      <w:sz w:val="16"/>
                      <w:szCs w:val="16"/>
                    </w:rPr>
                  </w:pPr>
                  <w:r>
                    <w:rPr>
                      <w:color w:val="000000"/>
                      <w:sz w:val="16"/>
                      <w:szCs w:val="16"/>
                    </w:rPr>
                    <w:t>24</w:t>
                  </w:r>
                </w:p>
              </w:tc>
              <w:tc>
                <w:tcPr>
                  <w:tcW w:w="2006" w:type="pct"/>
                  <w:vAlign w:val="center"/>
                </w:tcPr>
                <w:p w14:paraId="79BAB23F">
                  <w:pPr>
                    <w:pStyle w:val="80"/>
                    <w:spacing w:line="230" w:lineRule="atLeast"/>
                    <w:jc w:val="both"/>
                    <w:rPr>
                      <w:sz w:val="16"/>
                      <w:szCs w:val="16"/>
                    </w:rPr>
                  </w:pPr>
                  <w:r>
                    <w:rPr>
                      <w:color w:val="000000"/>
                      <w:sz w:val="16"/>
                      <w:szCs w:val="16"/>
                    </w:rPr>
                    <w:t>FUROSEMIDA 20 MG/ML INJETÁVEL, AMPOLA 2 ML.</w:t>
                  </w:r>
                </w:p>
              </w:tc>
              <w:tc>
                <w:tcPr>
                  <w:tcW w:w="768" w:type="pct"/>
                  <w:vAlign w:val="center"/>
                </w:tcPr>
                <w:p w14:paraId="0A551F10">
                  <w:pPr>
                    <w:pStyle w:val="80"/>
                    <w:ind w:left="54" w:right="34"/>
                    <w:rPr>
                      <w:sz w:val="16"/>
                      <w:szCs w:val="16"/>
                    </w:rPr>
                  </w:pPr>
                  <w:r>
                    <w:rPr>
                      <w:color w:val="000000"/>
                      <w:sz w:val="16"/>
                      <w:szCs w:val="16"/>
                    </w:rPr>
                    <w:t>AMPOLA</w:t>
                  </w:r>
                </w:p>
              </w:tc>
              <w:tc>
                <w:tcPr>
                  <w:tcW w:w="460" w:type="pct"/>
                  <w:vAlign w:val="center"/>
                </w:tcPr>
                <w:p w14:paraId="7E956C2B">
                  <w:pPr>
                    <w:pStyle w:val="80"/>
                    <w:ind w:left="54" w:right="34"/>
                    <w:rPr>
                      <w:sz w:val="16"/>
                      <w:szCs w:val="16"/>
                    </w:rPr>
                  </w:pPr>
                  <w:r>
                    <w:rPr>
                      <w:color w:val="000000"/>
                      <w:sz w:val="16"/>
                      <w:szCs w:val="16"/>
                    </w:rPr>
                    <w:t>4500</w:t>
                  </w:r>
                </w:p>
              </w:tc>
              <w:tc>
                <w:tcPr>
                  <w:tcW w:w="620" w:type="pct"/>
                  <w:vAlign w:val="center"/>
                </w:tcPr>
                <w:p w14:paraId="4563B923">
                  <w:pPr>
                    <w:pStyle w:val="80"/>
                    <w:ind w:left="123" w:right="108"/>
                    <w:jc w:val="right"/>
                    <w:rPr>
                      <w:sz w:val="16"/>
                      <w:szCs w:val="16"/>
                    </w:rPr>
                  </w:pPr>
                  <w:r>
                    <w:rPr>
                      <w:sz w:val="16"/>
                      <w:szCs w:val="16"/>
                    </w:rPr>
                    <w:t>1,59</w:t>
                  </w:r>
                </w:p>
              </w:tc>
              <w:tc>
                <w:tcPr>
                  <w:tcW w:w="612" w:type="pct"/>
                  <w:gridSpan w:val="2"/>
                  <w:vAlign w:val="center"/>
                </w:tcPr>
                <w:p w14:paraId="1DC255F3">
                  <w:pPr>
                    <w:jc w:val="right"/>
                    <w:rPr>
                      <w:color w:val="000000"/>
                      <w:sz w:val="16"/>
                      <w:szCs w:val="16"/>
                    </w:rPr>
                  </w:pPr>
                  <w:r>
                    <w:rPr>
                      <w:color w:val="000000"/>
                      <w:sz w:val="16"/>
                      <w:szCs w:val="16"/>
                    </w:rPr>
                    <w:t>7155,00</w:t>
                  </w:r>
                </w:p>
              </w:tc>
            </w:tr>
            <w:tr w14:paraId="67AF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08659B20">
                  <w:pPr>
                    <w:jc w:val="center"/>
                    <w:rPr>
                      <w:sz w:val="16"/>
                      <w:szCs w:val="16"/>
                    </w:rPr>
                  </w:pPr>
                  <w:r>
                    <w:rPr>
                      <w:color w:val="000000"/>
                      <w:sz w:val="16"/>
                      <w:szCs w:val="16"/>
                    </w:rPr>
                    <w:t>25</w:t>
                  </w:r>
                </w:p>
              </w:tc>
              <w:tc>
                <w:tcPr>
                  <w:tcW w:w="2006" w:type="pct"/>
                  <w:vAlign w:val="center"/>
                </w:tcPr>
                <w:p w14:paraId="3CFCC615">
                  <w:pPr>
                    <w:pStyle w:val="80"/>
                    <w:spacing w:line="230" w:lineRule="atLeast"/>
                    <w:jc w:val="both"/>
                    <w:rPr>
                      <w:sz w:val="16"/>
                      <w:szCs w:val="16"/>
                    </w:rPr>
                  </w:pPr>
                  <w:r>
                    <w:rPr>
                      <w:color w:val="000000"/>
                      <w:sz w:val="16"/>
                      <w:szCs w:val="16"/>
                    </w:rPr>
                    <w:t>GENTAMICINA, DOSAGEM 40 MG/ML, APLICAÇÃO SOLUÇÃO INJETÁVEL, AMPOLA COM 2 ML.</w:t>
                  </w:r>
                </w:p>
              </w:tc>
              <w:tc>
                <w:tcPr>
                  <w:tcW w:w="768" w:type="pct"/>
                  <w:vAlign w:val="center"/>
                </w:tcPr>
                <w:p w14:paraId="4847FAF4">
                  <w:pPr>
                    <w:pStyle w:val="80"/>
                    <w:ind w:left="54" w:right="34"/>
                    <w:rPr>
                      <w:sz w:val="16"/>
                      <w:szCs w:val="16"/>
                    </w:rPr>
                  </w:pPr>
                  <w:r>
                    <w:rPr>
                      <w:color w:val="000000"/>
                      <w:sz w:val="16"/>
                      <w:szCs w:val="16"/>
                    </w:rPr>
                    <w:t>AMPOLA</w:t>
                  </w:r>
                </w:p>
              </w:tc>
              <w:tc>
                <w:tcPr>
                  <w:tcW w:w="460" w:type="pct"/>
                  <w:vAlign w:val="center"/>
                </w:tcPr>
                <w:p w14:paraId="0C734EFE">
                  <w:pPr>
                    <w:pStyle w:val="80"/>
                    <w:ind w:left="54" w:right="34"/>
                    <w:rPr>
                      <w:sz w:val="16"/>
                      <w:szCs w:val="16"/>
                    </w:rPr>
                  </w:pPr>
                  <w:r>
                    <w:rPr>
                      <w:color w:val="000000"/>
                      <w:sz w:val="16"/>
                      <w:szCs w:val="16"/>
                    </w:rPr>
                    <w:t>4000</w:t>
                  </w:r>
                </w:p>
              </w:tc>
              <w:tc>
                <w:tcPr>
                  <w:tcW w:w="620" w:type="pct"/>
                  <w:vAlign w:val="center"/>
                </w:tcPr>
                <w:p w14:paraId="3EAA0C6A">
                  <w:pPr>
                    <w:pStyle w:val="80"/>
                    <w:ind w:left="123" w:right="108"/>
                    <w:jc w:val="right"/>
                    <w:rPr>
                      <w:sz w:val="16"/>
                      <w:szCs w:val="16"/>
                    </w:rPr>
                  </w:pPr>
                  <w:r>
                    <w:rPr>
                      <w:sz w:val="16"/>
                      <w:szCs w:val="16"/>
                    </w:rPr>
                    <w:t>1,25</w:t>
                  </w:r>
                </w:p>
              </w:tc>
              <w:tc>
                <w:tcPr>
                  <w:tcW w:w="612" w:type="pct"/>
                  <w:gridSpan w:val="2"/>
                  <w:vAlign w:val="center"/>
                </w:tcPr>
                <w:p w14:paraId="1CAB0372">
                  <w:pPr>
                    <w:jc w:val="right"/>
                    <w:rPr>
                      <w:color w:val="000000"/>
                      <w:sz w:val="16"/>
                      <w:szCs w:val="16"/>
                    </w:rPr>
                  </w:pPr>
                  <w:r>
                    <w:rPr>
                      <w:color w:val="000000"/>
                      <w:sz w:val="16"/>
                      <w:szCs w:val="16"/>
                    </w:rPr>
                    <w:t>5000,00</w:t>
                  </w:r>
                </w:p>
              </w:tc>
            </w:tr>
            <w:tr w14:paraId="02E2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61CDF842">
                  <w:pPr>
                    <w:jc w:val="center"/>
                    <w:rPr>
                      <w:sz w:val="16"/>
                      <w:szCs w:val="16"/>
                    </w:rPr>
                  </w:pPr>
                  <w:r>
                    <w:rPr>
                      <w:color w:val="000000"/>
                      <w:sz w:val="16"/>
                      <w:szCs w:val="16"/>
                    </w:rPr>
                    <w:t>26</w:t>
                  </w:r>
                </w:p>
              </w:tc>
              <w:tc>
                <w:tcPr>
                  <w:tcW w:w="2006" w:type="pct"/>
                  <w:vAlign w:val="center"/>
                </w:tcPr>
                <w:p w14:paraId="35B9D4C4">
                  <w:pPr>
                    <w:pStyle w:val="80"/>
                    <w:spacing w:line="230" w:lineRule="atLeast"/>
                    <w:jc w:val="both"/>
                    <w:rPr>
                      <w:sz w:val="16"/>
                      <w:szCs w:val="16"/>
                    </w:rPr>
                  </w:pPr>
                  <w:r>
                    <w:rPr>
                      <w:color w:val="000000"/>
                      <w:sz w:val="16"/>
                      <w:szCs w:val="16"/>
                    </w:rPr>
                    <w:t>GENTAMICINA, DOSAGEM 80 MG/ML, APLICAÇÃO SOLUÇÃO INJETÁVEL, AMPOLA COM 2 ML.</w:t>
                  </w:r>
                </w:p>
              </w:tc>
              <w:tc>
                <w:tcPr>
                  <w:tcW w:w="768" w:type="pct"/>
                  <w:vAlign w:val="center"/>
                </w:tcPr>
                <w:p w14:paraId="35244669">
                  <w:pPr>
                    <w:pStyle w:val="80"/>
                    <w:ind w:left="54" w:right="34"/>
                    <w:rPr>
                      <w:sz w:val="16"/>
                      <w:szCs w:val="16"/>
                    </w:rPr>
                  </w:pPr>
                  <w:r>
                    <w:rPr>
                      <w:color w:val="000000"/>
                      <w:sz w:val="16"/>
                      <w:szCs w:val="16"/>
                    </w:rPr>
                    <w:t>AMPOLA</w:t>
                  </w:r>
                </w:p>
              </w:tc>
              <w:tc>
                <w:tcPr>
                  <w:tcW w:w="460" w:type="pct"/>
                  <w:vAlign w:val="center"/>
                </w:tcPr>
                <w:p w14:paraId="4BADF080">
                  <w:pPr>
                    <w:pStyle w:val="80"/>
                    <w:ind w:left="54" w:right="34"/>
                    <w:rPr>
                      <w:sz w:val="16"/>
                      <w:szCs w:val="16"/>
                    </w:rPr>
                  </w:pPr>
                  <w:r>
                    <w:rPr>
                      <w:color w:val="000000"/>
                      <w:sz w:val="16"/>
                      <w:szCs w:val="16"/>
                    </w:rPr>
                    <w:t>5000</w:t>
                  </w:r>
                </w:p>
              </w:tc>
              <w:tc>
                <w:tcPr>
                  <w:tcW w:w="620" w:type="pct"/>
                  <w:vAlign w:val="center"/>
                </w:tcPr>
                <w:p w14:paraId="6AF04DD7">
                  <w:pPr>
                    <w:pStyle w:val="80"/>
                    <w:ind w:left="123" w:right="108"/>
                    <w:jc w:val="right"/>
                    <w:rPr>
                      <w:sz w:val="16"/>
                      <w:szCs w:val="16"/>
                    </w:rPr>
                  </w:pPr>
                  <w:r>
                    <w:rPr>
                      <w:sz w:val="16"/>
                      <w:szCs w:val="16"/>
                    </w:rPr>
                    <w:t>1,18</w:t>
                  </w:r>
                </w:p>
              </w:tc>
              <w:tc>
                <w:tcPr>
                  <w:tcW w:w="612" w:type="pct"/>
                  <w:gridSpan w:val="2"/>
                  <w:vAlign w:val="center"/>
                </w:tcPr>
                <w:p w14:paraId="1FE72E2A">
                  <w:pPr>
                    <w:jc w:val="right"/>
                    <w:rPr>
                      <w:color w:val="000000"/>
                      <w:sz w:val="16"/>
                      <w:szCs w:val="16"/>
                    </w:rPr>
                  </w:pPr>
                  <w:r>
                    <w:rPr>
                      <w:color w:val="000000"/>
                      <w:sz w:val="16"/>
                      <w:szCs w:val="16"/>
                    </w:rPr>
                    <w:t>5900,00</w:t>
                  </w:r>
                </w:p>
              </w:tc>
            </w:tr>
            <w:tr w14:paraId="0436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4F28175D">
                  <w:pPr>
                    <w:jc w:val="center"/>
                    <w:rPr>
                      <w:sz w:val="16"/>
                      <w:szCs w:val="16"/>
                    </w:rPr>
                  </w:pPr>
                  <w:r>
                    <w:rPr>
                      <w:color w:val="000000"/>
                      <w:sz w:val="16"/>
                      <w:szCs w:val="16"/>
                    </w:rPr>
                    <w:t>27</w:t>
                  </w:r>
                </w:p>
              </w:tc>
              <w:tc>
                <w:tcPr>
                  <w:tcW w:w="2006" w:type="pct"/>
                  <w:vAlign w:val="center"/>
                </w:tcPr>
                <w:p w14:paraId="50152B85">
                  <w:pPr>
                    <w:pStyle w:val="80"/>
                    <w:spacing w:line="230" w:lineRule="atLeast"/>
                    <w:jc w:val="both"/>
                    <w:rPr>
                      <w:sz w:val="16"/>
                      <w:szCs w:val="16"/>
                    </w:rPr>
                  </w:pPr>
                  <w:r>
                    <w:rPr>
                      <w:color w:val="000000"/>
                      <w:sz w:val="16"/>
                      <w:szCs w:val="16"/>
                    </w:rPr>
                    <w:t>GLICOSE, CONCENTRAÇÃO 50%, INDICAÇÃO SOLUÇÃO INJETÁVEL, AMPOLA COM 10 ML.</w:t>
                  </w:r>
                </w:p>
              </w:tc>
              <w:tc>
                <w:tcPr>
                  <w:tcW w:w="768" w:type="pct"/>
                  <w:vAlign w:val="center"/>
                </w:tcPr>
                <w:p w14:paraId="57336AE7">
                  <w:pPr>
                    <w:pStyle w:val="80"/>
                    <w:ind w:left="54" w:right="34"/>
                    <w:rPr>
                      <w:sz w:val="16"/>
                      <w:szCs w:val="16"/>
                    </w:rPr>
                  </w:pPr>
                  <w:r>
                    <w:rPr>
                      <w:color w:val="000000"/>
                      <w:sz w:val="16"/>
                      <w:szCs w:val="16"/>
                    </w:rPr>
                    <w:t>AMPOLA</w:t>
                  </w:r>
                </w:p>
              </w:tc>
              <w:tc>
                <w:tcPr>
                  <w:tcW w:w="460" w:type="pct"/>
                  <w:vAlign w:val="center"/>
                </w:tcPr>
                <w:p w14:paraId="6A98F4BC">
                  <w:pPr>
                    <w:pStyle w:val="80"/>
                    <w:ind w:left="54" w:right="34"/>
                    <w:rPr>
                      <w:sz w:val="16"/>
                      <w:szCs w:val="16"/>
                    </w:rPr>
                  </w:pPr>
                  <w:r>
                    <w:rPr>
                      <w:color w:val="000000"/>
                      <w:sz w:val="16"/>
                      <w:szCs w:val="16"/>
                    </w:rPr>
                    <w:t>7000</w:t>
                  </w:r>
                </w:p>
              </w:tc>
              <w:tc>
                <w:tcPr>
                  <w:tcW w:w="620" w:type="pct"/>
                  <w:vAlign w:val="center"/>
                </w:tcPr>
                <w:p w14:paraId="08F1C1D1">
                  <w:pPr>
                    <w:pStyle w:val="80"/>
                    <w:ind w:left="123" w:right="108"/>
                    <w:jc w:val="right"/>
                    <w:rPr>
                      <w:sz w:val="16"/>
                      <w:szCs w:val="16"/>
                    </w:rPr>
                  </w:pPr>
                  <w:r>
                    <w:rPr>
                      <w:sz w:val="16"/>
                      <w:szCs w:val="16"/>
                    </w:rPr>
                    <w:t>2,07</w:t>
                  </w:r>
                </w:p>
              </w:tc>
              <w:tc>
                <w:tcPr>
                  <w:tcW w:w="612" w:type="pct"/>
                  <w:gridSpan w:val="2"/>
                  <w:vAlign w:val="center"/>
                </w:tcPr>
                <w:p w14:paraId="3DA52985">
                  <w:pPr>
                    <w:jc w:val="right"/>
                    <w:rPr>
                      <w:color w:val="000000"/>
                      <w:sz w:val="16"/>
                      <w:szCs w:val="16"/>
                    </w:rPr>
                  </w:pPr>
                  <w:r>
                    <w:rPr>
                      <w:color w:val="000000"/>
                      <w:sz w:val="16"/>
                      <w:szCs w:val="16"/>
                    </w:rPr>
                    <w:t>14490,00</w:t>
                  </w:r>
                </w:p>
              </w:tc>
            </w:tr>
            <w:tr w14:paraId="0B3F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40DCE65C">
                  <w:pPr>
                    <w:jc w:val="center"/>
                    <w:rPr>
                      <w:sz w:val="16"/>
                      <w:szCs w:val="16"/>
                    </w:rPr>
                  </w:pPr>
                  <w:r>
                    <w:rPr>
                      <w:color w:val="000000"/>
                      <w:sz w:val="16"/>
                      <w:szCs w:val="16"/>
                    </w:rPr>
                    <w:t>28</w:t>
                  </w:r>
                </w:p>
              </w:tc>
              <w:tc>
                <w:tcPr>
                  <w:tcW w:w="2006" w:type="pct"/>
                  <w:vAlign w:val="center"/>
                </w:tcPr>
                <w:p w14:paraId="757E22DF">
                  <w:pPr>
                    <w:pStyle w:val="80"/>
                    <w:spacing w:line="230" w:lineRule="atLeast"/>
                    <w:jc w:val="both"/>
                    <w:rPr>
                      <w:sz w:val="16"/>
                      <w:szCs w:val="16"/>
                    </w:rPr>
                  </w:pPr>
                  <w:r>
                    <w:rPr>
                      <w:color w:val="000000"/>
                      <w:sz w:val="16"/>
                      <w:szCs w:val="16"/>
                    </w:rPr>
                    <w:t>HEPARINA SÓDICA, DOSAGEM 5.000UI/ML, INDICAÇÃO INJETÁVEL, FRASCO COM 5 ML.</w:t>
                  </w:r>
                </w:p>
              </w:tc>
              <w:tc>
                <w:tcPr>
                  <w:tcW w:w="768" w:type="pct"/>
                  <w:vAlign w:val="center"/>
                </w:tcPr>
                <w:p w14:paraId="030CC1D9">
                  <w:pPr>
                    <w:pStyle w:val="80"/>
                    <w:ind w:left="54" w:right="34"/>
                    <w:rPr>
                      <w:sz w:val="16"/>
                      <w:szCs w:val="16"/>
                    </w:rPr>
                  </w:pPr>
                  <w:r>
                    <w:rPr>
                      <w:color w:val="000000"/>
                      <w:sz w:val="16"/>
                      <w:szCs w:val="16"/>
                    </w:rPr>
                    <w:t>FRASCO</w:t>
                  </w:r>
                </w:p>
              </w:tc>
              <w:tc>
                <w:tcPr>
                  <w:tcW w:w="460" w:type="pct"/>
                  <w:vAlign w:val="center"/>
                </w:tcPr>
                <w:p w14:paraId="1B7546A0">
                  <w:pPr>
                    <w:pStyle w:val="80"/>
                    <w:ind w:left="54" w:right="34"/>
                    <w:rPr>
                      <w:sz w:val="16"/>
                      <w:szCs w:val="16"/>
                    </w:rPr>
                  </w:pPr>
                  <w:r>
                    <w:rPr>
                      <w:color w:val="000000"/>
                      <w:sz w:val="16"/>
                      <w:szCs w:val="16"/>
                    </w:rPr>
                    <w:t>3000</w:t>
                  </w:r>
                </w:p>
              </w:tc>
              <w:tc>
                <w:tcPr>
                  <w:tcW w:w="620" w:type="pct"/>
                  <w:vAlign w:val="center"/>
                </w:tcPr>
                <w:p w14:paraId="7D2322B8">
                  <w:pPr>
                    <w:pStyle w:val="80"/>
                    <w:ind w:left="123" w:right="108"/>
                    <w:jc w:val="right"/>
                    <w:rPr>
                      <w:sz w:val="16"/>
                      <w:szCs w:val="16"/>
                    </w:rPr>
                  </w:pPr>
                  <w:r>
                    <w:rPr>
                      <w:sz w:val="16"/>
                      <w:szCs w:val="16"/>
                    </w:rPr>
                    <w:t>24,29</w:t>
                  </w:r>
                </w:p>
              </w:tc>
              <w:tc>
                <w:tcPr>
                  <w:tcW w:w="612" w:type="pct"/>
                  <w:gridSpan w:val="2"/>
                  <w:vAlign w:val="center"/>
                </w:tcPr>
                <w:p w14:paraId="47F7DF56">
                  <w:pPr>
                    <w:jc w:val="right"/>
                    <w:rPr>
                      <w:color w:val="000000"/>
                      <w:sz w:val="16"/>
                      <w:szCs w:val="16"/>
                    </w:rPr>
                  </w:pPr>
                  <w:r>
                    <w:rPr>
                      <w:color w:val="000000"/>
                      <w:sz w:val="16"/>
                      <w:szCs w:val="16"/>
                    </w:rPr>
                    <w:t>72870,00</w:t>
                  </w:r>
                </w:p>
              </w:tc>
            </w:tr>
            <w:tr w14:paraId="53C2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251DD54E">
                  <w:pPr>
                    <w:jc w:val="center"/>
                    <w:rPr>
                      <w:sz w:val="16"/>
                      <w:szCs w:val="16"/>
                    </w:rPr>
                  </w:pPr>
                  <w:r>
                    <w:rPr>
                      <w:color w:val="000000"/>
                      <w:sz w:val="16"/>
                      <w:szCs w:val="16"/>
                    </w:rPr>
                    <w:t>29</w:t>
                  </w:r>
                </w:p>
              </w:tc>
              <w:tc>
                <w:tcPr>
                  <w:tcW w:w="2006" w:type="pct"/>
                  <w:vAlign w:val="center"/>
                </w:tcPr>
                <w:p w14:paraId="048CE7BB">
                  <w:pPr>
                    <w:pStyle w:val="80"/>
                    <w:spacing w:line="230" w:lineRule="atLeast"/>
                    <w:jc w:val="both"/>
                    <w:rPr>
                      <w:sz w:val="16"/>
                      <w:szCs w:val="16"/>
                    </w:rPr>
                  </w:pPr>
                  <w:r>
                    <w:rPr>
                      <w:color w:val="000000"/>
                      <w:sz w:val="16"/>
                      <w:szCs w:val="16"/>
                    </w:rPr>
                    <w:t>HIDRÓXIDO DE ALUMÍNIO, CONCENTRAÇÃO 61,5 MG/ML, APRESENTAÇÃO SUSPENSÃO ORAL, FRASCO COM 240 ML.</w:t>
                  </w:r>
                </w:p>
              </w:tc>
              <w:tc>
                <w:tcPr>
                  <w:tcW w:w="768" w:type="pct"/>
                  <w:vAlign w:val="center"/>
                </w:tcPr>
                <w:p w14:paraId="2CA2B4F8">
                  <w:pPr>
                    <w:pStyle w:val="80"/>
                    <w:ind w:left="54" w:right="34"/>
                    <w:rPr>
                      <w:sz w:val="16"/>
                      <w:szCs w:val="16"/>
                    </w:rPr>
                  </w:pPr>
                  <w:r>
                    <w:rPr>
                      <w:color w:val="000000"/>
                      <w:sz w:val="16"/>
                      <w:szCs w:val="16"/>
                    </w:rPr>
                    <w:t>FRASCO</w:t>
                  </w:r>
                </w:p>
              </w:tc>
              <w:tc>
                <w:tcPr>
                  <w:tcW w:w="460" w:type="pct"/>
                  <w:vAlign w:val="center"/>
                </w:tcPr>
                <w:p w14:paraId="7905653B">
                  <w:pPr>
                    <w:pStyle w:val="80"/>
                    <w:ind w:left="54" w:right="34"/>
                    <w:rPr>
                      <w:sz w:val="16"/>
                      <w:szCs w:val="16"/>
                    </w:rPr>
                  </w:pPr>
                  <w:r>
                    <w:rPr>
                      <w:color w:val="000000"/>
                      <w:sz w:val="16"/>
                      <w:szCs w:val="16"/>
                    </w:rPr>
                    <w:t>500</w:t>
                  </w:r>
                </w:p>
              </w:tc>
              <w:tc>
                <w:tcPr>
                  <w:tcW w:w="620" w:type="pct"/>
                  <w:vAlign w:val="center"/>
                </w:tcPr>
                <w:p w14:paraId="5F099226">
                  <w:pPr>
                    <w:pStyle w:val="80"/>
                    <w:ind w:left="123" w:right="108"/>
                    <w:jc w:val="right"/>
                    <w:rPr>
                      <w:sz w:val="16"/>
                      <w:szCs w:val="16"/>
                    </w:rPr>
                  </w:pPr>
                  <w:r>
                    <w:rPr>
                      <w:sz w:val="16"/>
                      <w:szCs w:val="16"/>
                    </w:rPr>
                    <w:t>10,59</w:t>
                  </w:r>
                </w:p>
              </w:tc>
              <w:tc>
                <w:tcPr>
                  <w:tcW w:w="612" w:type="pct"/>
                  <w:gridSpan w:val="2"/>
                  <w:vAlign w:val="center"/>
                </w:tcPr>
                <w:p w14:paraId="0D38B69E">
                  <w:pPr>
                    <w:jc w:val="right"/>
                    <w:rPr>
                      <w:color w:val="000000"/>
                      <w:sz w:val="16"/>
                      <w:szCs w:val="16"/>
                    </w:rPr>
                  </w:pPr>
                  <w:r>
                    <w:rPr>
                      <w:color w:val="000000"/>
                      <w:sz w:val="16"/>
                      <w:szCs w:val="16"/>
                    </w:rPr>
                    <w:t>5295,00</w:t>
                  </w:r>
                </w:p>
              </w:tc>
            </w:tr>
            <w:tr w14:paraId="5DEC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65DDDC50">
                  <w:pPr>
                    <w:jc w:val="center"/>
                    <w:rPr>
                      <w:sz w:val="16"/>
                      <w:szCs w:val="16"/>
                    </w:rPr>
                  </w:pPr>
                  <w:r>
                    <w:rPr>
                      <w:color w:val="000000"/>
                      <w:sz w:val="16"/>
                      <w:szCs w:val="16"/>
                    </w:rPr>
                    <w:t>30</w:t>
                  </w:r>
                </w:p>
              </w:tc>
              <w:tc>
                <w:tcPr>
                  <w:tcW w:w="2006" w:type="pct"/>
                  <w:vAlign w:val="center"/>
                </w:tcPr>
                <w:p w14:paraId="0B59E90B">
                  <w:pPr>
                    <w:pStyle w:val="80"/>
                    <w:spacing w:line="230" w:lineRule="atLeast"/>
                    <w:jc w:val="both"/>
                    <w:rPr>
                      <w:sz w:val="16"/>
                      <w:szCs w:val="16"/>
                    </w:rPr>
                  </w:pPr>
                  <w:r>
                    <w:rPr>
                      <w:color w:val="000000"/>
                      <w:sz w:val="16"/>
                      <w:szCs w:val="16"/>
                    </w:rPr>
                    <w:t>INIBINA (ISOXSUPRINA CLORIDRATO), DOSAGEM 5 MG/ML, FORMA FARMACÊUTICA SOLUÇÃO INJETÁVEL, AMPOLA COM 2 ML.</w:t>
                  </w:r>
                </w:p>
              </w:tc>
              <w:tc>
                <w:tcPr>
                  <w:tcW w:w="768" w:type="pct"/>
                  <w:vAlign w:val="center"/>
                </w:tcPr>
                <w:p w14:paraId="134E07C4">
                  <w:pPr>
                    <w:pStyle w:val="80"/>
                    <w:ind w:left="54" w:right="34"/>
                    <w:rPr>
                      <w:sz w:val="16"/>
                      <w:szCs w:val="16"/>
                    </w:rPr>
                  </w:pPr>
                  <w:r>
                    <w:rPr>
                      <w:color w:val="000000"/>
                      <w:sz w:val="16"/>
                      <w:szCs w:val="16"/>
                    </w:rPr>
                    <w:t>AMPOLA</w:t>
                  </w:r>
                </w:p>
              </w:tc>
              <w:tc>
                <w:tcPr>
                  <w:tcW w:w="460" w:type="pct"/>
                  <w:vAlign w:val="center"/>
                </w:tcPr>
                <w:p w14:paraId="338CA998">
                  <w:pPr>
                    <w:pStyle w:val="80"/>
                    <w:ind w:left="54" w:right="34"/>
                    <w:rPr>
                      <w:sz w:val="16"/>
                      <w:szCs w:val="16"/>
                    </w:rPr>
                  </w:pPr>
                  <w:r>
                    <w:rPr>
                      <w:color w:val="000000"/>
                      <w:sz w:val="16"/>
                      <w:szCs w:val="16"/>
                    </w:rPr>
                    <w:t>500</w:t>
                  </w:r>
                </w:p>
              </w:tc>
              <w:tc>
                <w:tcPr>
                  <w:tcW w:w="620" w:type="pct"/>
                  <w:vAlign w:val="center"/>
                </w:tcPr>
                <w:p w14:paraId="3652F952">
                  <w:pPr>
                    <w:pStyle w:val="80"/>
                    <w:ind w:left="123" w:right="108"/>
                    <w:jc w:val="right"/>
                    <w:rPr>
                      <w:sz w:val="16"/>
                      <w:szCs w:val="16"/>
                    </w:rPr>
                  </w:pPr>
                  <w:r>
                    <w:rPr>
                      <w:sz w:val="16"/>
                      <w:szCs w:val="16"/>
                    </w:rPr>
                    <w:t>19,23</w:t>
                  </w:r>
                </w:p>
              </w:tc>
              <w:tc>
                <w:tcPr>
                  <w:tcW w:w="612" w:type="pct"/>
                  <w:gridSpan w:val="2"/>
                  <w:vAlign w:val="center"/>
                </w:tcPr>
                <w:p w14:paraId="2833951C">
                  <w:pPr>
                    <w:jc w:val="right"/>
                    <w:rPr>
                      <w:color w:val="000000"/>
                      <w:sz w:val="16"/>
                      <w:szCs w:val="16"/>
                    </w:rPr>
                  </w:pPr>
                  <w:r>
                    <w:rPr>
                      <w:color w:val="000000"/>
                      <w:sz w:val="16"/>
                      <w:szCs w:val="16"/>
                    </w:rPr>
                    <w:t>9615,00</w:t>
                  </w:r>
                </w:p>
              </w:tc>
            </w:tr>
            <w:tr w14:paraId="4376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196" w:hRule="atLeast"/>
                <w:jc w:val="center"/>
              </w:trPr>
              <w:tc>
                <w:tcPr>
                  <w:tcW w:w="520" w:type="pct"/>
                  <w:vAlign w:val="center"/>
                </w:tcPr>
                <w:p w14:paraId="4437CF6C">
                  <w:pPr>
                    <w:jc w:val="center"/>
                    <w:rPr>
                      <w:sz w:val="16"/>
                      <w:szCs w:val="16"/>
                    </w:rPr>
                  </w:pPr>
                  <w:r>
                    <w:rPr>
                      <w:color w:val="000000"/>
                      <w:sz w:val="16"/>
                      <w:szCs w:val="16"/>
                    </w:rPr>
                    <w:t>31</w:t>
                  </w:r>
                </w:p>
              </w:tc>
              <w:tc>
                <w:tcPr>
                  <w:tcW w:w="2006" w:type="pct"/>
                  <w:vAlign w:val="center"/>
                </w:tcPr>
                <w:p w14:paraId="2C1D4537">
                  <w:pPr>
                    <w:pStyle w:val="80"/>
                    <w:spacing w:line="230" w:lineRule="atLeast"/>
                    <w:jc w:val="both"/>
                    <w:rPr>
                      <w:sz w:val="16"/>
                      <w:szCs w:val="16"/>
                    </w:rPr>
                  </w:pPr>
                  <w:r>
                    <w:rPr>
                      <w:color w:val="000000"/>
                      <w:sz w:val="16"/>
                      <w:szCs w:val="16"/>
                    </w:rPr>
                    <w:t>LIDOCAÍNA CLORIDRATO, DOSAGEM 2%, APRESENTAÇÃO GELÉIA, BISNAGA DE 30 G.</w:t>
                  </w:r>
                </w:p>
              </w:tc>
              <w:tc>
                <w:tcPr>
                  <w:tcW w:w="768" w:type="pct"/>
                  <w:vAlign w:val="center"/>
                </w:tcPr>
                <w:p w14:paraId="79F526CB">
                  <w:pPr>
                    <w:pStyle w:val="80"/>
                    <w:ind w:left="54" w:right="34"/>
                    <w:rPr>
                      <w:sz w:val="16"/>
                      <w:szCs w:val="16"/>
                    </w:rPr>
                  </w:pPr>
                  <w:r>
                    <w:rPr>
                      <w:color w:val="000000"/>
                      <w:sz w:val="16"/>
                      <w:szCs w:val="16"/>
                    </w:rPr>
                    <w:t>BISNAGA</w:t>
                  </w:r>
                </w:p>
              </w:tc>
              <w:tc>
                <w:tcPr>
                  <w:tcW w:w="460" w:type="pct"/>
                  <w:vAlign w:val="center"/>
                </w:tcPr>
                <w:p w14:paraId="4CDE3574">
                  <w:pPr>
                    <w:pStyle w:val="80"/>
                    <w:ind w:left="54" w:right="34"/>
                    <w:rPr>
                      <w:sz w:val="16"/>
                      <w:szCs w:val="16"/>
                    </w:rPr>
                  </w:pPr>
                  <w:r>
                    <w:rPr>
                      <w:color w:val="000000"/>
                      <w:sz w:val="16"/>
                      <w:szCs w:val="16"/>
                    </w:rPr>
                    <w:t>250</w:t>
                  </w:r>
                </w:p>
              </w:tc>
              <w:tc>
                <w:tcPr>
                  <w:tcW w:w="620" w:type="pct"/>
                  <w:vAlign w:val="center"/>
                </w:tcPr>
                <w:p w14:paraId="03B578CA">
                  <w:pPr>
                    <w:pStyle w:val="80"/>
                    <w:ind w:left="123" w:right="108"/>
                    <w:jc w:val="right"/>
                    <w:rPr>
                      <w:sz w:val="16"/>
                      <w:szCs w:val="16"/>
                    </w:rPr>
                  </w:pPr>
                  <w:r>
                    <w:rPr>
                      <w:sz w:val="16"/>
                      <w:szCs w:val="16"/>
                    </w:rPr>
                    <w:t>25,04</w:t>
                  </w:r>
                </w:p>
              </w:tc>
              <w:tc>
                <w:tcPr>
                  <w:tcW w:w="612" w:type="pct"/>
                  <w:gridSpan w:val="2"/>
                  <w:vAlign w:val="center"/>
                </w:tcPr>
                <w:p w14:paraId="63E78219">
                  <w:pPr>
                    <w:jc w:val="right"/>
                    <w:rPr>
                      <w:color w:val="000000"/>
                      <w:sz w:val="16"/>
                      <w:szCs w:val="16"/>
                    </w:rPr>
                  </w:pPr>
                  <w:r>
                    <w:rPr>
                      <w:color w:val="000000"/>
                      <w:sz w:val="16"/>
                      <w:szCs w:val="16"/>
                    </w:rPr>
                    <w:t>6260,00</w:t>
                  </w:r>
                </w:p>
              </w:tc>
            </w:tr>
            <w:tr w14:paraId="542C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408C3926">
                  <w:pPr>
                    <w:jc w:val="center"/>
                    <w:rPr>
                      <w:sz w:val="16"/>
                      <w:szCs w:val="16"/>
                    </w:rPr>
                  </w:pPr>
                  <w:r>
                    <w:rPr>
                      <w:color w:val="000000"/>
                      <w:sz w:val="16"/>
                      <w:szCs w:val="16"/>
                    </w:rPr>
                    <w:t>32</w:t>
                  </w:r>
                </w:p>
              </w:tc>
              <w:tc>
                <w:tcPr>
                  <w:tcW w:w="2006" w:type="pct"/>
                  <w:vAlign w:val="center"/>
                </w:tcPr>
                <w:p w14:paraId="5E7937F3">
                  <w:pPr>
                    <w:pStyle w:val="80"/>
                    <w:spacing w:line="230" w:lineRule="atLeast"/>
                    <w:jc w:val="both"/>
                    <w:rPr>
                      <w:sz w:val="16"/>
                      <w:szCs w:val="16"/>
                    </w:rPr>
                  </w:pPr>
                  <w:r>
                    <w:rPr>
                      <w:color w:val="000000"/>
                      <w:sz w:val="16"/>
                      <w:szCs w:val="16"/>
                    </w:rPr>
                    <w:t>METFORMINA CLORIDRATO 850 MG.</w:t>
                  </w:r>
                </w:p>
              </w:tc>
              <w:tc>
                <w:tcPr>
                  <w:tcW w:w="768" w:type="pct"/>
                  <w:vAlign w:val="center"/>
                </w:tcPr>
                <w:p w14:paraId="6B645A9D">
                  <w:pPr>
                    <w:pStyle w:val="80"/>
                    <w:ind w:left="54" w:right="34"/>
                    <w:rPr>
                      <w:sz w:val="16"/>
                      <w:szCs w:val="16"/>
                    </w:rPr>
                  </w:pPr>
                  <w:r>
                    <w:rPr>
                      <w:color w:val="000000"/>
                      <w:sz w:val="16"/>
                      <w:szCs w:val="16"/>
                    </w:rPr>
                    <w:t>COMPRIMIDO</w:t>
                  </w:r>
                </w:p>
              </w:tc>
              <w:tc>
                <w:tcPr>
                  <w:tcW w:w="460" w:type="pct"/>
                  <w:vAlign w:val="center"/>
                </w:tcPr>
                <w:p w14:paraId="03F5241D">
                  <w:pPr>
                    <w:pStyle w:val="80"/>
                    <w:ind w:left="54" w:right="34"/>
                    <w:rPr>
                      <w:sz w:val="16"/>
                      <w:szCs w:val="16"/>
                    </w:rPr>
                  </w:pPr>
                  <w:r>
                    <w:rPr>
                      <w:color w:val="000000"/>
                      <w:sz w:val="16"/>
                      <w:szCs w:val="16"/>
                    </w:rPr>
                    <w:t>2500</w:t>
                  </w:r>
                </w:p>
              </w:tc>
              <w:tc>
                <w:tcPr>
                  <w:tcW w:w="620" w:type="pct"/>
                  <w:vAlign w:val="center"/>
                </w:tcPr>
                <w:p w14:paraId="6E770F60">
                  <w:pPr>
                    <w:pStyle w:val="80"/>
                    <w:ind w:left="123" w:right="108"/>
                    <w:jc w:val="right"/>
                    <w:rPr>
                      <w:sz w:val="16"/>
                      <w:szCs w:val="16"/>
                    </w:rPr>
                  </w:pPr>
                  <w:r>
                    <w:rPr>
                      <w:sz w:val="16"/>
                      <w:szCs w:val="16"/>
                    </w:rPr>
                    <w:t>0,09</w:t>
                  </w:r>
                </w:p>
              </w:tc>
              <w:tc>
                <w:tcPr>
                  <w:tcW w:w="612" w:type="pct"/>
                  <w:gridSpan w:val="2"/>
                  <w:vAlign w:val="center"/>
                </w:tcPr>
                <w:p w14:paraId="6895C178">
                  <w:pPr>
                    <w:jc w:val="right"/>
                    <w:rPr>
                      <w:color w:val="000000"/>
                      <w:sz w:val="16"/>
                      <w:szCs w:val="16"/>
                    </w:rPr>
                  </w:pPr>
                  <w:r>
                    <w:rPr>
                      <w:color w:val="000000"/>
                      <w:sz w:val="16"/>
                      <w:szCs w:val="16"/>
                    </w:rPr>
                    <w:t>225,00</w:t>
                  </w:r>
                </w:p>
              </w:tc>
            </w:tr>
            <w:tr w14:paraId="4E1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39CEA6A5">
                  <w:pPr>
                    <w:jc w:val="center"/>
                    <w:rPr>
                      <w:sz w:val="16"/>
                      <w:szCs w:val="16"/>
                    </w:rPr>
                  </w:pPr>
                  <w:r>
                    <w:rPr>
                      <w:color w:val="000000"/>
                      <w:sz w:val="16"/>
                      <w:szCs w:val="16"/>
                    </w:rPr>
                    <w:t>33</w:t>
                  </w:r>
                </w:p>
              </w:tc>
              <w:tc>
                <w:tcPr>
                  <w:tcW w:w="2006" w:type="pct"/>
                  <w:vAlign w:val="center"/>
                </w:tcPr>
                <w:p w14:paraId="47DBE23B">
                  <w:pPr>
                    <w:pStyle w:val="80"/>
                    <w:spacing w:line="230" w:lineRule="atLeast"/>
                    <w:jc w:val="both"/>
                    <w:rPr>
                      <w:sz w:val="16"/>
                      <w:szCs w:val="16"/>
                    </w:rPr>
                  </w:pPr>
                  <w:r>
                    <w:rPr>
                      <w:color w:val="000000"/>
                      <w:sz w:val="16"/>
                      <w:szCs w:val="16"/>
                    </w:rPr>
                    <w:t>METILDOPA, DOSAGEM 500 MG.</w:t>
                  </w:r>
                </w:p>
              </w:tc>
              <w:tc>
                <w:tcPr>
                  <w:tcW w:w="768" w:type="pct"/>
                  <w:vAlign w:val="center"/>
                </w:tcPr>
                <w:p w14:paraId="5982C68D">
                  <w:pPr>
                    <w:pStyle w:val="80"/>
                    <w:ind w:left="54" w:right="34"/>
                    <w:rPr>
                      <w:sz w:val="16"/>
                      <w:szCs w:val="16"/>
                    </w:rPr>
                  </w:pPr>
                  <w:r>
                    <w:rPr>
                      <w:color w:val="000000"/>
                      <w:sz w:val="16"/>
                      <w:szCs w:val="16"/>
                    </w:rPr>
                    <w:t>COMPRIMIDO</w:t>
                  </w:r>
                </w:p>
              </w:tc>
              <w:tc>
                <w:tcPr>
                  <w:tcW w:w="460" w:type="pct"/>
                  <w:vAlign w:val="center"/>
                </w:tcPr>
                <w:p w14:paraId="0907F641">
                  <w:pPr>
                    <w:pStyle w:val="80"/>
                    <w:ind w:left="54" w:right="34"/>
                    <w:rPr>
                      <w:sz w:val="16"/>
                      <w:szCs w:val="16"/>
                    </w:rPr>
                  </w:pPr>
                  <w:r>
                    <w:rPr>
                      <w:color w:val="000000"/>
                      <w:sz w:val="16"/>
                      <w:szCs w:val="16"/>
                    </w:rPr>
                    <w:t>300</w:t>
                  </w:r>
                </w:p>
              </w:tc>
              <w:tc>
                <w:tcPr>
                  <w:tcW w:w="620" w:type="pct"/>
                  <w:vAlign w:val="center"/>
                </w:tcPr>
                <w:p w14:paraId="117EC5BA">
                  <w:pPr>
                    <w:pStyle w:val="80"/>
                    <w:ind w:left="123" w:right="108"/>
                    <w:jc w:val="right"/>
                    <w:rPr>
                      <w:sz w:val="16"/>
                      <w:szCs w:val="16"/>
                    </w:rPr>
                  </w:pPr>
                  <w:r>
                    <w:rPr>
                      <w:sz w:val="16"/>
                      <w:szCs w:val="16"/>
                    </w:rPr>
                    <w:t>1,55</w:t>
                  </w:r>
                </w:p>
              </w:tc>
              <w:tc>
                <w:tcPr>
                  <w:tcW w:w="612" w:type="pct"/>
                  <w:gridSpan w:val="2"/>
                  <w:vAlign w:val="center"/>
                </w:tcPr>
                <w:p w14:paraId="47742731">
                  <w:pPr>
                    <w:jc w:val="right"/>
                    <w:rPr>
                      <w:color w:val="000000"/>
                      <w:sz w:val="16"/>
                      <w:szCs w:val="16"/>
                    </w:rPr>
                  </w:pPr>
                  <w:r>
                    <w:rPr>
                      <w:color w:val="000000"/>
                      <w:sz w:val="16"/>
                      <w:szCs w:val="16"/>
                    </w:rPr>
                    <w:t>465,00</w:t>
                  </w:r>
                </w:p>
              </w:tc>
            </w:tr>
            <w:tr w14:paraId="57E9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672315B4">
                  <w:pPr>
                    <w:jc w:val="center"/>
                    <w:rPr>
                      <w:sz w:val="16"/>
                      <w:szCs w:val="16"/>
                    </w:rPr>
                  </w:pPr>
                  <w:r>
                    <w:rPr>
                      <w:color w:val="000000"/>
                      <w:sz w:val="16"/>
                      <w:szCs w:val="16"/>
                    </w:rPr>
                    <w:t>34</w:t>
                  </w:r>
                </w:p>
              </w:tc>
              <w:tc>
                <w:tcPr>
                  <w:tcW w:w="2006" w:type="pct"/>
                  <w:vAlign w:val="center"/>
                </w:tcPr>
                <w:p w14:paraId="4804785A">
                  <w:pPr>
                    <w:pStyle w:val="80"/>
                    <w:spacing w:line="230" w:lineRule="atLeast"/>
                    <w:jc w:val="both"/>
                    <w:rPr>
                      <w:sz w:val="16"/>
                      <w:szCs w:val="16"/>
                    </w:rPr>
                  </w:pPr>
                  <w:r>
                    <w:rPr>
                      <w:color w:val="000000"/>
                      <w:sz w:val="16"/>
                      <w:szCs w:val="16"/>
                    </w:rPr>
                    <w:t>METRONIDAZOL, DOSAGEM 250 MG.</w:t>
                  </w:r>
                </w:p>
              </w:tc>
              <w:tc>
                <w:tcPr>
                  <w:tcW w:w="768" w:type="pct"/>
                  <w:vAlign w:val="center"/>
                </w:tcPr>
                <w:p w14:paraId="6E89E5FD">
                  <w:pPr>
                    <w:pStyle w:val="80"/>
                    <w:ind w:left="54" w:right="34"/>
                    <w:rPr>
                      <w:sz w:val="16"/>
                      <w:szCs w:val="16"/>
                    </w:rPr>
                  </w:pPr>
                  <w:r>
                    <w:rPr>
                      <w:color w:val="000000"/>
                      <w:sz w:val="16"/>
                      <w:szCs w:val="16"/>
                    </w:rPr>
                    <w:t>COMPRIMIDO</w:t>
                  </w:r>
                </w:p>
              </w:tc>
              <w:tc>
                <w:tcPr>
                  <w:tcW w:w="460" w:type="pct"/>
                  <w:vAlign w:val="center"/>
                </w:tcPr>
                <w:p w14:paraId="3B491E2F">
                  <w:pPr>
                    <w:pStyle w:val="80"/>
                    <w:ind w:left="54" w:right="34"/>
                    <w:rPr>
                      <w:sz w:val="16"/>
                      <w:szCs w:val="16"/>
                    </w:rPr>
                  </w:pPr>
                  <w:r>
                    <w:rPr>
                      <w:color w:val="000000"/>
                      <w:sz w:val="16"/>
                      <w:szCs w:val="16"/>
                    </w:rPr>
                    <w:t>200</w:t>
                  </w:r>
                </w:p>
              </w:tc>
              <w:tc>
                <w:tcPr>
                  <w:tcW w:w="620" w:type="pct"/>
                  <w:vAlign w:val="center"/>
                </w:tcPr>
                <w:p w14:paraId="7F17D3E7">
                  <w:pPr>
                    <w:pStyle w:val="80"/>
                    <w:ind w:left="123" w:right="108"/>
                    <w:jc w:val="right"/>
                    <w:rPr>
                      <w:sz w:val="16"/>
                      <w:szCs w:val="16"/>
                    </w:rPr>
                  </w:pPr>
                  <w:r>
                    <w:rPr>
                      <w:sz w:val="16"/>
                      <w:szCs w:val="16"/>
                    </w:rPr>
                    <w:t>0,22</w:t>
                  </w:r>
                </w:p>
              </w:tc>
              <w:tc>
                <w:tcPr>
                  <w:tcW w:w="612" w:type="pct"/>
                  <w:gridSpan w:val="2"/>
                  <w:vAlign w:val="center"/>
                </w:tcPr>
                <w:p w14:paraId="50293529">
                  <w:pPr>
                    <w:jc w:val="right"/>
                    <w:rPr>
                      <w:color w:val="000000"/>
                      <w:sz w:val="16"/>
                      <w:szCs w:val="16"/>
                    </w:rPr>
                  </w:pPr>
                  <w:r>
                    <w:rPr>
                      <w:color w:val="000000"/>
                      <w:sz w:val="16"/>
                      <w:szCs w:val="16"/>
                    </w:rPr>
                    <w:t>44,00</w:t>
                  </w:r>
                </w:p>
              </w:tc>
            </w:tr>
            <w:tr w14:paraId="43EC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2AD45A3F">
                  <w:pPr>
                    <w:jc w:val="center"/>
                    <w:rPr>
                      <w:sz w:val="16"/>
                      <w:szCs w:val="16"/>
                    </w:rPr>
                  </w:pPr>
                  <w:r>
                    <w:rPr>
                      <w:color w:val="000000"/>
                      <w:sz w:val="16"/>
                      <w:szCs w:val="16"/>
                    </w:rPr>
                    <w:t>35</w:t>
                  </w:r>
                </w:p>
              </w:tc>
              <w:tc>
                <w:tcPr>
                  <w:tcW w:w="2006" w:type="pct"/>
                  <w:vAlign w:val="center"/>
                </w:tcPr>
                <w:p w14:paraId="2F96E5CD">
                  <w:pPr>
                    <w:pStyle w:val="80"/>
                    <w:spacing w:line="230" w:lineRule="atLeast"/>
                    <w:jc w:val="both"/>
                    <w:rPr>
                      <w:sz w:val="16"/>
                      <w:szCs w:val="16"/>
                    </w:rPr>
                  </w:pPr>
                  <w:r>
                    <w:rPr>
                      <w:color w:val="000000"/>
                      <w:sz w:val="16"/>
                      <w:szCs w:val="16"/>
                    </w:rPr>
                    <w:t>NEOCAÍNA PESADA (BUPIVACAÍNA CLORIDRATO), PUREZA 0,5%, APRESENTAÇÃO SOLUÇÃO INJETÁVEL, FRASCO DE 20 ML.</w:t>
                  </w:r>
                </w:p>
              </w:tc>
              <w:tc>
                <w:tcPr>
                  <w:tcW w:w="768" w:type="pct"/>
                  <w:vAlign w:val="center"/>
                </w:tcPr>
                <w:p w14:paraId="4AFAA4D1">
                  <w:pPr>
                    <w:pStyle w:val="80"/>
                    <w:ind w:left="54" w:right="34"/>
                    <w:rPr>
                      <w:sz w:val="16"/>
                      <w:szCs w:val="16"/>
                    </w:rPr>
                  </w:pPr>
                  <w:r>
                    <w:rPr>
                      <w:color w:val="000000"/>
                      <w:sz w:val="16"/>
                      <w:szCs w:val="16"/>
                    </w:rPr>
                    <w:t>FRASCO</w:t>
                  </w:r>
                </w:p>
              </w:tc>
              <w:tc>
                <w:tcPr>
                  <w:tcW w:w="460" w:type="pct"/>
                  <w:vAlign w:val="center"/>
                </w:tcPr>
                <w:p w14:paraId="0C91BA60">
                  <w:pPr>
                    <w:pStyle w:val="80"/>
                    <w:ind w:left="54" w:right="34"/>
                    <w:rPr>
                      <w:sz w:val="16"/>
                      <w:szCs w:val="16"/>
                    </w:rPr>
                  </w:pPr>
                  <w:r>
                    <w:rPr>
                      <w:color w:val="000000"/>
                      <w:sz w:val="16"/>
                      <w:szCs w:val="16"/>
                    </w:rPr>
                    <w:t>3000</w:t>
                  </w:r>
                </w:p>
              </w:tc>
              <w:tc>
                <w:tcPr>
                  <w:tcW w:w="620" w:type="pct"/>
                  <w:vAlign w:val="center"/>
                </w:tcPr>
                <w:p w14:paraId="4DA79D30">
                  <w:pPr>
                    <w:pStyle w:val="80"/>
                    <w:ind w:left="123" w:right="108"/>
                    <w:jc w:val="right"/>
                    <w:rPr>
                      <w:sz w:val="16"/>
                      <w:szCs w:val="16"/>
                    </w:rPr>
                  </w:pPr>
                  <w:r>
                    <w:rPr>
                      <w:sz w:val="16"/>
                      <w:szCs w:val="16"/>
                    </w:rPr>
                    <w:t>36,06</w:t>
                  </w:r>
                </w:p>
              </w:tc>
              <w:tc>
                <w:tcPr>
                  <w:tcW w:w="612" w:type="pct"/>
                  <w:gridSpan w:val="2"/>
                  <w:vAlign w:val="center"/>
                </w:tcPr>
                <w:p w14:paraId="324609A3">
                  <w:pPr>
                    <w:jc w:val="right"/>
                    <w:rPr>
                      <w:color w:val="000000"/>
                      <w:sz w:val="16"/>
                      <w:szCs w:val="16"/>
                    </w:rPr>
                  </w:pPr>
                  <w:r>
                    <w:rPr>
                      <w:color w:val="000000"/>
                      <w:sz w:val="16"/>
                      <w:szCs w:val="16"/>
                    </w:rPr>
                    <w:t>108180,00</w:t>
                  </w:r>
                </w:p>
              </w:tc>
            </w:tr>
            <w:tr w14:paraId="4F6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64BD2725">
                  <w:pPr>
                    <w:jc w:val="center"/>
                    <w:rPr>
                      <w:sz w:val="16"/>
                      <w:szCs w:val="16"/>
                    </w:rPr>
                  </w:pPr>
                  <w:r>
                    <w:rPr>
                      <w:color w:val="000000"/>
                      <w:sz w:val="16"/>
                      <w:szCs w:val="16"/>
                    </w:rPr>
                    <w:t>36</w:t>
                  </w:r>
                </w:p>
              </w:tc>
              <w:tc>
                <w:tcPr>
                  <w:tcW w:w="2006" w:type="pct"/>
                  <w:vAlign w:val="center"/>
                </w:tcPr>
                <w:p w14:paraId="47939C32">
                  <w:pPr>
                    <w:pStyle w:val="80"/>
                    <w:spacing w:line="230" w:lineRule="atLeast"/>
                    <w:jc w:val="both"/>
                    <w:rPr>
                      <w:sz w:val="16"/>
                      <w:szCs w:val="16"/>
                    </w:rPr>
                  </w:pPr>
                  <w:r>
                    <w:rPr>
                      <w:color w:val="000000"/>
                      <w:sz w:val="16"/>
                      <w:szCs w:val="16"/>
                    </w:rPr>
                    <w:t>NISTATINA, DOSAGEM 25.000 UI/G, APRESENTAÇÃO CREME VAGINAL, BISNAGA DE 60 G.</w:t>
                  </w:r>
                </w:p>
              </w:tc>
              <w:tc>
                <w:tcPr>
                  <w:tcW w:w="768" w:type="pct"/>
                  <w:vAlign w:val="center"/>
                </w:tcPr>
                <w:p w14:paraId="04DBF745">
                  <w:pPr>
                    <w:pStyle w:val="80"/>
                    <w:ind w:left="54" w:right="34"/>
                    <w:rPr>
                      <w:sz w:val="16"/>
                      <w:szCs w:val="16"/>
                    </w:rPr>
                  </w:pPr>
                  <w:r>
                    <w:rPr>
                      <w:color w:val="000000"/>
                      <w:sz w:val="16"/>
                      <w:szCs w:val="16"/>
                    </w:rPr>
                    <w:t>BISNAGA</w:t>
                  </w:r>
                </w:p>
              </w:tc>
              <w:tc>
                <w:tcPr>
                  <w:tcW w:w="460" w:type="pct"/>
                  <w:vAlign w:val="center"/>
                </w:tcPr>
                <w:p w14:paraId="05A9C206">
                  <w:pPr>
                    <w:pStyle w:val="80"/>
                    <w:ind w:left="54" w:right="34"/>
                    <w:rPr>
                      <w:sz w:val="16"/>
                      <w:szCs w:val="16"/>
                    </w:rPr>
                  </w:pPr>
                  <w:r>
                    <w:rPr>
                      <w:color w:val="000000"/>
                      <w:sz w:val="16"/>
                      <w:szCs w:val="16"/>
                    </w:rPr>
                    <w:t>1000</w:t>
                  </w:r>
                </w:p>
              </w:tc>
              <w:tc>
                <w:tcPr>
                  <w:tcW w:w="620" w:type="pct"/>
                  <w:vAlign w:val="center"/>
                </w:tcPr>
                <w:p w14:paraId="5C851D3F">
                  <w:pPr>
                    <w:pStyle w:val="80"/>
                    <w:ind w:left="123" w:right="108"/>
                    <w:jc w:val="right"/>
                    <w:rPr>
                      <w:sz w:val="16"/>
                      <w:szCs w:val="16"/>
                    </w:rPr>
                  </w:pPr>
                  <w:r>
                    <w:rPr>
                      <w:sz w:val="16"/>
                      <w:szCs w:val="16"/>
                    </w:rPr>
                    <w:t>4,98</w:t>
                  </w:r>
                </w:p>
              </w:tc>
              <w:tc>
                <w:tcPr>
                  <w:tcW w:w="612" w:type="pct"/>
                  <w:gridSpan w:val="2"/>
                  <w:vAlign w:val="center"/>
                </w:tcPr>
                <w:p w14:paraId="79BFD525">
                  <w:pPr>
                    <w:jc w:val="right"/>
                    <w:rPr>
                      <w:color w:val="000000"/>
                      <w:sz w:val="16"/>
                      <w:szCs w:val="16"/>
                    </w:rPr>
                  </w:pPr>
                  <w:r>
                    <w:rPr>
                      <w:color w:val="000000"/>
                      <w:sz w:val="16"/>
                      <w:szCs w:val="16"/>
                    </w:rPr>
                    <w:t>4980,00</w:t>
                  </w:r>
                </w:p>
              </w:tc>
            </w:tr>
            <w:tr w14:paraId="45FA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55C1F7E9">
                  <w:pPr>
                    <w:jc w:val="center"/>
                    <w:rPr>
                      <w:sz w:val="16"/>
                      <w:szCs w:val="16"/>
                    </w:rPr>
                  </w:pPr>
                  <w:r>
                    <w:rPr>
                      <w:color w:val="000000"/>
                      <w:sz w:val="16"/>
                      <w:szCs w:val="16"/>
                    </w:rPr>
                    <w:t>37</w:t>
                  </w:r>
                </w:p>
              </w:tc>
              <w:tc>
                <w:tcPr>
                  <w:tcW w:w="2006" w:type="pct"/>
                  <w:vAlign w:val="center"/>
                </w:tcPr>
                <w:p w14:paraId="0D5081F6">
                  <w:pPr>
                    <w:pStyle w:val="80"/>
                    <w:spacing w:line="230" w:lineRule="atLeast"/>
                    <w:jc w:val="both"/>
                    <w:rPr>
                      <w:sz w:val="16"/>
                      <w:szCs w:val="16"/>
                    </w:rPr>
                  </w:pPr>
                  <w:r>
                    <w:rPr>
                      <w:color w:val="000000"/>
                      <w:sz w:val="16"/>
                      <w:szCs w:val="16"/>
                    </w:rPr>
                    <w:t>ÓLEO DE GIRASSOL, FRASCO DE 100 ML (ÁCIDOS GRAXOS ESSENCIAIS, COMPOSIÇÃO ÓLEO DE GIRASSOL E VITAMINAS, FORMA FARMACÊUTICA).</w:t>
                  </w:r>
                </w:p>
              </w:tc>
              <w:tc>
                <w:tcPr>
                  <w:tcW w:w="768" w:type="pct"/>
                  <w:vAlign w:val="center"/>
                </w:tcPr>
                <w:p w14:paraId="64966573">
                  <w:pPr>
                    <w:pStyle w:val="80"/>
                    <w:ind w:left="54" w:right="34"/>
                    <w:rPr>
                      <w:sz w:val="16"/>
                      <w:szCs w:val="16"/>
                    </w:rPr>
                  </w:pPr>
                  <w:r>
                    <w:rPr>
                      <w:color w:val="000000"/>
                      <w:sz w:val="16"/>
                      <w:szCs w:val="16"/>
                    </w:rPr>
                    <w:t>FRASCO</w:t>
                  </w:r>
                </w:p>
              </w:tc>
              <w:tc>
                <w:tcPr>
                  <w:tcW w:w="460" w:type="pct"/>
                  <w:vAlign w:val="center"/>
                </w:tcPr>
                <w:p w14:paraId="78BED79F">
                  <w:pPr>
                    <w:pStyle w:val="80"/>
                    <w:ind w:left="54" w:right="34"/>
                    <w:rPr>
                      <w:sz w:val="16"/>
                      <w:szCs w:val="16"/>
                    </w:rPr>
                  </w:pPr>
                  <w:r>
                    <w:rPr>
                      <w:color w:val="000000"/>
                      <w:sz w:val="16"/>
                      <w:szCs w:val="16"/>
                    </w:rPr>
                    <w:t>400</w:t>
                  </w:r>
                </w:p>
              </w:tc>
              <w:tc>
                <w:tcPr>
                  <w:tcW w:w="620" w:type="pct"/>
                  <w:vAlign w:val="center"/>
                </w:tcPr>
                <w:p w14:paraId="4C62EFB6">
                  <w:pPr>
                    <w:pStyle w:val="80"/>
                    <w:ind w:left="123" w:right="108"/>
                    <w:jc w:val="right"/>
                    <w:rPr>
                      <w:sz w:val="16"/>
                      <w:szCs w:val="16"/>
                    </w:rPr>
                  </w:pPr>
                  <w:r>
                    <w:rPr>
                      <w:sz w:val="16"/>
                      <w:szCs w:val="16"/>
                    </w:rPr>
                    <w:t>4,43</w:t>
                  </w:r>
                </w:p>
              </w:tc>
              <w:tc>
                <w:tcPr>
                  <w:tcW w:w="612" w:type="pct"/>
                  <w:gridSpan w:val="2"/>
                  <w:vAlign w:val="center"/>
                </w:tcPr>
                <w:p w14:paraId="0A930A30">
                  <w:pPr>
                    <w:jc w:val="right"/>
                    <w:rPr>
                      <w:color w:val="000000"/>
                      <w:sz w:val="16"/>
                      <w:szCs w:val="16"/>
                    </w:rPr>
                  </w:pPr>
                  <w:r>
                    <w:rPr>
                      <w:color w:val="000000"/>
                      <w:sz w:val="16"/>
                      <w:szCs w:val="16"/>
                    </w:rPr>
                    <w:t>1772,00</w:t>
                  </w:r>
                </w:p>
              </w:tc>
            </w:tr>
            <w:tr w14:paraId="341F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37A36A58">
                  <w:pPr>
                    <w:jc w:val="center"/>
                    <w:rPr>
                      <w:sz w:val="16"/>
                      <w:szCs w:val="16"/>
                    </w:rPr>
                  </w:pPr>
                  <w:r>
                    <w:rPr>
                      <w:color w:val="000000"/>
                      <w:sz w:val="16"/>
                      <w:szCs w:val="16"/>
                    </w:rPr>
                    <w:t>38</w:t>
                  </w:r>
                </w:p>
              </w:tc>
              <w:tc>
                <w:tcPr>
                  <w:tcW w:w="2006" w:type="pct"/>
                  <w:vAlign w:val="center"/>
                </w:tcPr>
                <w:p w14:paraId="1333813F">
                  <w:pPr>
                    <w:pStyle w:val="80"/>
                    <w:spacing w:line="230" w:lineRule="atLeast"/>
                    <w:jc w:val="both"/>
                    <w:rPr>
                      <w:sz w:val="16"/>
                      <w:szCs w:val="16"/>
                    </w:rPr>
                  </w:pPr>
                  <w:r>
                    <w:rPr>
                      <w:color w:val="000000"/>
                      <w:sz w:val="16"/>
                      <w:szCs w:val="16"/>
                    </w:rPr>
                    <w:t>PARACETAMOL, DOSAGEM SOLUÇÃO ORAL 200 MG/ML, APRESENTAÇÃO SOLUÇÃO ORAL, FRASCO DE 20 ML.</w:t>
                  </w:r>
                </w:p>
              </w:tc>
              <w:tc>
                <w:tcPr>
                  <w:tcW w:w="768" w:type="pct"/>
                  <w:vAlign w:val="center"/>
                </w:tcPr>
                <w:p w14:paraId="39F2081B">
                  <w:pPr>
                    <w:pStyle w:val="80"/>
                    <w:ind w:left="54" w:right="34"/>
                    <w:rPr>
                      <w:sz w:val="16"/>
                      <w:szCs w:val="16"/>
                    </w:rPr>
                  </w:pPr>
                  <w:r>
                    <w:rPr>
                      <w:color w:val="000000"/>
                      <w:sz w:val="16"/>
                      <w:szCs w:val="16"/>
                    </w:rPr>
                    <w:t>FRASCO</w:t>
                  </w:r>
                </w:p>
              </w:tc>
              <w:tc>
                <w:tcPr>
                  <w:tcW w:w="460" w:type="pct"/>
                  <w:vAlign w:val="center"/>
                </w:tcPr>
                <w:p w14:paraId="152DD2D2">
                  <w:pPr>
                    <w:pStyle w:val="80"/>
                    <w:ind w:left="54" w:right="34"/>
                    <w:rPr>
                      <w:sz w:val="16"/>
                      <w:szCs w:val="16"/>
                    </w:rPr>
                  </w:pPr>
                  <w:r>
                    <w:rPr>
                      <w:color w:val="000000"/>
                      <w:sz w:val="16"/>
                      <w:szCs w:val="16"/>
                    </w:rPr>
                    <w:t>450</w:t>
                  </w:r>
                </w:p>
              </w:tc>
              <w:tc>
                <w:tcPr>
                  <w:tcW w:w="620" w:type="pct"/>
                  <w:vAlign w:val="center"/>
                </w:tcPr>
                <w:p w14:paraId="19FD820E">
                  <w:pPr>
                    <w:pStyle w:val="80"/>
                    <w:ind w:left="123" w:right="108"/>
                    <w:jc w:val="right"/>
                    <w:rPr>
                      <w:sz w:val="16"/>
                      <w:szCs w:val="16"/>
                    </w:rPr>
                  </w:pPr>
                  <w:r>
                    <w:rPr>
                      <w:sz w:val="16"/>
                      <w:szCs w:val="16"/>
                    </w:rPr>
                    <w:t>5,49</w:t>
                  </w:r>
                </w:p>
              </w:tc>
              <w:tc>
                <w:tcPr>
                  <w:tcW w:w="612" w:type="pct"/>
                  <w:gridSpan w:val="2"/>
                  <w:vAlign w:val="center"/>
                </w:tcPr>
                <w:p w14:paraId="2D731CAB">
                  <w:pPr>
                    <w:jc w:val="right"/>
                    <w:rPr>
                      <w:color w:val="000000"/>
                      <w:sz w:val="16"/>
                      <w:szCs w:val="16"/>
                    </w:rPr>
                  </w:pPr>
                  <w:r>
                    <w:rPr>
                      <w:color w:val="000000"/>
                      <w:sz w:val="16"/>
                      <w:szCs w:val="16"/>
                    </w:rPr>
                    <w:t>2470,50</w:t>
                  </w:r>
                </w:p>
              </w:tc>
            </w:tr>
            <w:tr w14:paraId="5C08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399109AF">
                  <w:pPr>
                    <w:jc w:val="center"/>
                    <w:rPr>
                      <w:sz w:val="16"/>
                      <w:szCs w:val="16"/>
                    </w:rPr>
                  </w:pPr>
                  <w:r>
                    <w:rPr>
                      <w:color w:val="000000"/>
                      <w:sz w:val="16"/>
                      <w:szCs w:val="16"/>
                    </w:rPr>
                    <w:t>39</w:t>
                  </w:r>
                </w:p>
              </w:tc>
              <w:tc>
                <w:tcPr>
                  <w:tcW w:w="2006" w:type="pct"/>
                  <w:vAlign w:val="center"/>
                </w:tcPr>
                <w:p w14:paraId="0C2D483B">
                  <w:pPr>
                    <w:pStyle w:val="80"/>
                    <w:spacing w:line="230" w:lineRule="atLeast"/>
                    <w:jc w:val="both"/>
                    <w:rPr>
                      <w:sz w:val="16"/>
                      <w:szCs w:val="16"/>
                    </w:rPr>
                  </w:pPr>
                  <w:r>
                    <w:rPr>
                      <w:color w:val="000000"/>
                      <w:sz w:val="16"/>
                      <w:szCs w:val="16"/>
                    </w:rPr>
                    <w:t>POVIDINE TÓPICO (IODOPOVIDONA) (PVPI), CONCENTRAÇÃO A 10% (TEOR DE IODO 1%), FORMA FARMACÊUTICA SOLUÇÃO TÓPICA AQUOSA, FRASCO DE 100 ML.</w:t>
                  </w:r>
                </w:p>
              </w:tc>
              <w:tc>
                <w:tcPr>
                  <w:tcW w:w="768" w:type="pct"/>
                  <w:vAlign w:val="center"/>
                </w:tcPr>
                <w:p w14:paraId="4038C81D">
                  <w:pPr>
                    <w:pStyle w:val="80"/>
                    <w:ind w:left="54" w:right="34"/>
                    <w:rPr>
                      <w:sz w:val="16"/>
                      <w:szCs w:val="16"/>
                    </w:rPr>
                  </w:pPr>
                  <w:r>
                    <w:rPr>
                      <w:color w:val="000000"/>
                      <w:sz w:val="16"/>
                      <w:szCs w:val="16"/>
                    </w:rPr>
                    <w:t>FRASCO</w:t>
                  </w:r>
                </w:p>
              </w:tc>
              <w:tc>
                <w:tcPr>
                  <w:tcW w:w="460" w:type="pct"/>
                  <w:vAlign w:val="center"/>
                </w:tcPr>
                <w:p w14:paraId="5D61E1B7">
                  <w:pPr>
                    <w:pStyle w:val="80"/>
                    <w:ind w:left="54" w:right="34"/>
                    <w:rPr>
                      <w:sz w:val="16"/>
                      <w:szCs w:val="16"/>
                    </w:rPr>
                  </w:pPr>
                  <w:r>
                    <w:rPr>
                      <w:color w:val="000000"/>
                      <w:sz w:val="16"/>
                      <w:szCs w:val="16"/>
                    </w:rPr>
                    <w:t>150</w:t>
                  </w:r>
                </w:p>
              </w:tc>
              <w:tc>
                <w:tcPr>
                  <w:tcW w:w="620" w:type="pct"/>
                  <w:vAlign w:val="center"/>
                </w:tcPr>
                <w:p w14:paraId="0F1D19E0">
                  <w:pPr>
                    <w:pStyle w:val="80"/>
                    <w:ind w:left="123" w:right="108"/>
                    <w:jc w:val="right"/>
                    <w:rPr>
                      <w:sz w:val="16"/>
                      <w:szCs w:val="16"/>
                    </w:rPr>
                  </w:pPr>
                  <w:r>
                    <w:rPr>
                      <w:sz w:val="16"/>
                      <w:szCs w:val="16"/>
                    </w:rPr>
                    <w:t>14,22</w:t>
                  </w:r>
                </w:p>
              </w:tc>
              <w:tc>
                <w:tcPr>
                  <w:tcW w:w="612" w:type="pct"/>
                  <w:gridSpan w:val="2"/>
                  <w:vAlign w:val="center"/>
                </w:tcPr>
                <w:p w14:paraId="6A766B88">
                  <w:pPr>
                    <w:jc w:val="right"/>
                    <w:rPr>
                      <w:color w:val="000000"/>
                      <w:sz w:val="16"/>
                      <w:szCs w:val="16"/>
                    </w:rPr>
                  </w:pPr>
                  <w:r>
                    <w:rPr>
                      <w:color w:val="000000"/>
                      <w:sz w:val="16"/>
                      <w:szCs w:val="16"/>
                    </w:rPr>
                    <w:t>2133,00</w:t>
                  </w:r>
                </w:p>
              </w:tc>
            </w:tr>
            <w:tr w14:paraId="56B7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41A6A93C">
                  <w:pPr>
                    <w:jc w:val="center"/>
                    <w:rPr>
                      <w:color w:val="000000"/>
                      <w:sz w:val="16"/>
                      <w:szCs w:val="16"/>
                    </w:rPr>
                  </w:pPr>
                  <w:r>
                    <w:rPr>
                      <w:color w:val="000000"/>
                      <w:sz w:val="16"/>
                      <w:szCs w:val="16"/>
                    </w:rPr>
                    <w:t>40</w:t>
                  </w:r>
                </w:p>
              </w:tc>
              <w:tc>
                <w:tcPr>
                  <w:tcW w:w="2006" w:type="pct"/>
                  <w:vAlign w:val="center"/>
                </w:tcPr>
                <w:p w14:paraId="31B73CB6">
                  <w:pPr>
                    <w:pStyle w:val="80"/>
                    <w:spacing w:line="230" w:lineRule="atLeast"/>
                    <w:jc w:val="both"/>
                    <w:rPr>
                      <w:color w:val="000000"/>
                      <w:sz w:val="16"/>
                      <w:szCs w:val="16"/>
                      <w:lang w:eastAsia="pt-BR"/>
                    </w:rPr>
                  </w:pPr>
                  <w:r>
                    <w:rPr>
                      <w:color w:val="000000"/>
                      <w:sz w:val="16"/>
                      <w:szCs w:val="16"/>
                    </w:rPr>
                    <w:t>SULFADIAZINA, DE PRATA, 1%, CREME, POTE 400 G.</w:t>
                  </w:r>
                </w:p>
              </w:tc>
              <w:tc>
                <w:tcPr>
                  <w:tcW w:w="768" w:type="pct"/>
                  <w:vAlign w:val="center"/>
                </w:tcPr>
                <w:p w14:paraId="5DA0EAC2">
                  <w:pPr>
                    <w:pStyle w:val="80"/>
                    <w:ind w:left="54" w:right="34"/>
                    <w:rPr>
                      <w:color w:val="000000"/>
                      <w:sz w:val="16"/>
                      <w:szCs w:val="16"/>
                      <w:lang w:eastAsia="pt-BR"/>
                    </w:rPr>
                  </w:pPr>
                  <w:r>
                    <w:rPr>
                      <w:color w:val="000000"/>
                      <w:sz w:val="16"/>
                      <w:szCs w:val="16"/>
                    </w:rPr>
                    <w:t>POTE</w:t>
                  </w:r>
                </w:p>
              </w:tc>
              <w:tc>
                <w:tcPr>
                  <w:tcW w:w="460" w:type="pct"/>
                  <w:vAlign w:val="center"/>
                </w:tcPr>
                <w:p w14:paraId="015AE9C0">
                  <w:pPr>
                    <w:pStyle w:val="80"/>
                    <w:ind w:left="54" w:right="34"/>
                    <w:rPr>
                      <w:color w:val="000000"/>
                      <w:sz w:val="16"/>
                      <w:szCs w:val="16"/>
                      <w:lang w:eastAsia="pt-BR"/>
                    </w:rPr>
                  </w:pPr>
                  <w:r>
                    <w:rPr>
                      <w:color w:val="000000"/>
                      <w:sz w:val="16"/>
                      <w:szCs w:val="16"/>
                    </w:rPr>
                    <w:t>90</w:t>
                  </w:r>
                </w:p>
              </w:tc>
              <w:tc>
                <w:tcPr>
                  <w:tcW w:w="620" w:type="pct"/>
                  <w:vAlign w:val="center"/>
                </w:tcPr>
                <w:p w14:paraId="17C612FD">
                  <w:pPr>
                    <w:pStyle w:val="80"/>
                    <w:ind w:left="123" w:right="108"/>
                    <w:jc w:val="right"/>
                    <w:rPr>
                      <w:sz w:val="16"/>
                      <w:szCs w:val="16"/>
                    </w:rPr>
                  </w:pPr>
                  <w:r>
                    <w:rPr>
                      <w:sz w:val="16"/>
                      <w:szCs w:val="16"/>
                    </w:rPr>
                    <w:t>155,00</w:t>
                  </w:r>
                </w:p>
              </w:tc>
              <w:tc>
                <w:tcPr>
                  <w:tcW w:w="612" w:type="pct"/>
                  <w:gridSpan w:val="2"/>
                  <w:vAlign w:val="center"/>
                </w:tcPr>
                <w:p w14:paraId="24D33C25">
                  <w:pPr>
                    <w:jc w:val="right"/>
                    <w:rPr>
                      <w:color w:val="000000"/>
                      <w:sz w:val="16"/>
                      <w:szCs w:val="16"/>
                    </w:rPr>
                  </w:pPr>
                  <w:r>
                    <w:rPr>
                      <w:color w:val="000000"/>
                      <w:sz w:val="16"/>
                      <w:szCs w:val="16"/>
                    </w:rPr>
                    <w:t>13950,00</w:t>
                  </w:r>
                </w:p>
              </w:tc>
            </w:tr>
            <w:tr w14:paraId="68B4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49796077">
                  <w:pPr>
                    <w:jc w:val="center"/>
                    <w:rPr>
                      <w:color w:val="000000"/>
                      <w:sz w:val="16"/>
                      <w:szCs w:val="16"/>
                    </w:rPr>
                  </w:pPr>
                  <w:r>
                    <w:rPr>
                      <w:color w:val="000000"/>
                      <w:sz w:val="16"/>
                      <w:szCs w:val="16"/>
                    </w:rPr>
                    <w:t>41</w:t>
                  </w:r>
                </w:p>
              </w:tc>
              <w:tc>
                <w:tcPr>
                  <w:tcW w:w="2006" w:type="pct"/>
                  <w:vAlign w:val="center"/>
                </w:tcPr>
                <w:p w14:paraId="50769EE1">
                  <w:pPr>
                    <w:pStyle w:val="80"/>
                    <w:spacing w:line="230" w:lineRule="atLeast"/>
                    <w:jc w:val="both"/>
                    <w:rPr>
                      <w:color w:val="000000"/>
                      <w:sz w:val="16"/>
                      <w:szCs w:val="16"/>
                      <w:lang w:eastAsia="pt-BR"/>
                    </w:rPr>
                  </w:pPr>
                  <w:r>
                    <w:rPr>
                      <w:color w:val="000000"/>
                      <w:sz w:val="16"/>
                      <w:szCs w:val="16"/>
                    </w:rPr>
                    <w:t>TENOXICAM, DOSAGEM 20 MG, INJETÁVEL, AMPOLA.</w:t>
                  </w:r>
                </w:p>
              </w:tc>
              <w:tc>
                <w:tcPr>
                  <w:tcW w:w="768" w:type="pct"/>
                  <w:vAlign w:val="center"/>
                </w:tcPr>
                <w:p w14:paraId="71B9FBEC">
                  <w:pPr>
                    <w:pStyle w:val="80"/>
                    <w:ind w:left="54" w:right="34"/>
                    <w:rPr>
                      <w:color w:val="000000"/>
                      <w:sz w:val="16"/>
                      <w:szCs w:val="16"/>
                      <w:lang w:eastAsia="pt-BR"/>
                    </w:rPr>
                  </w:pPr>
                  <w:r>
                    <w:rPr>
                      <w:color w:val="000000"/>
                      <w:sz w:val="16"/>
                      <w:szCs w:val="16"/>
                    </w:rPr>
                    <w:t>AMPOLA</w:t>
                  </w:r>
                </w:p>
              </w:tc>
              <w:tc>
                <w:tcPr>
                  <w:tcW w:w="460" w:type="pct"/>
                  <w:vAlign w:val="center"/>
                </w:tcPr>
                <w:p w14:paraId="070272F1">
                  <w:pPr>
                    <w:pStyle w:val="80"/>
                    <w:ind w:left="54" w:right="34"/>
                    <w:rPr>
                      <w:color w:val="000000"/>
                      <w:sz w:val="16"/>
                      <w:szCs w:val="16"/>
                      <w:lang w:eastAsia="pt-BR"/>
                    </w:rPr>
                  </w:pPr>
                  <w:r>
                    <w:rPr>
                      <w:color w:val="000000"/>
                      <w:sz w:val="16"/>
                      <w:szCs w:val="16"/>
                    </w:rPr>
                    <w:t>6000</w:t>
                  </w:r>
                </w:p>
              </w:tc>
              <w:tc>
                <w:tcPr>
                  <w:tcW w:w="620" w:type="pct"/>
                  <w:vAlign w:val="center"/>
                </w:tcPr>
                <w:p w14:paraId="040031BD">
                  <w:pPr>
                    <w:pStyle w:val="80"/>
                    <w:ind w:left="123" w:right="108"/>
                    <w:jc w:val="right"/>
                    <w:rPr>
                      <w:sz w:val="16"/>
                      <w:szCs w:val="16"/>
                    </w:rPr>
                  </w:pPr>
                  <w:r>
                    <w:rPr>
                      <w:sz w:val="16"/>
                      <w:szCs w:val="16"/>
                    </w:rPr>
                    <w:t>7,96</w:t>
                  </w:r>
                </w:p>
              </w:tc>
              <w:tc>
                <w:tcPr>
                  <w:tcW w:w="612" w:type="pct"/>
                  <w:gridSpan w:val="2"/>
                  <w:vAlign w:val="center"/>
                </w:tcPr>
                <w:p w14:paraId="1680DD41">
                  <w:pPr>
                    <w:jc w:val="right"/>
                    <w:rPr>
                      <w:color w:val="000000"/>
                      <w:sz w:val="16"/>
                      <w:szCs w:val="16"/>
                    </w:rPr>
                  </w:pPr>
                  <w:r>
                    <w:rPr>
                      <w:color w:val="000000"/>
                      <w:sz w:val="16"/>
                      <w:szCs w:val="16"/>
                    </w:rPr>
                    <w:t>47760,00</w:t>
                  </w:r>
                </w:p>
              </w:tc>
            </w:tr>
            <w:tr w14:paraId="4AFE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7A1A0197">
                  <w:pPr>
                    <w:jc w:val="center"/>
                    <w:rPr>
                      <w:color w:val="000000"/>
                      <w:sz w:val="16"/>
                      <w:szCs w:val="16"/>
                    </w:rPr>
                  </w:pPr>
                  <w:r>
                    <w:rPr>
                      <w:color w:val="000000"/>
                      <w:sz w:val="16"/>
                      <w:szCs w:val="16"/>
                    </w:rPr>
                    <w:t>42</w:t>
                  </w:r>
                </w:p>
              </w:tc>
              <w:tc>
                <w:tcPr>
                  <w:tcW w:w="2006" w:type="pct"/>
                  <w:vAlign w:val="center"/>
                </w:tcPr>
                <w:p w14:paraId="52BBFEA8">
                  <w:pPr>
                    <w:pStyle w:val="80"/>
                    <w:spacing w:line="230" w:lineRule="atLeast"/>
                    <w:jc w:val="both"/>
                    <w:rPr>
                      <w:color w:val="000000"/>
                      <w:sz w:val="16"/>
                      <w:szCs w:val="16"/>
                      <w:lang w:eastAsia="pt-BR"/>
                    </w:rPr>
                  </w:pPr>
                  <w:r>
                    <w:rPr>
                      <w:color w:val="000000"/>
                      <w:sz w:val="16"/>
                      <w:szCs w:val="16"/>
                    </w:rPr>
                    <w:t>VERSA (ENOXAPARINA), DOSAGEM 40MG/0,4 ML, INDICAÇÃO INJETÁVEL.</w:t>
                  </w:r>
                </w:p>
              </w:tc>
              <w:tc>
                <w:tcPr>
                  <w:tcW w:w="768" w:type="pct"/>
                  <w:vAlign w:val="center"/>
                </w:tcPr>
                <w:p w14:paraId="1125562A">
                  <w:pPr>
                    <w:pStyle w:val="80"/>
                    <w:ind w:left="54" w:right="34"/>
                    <w:rPr>
                      <w:color w:val="000000"/>
                      <w:sz w:val="16"/>
                      <w:szCs w:val="16"/>
                      <w:lang w:eastAsia="pt-BR"/>
                    </w:rPr>
                  </w:pPr>
                  <w:r>
                    <w:rPr>
                      <w:color w:val="000000"/>
                      <w:sz w:val="16"/>
                      <w:szCs w:val="16"/>
                    </w:rPr>
                    <w:t>UNIDADE</w:t>
                  </w:r>
                </w:p>
              </w:tc>
              <w:tc>
                <w:tcPr>
                  <w:tcW w:w="460" w:type="pct"/>
                  <w:vAlign w:val="center"/>
                </w:tcPr>
                <w:p w14:paraId="606748A5">
                  <w:pPr>
                    <w:pStyle w:val="80"/>
                    <w:ind w:left="54" w:right="34"/>
                    <w:rPr>
                      <w:color w:val="000000"/>
                      <w:sz w:val="16"/>
                      <w:szCs w:val="16"/>
                      <w:lang w:eastAsia="pt-BR"/>
                    </w:rPr>
                  </w:pPr>
                  <w:r>
                    <w:rPr>
                      <w:color w:val="000000"/>
                      <w:sz w:val="16"/>
                      <w:szCs w:val="16"/>
                    </w:rPr>
                    <w:t>1000</w:t>
                  </w:r>
                </w:p>
              </w:tc>
              <w:tc>
                <w:tcPr>
                  <w:tcW w:w="620" w:type="pct"/>
                  <w:vAlign w:val="center"/>
                </w:tcPr>
                <w:p w14:paraId="755AD567">
                  <w:pPr>
                    <w:pStyle w:val="80"/>
                    <w:ind w:left="123" w:right="108"/>
                    <w:jc w:val="right"/>
                    <w:rPr>
                      <w:sz w:val="16"/>
                      <w:szCs w:val="16"/>
                    </w:rPr>
                  </w:pPr>
                  <w:r>
                    <w:rPr>
                      <w:sz w:val="16"/>
                      <w:szCs w:val="16"/>
                    </w:rPr>
                    <w:t>62,33</w:t>
                  </w:r>
                </w:p>
              </w:tc>
              <w:tc>
                <w:tcPr>
                  <w:tcW w:w="612" w:type="pct"/>
                  <w:gridSpan w:val="2"/>
                  <w:vAlign w:val="center"/>
                </w:tcPr>
                <w:p w14:paraId="38B9CD19">
                  <w:pPr>
                    <w:jc w:val="right"/>
                    <w:rPr>
                      <w:color w:val="000000"/>
                      <w:sz w:val="16"/>
                      <w:szCs w:val="16"/>
                    </w:rPr>
                  </w:pPr>
                  <w:r>
                    <w:rPr>
                      <w:color w:val="000000"/>
                      <w:sz w:val="16"/>
                      <w:szCs w:val="16"/>
                    </w:rPr>
                    <w:t>62330,00</w:t>
                  </w:r>
                </w:p>
              </w:tc>
            </w:tr>
            <w:tr w14:paraId="3225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jc w:val="center"/>
              </w:trPr>
              <w:tc>
                <w:tcPr>
                  <w:tcW w:w="520" w:type="pct"/>
                  <w:vAlign w:val="center"/>
                </w:tcPr>
                <w:p w14:paraId="11724BDB">
                  <w:pPr>
                    <w:jc w:val="center"/>
                    <w:rPr>
                      <w:color w:val="000000"/>
                      <w:sz w:val="16"/>
                      <w:szCs w:val="16"/>
                    </w:rPr>
                  </w:pPr>
                  <w:r>
                    <w:rPr>
                      <w:color w:val="000000"/>
                      <w:sz w:val="16"/>
                      <w:szCs w:val="16"/>
                    </w:rPr>
                    <w:t>43</w:t>
                  </w:r>
                </w:p>
              </w:tc>
              <w:tc>
                <w:tcPr>
                  <w:tcW w:w="2006" w:type="pct"/>
                  <w:vAlign w:val="center"/>
                </w:tcPr>
                <w:p w14:paraId="68D4CD2C">
                  <w:pPr>
                    <w:pStyle w:val="80"/>
                    <w:spacing w:line="230" w:lineRule="atLeast"/>
                    <w:jc w:val="both"/>
                    <w:rPr>
                      <w:color w:val="000000"/>
                      <w:sz w:val="16"/>
                      <w:szCs w:val="16"/>
                      <w:lang w:eastAsia="pt-BR"/>
                    </w:rPr>
                  </w:pPr>
                  <w:r>
                    <w:rPr>
                      <w:color w:val="000000"/>
                      <w:sz w:val="16"/>
                      <w:szCs w:val="16"/>
                    </w:rPr>
                    <w:t>VITAMINA K (FITOMENADIONA), 10 MG/ML, SOLUÇÃO INJETÁVEL, AMPOLA 1 ML.</w:t>
                  </w:r>
                </w:p>
              </w:tc>
              <w:tc>
                <w:tcPr>
                  <w:tcW w:w="768" w:type="pct"/>
                  <w:vAlign w:val="center"/>
                </w:tcPr>
                <w:p w14:paraId="46D00F2A">
                  <w:pPr>
                    <w:pStyle w:val="80"/>
                    <w:ind w:left="54" w:right="34"/>
                    <w:rPr>
                      <w:color w:val="000000"/>
                      <w:sz w:val="16"/>
                      <w:szCs w:val="16"/>
                      <w:lang w:eastAsia="pt-BR"/>
                    </w:rPr>
                  </w:pPr>
                  <w:r>
                    <w:rPr>
                      <w:color w:val="000000"/>
                      <w:sz w:val="16"/>
                      <w:szCs w:val="16"/>
                    </w:rPr>
                    <w:t>AMPOLA</w:t>
                  </w:r>
                </w:p>
              </w:tc>
              <w:tc>
                <w:tcPr>
                  <w:tcW w:w="460" w:type="pct"/>
                  <w:vAlign w:val="center"/>
                </w:tcPr>
                <w:p w14:paraId="36E2939A">
                  <w:pPr>
                    <w:pStyle w:val="80"/>
                    <w:ind w:left="54" w:right="34"/>
                    <w:rPr>
                      <w:color w:val="000000"/>
                      <w:sz w:val="16"/>
                      <w:szCs w:val="16"/>
                      <w:lang w:eastAsia="pt-BR"/>
                    </w:rPr>
                  </w:pPr>
                  <w:r>
                    <w:rPr>
                      <w:color w:val="000000"/>
                      <w:sz w:val="16"/>
                      <w:szCs w:val="16"/>
                    </w:rPr>
                    <w:t>4000</w:t>
                  </w:r>
                </w:p>
              </w:tc>
              <w:tc>
                <w:tcPr>
                  <w:tcW w:w="620" w:type="pct"/>
                  <w:vAlign w:val="center"/>
                </w:tcPr>
                <w:p w14:paraId="2D455084">
                  <w:pPr>
                    <w:pStyle w:val="80"/>
                    <w:ind w:left="123" w:right="108"/>
                    <w:jc w:val="right"/>
                    <w:rPr>
                      <w:sz w:val="16"/>
                      <w:szCs w:val="16"/>
                    </w:rPr>
                  </w:pPr>
                  <w:r>
                    <w:rPr>
                      <w:sz w:val="16"/>
                      <w:szCs w:val="16"/>
                    </w:rPr>
                    <w:t>1,69</w:t>
                  </w:r>
                </w:p>
              </w:tc>
              <w:tc>
                <w:tcPr>
                  <w:tcW w:w="612" w:type="pct"/>
                  <w:gridSpan w:val="2"/>
                  <w:vAlign w:val="center"/>
                </w:tcPr>
                <w:p w14:paraId="572E9C10">
                  <w:pPr>
                    <w:jc w:val="right"/>
                    <w:rPr>
                      <w:color w:val="000000"/>
                      <w:sz w:val="16"/>
                      <w:szCs w:val="16"/>
                    </w:rPr>
                  </w:pPr>
                  <w:r>
                    <w:rPr>
                      <w:color w:val="000000"/>
                      <w:sz w:val="16"/>
                      <w:szCs w:val="16"/>
                    </w:rPr>
                    <w:t>6760,00</w:t>
                  </w:r>
                </w:p>
              </w:tc>
            </w:tr>
            <w:tr w14:paraId="3BA8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8" w:type="pct"/>
                  <w:gridSpan w:val="6"/>
                  <w:vAlign w:val="center"/>
                </w:tcPr>
                <w:p w14:paraId="74720FF7">
                  <w:pPr>
                    <w:jc w:val="center"/>
                    <w:rPr>
                      <w:b/>
                      <w:sz w:val="16"/>
                      <w:szCs w:val="16"/>
                    </w:rPr>
                  </w:pPr>
                  <w:r>
                    <w:rPr>
                      <w:b/>
                      <w:sz w:val="16"/>
                      <w:szCs w:val="16"/>
                    </w:rPr>
                    <w:t>VALOR TOTAL R$</w:t>
                  </w:r>
                </w:p>
              </w:tc>
              <w:tc>
                <w:tcPr>
                  <w:tcW w:w="612" w:type="pct"/>
                  <w:gridSpan w:val="2"/>
                  <w:vAlign w:val="center"/>
                </w:tcPr>
                <w:p w14:paraId="56DB71C3">
                  <w:pPr>
                    <w:jc w:val="right"/>
                    <w:rPr>
                      <w:b/>
                      <w:color w:val="000000"/>
                      <w:sz w:val="16"/>
                      <w:szCs w:val="16"/>
                    </w:rPr>
                  </w:pPr>
                  <w:r>
                    <w:rPr>
                      <w:b/>
                      <w:color w:val="000000"/>
                      <w:sz w:val="16"/>
                      <w:szCs w:val="16"/>
                    </w:rPr>
                    <w:t>591.245,20</w:t>
                  </w:r>
                </w:p>
              </w:tc>
            </w:tr>
          </w:tbl>
          <w:p w14:paraId="3D4F96D0">
            <w:pPr>
              <w:autoSpaceDE w:val="0"/>
              <w:autoSpaceDN w:val="0"/>
              <w:adjustRightInd w:val="0"/>
              <w:spacing w:before="240" w:after="120"/>
              <w:jc w:val="both"/>
            </w:pPr>
          </w:p>
        </w:tc>
      </w:tr>
      <w:tr w14:paraId="0996AE09">
        <w:tblPrEx>
          <w:tblCellMar>
            <w:top w:w="0" w:type="dxa"/>
            <w:left w:w="70" w:type="dxa"/>
            <w:bottom w:w="0" w:type="dxa"/>
            <w:right w:w="70" w:type="dxa"/>
          </w:tblCellMar>
        </w:tblPrEx>
        <w:trPr>
          <w:gridAfter w:val="2"/>
          <w:wAfter w:w="17" w:type="dxa"/>
          <w:trHeight w:val="374" w:hRule="atLeast"/>
          <w:jc w:val="center"/>
        </w:trPr>
        <w:tc>
          <w:tcPr>
            <w:tcW w:w="10030" w:type="dxa"/>
            <w:gridSpan w:val="9"/>
          </w:tcPr>
          <w:p w14:paraId="50F924C3">
            <w:pPr>
              <w:autoSpaceDE w:val="0"/>
              <w:autoSpaceDN w:val="0"/>
              <w:adjustRightInd w:val="0"/>
              <w:spacing w:line="160" w:lineRule="exact"/>
              <w:jc w:val="center"/>
              <w:rPr>
                <w:sz w:val="18"/>
                <w:szCs w:val="18"/>
              </w:rPr>
            </w:pPr>
          </w:p>
          <w:p w14:paraId="01043A77">
            <w:pPr>
              <w:autoSpaceDE w:val="0"/>
              <w:autoSpaceDN w:val="0"/>
              <w:adjustRightInd w:val="0"/>
              <w:spacing w:line="160" w:lineRule="exact"/>
              <w:rPr>
                <w:sz w:val="18"/>
                <w:szCs w:val="18"/>
              </w:rPr>
            </w:pPr>
          </w:p>
          <w:p w14:paraId="1A4390BE">
            <w:pPr>
              <w:autoSpaceDE w:val="0"/>
              <w:autoSpaceDN w:val="0"/>
              <w:adjustRightInd w:val="0"/>
              <w:spacing w:line="160" w:lineRule="exact"/>
              <w:rPr>
                <w:sz w:val="18"/>
                <w:szCs w:val="18"/>
              </w:rPr>
            </w:pPr>
          </w:p>
          <w:p w14:paraId="2D1494A1">
            <w:pPr>
              <w:autoSpaceDE w:val="0"/>
              <w:autoSpaceDN w:val="0"/>
              <w:adjustRightInd w:val="0"/>
              <w:spacing w:line="160" w:lineRule="exact"/>
              <w:rPr>
                <w:sz w:val="18"/>
                <w:szCs w:val="18"/>
              </w:rPr>
            </w:pPr>
          </w:p>
        </w:tc>
      </w:tr>
      <w:tr w14:paraId="1B8D099C">
        <w:tblPrEx>
          <w:tblCellMar>
            <w:top w:w="0" w:type="dxa"/>
            <w:left w:w="70" w:type="dxa"/>
            <w:bottom w:w="0" w:type="dxa"/>
            <w:right w:w="70" w:type="dxa"/>
          </w:tblCellMar>
        </w:tblPrEx>
        <w:trPr>
          <w:gridAfter w:val="1"/>
          <w:wAfter w:w="9" w:type="dxa"/>
          <w:trHeight w:val="383" w:hRule="atLeast"/>
          <w:jc w:val="center"/>
        </w:trPr>
        <w:tc>
          <w:tcPr>
            <w:tcW w:w="10038"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749F3A50">
            <w:pPr>
              <w:autoSpaceDE w:val="0"/>
              <w:autoSpaceDN w:val="0"/>
              <w:adjustRightInd w:val="0"/>
              <w:jc w:val="both"/>
            </w:pPr>
            <w:r>
              <w:rPr>
                <w:b/>
                <w:bCs/>
              </w:rPr>
              <w:t>9.</w:t>
            </w:r>
            <w:r>
              <w:t xml:space="preserve"> Contratações correlatas e/ou interdependentes</w:t>
            </w:r>
          </w:p>
        </w:tc>
      </w:tr>
      <w:tr w14:paraId="4DD3F274">
        <w:tblPrEx>
          <w:tblCellMar>
            <w:top w:w="0" w:type="dxa"/>
            <w:left w:w="70" w:type="dxa"/>
            <w:bottom w:w="0" w:type="dxa"/>
            <w:right w:w="70" w:type="dxa"/>
          </w:tblCellMar>
        </w:tblPrEx>
        <w:trPr>
          <w:gridAfter w:val="1"/>
          <w:wAfter w:w="9" w:type="dxa"/>
          <w:trHeight w:val="284" w:hRule="atLeast"/>
          <w:jc w:val="center"/>
        </w:trPr>
        <w:tc>
          <w:tcPr>
            <w:tcW w:w="10038" w:type="dxa"/>
            <w:gridSpan w:val="10"/>
            <w:tcBorders>
              <w:top w:val="single" w:color="auto" w:sz="6" w:space="0"/>
              <w:left w:val="single" w:color="auto" w:sz="6" w:space="0"/>
              <w:bottom w:val="single" w:color="auto" w:sz="6" w:space="0"/>
              <w:right w:val="single" w:color="auto" w:sz="6" w:space="0"/>
            </w:tcBorders>
            <w:vAlign w:val="center"/>
          </w:tcPr>
          <w:p w14:paraId="0CB66F2E">
            <w:pPr>
              <w:autoSpaceDE w:val="0"/>
              <w:autoSpaceDN w:val="0"/>
              <w:adjustRightInd w:val="0"/>
              <w:spacing w:before="240" w:after="120"/>
              <w:jc w:val="both"/>
            </w:pPr>
            <w:r>
              <w:t xml:space="preserve">Atualmente a Administração Municipal não usufrui de contrato na contratação de empresas </w:t>
            </w:r>
            <w:r>
              <w:rPr>
                <w:color w:val="000000" w:themeColor="text1"/>
              </w:rPr>
              <w:t>para o fornecimento de medicamentos hospitalar.</w:t>
            </w:r>
            <w:r>
              <w:t xml:space="preserve"> Por isso, há a necessidade de se realizar a contratação do referente objeto.</w:t>
            </w:r>
          </w:p>
        </w:tc>
      </w:tr>
      <w:tr w14:paraId="0768CEFE">
        <w:tblPrEx>
          <w:tblCellMar>
            <w:top w:w="0" w:type="dxa"/>
            <w:left w:w="70" w:type="dxa"/>
            <w:bottom w:w="0" w:type="dxa"/>
            <w:right w:w="70" w:type="dxa"/>
          </w:tblCellMar>
        </w:tblPrEx>
        <w:trPr>
          <w:gridAfter w:val="1"/>
          <w:wAfter w:w="9" w:type="dxa"/>
          <w:trHeight w:val="374" w:hRule="atLeast"/>
          <w:jc w:val="center"/>
        </w:trPr>
        <w:tc>
          <w:tcPr>
            <w:tcW w:w="10038" w:type="dxa"/>
            <w:gridSpan w:val="10"/>
          </w:tcPr>
          <w:p w14:paraId="57093590">
            <w:pPr>
              <w:autoSpaceDE w:val="0"/>
              <w:autoSpaceDN w:val="0"/>
              <w:adjustRightInd w:val="0"/>
              <w:spacing w:line="160" w:lineRule="exact"/>
              <w:rPr>
                <w:sz w:val="18"/>
                <w:szCs w:val="18"/>
              </w:rPr>
            </w:pPr>
          </w:p>
          <w:p w14:paraId="4388B735">
            <w:pPr>
              <w:autoSpaceDE w:val="0"/>
              <w:autoSpaceDN w:val="0"/>
              <w:adjustRightInd w:val="0"/>
              <w:spacing w:line="160" w:lineRule="exact"/>
              <w:jc w:val="center"/>
              <w:rPr>
                <w:sz w:val="18"/>
                <w:szCs w:val="18"/>
              </w:rPr>
            </w:pPr>
          </w:p>
          <w:p w14:paraId="6EE93BAD">
            <w:pPr>
              <w:autoSpaceDE w:val="0"/>
              <w:autoSpaceDN w:val="0"/>
              <w:adjustRightInd w:val="0"/>
              <w:spacing w:line="160" w:lineRule="exact"/>
              <w:jc w:val="center"/>
              <w:rPr>
                <w:sz w:val="18"/>
                <w:szCs w:val="18"/>
              </w:rPr>
            </w:pPr>
          </w:p>
          <w:p w14:paraId="04A34A5F">
            <w:pPr>
              <w:autoSpaceDE w:val="0"/>
              <w:autoSpaceDN w:val="0"/>
              <w:adjustRightInd w:val="0"/>
              <w:spacing w:line="160" w:lineRule="exact"/>
              <w:jc w:val="center"/>
              <w:rPr>
                <w:sz w:val="18"/>
                <w:szCs w:val="18"/>
              </w:rPr>
            </w:pPr>
          </w:p>
        </w:tc>
      </w:tr>
      <w:tr w14:paraId="6BEBA9E4">
        <w:tblPrEx>
          <w:tblCellMar>
            <w:top w:w="0" w:type="dxa"/>
            <w:left w:w="70" w:type="dxa"/>
            <w:bottom w:w="0" w:type="dxa"/>
            <w:right w:w="70" w:type="dxa"/>
          </w:tblCellMar>
        </w:tblPrEx>
        <w:trPr>
          <w:trHeight w:val="864" w:hRule="atLeast"/>
          <w:jc w:val="center"/>
        </w:trPr>
        <w:tc>
          <w:tcPr>
            <w:tcW w:w="10047" w:type="dxa"/>
            <w:gridSpan w:val="11"/>
            <w:tcBorders>
              <w:top w:val="single" w:color="auto" w:sz="6" w:space="0"/>
              <w:left w:val="single" w:color="auto" w:sz="6" w:space="0"/>
              <w:bottom w:val="single" w:color="auto" w:sz="6" w:space="0"/>
              <w:right w:val="single" w:color="auto" w:sz="6" w:space="0"/>
            </w:tcBorders>
            <w:shd w:val="solid" w:color="99CCFF" w:fill="auto"/>
            <w:vAlign w:val="center"/>
          </w:tcPr>
          <w:p w14:paraId="5AD9ADC1">
            <w:pPr>
              <w:autoSpaceDE w:val="0"/>
              <w:autoSpaceDN w:val="0"/>
              <w:adjustRightInd w:val="0"/>
              <w:jc w:val="both"/>
            </w:pPr>
            <w:r>
              <w:rPr>
                <w:b/>
                <w:bCs/>
              </w:rPr>
              <w:t xml:space="preserve">10. </w:t>
            </w:r>
            <w:r>
              <w:t>Providências a serem adotadas pela administração previamente à celebração do contrato, inclusive quanto à capacitação de servidores ou de empregados para fiscalização e gestão contratual ou adequação do ambiente da organização</w:t>
            </w:r>
          </w:p>
        </w:tc>
      </w:tr>
      <w:tr w14:paraId="4662E27D">
        <w:tblPrEx>
          <w:tblCellMar>
            <w:top w:w="0" w:type="dxa"/>
            <w:left w:w="70" w:type="dxa"/>
            <w:bottom w:w="0" w:type="dxa"/>
            <w:right w:w="70" w:type="dxa"/>
          </w:tblCellMar>
        </w:tblPrEx>
        <w:trPr>
          <w:trHeight w:val="284" w:hRule="atLeast"/>
          <w:jc w:val="center"/>
        </w:trPr>
        <w:tc>
          <w:tcPr>
            <w:tcW w:w="10047" w:type="dxa"/>
            <w:gridSpan w:val="11"/>
            <w:tcBorders>
              <w:top w:val="single" w:color="auto" w:sz="6" w:space="0"/>
              <w:left w:val="single" w:color="auto" w:sz="6" w:space="0"/>
              <w:bottom w:val="single" w:color="auto" w:sz="6" w:space="0"/>
              <w:right w:val="single" w:color="auto" w:sz="6" w:space="0"/>
            </w:tcBorders>
            <w:vAlign w:val="center"/>
          </w:tcPr>
          <w:p w14:paraId="4AE1756E">
            <w:pPr>
              <w:autoSpaceDE w:val="0"/>
              <w:autoSpaceDN w:val="0"/>
              <w:adjustRightInd w:val="0"/>
              <w:spacing w:before="240" w:after="120"/>
              <w:jc w:val="both"/>
            </w:pPr>
            <w:r>
              <w:rPr>
                <w:color w:val="000000"/>
              </w:rPr>
              <w:t xml:space="preserve">Após a realização do Estudo Técnico Preliminar (ETP), o Termo de Referência será elaborado, respeitando todas as normas e etapas da fase interna e, caso aprovado pela Autoridade Competente da Comissão de Contratação, será realizada a licitação através de Pregão Eletrônico. Após a homologação da licitação poderá ser feita a contratação para aquisição dos itens licitados. </w:t>
            </w:r>
          </w:p>
        </w:tc>
      </w:tr>
      <w:tr w14:paraId="47422232">
        <w:tblPrEx>
          <w:tblCellMar>
            <w:top w:w="0" w:type="dxa"/>
            <w:left w:w="70" w:type="dxa"/>
            <w:bottom w:w="0" w:type="dxa"/>
            <w:right w:w="70" w:type="dxa"/>
          </w:tblCellMar>
        </w:tblPrEx>
        <w:trPr>
          <w:gridAfter w:val="3"/>
          <w:wAfter w:w="25" w:type="dxa"/>
          <w:trHeight w:val="374" w:hRule="atLeast"/>
          <w:jc w:val="center"/>
        </w:trPr>
        <w:tc>
          <w:tcPr>
            <w:tcW w:w="10022" w:type="dxa"/>
            <w:gridSpan w:val="8"/>
          </w:tcPr>
          <w:p w14:paraId="5A97B3F8">
            <w:pPr>
              <w:autoSpaceDE w:val="0"/>
              <w:autoSpaceDN w:val="0"/>
              <w:adjustRightInd w:val="0"/>
              <w:spacing w:line="160" w:lineRule="exact"/>
              <w:rPr>
                <w:sz w:val="18"/>
                <w:szCs w:val="18"/>
              </w:rPr>
            </w:pPr>
          </w:p>
          <w:p w14:paraId="08E013C7">
            <w:pPr>
              <w:autoSpaceDE w:val="0"/>
              <w:autoSpaceDN w:val="0"/>
              <w:adjustRightInd w:val="0"/>
              <w:spacing w:line="160" w:lineRule="exact"/>
              <w:rPr>
                <w:sz w:val="18"/>
                <w:szCs w:val="18"/>
              </w:rPr>
            </w:pPr>
          </w:p>
          <w:p w14:paraId="1763753D">
            <w:pPr>
              <w:autoSpaceDE w:val="0"/>
              <w:autoSpaceDN w:val="0"/>
              <w:adjustRightInd w:val="0"/>
              <w:spacing w:line="160" w:lineRule="exact"/>
              <w:jc w:val="center"/>
              <w:rPr>
                <w:sz w:val="18"/>
                <w:szCs w:val="18"/>
              </w:rPr>
            </w:pPr>
          </w:p>
          <w:p w14:paraId="5D95649F">
            <w:pPr>
              <w:autoSpaceDE w:val="0"/>
              <w:autoSpaceDN w:val="0"/>
              <w:adjustRightInd w:val="0"/>
              <w:spacing w:line="160" w:lineRule="exact"/>
              <w:jc w:val="center"/>
              <w:rPr>
                <w:sz w:val="18"/>
                <w:szCs w:val="18"/>
              </w:rPr>
            </w:pPr>
          </w:p>
        </w:tc>
      </w:tr>
      <w:tr w14:paraId="19626F3B">
        <w:tblPrEx>
          <w:tblCellMar>
            <w:top w:w="0" w:type="dxa"/>
            <w:left w:w="70" w:type="dxa"/>
            <w:bottom w:w="0" w:type="dxa"/>
            <w:right w:w="70" w:type="dxa"/>
          </w:tblCellMar>
        </w:tblPrEx>
        <w:trPr>
          <w:trHeight w:val="831" w:hRule="atLeast"/>
          <w:jc w:val="center"/>
        </w:trPr>
        <w:tc>
          <w:tcPr>
            <w:tcW w:w="10047" w:type="dxa"/>
            <w:gridSpan w:val="11"/>
            <w:tcBorders>
              <w:top w:val="single" w:color="auto" w:sz="6" w:space="0"/>
              <w:left w:val="single" w:color="auto" w:sz="6" w:space="0"/>
              <w:bottom w:val="single" w:color="auto" w:sz="6" w:space="0"/>
              <w:right w:val="single" w:color="auto" w:sz="6" w:space="0"/>
            </w:tcBorders>
            <w:shd w:val="solid" w:color="99CCFF" w:fill="auto"/>
            <w:vAlign w:val="center"/>
          </w:tcPr>
          <w:p w14:paraId="4F26AA5C">
            <w:pPr>
              <w:autoSpaceDE w:val="0"/>
              <w:autoSpaceDN w:val="0"/>
              <w:adjustRightInd w:val="0"/>
              <w:jc w:val="both"/>
            </w:pPr>
            <w:r>
              <w:rPr>
                <w:b/>
                <w:bCs/>
              </w:rPr>
              <w:t xml:space="preserve">11. </w:t>
            </w:r>
            <w:r>
              <w:t>Possíveis impactos ambientais e respectivas medidas mitigadoras, incluídos requisitos de baixo consumo de energia e de outros recursos, bem como logística reversa para desfazimento e reciclagem de bens e refugos, quando aplicável</w:t>
            </w:r>
          </w:p>
        </w:tc>
      </w:tr>
      <w:tr w14:paraId="10EF6BFD">
        <w:tblPrEx>
          <w:tblCellMar>
            <w:top w:w="0" w:type="dxa"/>
            <w:left w:w="70" w:type="dxa"/>
            <w:bottom w:w="0" w:type="dxa"/>
            <w:right w:w="70" w:type="dxa"/>
          </w:tblCellMar>
        </w:tblPrEx>
        <w:trPr>
          <w:trHeight w:val="284" w:hRule="atLeast"/>
          <w:jc w:val="center"/>
        </w:trPr>
        <w:tc>
          <w:tcPr>
            <w:tcW w:w="10047" w:type="dxa"/>
            <w:gridSpan w:val="11"/>
            <w:tcBorders>
              <w:top w:val="single" w:color="auto" w:sz="6" w:space="0"/>
              <w:left w:val="single" w:color="auto" w:sz="6" w:space="0"/>
              <w:bottom w:val="single" w:color="auto" w:sz="6" w:space="0"/>
              <w:right w:val="single" w:color="auto" w:sz="6" w:space="0"/>
            </w:tcBorders>
            <w:vAlign w:val="center"/>
          </w:tcPr>
          <w:p w14:paraId="7051DBCF">
            <w:pPr>
              <w:spacing w:before="100" w:beforeAutospacing="1" w:after="100" w:afterAutospacing="1"/>
              <w:jc w:val="both"/>
            </w:pPr>
            <w:r>
              <w:t>Ao considerar a aquisição de medicamentos hospitalar para o município de Trizidela do Vale - MA, é essencial avaliar os impactos ambientais envolvidos e implementar medidas mitigadoras para minimizar esses impactos. Aqui estão alguns possíveis impactos e as respectivas medidas mitigadoras:</w:t>
            </w:r>
          </w:p>
          <w:p w14:paraId="0F6A88F1">
            <w:pPr>
              <w:spacing w:before="100" w:beforeAutospacing="1" w:after="100" w:afterAutospacing="1"/>
              <w:jc w:val="both"/>
              <w:outlineLvl w:val="2"/>
              <w:rPr>
                <w:b/>
                <w:bCs/>
              </w:rPr>
            </w:pPr>
            <w:r>
              <w:rPr>
                <w:b/>
                <w:bCs/>
              </w:rPr>
              <w:t>1. Impacto Ambiental: Geração de Resíduos Sólidos</w:t>
            </w:r>
          </w:p>
          <w:p w14:paraId="05143908">
            <w:pPr>
              <w:numPr>
                <w:ilvl w:val="0"/>
                <w:numId w:val="18"/>
              </w:numPr>
              <w:spacing w:before="100" w:beforeAutospacing="1" w:after="100" w:afterAutospacing="1"/>
              <w:jc w:val="both"/>
            </w:pPr>
            <w:r>
              <w:rPr>
                <w:b/>
                <w:bCs/>
              </w:rPr>
              <w:t>Descrição</w:t>
            </w:r>
            <w:r>
              <w:t>: A aquisição de medicamentos pode gerar resíduos sólidos, como embalagens plásticas, frascos de vidro, blisters de alumínio, seringas, agulhas e outros materiais utilizados no manuseio e administração dos medicamentos.</w:t>
            </w:r>
          </w:p>
          <w:p w14:paraId="73DC9336">
            <w:pPr>
              <w:numPr>
                <w:ilvl w:val="0"/>
                <w:numId w:val="18"/>
              </w:numPr>
              <w:spacing w:before="100" w:beforeAutospacing="1" w:after="100" w:afterAutospacing="1"/>
              <w:jc w:val="both"/>
            </w:pPr>
            <w:r>
              <w:rPr>
                <w:b/>
                <w:bCs/>
              </w:rPr>
              <w:t>Medidas Mitigadoras</w:t>
            </w:r>
            <w:r>
              <w:t>:</w:t>
            </w:r>
          </w:p>
          <w:p w14:paraId="70087E5E">
            <w:pPr>
              <w:numPr>
                <w:ilvl w:val="1"/>
                <w:numId w:val="18"/>
              </w:numPr>
              <w:spacing w:before="100" w:beforeAutospacing="1" w:after="100" w:afterAutospacing="1"/>
              <w:jc w:val="both"/>
            </w:pPr>
            <w:r>
              <w:t>Implementar um programa de logística reversa para que as embalagens e materiais utilizados sejam recolhidos e enviados para reciclagem.</w:t>
            </w:r>
          </w:p>
          <w:p w14:paraId="10E4D0D1">
            <w:pPr>
              <w:numPr>
                <w:ilvl w:val="1"/>
                <w:numId w:val="18"/>
              </w:numPr>
              <w:spacing w:before="100" w:beforeAutospacing="1" w:after="100" w:afterAutospacing="1"/>
              <w:jc w:val="both"/>
            </w:pPr>
            <w:r>
              <w:t>Estabelecer parcerias com empresas de reciclagem para destinação correta dos resíduos.</w:t>
            </w:r>
          </w:p>
          <w:p w14:paraId="352B8E5C">
            <w:pPr>
              <w:numPr>
                <w:ilvl w:val="1"/>
                <w:numId w:val="18"/>
              </w:numPr>
              <w:spacing w:before="100" w:beforeAutospacing="1" w:after="100" w:afterAutospacing="1"/>
              <w:jc w:val="both"/>
            </w:pPr>
            <w:r>
              <w:t>Utilizar embalagens biodegradáveis ou de fácil reciclagem.</w:t>
            </w:r>
          </w:p>
          <w:p w14:paraId="63012E3F">
            <w:pPr>
              <w:spacing w:before="100" w:beforeAutospacing="1" w:after="100" w:afterAutospacing="1"/>
              <w:jc w:val="both"/>
              <w:outlineLvl w:val="2"/>
              <w:rPr>
                <w:b/>
                <w:bCs/>
              </w:rPr>
            </w:pPr>
            <w:r>
              <w:rPr>
                <w:b/>
                <w:bCs/>
              </w:rPr>
              <w:t>2. Impacto Ambiental: Consumo de Energia</w:t>
            </w:r>
          </w:p>
          <w:p w14:paraId="3F580406">
            <w:pPr>
              <w:numPr>
                <w:ilvl w:val="0"/>
                <w:numId w:val="19"/>
              </w:numPr>
              <w:spacing w:before="100" w:beforeAutospacing="1" w:after="100" w:afterAutospacing="1"/>
              <w:jc w:val="both"/>
            </w:pPr>
            <w:r>
              <w:rPr>
                <w:b/>
                <w:bCs/>
              </w:rPr>
              <w:t>Descrição</w:t>
            </w:r>
            <w:r>
              <w:t>: O armazenamento e transporte de medicamentos, especialmente os que requerem refrigeração, demandam um consumo significativo de energia.</w:t>
            </w:r>
          </w:p>
          <w:p w14:paraId="2E9F2B8E">
            <w:pPr>
              <w:numPr>
                <w:ilvl w:val="0"/>
                <w:numId w:val="19"/>
              </w:numPr>
              <w:spacing w:before="100" w:beforeAutospacing="1" w:after="100" w:afterAutospacing="1"/>
              <w:jc w:val="both"/>
            </w:pPr>
            <w:r>
              <w:rPr>
                <w:b/>
                <w:bCs/>
              </w:rPr>
              <w:t>Medidas Mitigadoras</w:t>
            </w:r>
            <w:r>
              <w:t>:</w:t>
            </w:r>
          </w:p>
          <w:p w14:paraId="2B56A41B">
            <w:pPr>
              <w:numPr>
                <w:ilvl w:val="1"/>
                <w:numId w:val="19"/>
              </w:numPr>
              <w:spacing w:before="100" w:beforeAutospacing="1" w:after="100" w:afterAutospacing="1"/>
              <w:jc w:val="both"/>
            </w:pPr>
            <w:r>
              <w:t>Adotar práticas de eficiência energética, como o uso de equipamentos de refrigeração com selo de eficiência energética.</w:t>
            </w:r>
          </w:p>
          <w:p w14:paraId="35E25828">
            <w:pPr>
              <w:numPr>
                <w:ilvl w:val="1"/>
                <w:numId w:val="19"/>
              </w:numPr>
              <w:spacing w:before="100" w:beforeAutospacing="1" w:after="100" w:afterAutospacing="1"/>
              <w:jc w:val="both"/>
            </w:pPr>
            <w:r>
              <w:t>Implantar sistemas de energia renovável (e.g., painéis solares) para suprir a demanda energética.</w:t>
            </w:r>
          </w:p>
          <w:p w14:paraId="475CC0C9">
            <w:pPr>
              <w:numPr>
                <w:ilvl w:val="1"/>
                <w:numId w:val="19"/>
              </w:numPr>
              <w:spacing w:before="100" w:beforeAutospacing="1" w:after="100" w:afterAutospacing="1"/>
              <w:jc w:val="both"/>
            </w:pPr>
            <w:r>
              <w:t>Realizar manutenções regulares nos equipamentos para garantir o funcionamento eficiente e evitar desperdícios.</w:t>
            </w:r>
          </w:p>
          <w:p w14:paraId="4C5CB915">
            <w:pPr>
              <w:spacing w:before="100" w:beforeAutospacing="1" w:after="100" w:afterAutospacing="1"/>
              <w:jc w:val="both"/>
              <w:outlineLvl w:val="2"/>
              <w:rPr>
                <w:b/>
                <w:bCs/>
              </w:rPr>
            </w:pPr>
            <w:r>
              <w:rPr>
                <w:b/>
                <w:bCs/>
              </w:rPr>
              <w:t>3. Impacto Ambiental: Emissão de Gases Poluentes</w:t>
            </w:r>
          </w:p>
          <w:p w14:paraId="1C354135">
            <w:pPr>
              <w:numPr>
                <w:ilvl w:val="0"/>
                <w:numId w:val="20"/>
              </w:numPr>
              <w:spacing w:before="100" w:beforeAutospacing="1" w:after="100" w:afterAutospacing="1"/>
              <w:jc w:val="both"/>
            </w:pPr>
            <w:r>
              <w:rPr>
                <w:b/>
                <w:bCs/>
              </w:rPr>
              <w:t>Descrição</w:t>
            </w:r>
            <w:r>
              <w:t>: O transporte de medicamentos, especialmente em longas distâncias, pode contribuir para a emissão de gases poluentes devido ao uso de veículos movidos a combustíveis fósseis.</w:t>
            </w:r>
          </w:p>
          <w:p w14:paraId="42135B48">
            <w:pPr>
              <w:numPr>
                <w:ilvl w:val="0"/>
                <w:numId w:val="20"/>
              </w:numPr>
              <w:spacing w:before="100" w:beforeAutospacing="1" w:after="100" w:afterAutospacing="1"/>
              <w:jc w:val="both"/>
            </w:pPr>
            <w:r>
              <w:rPr>
                <w:b/>
                <w:bCs/>
              </w:rPr>
              <w:t>Medidas Mitigadoras</w:t>
            </w:r>
            <w:r>
              <w:t>:</w:t>
            </w:r>
          </w:p>
          <w:p w14:paraId="7BA1A881">
            <w:pPr>
              <w:numPr>
                <w:ilvl w:val="1"/>
                <w:numId w:val="20"/>
              </w:numPr>
              <w:spacing w:before="100" w:beforeAutospacing="1" w:after="100" w:afterAutospacing="1"/>
              <w:jc w:val="both"/>
            </w:pPr>
            <w:r>
              <w:t>Priorizar o uso de veículos elétricos ou híbridos para transporte.</w:t>
            </w:r>
          </w:p>
          <w:p w14:paraId="03CA446B">
            <w:pPr>
              <w:numPr>
                <w:ilvl w:val="1"/>
                <w:numId w:val="20"/>
              </w:numPr>
              <w:spacing w:before="100" w:beforeAutospacing="1" w:after="100" w:afterAutospacing="1"/>
              <w:jc w:val="both"/>
            </w:pPr>
            <w:r>
              <w:t>Otimizar rotas de entrega para reduzir a distância percorrida e o consumo de combustível.</w:t>
            </w:r>
          </w:p>
          <w:p w14:paraId="01AF718D">
            <w:pPr>
              <w:numPr>
                <w:ilvl w:val="1"/>
                <w:numId w:val="20"/>
              </w:numPr>
              <w:spacing w:before="100" w:beforeAutospacing="1" w:after="100" w:afterAutospacing="1"/>
              <w:jc w:val="both"/>
            </w:pPr>
            <w:r>
              <w:t>Incentivar o uso de transportes coletivos ou compartilhados para a entrega de medicamentos em zonas rurais ou de difícil acesso.</w:t>
            </w:r>
          </w:p>
          <w:p w14:paraId="42A3D5EF">
            <w:pPr>
              <w:spacing w:before="100" w:beforeAutospacing="1" w:after="100" w:afterAutospacing="1"/>
              <w:jc w:val="both"/>
              <w:outlineLvl w:val="2"/>
              <w:rPr>
                <w:b/>
                <w:bCs/>
              </w:rPr>
            </w:pPr>
            <w:r>
              <w:rPr>
                <w:b/>
                <w:bCs/>
              </w:rPr>
              <w:t>4. Impacto Ambiental: Poluição por Medicamentos Descartados Inadequadamente</w:t>
            </w:r>
          </w:p>
          <w:p w14:paraId="22531602">
            <w:pPr>
              <w:numPr>
                <w:ilvl w:val="0"/>
                <w:numId w:val="21"/>
              </w:numPr>
              <w:spacing w:before="100" w:beforeAutospacing="1" w:after="100" w:afterAutospacing="1"/>
              <w:jc w:val="both"/>
            </w:pPr>
            <w:r>
              <w:rPr>
                <w:b/>
                <w:bCs/>
              </w:rPr>
              <w:t>Descrição</w:t>
            </w:r>
            <w:r>
              <w:t>: O descarte inadequado de medicamentos pode levar à contaminação do solo e das águas, representando risco à fauna, flora e à saúde humana.</w:t>
            </w:r>
          </w:p>
          <w:p w14:paraId="68800F95">
            <w:pPr>
              <w:numPr>
                <w:ilvl w:val="0"/>
                <w:numId w:val="21"/>
              </w:numPr>
              <w:spacing w:before="100" w:beforeAutospacing="1" w:after="100" w:afterAutospacing="1"/>
              <w:jc w:val="both"/>
            </w:pPr>
            <w:r>
              <w:rPr>
                <w:b/>
                <w:bCs/>
              </w:rPr>
              <w:t>Medidas Mitigadoras</w:t>
            </w:r>
            <w:r>
              <w:t>:</w:t>
            </w:r>
          </w:p>
          <w:p w14:paraId="13E2C490">
            <w:pPr>
              <w:numPr>
                <w:ilvl w:val="1"/>
                <w:numId w:val="21"/>
              </w:numPr>
              <w:spacing w:before="100" w:beforeAutospacing="1" w:after="100" w:afterAutospacing="1"/>
              <w:jc w:val="both"/>
            </w:pPr>
            <w:r>
              <w:t>Implementar campanhas de conscientização para a população sobre o descarte correto de medicamentos.</w:t>
            </w:r>
          </w:p>
          <w:p w14:paraId="7D9B7E55">
            <w:pPr>
              <w:numPr>
                <w:ilvl w:val="1"/>
                <w:numId w:val="21"/>
              </w:numPr>
              <w:spacing w:before="100" w:beforeAutospacing="1" w:after="100" w:afterAutospacing="1"/>
              <w:jc w:val="both"/>
            </w:pPr>
            <w:r>
              <w:t>Criar pontos de coleta de medicamentos vencidos ou não utilizados em farmácias e unidades de saúde.</w:t>
            </w:r>
          </w:p>
          <w:p w14:paraId="514A81A8">
            <w:pPr>
              <w:numPr>
                <w:ilvl w:val="1"/>
                <w:numId w:val="21"/>
              </w:numPr>
              <w:spacing w:before="100" w:beforeAutospacing="1" w:after="100" w:afterAutospacing="1"/>
              <w:jc w:val="both"/>
            </w:pPr>
            <w:r>
              <w:t>Garantir que os medicamentos descartados sejam encaminhados para incineração ou outro processo seguro de eliminação.</w:t>
            </w:r>
          </w:p>
          <w:p w14:paraId="325CF0C2">
            <w:pPr>
              <w:spacing w:before="100" w:beforeAutospacing="1" w:after="100" w:afterAutospacing="1"/>
              <w:jc w:val="both"/>
              <w:outlineLvl w:val="2"/>
              <w:rPr>
                <w:b/>
                <w:bCs/>
              </w:rPr>
            </w:pPr>
            <w:r>
              <w:rPr>
                <w:b/>
                <w:bCs/>
              </w:rPr>
              <w:t>5. Impacto Ambiental: Consumo de Recursos Naturais</w:t>
            </w:r>
          </w:p>
          <w:p w14:paraId="328D1D71">
            <w:pPr>
              <w:numPr>
                <w:ilvl w:val="0"/>
                <w:numId w:val="22"/>
              </w:numPr>
              <w:spacing w:before="100" w:beforeAutospacing="1" w:after="100" w:afterAutospacing="1"/>
              <w:jc w:val="both"/>
            </w:pPr>
            <w:r>
              <w:rPr>
                <w:b/>
                <w:bCs/>
              </w:rPr>
              <w:t>Descrição</w:t>
            </w:r>
            <w:r>
              <w:t>: A produção e distribuição de medicamentos envolvem o consumo de recursos naturais, como água, papel, metais e outros insumos.</w:t>
            </w:r>
          </w:p>
          <w:p w14:paraId="6AAF3F28">
            <w:pPr>
              <w:numPr>
                <w:ilvl w:val="0"/>
                <w:numId w:val="22"/>
              </w:numPr>
              <w:spacing w:before="100" w:beforeAutospacing="1" w:after="100" w:afterAutospacing="1"/>
              <w:jc w:val="both"/>
            </w:pPr>
            <w:r>
              <w:rPr>
                <w:b/>
                <w:bCs/>
              </w:rPr>
              <w:t>Medidas Mitigadoras</w:t>
            </w:r>
            <w:r>
              <w:t>:</w:t>
            </w:r>
          </w:p>
          <w:p w14:paraId="6016C9D4">
            <w:pPr>
              <w:numPr>
                <w:ilvl w:val="1"/>
                <w:numId w:val="22"/>
              </w:numPr>
              <w:spacing w:before="100" w:beforeAutospacing="1" w:after="100" w:afterAutospacing="1"/>
              <w:jc w:val="both"/>
            </w:pPr>
            <w:r>
              <w:t>Preferir a aquisição de medicamentos de empresas que adotam práticas sustentáveis em seus processos produtivos.</w:t>
            </w:r>
          </w:p>
          <w:p w14:paraId="6549C439">
            <w:pPr>
              <w:numPr>
                <w:ilvl w:val="1"/>
                <w:numId w:val="22"/>
              </w:numPr>
              <w:spacing w:before="100" w:beforeAutospacing="1" w:after="100" w:afterAutospacing="1"/>
              <w:jc w:val="both"/>
            </w:pPr>
            <w:r>
              <w:t>Reduzir o uso de papel através da digitalização de receitas e prontuários médicos.</w:t>
            </w:r>
          </w:p>
          <w:p w14:paraId="59F9A25C">
            <w:pPr>
              <w:numPr>
                <w:ilvl w:val="1"/>
                <w:numId w:val="22"/>
              </w:numPr>
              <w:spacing w:before="100" w:beforeAutospacing="1" w:after="100" w:afterAutospacing="1"/>
              <w:jc w:val="both"/>
            </w:pPr>
            <w:r>
              <w:t>Incentivar a aquisição de medicamentos que utilizam embalagens reduzidas ou que adotam práticas de eco-design.</w:t>
            </w:r>
          </w:p>
          <w:p w14:paraId="58D69397">
            <w:pPr>
              <w:spacing w:before="100" w:beforeAutospacing="1" w:after="100" w:afterAutospacing="1"/>
              <w:jc w:val="both"/>
              <w:outlineLvl w:val="2"/>
              <w:rPr>
                <w:b/>
                <w:bCs/>
              </w:rPr>
            </w:pPr>
            <w:r>
              <w:rPr>
                <w:b/>
                <w:bCs/>
              </w:rPr>
              <w:t>6. Logística Reversa</w:t>
            </w:r>
          </w:p>
          <w:p w14:paraId="3AE8DE79">
            <w:pPr>
              <w:numPr>
                <w:ilvl w:val="0"/>
                <w:numId w:val="23"/>
              </w:numPr>
              <w:spacing w:before="100" w:beforeAutospacing="1" w:after="100" w:afterAutospacing="1"/>
              <w:jc w:val="both"/>
            </w:pPr>
            <w:r>
              <w:rPr>
                <w:b/>
                <w:bCs/>
              </w:rPr>
              <w:t>Descrição</w:t>
            </w:r>
            <w:r>
              <w:t>: A logística reversa é essencial para garantir o retorno de embalagens e resíduos ao ciclo produtivo, evitando o descarte inadequado.</w:t>
            </w:r>
          </w:p>
          <w:p w14:paraId="12ABA0E6">
            <w:pPr>
              <w:numPr>
                <w:ilvl w:val="0"/>
                <w:numId w:val="23"/>
              </w:numPr>
              <w:spacing w:before="100" w:beforeAutospacing="1" w:after="100" w:afterAutospacing="1"/>
              <w:jc w:val="both"/>
            </w:pPr>
            <w:r>
              <w:rPr>
                <w:b/>
                <w:bCs/>
              </w:rPr>
              <w:t>Medidas Mitigadoras</w:t>
            </w:r>
            <w:r>
              <w:t>:</w:t>
            </w:r>
          </w:p>
          <w:p w14:paraId="5D486255">
            <w:pPr>
              <w:numPr>
                <w:ilvl w:val="1"/>
                <w:numId w:val="23"/>
              </w:numPr>
              <w:spacing w:before="100" w:beforeAutospacing="1" w:after="100" w:afterAutospacing="1"/>
              <w:jc w:val="both"/>
            </w:pPr>
            <w:r>
              <w:t>Estabelecer contratos com fornecedores que possuam programas de logística reversa.</w:t>
            </w:r>
          </w:p>
          <w:p w14:paraId="3CF13B5C">
            <w:pPr>
              <w:numPr>
                <w:ilvl w:val="1"/>
                <w:numId w:val="23"/>
              </w:numPr>
              <w:spacing w:before="100" w:beforeAutospacing="1" w:after="100" w:afterAutospacing="1"/>
              <w:jc w:val="both"/>
            </w:pPr>
            <w:r>
              <w:t>Facilitar o retorno de embalagens e resíduos pós-consumo para o ciclo produtivo.</w:t>
            </w:r>
          </w:p>
          <w:p w14:paraId="0D7F0228">
            <w:pPr>
              <w:numPr>
                <w:ilvl w:val="1"/>
                <w:numId w:val="23"/>
              </w:numPr>
              <w:spacing w:before="100" w:beforeAutospacing="1" w:after="100" w:afterAutospacing="1"/>
              <w:jc w:val="both"/>
            </w:pPr>
            <w:r>
              <w:t>Incentivar a criação de políticas municipais que obriguem o retorno de medicamentos e embalagens para tratamento adequado.</w:t>
            </w:r>
          </w:p>
          <w:p w14:paraId="5C8261D1">
            <w:pPr>
              <w:spacing w:before="100" w:beforeAutospacing="1" w:after="100" w:afterAutospacing="1"/>
              <w:jc w:val="both"/>
              <w:rPr>
                <w:szCs w:val="24"/>
              </w:rPr>
            </w:pPr>
            <w:r>
              <w:t>Ao implementar essas medidas, Trizidela do Vale pode contribuir para um consumo mais sustentável e reduzir significativamente os impactos ambientais associados à aquisição de medicamentos hospitalares.</w:t>
            </w:r>
          </w:p>
        </w:tc>
      </w:tr>
      <w:tr w14:paraId="54BFA0FF">
        <w:tblPrEx>
          <w:tblCellMar>
            <w:top w:w="0" w:type="dxa"/>
            <w:left w:w="70" w:type="dxa"/>
            <w:bottom w:w="0" w:type="dxa"/>
            <w:right w:w="70" w:type="dxa"/>
          </w:tblCellMar>
        </w:tblPrEx>
        <w:trPr>
          <w:gridAfter w:val="1"/>
          <w:wAfter w:w="9" w:type="dxa"/>
          <w:trHeight w:val="374" w:hRule="atLeast"/>
          <w:jc w:val="center"/>
        </w:trPr>
        <w:tc>
          <w:tcPr>
            <w:tcW w:w="10038" w:type="dxa"/>
            <w:gridSpan w:val="10"/>
          </w:tcPr>
          <w:p w14:paraId="4C0E9350">
            <w:pPr>
              <w:autoSpaceDE w:val="0"/>
              <w:autoSpaceDN w:val="0"/>
              <w:adjustRightInd w:val="0"/>
              <w:rPr>
                <w:b/>
                <w:bCs/>
              </w:rPr>
            </w:pPr>
          </w:p>
          <w:p w14:paraId="4C10E026">
            <w:pPr>
              <w:autoSpaceDE w:val="0"/>
              <w:autoSpaceDN w:val="0"/>
              <w:adjustRightInd w:val="0"/>
              <w:rPr>
                <w:b/>
                <w:bCs/>
              </w:rPr>
            </w:pPr>
          </w:p>
          <w:p w14:paraId="3E73DF95">
            <w:pPr>
              <w:autoSpaceDE w:val="0"/>
              <w:autoSpaceDN w:val="0"/>
              <w:adjustRightInd w:val="0"/>
              <w:rPr>
                <w:b/>
                <w:bCs/>
              </w:rPr>
            </w:pPr>
            <w:r>
              <w:rPr>
                <w:b/>
                <w:bCs/>
              </w:rPr>
              <w:t>Eixo 3 – Da solução:</w:t>
            </w:r>
          </w:p>
          <w:p w14:paraId="7E551F6E">
            <w:pPr>
              <w:autoSpaceDE w:val="0"/>
              <w:autoSpaceDN w:val="0"/>
              <w:adjustRightInd w:val="0"/>
              <w:rPr>
                <w:b/>
                <w:bCs/>
              </w:rPr>
            </w:pPr>
          </w:p>
          <w:p w14:paraId="008A4D2E">
            <w:pPr>
              <w:autoSpaceDE w:val="0"/>
              <w:autoSpaceDN w:val="0"/>
              <w:adjustRightInd w:val="0"/>
              <w:rPr>
                <w:b/>
                <w:bCs/>
              </w:rPr>
            </w:pPr>
          </w:p>
        </w:tc>
      </w:tr>
      <w:tr w14:paraId="75474DF4">
        <w:tblPrEx>
          <w:tblCellMar>
            <w:top w:w="0" w:type="dxa"/>
            <w:left w:w="70" w:type="dxa"/>
            <w:bottom w:w="0" w:type="dxa"/>
            <w:right w:w="70" w:type="dxa"/>
          </w:tblCellMar>
        </w:tblPrEx>
        <w:trPr>
          <w:trHeight w:val="340" w:hRule="atLeast"/>
          <w:jc w:val="center"/>
        </w:trPr>
        <w:tc>
          <w:tcPr>
            <w:tcW w:w="10047" w:type="dxa"/>
            <w:gridSpan w:val="11"/>
            <w:tcBorders>
              <w:top w:val="single" w:color="auto" w:sz="6" w:space="0"/>
              <w:left w:val="single" w:color="auto" w:sz="6" w:space="0"/>
              <w:bottom w:val="single" w:color="auto" w:sz="6" w:space="0"/>
              <w:right w:val="single" w:color="auto" w:sz="6" w:space="0"/>
            </w:tcBorders>
            <w:shd w:val="solid" w:color="99CCFF" w:fill="auto"/>
            <w:vAlign w:val="center"/>
          </w:tcPr>
          <w:p w14:paraId="569034D2">
            <w:pPr>
              <w:autoSpaceDE w:val="0"/>
              <w:autoSpaceDN w:val="0"/>
              <w:adjustRightInd w:val="0"/>
              <w:spacing w:before="60" w:after="60"/>
              <w:rPr>
                <w:b/>
                <w:bCs/>
              </w:rPr>
            </w:pPr>
            <w:r>
              <w:rPr>
                <w:b/>
                <w:bCs/>
              </w:rPr>
              <w:t xml:space="preserve">12. </w:t>
            </w:r>
            <w:r>
              <w:t>Descrição da solução, acompanhada das justificativas técnica e econômica da escolha do tipo de solução</w:t>
            </w:r>
            <w:r>
              <w:rPr>
                <w:b/>
                <w:bCs/>
              </w:rPr>
              <w:t>*</w:t>
            </w:r>
          </w:p>
        </w:tc>
      </w:tr>
      <w:tr w14:paraId="24820EAC">
        <w:tblPrEx>
          <w:tblCellMar>
            <w:top w:w="0" w:type="dxa"/>
            <w:left w:w="70" w:type="dxa"/>
            <w:bottom w:w="0" w:type="dxa"/>
            <w:right w:w="70" w:type="dxa"/>
          </w:tblCellMar>
        </w:tblPrEx>
        <w:trPr>
          <w:trHeight w:val="374" w:hRule="atLeast"/>
          <w:jc w:val="center"/>
        </w:trPr>
        <w:tc>
          <w:tcPr>
            <w:tcW w:w="10047" w:type="dxa"/>
            <w:gridSpan w:val="11"/>
            <w:tcBorders>
              <w:top w:val="single" w:color="auto" w:sz="6" w:space="0"/>
              <w:left w:val="single" w:color="auto" w:sz="6" w:space="0"/>
              <w:bottom w:val="single" w:color="auto" w:sz="6" w:space="0"/>
              <w:right w:val="single" w:color="auto" w:sz="6" w:space="0"/>
            </w:tcBorders>
            <w:vAlign w:val="center"/>
          </w:tcPr>
          <w:p w14:paraId="4B867889">
            <w:pPr>
              <w:spacing w:before="100" w:beforeAutospacing="1" w:after="100" w:afterAutospacing="1"/>
              <w:jc w:val="both"/>
            </w:pPr>
            <w:r>
              <w:t>Para implementar uma aquisição sustentável de medicamentos hospitalares em Trizidela do Vale - MA, a solução proposta inclui a adoção de práticas de logística reversa, eficiência energética, descarte seguro e escolha de fornecedores comprometidos com a sustentabilidade. Abaixo estão as descrições detalhadas das soluções, acompanhadas de justificativas técnicas e econômicas.</w:t>
            </w:r>
          </w:p>
          <w:p w14:paraId="00CAF305">
            <w:pPr>
              <w:spacing w:before="100" w:beforeAutospacing="1" w:after="100" w:afterAutospacing="1"/>
              <w:jc w:val="both"/>
              <w:outlineLvl w:val="2"/>
              <w:rPr>
                <w:b/>
                <w:bCs/>
              </w:rPr>
            </w:pPr>
            <w:r>
              <w:rPr>
                <w:b/>
                <w:bCs/>
              </w:rPr>
              <w:t>1. Implementação da Logística Reversa para Embalagens e Medicamentos</w:t>
            </w:r>
          </w:p>
          <w:p w14:paraId="04D9B2BA">
            <w:pPr>
              <w:numPr>
                <w:ilvl w:val="0"/>
                <w:numId w:val="24"/>
              </w:numPr>
              <w:spacing w:before="100" w:beforeAutospacing="1" w:after="100" w:afterAutospacing="1"/>
              <w:jc w:val="both"/>
            </w:pPr>
            <w:r>
              <w:rPr>
                <w:b/>
                <w:bCs/>
              </w:rPr>
              <w:t>Descrição da Solução</w:t>
            </w:r>
            <w:r>
              <w:t>:</w:t>
            </w:r>
          </w:p>
          <w:p w14:paraId="2EAA4DFB">
            <w:pPr>
              <w:numPr>
                <w:ilvl w:val="1"/>
                <w:numId w:val="24"/>
              </w:numPr>
              <w:spacing w:before="100" w:beforeAutospacing="1" w:after="100" w:afterAutospacing="1"/>
              <w:jc w:val="both"/>
            </w:pPr>
            <w:r>
              <w:t>Estabelecer um sistema de coleta e retorno de embalagens de medicamentos e resíduos hospitalares. Isso inclui a criação de pontos de coleta em unidades de saúde e farmácias, além de contratos com empresas especializadas para o tratamento e reciclagem desses materiais.</w:t>
            </w:r>
          </w:p>
          <w:p w14:paraId="567E754D">
            <w:pPr>
              <w:numPr>
                <w:ilvl w:val="1"/>
                <w:numId w:val="24"/>
              </w:numPr>
              <w:spacing w:before="100" w:beforeAutospacing="1" w:after="100" w:afterAutospacing="1"/>
              <w:jc w:val="both"/>
            </w:pPr>
            <w:r>
              <w:t>Implantar um programa de recolhimento de medicamentos vencidos ou não utilizados, para garantir o descarte correto e evitar a contaminação ambiental.</w:t>
            </w:r>
          </w:p>
          <w:p w14:paraId="4C66E0BA">
            <w:pPr>
              <w:numPr>
                <w:ilvl w:val="0"/>
                <w:numId w:val="24"/>
              </w:numPr>
              <w:spacing w:before="100" w:beforeAutospacing="1" w:after="100" w:afterAutospacing="1"/>
              <w:jc w:val="both"/>
            </w:pPr>
            <w:r>
              <w:rPr>
                <w:b/>
                <w:bCs/>
              </w:rPr>
              <w:t>Justificativa Técnica</w:t>
            </w:r>
            <w:r>
              <w:t>:</w:t>
            </w:r>
          </w:p>
          <w:p w14:paraId="21C82852">
            <w:pPr>
              <w:numPr>
                <w:ilvl w:val="1"/>
                <w:numId w:val="24"/>
              </w:numPr>
              <w:spacing w:before="100" w:beforeAutospacing="1" w:after="100" w:afterAutospacing="1"/>
              <w:jc w:val="both"/>
            </w:pPr>
            <w:r>
              <w:t>A logística reversa é uma prática amplamente reconhecida por reduzir a quantidade de resíduos sólidos descartados no meio ambiente. Ela permite que materiais como plásticos, vidros e metais sejam reintroduzidos na cadeia produtiva, diminuindo a necessidade de novos recursos naturais.</w:t>
            </w:r>
          </w:p>
          <w:p w14:paraId="16BFA915">
            <w:pPr>
              <w:numPr>
                <w:ilvl w:val="1"/>
                <w:numId w:val="24"/>
              </w:numPr>
              <w:spacing w:before="100" w:beforeAutospacing="1" w:after="100" w:afterAutospacing="1"/>
              <w:jc w:val="both"/>
            </w:pPr>
            <w:r>
              <w:t>Além disso, evita a contaminação do solo e da água por medicamentos descartados de forma inadequada, contribuindo para a proteção da saúde pública e do meio ambiente.</w:t>
            </w:r>
          </w:p>
          <w:p w14:paraId="51C6558E">
            <w:pPr>
              <w:numPr>
                <w:ilvl w:val="0"/>
                <w:numId w:val="24"/>
              </w:numPr>
              <w:spacing w:before="100" w:beforeAutospacing="1" w:after="100" w:afterAutospacing="1"/>
              <w:jc w:val="both"/>
            </w:pPr>
            <w:r>
              <w:rPr>
                <w:b/>
                <w:bCs/>
              </w:rPr>
              <w:t>Justificativa Econômica</w:t>
            </w:r>
            <w:r>
              <w:t>:</w:t>
            </w:r>
          </w:p>
          <w:p w14:paraId="40CD1B00">
            <w:pPr>
              <w:numPr>
                <w:ilvl w:val="1"/>
                <w:numId w:val="24"/>
              </w:numPr>
              <w:spacing w:before="100" w:beforeAutospacing="1" w:after="100" w:afterAutospacing="1"/>
              <w:jc w:val="both"/>
            </w:pPr>
            <w:r>
              <w:t>Embora exista um custo inicial para a implementação da logística reversa, a longo prazo, essa prática pode gerar economia ao município, reduzindo gastos com limpeza urbana e tratamento de resíduos.</w:t>
            </w:r>
          </w:p>
          <w:p w14:paraId="1791B6DA">
            <w:pPr>
              <w:numPr>
                <w:ilvl w:val="1"/>
                <w:numId w:val="24"/>
              </w:numPr>
              <w:spacing w:before="100" w:beforeAutospacing="1" w:after="100" w:afterAutospacing="1"/>
              <w:jc w:val="both"/>
            </w:pPr>
            <w:r>
              <w:t>Além disso, a reciclagem de materiais pode gerar receita adicional e criar empregos no setor de reciclagem local.</w:t>
            </w:r>
          </w:p>
          <w:p w14:paraId="4C209998">
            <w:pPr>
              <w:spacing w:before="100" w:beforeAutospacing="1" w:after="100" w:afterAutospacing="1"/>
              <w:jc w:val="both"/>
              <w:outlineLvl w:val="2"/>
              <w:rPr>
                <w:b/>
                <w:bCs/>
              </w:rPr>
            </w:pPr>
            <w:r>
              <w:rPr>
                <w:b/>
                <w:bCs/>
              </w:rPr>
              <w:t>2. Adoção de Equipamentos de Alta Eficiência Energética</w:t>
            </w:r>
          </w:p>
          <w:p w14:paraId="19B1323D">
            <w:pPr>
              <w:numPr>
                <w:ilvl w:val="0"/>
                <w:numId w:val="25"/>
              </w:numPr>
              <w:spacing w:before="100" w:beforeAutospacing="1" w:after="100" w:afterAutospacing="1"/>
              <w:jc w:val="both"/>
            </w:pPr>
            <w:r>
              <w:rPr>
                <w:b/>
                <w:bCs/>
              </w:rPr>
              <w:t>Descrição da Solução</w:t>
            </w:r>
            <w:r>
              <w:t>:</w:t>
            </w:r>
          </w:p>
          <w:p w14:paraId="3DE115B8">
            <w:pPr>
              <w:numPr>
                <w:ilvl w:val="1"/>
                <w:numId w:val="25"/>
              </w:numPr>
              <w:spacing w:before="100" w:beforeAutospacing="1" w:after="100" w:afterAutospacing="1"/>
              <w:jc w:val="both"/>
            </w:pPr>
            <w:r>
              <w:t>Adquirir e utilizar equipamentos de refrigeração e armazenamento de medicamentos que possuam certificação de eficiência energética, como selo Procel A.</w:t>
            </w:r>
          </w:p>
          <w:p w14:paraId="7F0AF939">
            <w:pPr>
              <w:numPr>
                <w:ilvl w:val="1"/>
                <w:numId w:val="25"/>
              </w:numPr>
              <w:spacing w:before="100" w:beforeAutospacing="1" w:after="100" w:afterAutospacing="1"/>
              <w:jc w:val="both"/>
            </w:pPr>
            <w:r>
              <w:t>Investir na instalação de painéis solares em unidades de saúde para reduzir o consumo de energia da rede elétrica e garantir um fornecimento sustentável.</w:t>
            </w:r>
          </w:p>
          <w:p w14:paraId="6308078D">
            <w:pPr>
              <w:numPr>
                <w:ilvl w:val="0"/>
                <w:numId w:val="25"/>
              </w:numPr>
              <w:spacing w:before="100" w:beforeAutospacing="1" w:after="100" w:afterAutospacing="1"/>
              <w:jc w:val="both"/>
            </w:pPr>
            <w:r>
              <w:rPr>
                <w:b/>
                <w:bCs/>
              </w:rPr>
              <w:t>Justificativa Técnica</w:t>
            </w:r>
            <w:r>
              <w:t>:</w:t>
            </w:r>
          </w:p>
          <w:p w14:paraId="46169233">
            <w:pPr>
              <w:numPr>
                <w:ilvl w:val="1"/>
                <w:numId w:val="25"/>
              </w:numPr>
              <w:spacing w:before="100" w:beforeAutospacing="1" w:after="100" w:afterAutospacing="1"/>
              <w:jc w:val="both"/>
            </w:pPr>
            <w:r>
              <w:t>O uso de equipamentos de alta eficiência energética é essencial para minimizar o consumo de energia, especialmente em instalações que demandam refrigeração contínua de medicamentos.</w:t>
            </w:r>
          </w:p>
          <w:p w14:paraId="6AF39088">
            <w:pPr>
              <w:numPr>
                <w:ilvl w:val="1"/>
                <w:numId w:val="25"/>
              </w:numPr>
              <w:spacing w:before="100" w:beforeAutospacing="1" w:after="100" w:afterAutospacing="1"/>
              <w:jc w:val="both"/>
            </w:pPr>
            <w:r>
              <w:t>Sistemas solares fotovoltaicos são uma fonte de energia limpa e renovável, que podem complementar ou até mesmo suprir completamente a demanda energética de unidades de saúde, garantindo maior autonomia e resiliência.</w:t>
            </w:r>
          </w:p>
          <w:p w14:paraId="1CFCA1BA">
            <w:pPr>
              <w:numPr>
                <w:ilvl w:val="0"/>
                <w:numId w:val="25"/>
              </w:numPr>
              <w:spacing w:before="100" w:beforeAutospacing="1" w:after="100" w:afterAutospacing="1"/>
              <w:jc w:val="both"/>
            </w:pPr>
            <w:r>
              <w:rPr>
                <w:b/>
                <w:bCs/>
              </w:rPr>
              <w:t>Justificativa Econômica</w:t>
            </w:r>
            <w:r>
              <w:t>:</w:t>
            </w:r>
          </w:p>
          <w:p w14:paraId="22D51AD6">
            <w:pPr>
              <w:numPr>
                <w:ilvl w:val="1"/>
                <w:numId w:val="25"/>
              </w:numPr>
              <w:spacing w:before="100" w:beforeAutospacing="1" w:after="100" w:afterAutospacing="1"/>
              <w:jc w:val="both"/>
            </w:pPr>
            <w:r>
              <w:t>Embora a aquisição de equipamentos eficientes e a instalação de painéis solares exijam um investimento inicial mais alto, o retorno sobre o investimento é garantido pela economia de energia ao longo dos anos.</w:t>
            </w:r>
          </w:p>
          <w:p w14:paraId="64735B68">
            <w:pPr>
              <w:numPr>
                <w:ilvl w:val="1"/>
                <w:numId w:val="25"/>
              </w:numPr>
              <w:spacing w:before="100" w:beforeAutospacing="1" w:after="100" w:afterAutospacing="1"/>
              <w:jc w:val="both"/>
            </w:pPr>
            <w:r>
              <w:t>Além disso, a redução na conta de energia elétrica pode liberar recursos financeiros para outras necessidades da saúde pública municipal.</w:t>
            </w:r>
          </w:p>
          <w:p w14:paraId="3886928D">
            <w:pPr>
              <w:spacing w:before="100" w:beforeAutospacing="1" w:after="100" w:afterAutospacing="1"/>
              <w:jc w:val="both"/>
              <w:outlineLvl w:val="2"/>
              <w:rPr>
                <w:b/>
                <w:bCs/>
              </w:rPr>
            </w:pPr>
            <w:r>
              <w:rPr>
                <w:b/>
                <w:bCs/>
              </w:rPr>
              <w:t>3. Escolha de Fornecedores Comprometidos com a Sustentabilidade</w:t>
            </w:r>
          </w:p>
          <w:p w14:paraId="1DB10909">
            <w:pPr>
              <w:numPr>
                <w:ilvl w:val="0"/>
                <w:numId w:val="26"/>
              </w:numPr>
              <w:spacing w:before="100" w:beforeAutospacing="1" w:after="100" w:afterAutospacing="1"/>
              <w:jc w:val="both"/>
            </w:pPr>
            <w:r>
              <w:rPr>
                <w:b/>
                <w:bCs/>
              </w:rPr>
              <w:t>Descrição da Solução</w:t>
            </w:r>
            <w:r>
              <w:t>:</w:t>
            </w:r>
          </w:p>
          <w:p w14:paraId="2BB461A2">
            <w:pPr>
              <w:numPr>
                <w:ilvl w:val="1"/>
                <w:numId w:val="26"/>
              </w:numPr>
              <w:spacing w:before="100" w:beforeAutospacing="1" w:after="100" w:afterAutospacing="1"/>
              <w:jc w:val="both"/>
            </w:pPr>
            <w:r>
              <w:t>Priorizar a compra de medicamentos de fornecedores que adotam práticas sustentáveis em seus processos de produção, como a utilização de matérias-primas renováveis, embalagens recicláveis e a implementação de programas de responsabilidade ambiental.</w:t>
            </w:r>
          </w:p>
          <w:p w14:paraId="421242A4">
            <w:pPr>
              <w:numPr>
                <w:ilvl w:val="1"/>
                <w:numId w:val="26"/>
              </w:numPr>
              <w:spacing w:before="100" w:beforeAutospacing="1" w:after="100" w:afterAutospacing="1"/>
              <w:jc w:val="both"/>
            </w:pPr>
            <w:r>
              <w:t>Exigir que os fornecedores cumpram com as normas de boas práticas ambientais e demonstrem certificações de sustentabilidade.</w:t>
            </w:r>
          </w:p>
          <w:p w14:paraId="51936FA9">
            <w:pPr>
              <w:numPr>
                <w:ilvl w:val="0"/>
                <w:numId w:val="26"/>
              </w:numPr>
              <w:spacing w:before="100" w:beforeAutospacing="1" w:after="100" w:afterAutospacing="1"/>
              <w:jc w:val="both"/>
            </w:pPr>
            <w:r>
              <w:rPr>
                <w:b/>
                <w:bCs/>
              </w:rPr>
              <w:t>Justificativa Técnica</w:t>
            </w:r>
            <w:r>
              <w:t>:</w:t>
            </w:r>
          </w:p>
          <w:p w14:paraId="202F7752">
            <w:pPr>
              <w:numPr>
                <w:ilvl w:val="1"/>
                <w:numId w:val="26"/>
              </w:numPr>
              <w:spacing w:before="100" w:beforeAutospacing="1" w:after="100" w:afterAutospacing="1"/>
              <w:jc w:val="both"/>
            </w:pPr>
            <w:r>
              <w:t>Escolher fornecedores sustentáveis assegura que os medicamentos adquiridos já têm um menor impacto ambiental desde a sua produção. Esses fornecedores geralmente utilizam processos menos agressivos ao meio ambiente e se comprometem com práticas de responsabilidade social.</w:t>
            </w:r>
          </w:p>
          <w:p w14:paraId="58013EDB">
            <w:pPr>
              <w:numPr>
                <w:ilvl w:val="1"/>
                <w:numId w:val="26"/>
              </w:numPr>
              <w:spacing w:before="100" w:beforeAutospacing="1" w:after="100" w:afterAutospacing="1"/>
              <w:jc w:val="both"/>
            </w:pPr>
            <w:r>
              <w:t>A adoção de critérios de sustentabilidade na escolha dos fornecedores também contribui para a melhoria contínua dos padrões ambientais na cadeia de suprimentos.</w:t>
            </w:r>
          </w:p>
          <w:p w14:paraId="42D54EFF">
            <w:pPr>
              <w:numPr>
                <w:ilvl w:val="0"/>
                <w:numId w:val="26"/>
              </w:numPr>
              <w:spacing w:before="100" w:beforeAutospacing="1" w:after="100" w:afterAutospacing="1"/>
              <w:jc w:val="both"/>
            </w:pPr>
            <w:r>
              <w:rPr>
                <w:b/>
                <w:bCs/>
              </w:rPr>
              <w:t>Justificativa Econômica</w:t>
            </w:r>
            <w:r>
              <w:t>:</w:t>
            </w:r>
          </w:p>
          <w:p w14:paraId="0C4454A5">
            <w:pPr>
              <w:numPr>
                <w:ilvl w:val="1"/>
                <w:numId w:val="26"/>
              </w:numPr>
              <w:spacing w:before="100" w:beforeAutospacing="1" w:after="100" w:afterAutospacing="1"/>
              <w:jc w:val="both"/>
            </w:pPr>
            <w:r>
              <w:t>Mesmo que medicamentos de fornecedores sustentáveis possam ter um custo ligeiramente superior, esse valor é compensado pela redução dos impactos ambientais e dos custos associados à mitigação desses impactos.</w:t>
            </w:r>
          </w:p>
          <w:p w14:paraId="347006C6">
            <w:pPr>
              <w:numPr>
                <w:ilvl w:val="1"/>
                <w:numId w:val="26"/>
              </w:numPr>
              <w:spacing w:before="100" w:beforeAutospacing="1" w:after="100" w:afterAutospacing="1"/>
              <w:jc w:val="both"/>
            </w:pPr>
            <w:r>
              <w:t>Além disso, o município pode se beneficiar de incentivos fiscais e de programas de financiamento voltados para compras sustentáveis, reduzindo o impacto financeiro.</w:t>
            </w:r>
          </w:p>
          <w:p w14:paraId="48C0A2AF">
            <w:pPr>
              <w:spacing w:before="100" w:beforeAutospacing="1" w:after="100" w:afterAutospacing="1"/>
              <w:jc w:val="both"/>
              <w:outlineLvl w:val="2"/>
              <w:rPr>
                <w:b/>
                <w:bCs/>
              </w:rPr>
            </w:pPr>
            <w:r>
              <w:rPr>
                <w:b/>
                <w:bCs/>
              </w:rPr>
              <w:t>4. Descarte Seguro e Controlado de Medicamentos</w:t>
            </w:r>
          </w:p>
          <w:p w14:paraId="212DFBBA">
            <w:pPr>
              <w:numPr>
                <w:ilvl w:val="0"/>
                <w:numId w:val="27"/>
              </w:numPr>
              <w:spacing w:before="100" w:beforeAutospacing="1" w:after="100" w:afterAutospacing="1"/>
              <w:jc w:val="both"/>
            </w:pPr>
            <w:r>
              <w:rPr>
                <w:b/>
                <w:bCs/>
              </w:rPr>
              <w:t>Descrição da Solução</w:t>
            </w:r>
            <w:r>
              <w:t>:</w:t>
            </w:r>
          </w:p>
          <w:p w14:paraId="7C1ED47A">
            <w:pPr>
              <w:numPr>
                <w:ilvl w:val="1"/>
                <w:numId w:val="27"/>
              </w:numPr>
              <w:spacing w:before="100" w:beforeAutospacing="1" w:after="100" w:afterAutospacing="1"/>
              <w:jc w:val="both"/>
            </w:pPr>
            <w:r>
              <w:t>Implementar um protocolo de descarte seguro de medicamentos vencidos ou inapropriados para uso, envolvendo a coleta, transporte e incineração controlada ou outros métodos seguros de eliminação.</w:t>
            </w:r>
          </w:p>
          <w:p w14:paraId="45CA3838">
            <w:pPr>
              <w:numPr>
                <w:ilvl w:val="0"/>
                <w:numId w:val="27"/>
              </w:numPr>
              <w:spacing w:before="100" w:beforeAutospacing="1" w:after="100" w:afterAutospacing="1"/>
              <w:jc w:val="both"/>
            </w:pPr>
            <w:r>
              <w:rPr>
                <w:b/>
                <w:bCs/>
              </w:rPr>
              <w:t>Justificativa Técnica</w:t>
            </w:r>
            <w:r>
              <w:t>:</w:t>
            </w:r>
          </w:p>
          <w:p w14:paraId="79DB8565">
            <w:pPr>
              <w:numPr>
                <w:ilvl w:val="1"/>
                <w:numId w:val="27"/>
              </w:numPr>
              <w:spacing w:before="100" w:beforeAutospacing="1" w:after="100" w:afterAutospacing="1"/>
              <w:jc w:val="both"/>
            </w:pPr>
            <w:r>
              <w:t>O descarte inadequado de medicamentos pode causar sérios riscos à saúde pública e ao meio ambiente. Portanto, é essencial estabelecer um protocolo que assegure que esses produtos sejam eliminados de maneira segura e eficiente.</w:t>
            </w:r>
          </w:p>
          <w:p w14:paraId="759977B6">
            <w:pPr>
              <w:numPr>
                <w:ilvl w:val="1"/>
                <w:numId w:val="27"/>
              </w:numPr>
              <w:spacing w:before="100" w:beforeAutospacing="1" w:after="100" w:afterAutospacing="1"/>
              <w:jc w:val="both"/>
            </w:pPr>
            <w:r>
              <w:t>Técnicas como incineração controlada garantem que substâncias químicas perigosas sejam destruídas sem liberar toxinas no meio ambiente.</w:t>
            </w:r>
          </w:p>
          <w:p w14:paraId="1B92836C">
            <w:pPr>
              <w:numPr>
                <w:ilvl w:val="0"/>
                <w:numId w:val="27"/>
              </w:numPr>
              <w:spacing w:before="100" w:beforeAutospacing="1" w:after="100" w:afterAutospacing="1"/>
              <w:jc w:val="both"/>
            </w:pPr>
            <w:r>
              <w:rPr>
                <w:b/>
                <w:bCs/>
              </w:rPr>
              <w:t>Justificativa Econômica</w:t>
            </w:r>
            <w:r>
              <w:t>:</w:t>
            </w:r>
          </w:p>
          <w:p w14:paraId="5EC874EA">
            <w:pPr>
              <w:numPr>
                <w:ilvl w:val="1"/>
                <w:numId w:val="27"/>
              </w:numPr>
              <w:spacing w:before="100" w:beforeAutospacing="1" w:after="100" w:afterAutospacing="1"/>
              <w:jc w:val="both"/>
            </w:pPr>
            <w:r>
              <w:t>Embora a implementação desse protocolo possa acarretar custos operacionais, como transporte e incineração, esses custos são justificados pela redução dos riscos à saúde e ao meio ambiente, que poderiam resultar em despesas muito maiores se não tratados adequadamente.</w:t>
            </w:r>
          </w:p>
          <w:p w14:paraId="4B3A1511">
            <w:pPr>
              <w:numPr>
                <w:ilvl w:val="1"/>
                <w:numId w:val="27"/>
              </w:numPr>
              <w:spacing w:before="100" w:beforeAutospacing="1" w:after="100" w:afterAutospacing="1"/>
              <w:jc w:val="both"/>
            </w:pPr>
            <w:r>
              <w:t>A prevenção de contaminações e danos ambientais pode evitar multas e sanções legais, além de proteger a reputação do município.</w:t>
            </w:r>
          </w:p>
          <w:p w14:paraId="0E4701C6">
            <w:pPr>
              <w:spacing w:before="100" w:beforeAutospacing="1" w:after="100" w:afterAutospacing="1"/>
              <w:jc w:val="both"/>
              <w:outlineLvl w:val="2"/>
              <w:rPr>
                <w:b/>
                <w:bCs/>
              </w:rPr>
            </w:pPr>
            <w:r>
              <w:rPr>
                <w:b/>
                <w:bCs/>
              </w:rPr>
              <w:t>Conclusão</w:t>
            </w:r>
          </w:p>
          <w:p w14:paraId="551BBF2D">
            <w:pPr>
              <w:spacing w:before="100" w:beforeAutospacing="1" w:after="100" w:afterAutospacing="1"/>
              <w:jc w:val="both"/>
              <w:rPr>
                <w:szCs w:val="24"/>
              </w:rPr>
            </w:pPr>
            <w:r>
              <w:t>A solução proposta para a aquisição de medicamentos hospitalares em Trizidela do Vale - MA prioriza práticas sustentáveis e ambientalmente responsáveis. As medidas sugeridas são justificadas tanto por sua eficácia técnica quanto pelos benefícios econômicos a longo prazo. Implementar essas práticas não só ajudará a reduzir os impactos ambientais associados à aquisição de medicamentos, mas também garantirá a sustentabilidade e a saúde pública no município.</w:t>
            </w:r>
          </w:p>
        </w:tc>
      </w:tr>
      <w:tr w14:paraId="199EB83F">
        <w:tblPrEx>
          <w:tblCellMar>
            <w:top w:w="0" w:type="dxa"/>
            <w:left w:w="70" w:type="dxa"/>
            <w:bottom w:w="0" w:type="dxa"/>
            <w:right w:w="70" w:type="dxa"/>
          </w:tblCellMar>
        </w:tblPrEx>
        <w:trPr>
          <w:gridAfter w:val="5"/>
          <w:wAfter w:w="89" w:type="dxa"/>
          <w:trHeight w:val="374" w:hRule="atLeast"/>
          <w:jc w:val="center"/>
        </w:trPr>
        <w:tc>
          <w:tcPr>
            <w:tcW w:w="9958" w:type="dxa"/>
            <w:gridSpan w:val="6"/>
          </w:tcPr>
          <w:p w14:paraId="2C79907C">
            <w:pPr>
              <w:autoSpaceDE w:val="0"/>
              <w:autoSpaceDN w:val="0"/>
              <w:adjustRightInd w:val="0"/>
              <w:spacing w:line="160" w:lineRule="exact"/>
              <w:rPr>
                <w:sz w:val="18"/>
                <w:szCs w:val="18"/>
              </w:rPr>
            </w:pPr>
          </w:p>
          <w:p w14:paraId="73DD6CD2">
            <w:pPr>
              <w:autoSpaceDE w:val="0"/>
              <w:autoSpaceDN w:val="0"/>
              <w:adjustRightInd w:val="0"/>
              <w:spacing w:line="160" w:lineRule="exact"/>
              <w:rPr>
                <w:sz w:val="18"/>
                <w:szCs w:val="18"/>
              </w:rPr>
            </w:pPr>
          </w:p>
          <w:p w14:paraId="10A4B41F">
            <w:pPr>
              <w:autoSpaceDE w:val="0"/>
              <w:autoSpaceDN w:val="0"/>
              <w:adjustRightInd w:val="0"/>
              <w:spacing w:line="160" w:lineRule="exact"/>
              <w:jc w:val="center"/>
              <w:rPr>
                <w:sz w:val="18"/>
                <w:szCs w:val="18"/>
              </w:rPr>
            </w:pPr>
          </w:p>
        </w:tc>
      </w:tr>
      <w:tr w14:paraId="4E5074D4">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790EF817">
            <w:pPr>
              <w:autoSpaceDE w:val="0"/>
              <w:autoSpaceDN w:val="0"/>
              <w:adjustRightInd w:val="0"/>
              <w:rPr>
                <w:b/>
                <w:bCs/>
              </w:rPr>
            </w:pPr>
            <w:r>
              <w:rPr>
                <w:b/>
                <w:bCs/>
              </w:rPr>
              <w:t>13.</w:t>
            </w:r>
            <w:r>
              <w:t xml:space="preserve"> Justificativas para o parcelamento ou não da solução, se aplicável</w:t>
            </w:r>
            <w:r>
              <w:rPr>
                <w:b/>
                <w:bCs/>
              </w:rPr>
              <w:t>*</w:t>
            </w:r>
          </w:p>
        </w:tc>
      </w:tr>
      <w:tr w14:paraId="7A4D4DA2">
        <w:tblPrEx>
          <w:tblCellMar>
            <w:top w:w="0" w:type="dxa"/>
            <w:left w:w="70" w:type="dxa"/>
            <w:bottom w:w="0" w:type="dxa"/>
            <w:right w:w="70" w:type="dxa"/>
          </w:tblCellMar>
        </w:tblPrEx>
        <w:trPr>
          <w:gridAfter w:val="3"/>
          <w:wAfter w:w="25" w:type="dxa"/>
          <w:trHeight w:val="28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7F9EC732">
            <w:pPr>
              <w:spacing w:before="240" w:after="240"/>
              <w:jc w:val="both"/>
            </w:pPr>
            <w:r>
              <w:t>Em regra, conforme § 1° do art. 18 da Lei n° 14.133/21, o objeto deverá ser divididas em tantas parcelas quantas se comprovarem técnica e economicamente viáveis, procedendo-se à licitação com vistas ao melhor aproveitamento dos recursos disponíveis no mercado e à ampliação da competitividade sem perda da economia de escala (Súmula 247 do TCU).</w:t>
            </w:r>
          </w:p>
          <w:p w14:paraId="094CD5BC">
            <w:pPr>
              <w:spacing w:before="240" w:after="240"/>
              <w:jc w:val="both"/>
            </w:pPr>
            <w:r>
              <w:t xml:space="preserve">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 </w:t>
            </w:r>
          </w:p>
          <w:p w14:paraId="63B0377B">
            <w:pPr>
              <w:spacing w:before="240" w:after="240"/>
              <w:jc w:val="both"/>
            </w:pPr>
            <w:r>
              <w:t>O disposto encontra-se aplicável na presente demanda, não sendo vislumbrado, no momento, motivações para a não adoção do parcelamento do objeto em itens.</w:t>
            </w:r>
          </w:p>
        </w:tc>
      </w:tr>
      <w:tr w14:paraId="6DDCA8FC">
        <w:tblPrEx>
          <w:tblCellMar>
            <w:top w:w="0" w:type="dxa"/>
            <w:left w:w="70" w:type="dxa"/>
            <w:bottom w:w="0" w:type="dxa"/>
            <w:right w:w="70" w:type="dxa"/>
          </w:tblCellMar>
        </w:tblPrEx>
        <w:trPr>
          <w:gridAfter w:val="6"/>
          <w:wAfter w:w="107" w:type="dxa"/>
          <w:trHeight w:val="374" w:hRule="atLeast"/>
          <w:jc w:val="center"/>
        </w:trPr>
        <w:tc>
          <w:tcPr>
            <w:tcW w:w="9940" w:type="dxa"/>
            <w:gridSpan w:val="5"/>
          </w:tcPr>
          <w:p w14:paraId="02A84BE6">
            <w:pPr>
              <w:autoSpaceDE w:val="0"/>
              <w:autoSpaceDN w:val="0"/>
              <w:adjustRightInd w:val="0"/>
              <w:spacing w:line="160" w:lineRule="exact"/>
              <w:rPr>
                <w:sz w:val="18"/>
                <w:szCs w:val="18"/>
              </w:rPr>
            </w:pPr>
          </w:p>
          <w:p w14:paraId="43236877">
            <w:pPr>
              <w:autoSpaceDE w:val="0"/>
              <w:autoSpaceDN w:val="0"/>
              <w:adjustRightInd w:val="0"/>
              <w:spacing w:line="160" w:lineRule="exact"/>
              <w:jc w:val="center"/>
              <w:rPr>
                <w:sz w:val="18"/>
                <w:szCs w:val="18"/>
              </w:rPr>
            </w:pPr>
          </w:p>
          <w:p w14:paraId="406B6CCE">
            <w:pPr>
              <w:autoSpaceDE w:val="0"/>
              <w:autoSpaceDN w:val="0"/>
              <w:adjustRightInd w:val="0"/>
              <w:spacing w:line="160" w:lineRule="exact"/>
              <w:jc w:val="center"/>
              <w:rPr>
                <w:sz w:val="18"/>
                <w:szCs w:val="18"/>
              </w:rPr>
            </w:pPr>
          </w:p>
          <w:p w14:paraId="7439F0ED">
            <w:pPr>
              <w:autoSpaceDE w:val="0"/>
              <w:autoSpaceDN w:val="0"/>
              <w:adjustRightInd w:val="0"/>
              <w:spacing w:line="160" w:lineRule="exact"/>
              <w:jc w:val="center"/>
              <w:rPr>
                <w:sz w:val="18"/>
                <w:szCs w:val="18"/>
              </w:rPr>
            </w:pPr>
          </w:p>
        </w:tc>
      </w:tr>
      <w:tr w14:paraId="042580EB">
        <w:tblPrEx>
          <w:tblCellMar>
            <w:top w:w="0" w:type="dxa"/>
            <w:left w:w="70" w:type="dxa"/>
            <w:bottom w:w="0" w:type="dxa"/>
            <w:right w:w="70" w:type="dxa"/>
          </w:tblCellMar>
        </w:tblPrEx>
        <w:trPr>
          <w:gridAfter w:val="3"/>
          <w:wAfter w:w="25" w:type="dxa"/>
          <w:trHeight w:val="848"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454BB32C">
            <w:pPr>
              <w:autoSpaceDE w:val="0"/>
              <w:autoSpaceDN w:val="0"/>
              <w:adjustRightInd w:val="0"/>
              <w:jc w:val="both"/>
              <w:rPr>
                <w:b/>
                <w:bCs/>
              </w:rPr>
            </w:pPr>
            <w:r>
              <w:rPr>
                <w:b/>
                <w:bCs/>
              </w:rPr>
              <w:t xml:space="preserve">14. </w:t>
            </w:r>
            <w:r>
              <w:t>Demonstração do alinhamento entre a contratação e o planejamento do órgão ou entidade, identificando a previsão no Plano Anual de Contratações ou, se for o caso, justificando a ausência de previsão</w:t>
            </w:r>
            <w:r>
              <w:rPr>
                <w:b/>
                <w:bCs/>
              </w:rPr>
              <w:t>*</w:t>
            </w:r>
          </w:p>
        </w:tc>
      </w:tr>
      <w:tr w14:paraId="0B95DDBD">
        <w:tblPrEx>
          <w:tblCellMar>
            <w:top w:w="0" w:type="dxa"/>
            <w:left w:w="70" w:type="dxa"/>
            <w:bottom w:w="0" w:type="dxa"/>
            <w:right w:w="70" w:type="dxa"/>
          </w:tblCellMar>
        </w:tblPrEx>
        <w:trPr>
          <w:gridAfter w:val="3"/>
          <w:wAfter w:w="25" w:type="dxa"/>
          <w:trHeight w:val="28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2DCF7A5C">
            <w:pPr>
              <w:autoSpaceDE w:val="0"/>
              <w:autoSpaceDN w:val="0"/>
              <w:adjustRightInd w:val="0"/>
              <w:spacing w:before="240" w:after="120"/>
              <w:jc w:val="both"/>
            </w:pPr>
            <w:r>
              <w:t>O objeto da contratação está previsto na LOA.</w:t>
            </w:r>
          </w:p>
        </w:tc>
      </w:tr>
      <w:tr w14:paraId="7D1C9B28">
        <w:tblPrEx>
          <w:tblCellMar>
            <w:top w:w="0" w:type="dxa"/>
            <w:left w:w="70" w:type="dxa"/>
            <w:bottom w:w="0" w:type="dxa"/>
            <w:right w:w="70" w:type="dxa"/>
          </w:tblCellMar>
        </w:tblPrEx>
        <w:trPr>
          <w:gridAfter w:val="7"/>
          <w:wAfter w:w="123" w:type="dxa"/>
          <w:trHeight w:val="374" w:hRule="atLeast"/>
          <w:jc w:val="center"/>
        </w:trPr>
        <w:tc>
          <w:tcPr>
            <w:tcW w:w="9924" w:type="dxa"/>
            <w:gridSpan w:val="4"/>
          </w:tcPr>
          <w:p w14:paraId="0F6845A0">
            <w:pPr>
              <w:autoSpaceDE w:val="0"/>
              <w:autoSpaceDN w:val="0"/>
              <w:adjustRightInd w:val="0"/>
              <w:spacing w:line="160" w:lineRule="exact"/>
              <w:jc w:val="center"/>
              <w:rPr>
                <w:sz w:val="18"/>
                <w:szCs w:val="18"/>
              </w:rPr>
            </w:pPr>
          </w:p>
          <w:p w14:paraId="5C075588">
            <w:pPr>
              <w:autoSpaceDE w:val="0"/>
              <w:autoSpaceDN w:val="0"/>
              <w:adjustRightInd w:val="0"/>
              <w:spacing w:line="160" w:lineRule="exact"/>
              <w:jc w:val="center"/>
              <w:rPr>
                <w:sz w:val="18"/>
                <w:szCs w:val="18"/>
              </w:rPr>
            </w:pPr>
          </w:p>
          <w:p w14:paraId="2069277D">
            <w:pPr>
              <w:autoSpaceDE w:val="0"/>
              <w:autoSpaceDN w:val="0"/>
              <w:adjustRightInd w:val="0"/>
              <w:spacing w:line="160" w:lineRule="exact"/>
              <w:jc w:val="center"/>
              <w:rPr>
                <w:sz w:val="18"/>
                <w:szCs w:val="18"/>
              </w:rPr>
            </w:pPr>
          </w:p>
        </w:tc>
      </w:tr>
      <w:tr w14:paraId="40EFFF52">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4D7948F0">
            <w:pPr>
              <w:autoSpaceDE w:val="0"/>
              <w:autoSpaceDN w:val="0"/>
              <w:adjustRightInd w:val="0"/>
              <w:rPr>
                <w:b/>
                <w:bCs/>
              </w:rPr>
            </w:pPr>
            <w:r>
              <w:rPr>
                <w:b/>
                <w:bCs/>
              </w:rPr>
              <w:t xml:space="preserve">15. </w:t>
            </w:r>
            <w:r>
              <w:t>Declaração de viabilidade</w:t>
            </w:r>
            <w:r>
              <w:rPr>
                <w:b/>
                <w:bCs/>
              </w:rPr>
              <w:t>*</w:t>
            </w:r>
          </w:p>
        </w:tc>
      </w:tr>
      <w:tr w14:paraId="2A971969">
        <w:tblPrEx>
          <w:tblCellMar>
            <w:top w:w="0" w:type="dxa"/>
            <w:left w:w="70" w:type="dxa"/>
            <w:bottom w:w="0" w:type="dxa"/>
            <w:right w:w="70" w:type="dxa"/>
          </w:tblCellMar>
        </w:tblPrEx>
        <w:trPr>
          <w:gridAfter w:val="3"/>
          <w:wAfter w:w="25" w:type="dxa"/>
          <w:trHeight w:val="1025"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5222C85A">
            <w:pPr>
              <w:autoSpaceDE w:val="0"/>
              <w:autoSpaceDN w:val="0"/>
              <w:adjustRightInd w:val="0"/>
              <w:spacing w:after="60"/>
            </w:pPr>
            <w:r>
              <w:t>Declaramos, considerando todo o exposto nestes Estudos Preliminares, que a contratação:</w:t>
            </w:r>
          </w:p>
          <w:p w14:paraId="1B6CFD30">
            <w:pPr>
              <w:autoSpaceDE w:val="0"/>
              <w:autoSpaceDN w:val="0"/>
              <w:adjustRightInd w:val="0"/>
              <w:spacing w:after="60"/>
            </w:pPr>
            <w:r>
              <w:rPr>
                <w:b/>
              </w:rPr>
              <w:t>[ X ] é viável</w:t>
            </w:r>
            <w:r>
              <w:t xml:space="preserve">         </w:t>
            </w:r>
          </w:p>
          <w:p w14:paraId="3F39E1C5">
            <w:pPr>
              <w:autoSpaceDE w:val="0"/>
              <w:autoSpaceDN w:val="0"/>
              <w:adjustRightInd w:val="0"/>
              <w:spacing w:after="60"/>
            </w:pPr>
            <w:r>
              <w:t>[    ] não é viável</w:t>
            </w:r>
          </w:p>
        </w:tc>
      </w:tr>
      <w:tr w14:paraId="40EA0466">
        <w:tblPrEx>
          <w:tblCellMar>
            <w:top w:w="0" w:type="dxa"/>
            <w:left w:w="70" w:type="dxa"/>
            <w:bottom w:w="0" w:type="dxa"/>
            <w:right w:w="70" w:type="dxa"/>
          </w:tblCellMar>
        </w:tblPrEx>
        <w:trPr>
          <w:gridAfter w:val="8"/>
          <w:wAfter w:w="131" w:type="dxa"/>
          <w:trHeight w:val="374" w:hRule="atLeast"/>
          <w:jc w:val="center"/>
        </w:trPr>
        <w:tc>
          <w:tcPr>
            <w:tcW w:w="9916" w:type="dxa"/>
            <w:gridSpan w:val="3"/>
          </w:tcPr>
          <w:p w14:paraId="01B698A1">
            <w:pPr>
              <w:autoSpaceDE w:val="0"/>
              <w:autoSpaceDN w:val="0"/>
              <w:adjustRightInd w:val="0"/>
              <w:spacing w:line="160" w:lineRule="exact"/>
              <w:jc w:val="center"/>
              <w:rPr>
                <w:sz w:val="18"/>
                <w:szCs w:val="18"/>
              </w:rPr>
            </w:pPr>
          </w:p>
          <w:p w14:paraId="29FEC7D9">
            <w:pPr>
              <w:autoSpaceDE w:val="0"/>
              <w:autoSpaceDN w:val="0"/>
              <w:adjustRightInd w:val="0"/>
              <w:spacing w:line="160" w:lineRule="exact"/>
              <w:jc w:val="center"/>
              <w:rPr>
                <w:sz w:val="18"/>
                <w:szCs w:val="18"/>
              </w:rPr>
            </w:pPr>
          </w:p>
          <w:p w14:paraId="2E45A57A">
            <w:pPr>
              <w:autoSpaceDE w:val="0"/>
              <w:autoSpaceDN w:val="0"/>
              <w:adjustRightInd w:val="0"/>
              <w:spacing w:line="160" w:lineRule="exact"/>
              <w:jc w:val="center"/>
              <w:rPr>
                <w:sz w:val="18"/>
                <w:szCs w:val="18"/>
              </w:rPr>
            </w:pPr>
          </w:p>
        </w:tc>
      </w:tr>
      <w:tr w14:paraId="5A2A609A">
        <w:tblPrEx>
          <w:tblCellMar>
            <w:top w:w="0" w:type="dxa"/>
            <w:left w:w="70" w:type="dxa"/>
            <w:bottom w:w="0" w:type="dxa"/>
            <w:right w:w="70" w:type="dxa"/>
          </w:tblCellMar>
        </w:tblPrEx>
        <w:trPr>
          <w:gridAfter w:val="3"/>
          <w:wAfter w:w="25" w:type="dxa"/>
          <w:trHeight w:val="672"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6CB7970B">
            <w:pPr>
              <w:autoSpaceDE w:val="0"/>
              <w:autoSpaceDN w:val="0"/>
              <w:adjustRightInd w:val="0"/>
              <w:rPr>
                <w:b/>
                <w:bCs/>
              </w:rPr>
            </w:pPr>
            <w:r>
              <w:rPr>
                <w:b/>
                <w:bCs/>
              </w:rPr>
              <w:t>16.</w:t>
            </w:r>
            <w:r>
              <w:t xml:space="preserve"> Há necessidade de classificar os Estudos Preliminares como </w:t>
            </w:r>
            <w:r>
              <w:rPr>
                <w:b/>
                <w:bCs/>
                <w:u w:val="single"/>
              </w:rPr>
              <w:t>sigiloso</w:t>
            </w:r>
            <w:r>
              <w:t xml:space="preserve">, nos termos da Lei nº 12.527/2011? </w:t>
            </w:r>
            <w:r>
              <w:rPr>
                <w:b/>
                <w:bCs/>
              </w:rPr>
              <w:t>Caso negativo, estes Estudos Preliminares devem ser anexos do TR/PB.</w:t>
            </w:r>
          </w:p>
        </w:tc>
      </w:tr>
      <w:tr w14:paraId="04FDB67B">
        <w:tblPrEx>
          <w:tblCellMar>
            <w:top w:w="0" w:type="dxa"/>
            <w:left w:w="70" w:type="dxa"/>
            <w:bottom w:w="0" w:type="dxa"/>
            <w:right w:w="70" w:type="dxa"/>
          </w:tblCellMar>
        </w:tblPrEx>
        <w:trPr>
          <w:gridAfter w:val="3"/>
          <w:wAfter w:w="25" w:type="dxa"/>
          <w:trHeight w:val="598"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26C8EB75">
            <w:pPr>
              <w:autoSpaceDE w:val="0"/>
              <w:autoSpaceDN w:val="0"/>
              <w:adjustRightInd w:val="0"/>
              <w:spacing w:before="120" w:after="120"/>
            </w:pPr>
            <w:r>
              <w:t>ETP não-sigiloso.</w:t>
            </w:r>
          </w:p>
        </w:tc>
      </w:tr>
    </w:tbl>
    <w:p w14:paraId="36FD89E4">
      <w:pPr>
        <w:tabs>
          <w:tab w:val="left" w:pos="8504"/>
        </w:tabs>
        <w:ind w:right="-1"/>
        <w:jc w:val="center"/>
        <w:rPr>
          <w:sz w:val="18"/>
          <w:szCs w:val="18"/>
        </w:rPr>
      </w:pPr>
    </w:p>
    <w:sectPr>
      <w:headerReference r:id="rId5" w:type="default"/>
      <w:footerReference r:id="rId6" w:type="default"/>
      <w:footerReference r:id="rId7" w:type="even"/>
      <w:pgSz w:w="11906" w:h="16838"/>
      <w:pgMar w:top="1417" w:right="1274" w:bottom="1417" w:left="1701" w:header="426" w:footer="521"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Futura Lt BT">
    <w:altName w:val="Segoe Print"/>
    <w:panose1 w:val="00000000000000000000"/>
    <w:charset w:val="00"/>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Ecofont_Spranq_eco_Sans">
    <w:altName w:val="Malgun Gothic"/>
    <w:panose1 w:val="00000000000000000000"/>
    <w:charset w:val="00"/>
    <w:family w:val="swiss"/>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169377"/>
      <w:docPartObj>
        <w:docPartGallery w:val="AutoText"/>
      </w:docPartObj>
    </w:sdtPr>
    <w:sdtEndPr>
      <w:rPr>
        <w:rFonts w:ascii="Arial" w:hAnsi="Arial" w:cs="Arial"/>
        <w:sz w:val="20"/>
        <w:szCs w:val="16"/>
      </w:rPr>
    </w:sdtEndPr>
    <w:sdtContent>
      <w:p w14:paraId="0E03E3E4">
        <w:r>
          <w:drawing>
            <wp:anchor distT="0" distB="0" distL="114300" distR="114300" simplePos="0" relativeHeight="251659264" behindDoc="0" locked="0" layoutInCell="1" allowOverlap="1">
              <wp:simplePos x="0" y="0"/>
              <wp:positionH relativeFrom="margin">
                <wp:posOffset>5876925</wp:posOffset>
              </wp:positionH>
              <wp:positionV relativeFrom="paragraph">
                <wp:posOffset>-1331595</wp:posOffset>
              </wp:positionV>
              <wp:extent cx="571500" cy="2414905"/>
              <wp:effectExtent l="0" t="0" r="0" b="4445"/>
              <wp:wrapSquare wrapText="bothSides"/>
              <wp:docPr id="1715186496" name="Imagem 171518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86496" name="Imagem 17151864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2414905"/>
                      </a:xfrm>
                      <a:prstGeom prst="rect">
                        <a:avLst/>
                      </a:prstGeom>
                    </pic:spPr>
                  </pic:pic>
                </a:graphicData>
              </a:graphic>
            </wp:anchor>
          </w:drawing>
        </w:r>
      </w:p>
      <w:p w14:paraId="72571C5B">
        <w:pPr>
          <w:rPr>
            <w:b/>
            <w:bCs/>
            <w:i/>
            <w:color w:val="000000"/>
            <w:sz w:val="22"/>
            <w:szCs w:val="18"/>
          </w:rPr>
        </w:pPr>
        <w:r>
          <w:rPr>
            <w:b/>
            <w:bCs/>
            <w:sz w:val="22"/>
            <w:szCs w:val="18"/>
          </w:rPr>
          <w:t xml:space="preserve">Endereço: Av. Deputado Carlos Melo, nº 1670- Bairro Aeroporto- </w:t>
        </w:r>
        <w:r>
          <w:rPr>
            <w:b/>
            <w:bCs/>
            <w:color w:val="000000"/>
            <w:sz w:val="22"/>
            <w:szCs w:val="18"/>
          </w:rPr>
          <w:t>Trizidela do Vale-Maranhão</w:t>
        </w:r>
      </w:p>
      <w:p w14:paraId="12E7B6EA">
        <w:pPr>
          <w:pStyle w:val="19"/>
          <w:rPr>
            <w:sz w:val="22"/>
            <w:szCs w:val="18"/>
          </w:rPr>
        </w:pPr>
        <w:r>
          <w:rPr>
            <w:b/>
            <w:bCs/>
            <w:sz w:val="22"/>
            <w:szCs w:val="18"/>
          </w:rPr>
          <w:t xml:space="preserve">CEP: 65.727-000- Site: </w:t>
        </w:r>
        <w:r>
          <w:fldChar w:fldCharType="begin"/>
        </w:r>
        <w:r>
          <w:instrText xml:space="preserve"> HYPERLINK "http://www.trizideladovale.ma.gov.br" </w:instrText>
        </w:r>
        <w:r>
          <w:fldChar w:fldCharType="separate"/>
        </w:r>
        <w:r>
          <w:rPr>
            <w:rStyle w:val="12"/>
            <w:b/>
            <w:bCs/>
            <w:sz w:val="22"/>
            <w:szCs w:val="18"/>
          </w:rPr>
          <w:t>www.trizideladovale.ma.gov.br</w:t>
        </w:r>
        <w:r>
          <w:rPr>
            <w:rStyle w:val="12"/>
            <w:b/>
            <w:bCs/>
            <w:sz w:val="22"/>
            <w:szCs w:val="18"/>
          </w:rPr>
          <w:fldChar w:fldCharType="end"/>
        </w:r>
      </w:p>
      <w:p w14:paraId="3E3D8DA8">
        <w:pPr>
          <w:pStyle w:val="19"/>
          <w:jc w:val="right"/>
          <w:rPr>
            <w:rFonts w:ascii="Arial" w:hAnsi="Arial" w:cs="Arial"/>
            <w:sz w:val="20"/>
            <w:szCs w:val="16"/>
          </w:rPr>
        </w:pPr>
        <w:r>
          <w:rPr>
            <w:rFonts w:ascii="Arial" w:hAnsi="Arial" w:cs="Arial"/>
            <w:sz w:val="20"/>
            <w:szCs w:val="16"/>
          </w:rPr>
          <w:fldChar w:fldCharType="begin"/>
        </w:r>
        <w:r>
          <w:rPr>
            <w:rFonts w:ascii="Arial" w:hAnsi="Arial" w:cs="Arial"/>
            <w:sz w:val="20"/>
            <w:szCs w:val="16"/>
          </w:rPr>
          <w:instrText xml:space="preserve">PAGE   \* MERGEFORMAT</w:instrText>
        </w:r>
        <w:r>
          <w:rPr>
            <w:rFonts w:ascii="Arial" w:hAnsi="Arial" w:cs="Arial"/>
            <w:sz w:val="20"/>
            <w:szCs w:val="16"/>
          </w:rPr>
          <w:fldChar w:fldCharType="separate"/>
        </w:r>
        <w:r>
          <w:rPr>
            <w:rFonts w:ascii="Arial" w:hAnsi="Arial" w:cs="Arial"/>
            <w:sz w:val="20"/>
            <w:szCs w:val="16"/>
          </w:rPr>
          <w:t>39</w:t>
        </w:r>
        <w:r>
          <w:rPr>
            <w:rFonts w:ascii="Arial" w:hAnsi="Arial" w:cs="Arial"/>
            <w:sz w:val="20"/>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810A">
    <w:pPr>
      <w:pStyle w:val="19"/>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414D18BA">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0F8C">
    <w:pPr>
      <w:jc w:val="center"/>
      <w:rPr>
        <w:rFonts w:ascii="Arial" w:hAnsi="Arial" w:cs="Arial"/>
        <w:b/>
        <w:sz w:val="28"/>
        <w:szCs w:val="28"/>
        <w:u w:val="single"/>
      </w:rPr>
    </w:pPr>
  </w:p>
  <w:p w14:paraId="26BA4142">
    <w:pPr>
      <w:spacing w:line="276" w:lineRule="auto"/>
      <w:ind w:left="6663" w:right="142"/>
      <w:rPr>
        <w:rFonts w:ascii="Arial" w:hAnsi="Arial" w:cs="Arial"/>
        <w:sz w:val="16"/>
        <w:szCs w:val="16"/>
      </w:rPr>
    </w:pPr>
    <w:r>
      <w:drawing>
        <wp:anchor distT="0" distB="0" distL="114300" distR="114300" simplePos="0" relativeHeight="251660288" behindDoc="0" locked="0" layoutInCell="1" allowOverlap="1">
          <wp:simplePos x="0" y="0"/>
          <wp:positionH relativeFrom="column">
            <wp:posOffset>1821815</wp:posOffset>
          </wp:positionH>
          <wp:positionV relativeFrom="paragraph">
            <wp:posOffset>-127000</wp:posOffset>
          </wp:positionV>
          <wp:extent cx="1881505" cy="801370"/>
          <wp:effectExtent l="0" t="0" r="4445" b="0"/>
          <wp:wrapSquare wrapText="bothSides"/>
          <wp:docPr id="2095434583" name="Imagem 2095434583"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34583" name="Imagem 2095434583" descr="Texto&#10;&#10;Descrição gerada automaticamente com confiança baix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505" cy="80137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page">
            <wp:posOffset>0</wp:posOffset>
          </wp:positionH>
          <wp:positionV relativeFrom="paragraph">
            <wp:posOffset>-448945</wp:posOffset>
          </wp:positionV>
          <wp:extent cx="8121650" cy="212090"/>
          <wp:effectExtent l="0" t="0" r="0" b="0"/>
          <wp:wrapSquare wrapText="bothSides"/>
          <wp:docPr id="1635640135" name="Imagem 163564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40135" name="Imagem 163564013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21650" cy="212090"/>
                  </a:xfrm>
                  <a:prstGeom prst="rect">
                    <a:avLst/>
                  </a:prstGeom>
                </pic:spPr>
              </pic:pic>
            </a:graphicData>
          </a:graphic>
        </wp:anchor>
      </w:drawing>
    </w:r>
    <w:r>
      <w:ptab w:relativeTo="indent" w:alignment="center" w:leader="none"/>
    </w:r>
    <w:r>
      <w:rPr>
        <w:sz w:val="18"/>
        <w:szCs w:val="18"/>
      </w:rPr>
      <w:t xml:space="preserve">           </w:t>
    </w:r>
    <w:r>
      <w:rPr>
        <w:rFonts w:ascii="Arial" w:hAnsi="Arial" w:cs="Arial"/>
        <w:sz w:val="16"/>
        <w:szCs w:val="16"/>
      </w:rPr>
      <w:t>TRIZIDELA DO VALE</w:t>
    </w:r>
  </w:p>
  <w:p w14:paraId="52663AD2">
    <w:pPr>
      <w:spacing w:line="276" w:lineRule="auto"/>
      <w:ind w:left="6663" w:right="-425"/>
      <w:rPr>
        <w:rFonts w:ascii="Arial" w:hAnsi="Arial" w:cs="Arial"/>
        <w:sz w:val="16"/>
        <w:szCs w:val="16"/>
      </w:rPr>
    </w:pPr>
    <w:r>
      <w:rPr>
        <w:rFonts w:ascii="Arial" w:hAnsi="Arial" w:cs="Arial"/>
        <w:sz w:val="16"/>
        <w:szCs w:val="16"/>
      </w:rPr>
      <w:t xml:space="preserve">      PROC. </w:t>
    </w:r>
    <w:r>
      <w:rPr>
        <w:rFonts w:ascii="Arial" w:hAnsi="Arial" w:cs="Arial"/>
        <w:sz w:val="16"/>
        <w:szCs w:val="16"/>
        <w:u w:val="single"/>
      </w:rPr>
      <w:t>1106001/2024</w:t>
    </w:r>
  </w:p>
  <w:p w14:paraId="36EB6CD2">
    <w:pPr>
      <w:spacing w:line="276" w:lineRule="auto"/>
      <w:ind w:left="6663" w:right="-425"/>
      <w:rPr>
        <w:rFonts w:ascii="Arial" w:hAnsi="Arial" w:cs="Arial"/>
        <w:sz w:val="16"/>
        <w:szCs w:val="16"/>
      </w:rPr>
    </w:pPr>
    <w:r>
      <w:rPr>
        <w:rFonts w:ascii="Arial" w:hAnsi="Arial" w:cs="Arial"/>
        <w:sz w:val="16"/>
        <w:szCs w:val="16"/>
      </w:rPr>
      <w:t xml:space="preserve">      FLS._____________________</w:t>
    </w:r>
  </w:p>
  <w:p w14:paraId="00BA88AA">
    <w:pPr>
      <w:spacing w:line="276" w:lineRule="auto"/>
      <w:ind w:left="6663" w:right="-425"/>
      <w:rPr>
        <w:rFonts w:ascii="Arial" w:hAnsi="Arial" w:cs="Arial"/>
        <w:sz w:val="16"/>
        <w:szCs w:val="16"/>
      </w:rPr>
    </w:pPr>
    <w:r>
      <w:rPr>
        <w:rFonts w:ascii="Arial" w:hAnsi="Arial" w:cs="Arial"/>
        <w:sz w:val="16"/>
        <w:szCs w:val="16"/>
      </w:rPr>
      <w:t xml:space="preserve">       RUB_____________________</w:t>
    </w:r>
  </w:p>
  <w:p w14:paraId="0F19831B">
    <w:pPr>
      <w:ind w:left="6096" w:right="-425"/>
      <w:rPr>
        <w:sz w:val="16"/>
        <w:szCs w:val="16"/>
      </w:rPr>
    </w:pPr>
  </w:p>
  <w:p w14:paraId="60C74FC4">
    <w:pPr>
      <w:pStyle w:val="55"/>
      <w:ind w:left="567" w:hanging="567"/>
      <w:jc w:val="center"/>
      <w:rPr>
        <w:rFonts w:ascii="Arial" w:hAnsi="Arial" w:cs="Arial"/>
      </w:rPr>
    </w:pPr>
    <w:r>
      <w:rPr>
        <w:rFonts w:ascii="Arial" w:hAnsi="Arial" w:cs="Arial"/>
      </w:rPr>
      <w:t>ESTADO DO MARANHÃO</w:t>
    </w:r>
  </w:p>
  <w:p w14:paraId="594BF6F1">
    <w:pPr>
      <w:pStyle w:val="55"/>
      <w:jc w:val="center"/>
      <w:rPr>
        <w:rFonts w:ascii="Arial" w:hAnsi="Arial" w:cs="Arial"/>
      </w:rPr>
    </w:pPr>
    <w:r>
      <w:rPr>
        <w:rFonts w:ascii="Arial" w:hAnsi="Arial" w:cs="Arial"/>
      </w:rPr>
      <w:t>PREFEITURA MUNICIPAL DE TRIZIDELA DO VALE</w:t>
    </w:r>
  </w:p>
  <w:p w14:paraId="524D70E3">
    <w:pPr>
      <w:pStyle w:val="55"/>
      <w:jc w:val="center"/>
      <w:rPr>
        <w:rFonts w:ascii="Arial" w:hAnsi="Arial" w:cs="Arial"/>
      </w:rPr>
    </w:pPr>
    <w:bookmarkStart w:id="48" w:name="_Hlk162263252"/>
    <w:r>
      <w:rPr>
        <w:rStyle w:val="56"/>
        <w:rFonts w:ascii="Arial" w:hAnsi="Arial" w:cs="Arial"/>
        <w:b w:val="0"/>
        <w:bCs w:val="0"/>
        <w:i w:val="0"/>
        <w:iCs w:val="0"/>
        <w:color w:val="000000"/>
      </w:rPr>
      <w:t>CNPJ Nº 11.424.417/0001-06</w:t>
    </w:r>
  </w:p>
  <w:p w14:paraId="7FF09F89">
    <w:pPr>
      <w:pStyle w:val="18"/>
      <w:jc w:val="center"/>
      <w:rPr>
        <w:rFonts w:ascii="Arial" w:hAnsi="Arial" w:cs="Arial"/>
        <w:sz w:val="22"/>
        <w:szCs w:val="22"/>
      </w:rPr>
    </w:pPr>
    <w:r>
      <w:rPr>
        <w:rFonts w:ascii="Arial" w:hAnsi="Arial" w:cs="Arial"/>
        <w:sz w:val="22"/>
        <w:szCs w:val="22"/>
      </w:rPr>
      <w:t>FUNDO MUNICIPAL DE SAÚDE</w:t>
    </w:r>
  </w:p>
  <w:bookmarkEnd w:id="48"/>
  <w:p w14:paraId="1938C187">
    <w:pPr>
      <w:pStyle w:val="55"/>
      <w:jc w:val="center"/>
      <w:rPr>
        <w:rStyle w:val="56"/>
        <w:rFonts w:ascii="Times New Roman" w:hAnsi="Times New Roman"/>
        <w:i w:val="0"/>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31AD1"/>
    <w:multiLevelType w:val="multilevel"/>
    <w:tmpl w:val="04031AD1"/>
    <w:lvl w:ilvl="0" w:tentative="0">
      <w:start w:val="1"/>
      <w:numFmt w:val="decimal"/>
      <w:suff w:val="space"/>
      <w:lvlText w:val="%1."/>
      <w:lvlJc w:val="left"/>
      <w:pPr>
        <w:ind w:left="0" w:firstLine="0"/>
      </w:pPr>
      <w:rPr>
        <w:b/>
        <w:i w:val="0"/>
      </w:rPr>
    </w:lvl>
    <w:lvl w:ilvl="1" w:tentative="0">
      <w:start w:val="1"/>
      <w:numFmt w:val="decimal"/>
      <w:suff w:val="space"/>
      <w:lvlText w:val="%1.%2."/>
      <w:lvlJc w:val="left"/>
      <w:pPr>
        <w:ind w:left="284" w:firstLine="0"/>
      </w:pPr>
      <w:rPr>
        <w:b/>
        <w:i w:val="0"/>
        <w:color w:val="auto"/>
      </w:rPr>
    </w:lvl>
    <w:lvl w:ilvl="2" w:tentative="0">
      <w:start w:val="1"/>
      <w:numFmt w:val="decimal"/>
      <w:suff w:val="space"/>
      <w:lvlText w:val="%1.%2.%3."/>
      <w:lvlJc w:val="left"/>
      <w:pPr>
        <w:ind w:left="567" w:firstLine="0"/>
      </w:pPr>
      <w:rPr>
        <w:b/>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
    <w:nsid w:val="06C303F4"/>
    <w:multiLevelType w:val="multilevel"/>
    <w:tmpl w:val="06C303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CB372A3"/>
    <w:multiLevelType w:val="multilevel"/>
    <w:tmpl w:val="0CB372A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CFC41B8"/>
    <w:multiLevelType w:val="multilevel"/>
    <w:tmpl w:val="0CFC41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2EB6E23"/>
    <w:multiLevelType w:val="multilevel"/>
    <w:tmpl w:val="12EB6E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7B23CAF"/>
    <w:multiLevelType w:val="multilevel"/>
    <w:tmpl w:val="17B23C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7F36AFB"/>
    <w:multiLevelType w:val="multilevel"/>
    <w:tmpl w:val="17F36A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92D7DB1"/>
    <w:multiLevelType w:val="multilevel"/>
    <w:tmpl w:val="192D7D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E3332E0"/>
    <w:multiLevelType w:val="multilevel"/>
    <w:tmpl w:val="1E3332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08244D4"/>
    <w:multiLevelType w:val="multilevel"/>
    <w:tmpl w:val="208244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40C14B7"/>
    <w:multiLevelType w:val="multilevel"/>
    <w:tmpl w:val="240C14B7"/>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24FC1B45"/>
    <w:multiLevelType w:val="multilevel"/>
    <w:tmpl w:val="24FC1B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86547EF"/>
    <w:multiLevelType w:val="multilevel"/>
    <w:tmpl w:val="386547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88A466F"/>
    <w:multiLevelType w:val="multilevel"/>
    <w:tmpl w:val="388A466F"/>
    <w:lvl w:ilvl="0" w:tentative="0">
      <w:start w:val="11"/>
      <w:numFmt w:val="decimal"/>
      <w:lvlText w:val="%1."/>
      <w:lvlJc w:val="left"/>
      <w:pPr>
        <w:ind w:left="552" w:hanging="552"/>
      </w:pPr>
      <w:rPr>
        <w:rFonts w:hint="default"/>
      </w:rPr>
    </w:lvl>
    <w:lvl w:ilvl="1" w:tentative="0">
      <w:start w:val="11"/>
      <w:numFmt w:val="decimal"/>
      <w:lvlText w:val="%1.%2."/>
      <w:lvlJc w:val="left"/>
      <w:pPr>
        <w:ind w:left="836" w:hanging="552"/>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14">
    <w:nsid w:val="4C162595"/>
    <w:multiLevelType w:val="multilevel"/>
    <w:tmpl w:val="4C162595"/>
    <w:lvl w:ilvl="0" w:tentative="0">
      <w:start w:val="1"/>
      <w:numFmt w:val="decimal"/>
      <w:lvlText w:val="%1."/>
      <w:lvlJc w:val="left"/>
      <w:pPr>
        <w:ind w:left="456" w:hanging="456"/>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5">
    <w:nsid w:val="4D3F3470"/>
    <w:multiLevelType w:val="multilevel"/>
    <w:tmpl w:val="4D3F34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527940A0"/>
    <w:multiLevelType w:val="multilevel"/>
    <w:tmpl w:val="527940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180E53"/>
    <w:multiLevelType w:val="multilevel"/>
    <w:tmpl w:val="56180E53"/>
    <w:lvl w:ilvl="0" w:tentative="0">
      <w:start w:val="1"/>
      <w:numFmt w:val="decimal"/>
      <w:suff w:val="space"/>
      <w:lvlText w:val="%1."/>
      <w:lvlJc w:val="left"/>
      <w:pPr>
        <w:ind w:left="0" w:firstLine="0"/>
      </w:pPr>
      <w:rPr>
        <w:rFonts w:hint="default"/>
        <w:b/>
        <w:i w:val="0"/>
      </w:rPr>
    </w:lvl>
    <w:lvl w:ilvl="1" w:tentative="0">
      <w:start w:val="1"/>
      <w:numFmt w:val="decimal"/>
      <w:suff w:val="space"/>
      <w:lvlText w:val="%1.%2."/>
      <w:lvlJc w:val="left"/>
      <w:pPr>
        <w:ind w:left="284" w:firstLine="0"/>
      </w:pPr>
      <w:rPr>
        <w:rFonts w:hint="default"/>
        <w:b/>
        <w:i w:val="0"/>
      </w:rPr>
    </w:lvl>
    <w:lvl w:ilvl="2" w:tentative="0">
      <w:start w:val="1"/>
      <w:numFmt w:val="decimal"/>
      <w:suff w:val="space"/>
      <w:lvlText w:val="%1.%2.%3."/>
      <w:lvlJc w:val="left"/>
      <w:pPr>
        <w:ind w:left="567" w:firstLine="0"/>
      </w:pPr>
      <w:rPr>
        <w:rFonts w:hint="default"/>
        <w:b/>
        <w:i w:val="0"/>
        <w:color w:val="auto"/>
      </w:rPr>
    </w:lvl>
    <w:lvl w:ilvl="3" w:tentative="0">
      <w:start w:val="1"/>
      <w:numFmt w:val="decimal"/>
      <w:suff w:val="space"/>
      <w:lvlText w:val="%1.%2.%3.%4."/>
      <w:lvlJc w:val="left"/>
      <w:pPr>
        <w:ind w:left="851" w:firstLine="0"/>
      </w:pPr>
      <w:rPr>
        <w:rFonts w:hint="default"/>
        <w:b/>
        <w:i w:val="0"/>
        <w:color w:val="auto"/>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8">
    <w:nsid w:val="60026E33"/>
    <w:multiLevelType w:val="multilevel"/>
    <w:tmpl w:val="60026E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61DD361E"/>
    <w:multiLevelType w:val="multilevel"/>
    <w:tmpl w:val="61DD361E"/>
    <w:lvl w:ilvl="0" w:tentative="0">
      <w:start w:val="1"/>
      <w:numFmt w:val="decimal"/>
      <w:pStyle w:val="79"/>
      <w:suff w:val="space"/>
      <w:lvlText w:val="%1."/>
      <w:lvlJc w:val="left"/>
      <w:pPr>
        <w:ind w:left="0" w:firstLine="0"/>
      </w:pPr>
      <w:rPr>
        <w:rFonts w:hint="default"/>
        <w:b/>
        <w:i w:val="0"/>
      </w:rPr>
    </w:lvl>
    <w:lvl w:ilvl="1" w:tentative="0">
      <w:start w:val="1"/>
      <w:numFmt w:val="decimal"/>
      <w:suff w:val="space"/>
      <w:lvlText w:val="%1.%2."/>
      <w:lvlJc w:val="left"/>
      <w:pPr>
        <w:ind w:left="142" w:firstLine="0"/>
      </w:pPr>
      <w:rPr>
        <w:rFonts w:hint="default"/>
        <w:b w:val="0"/>
        <w:i w:val="0"/>
        <w:color w:val="auto"/>
      </w:rPr>
    </w:lvl>
    <w:lvl w:ilvl="2" w:tentative="0">
      <w:start w:val="1"/>
      <w:numFmt w:val="decimal"/>
      <w:suff w:val="space"/>
      <w:lvlText w:val="%1.%2.%3."/>
      <w:lvlJc w:val="left"/>
      <w:pPr>
        <w:ind w:left="567" w:firstLine="0"/>
      </w:pPr>
      <w:rPr>
        <w:rFonts w:hint="default"/>
        <w:b w:val="0"/>
        <w:i w:val="0"/>
      </w:rPr>
    </w:lvl>
    <w:lvl w:ilvl="3" w:tentative="0">
      <w:start w:val="1"/>
      <w:numFmt w:val="decimal"/>
      <w:suff w:val="space"/>
      <w:lvlText w:val="%1.%2.%3.%4."/>
      <w:lvlJc w:val="left"/>
      <w:pPr>
        <w:ind w:left="851" w:firstLine="0"/>
      </w:pPr>
      <w:rPr>
        <w:rFonts w:hint="default"/>
        <w:b/>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0">
    <w:nsid w:val="62FC1E0C"/>
    <w:multiLevelType w:val="multilevel"/>
    <w:tmpl w:val="62FC1E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664E185F"/>
    <w:multiLevelType w:val="multilevel"/>
    <w:tmpl w:val="664E185F"/>
    <w:lvl w:ilvl="0" w:tentative="0">
      <w:start w:val="17"/>
      <w:numFmt w:val="decimal"/>
      <w:lvlText w:val="%1"/>
      <w:lvlJc w:val="left"/>
      <w:pPr>
        <w:ind w:left="384" w:hanging="384"/>
      </w:pPr>
      <w:rPr>
        <w:rFonts w:hint="default"/>
      </w:rPr>
    </w:lvl>
    <w:lvl w:ilvl="1" w:tentative="0">
      <w:start w:val="1"/>
      <w:numFmt w:val="decimal"/>
      <w:lvlText w:val="%1.%2"/>
      <w:lvlJc w:val="left"/>
      <w:pPr>
        <w:ind w:left="384" w:hanging="38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66947764"/>
    <w:multiLevelType w:val="multilevel"/>
    <w:tmpl w:val="669477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68CF0876"/>
    <w:multiLevelType w:val="multilevel"/>
    <w:tmpl w:val="68CF08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6EFE5125"/>
    <w:multiLevelType w:val="multilevel"/>
    <w:tmpl w:val="6EFE51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7A9874A4"/>
    <w:multiLevelType w:val="multilevel"/>
    <w:tmpl w:val="7A9874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7F7459AC"/>
    <w:multiLevelType w:val="multilevel"/>
    <w:tmpl w:val="7F7459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9"/>
  </w:num>
  <w:num w:numId="2">
    <w:abstractNumId w:val="17"/>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2"/>
  </w:num>
  <w:num w:numId="8">
    <w:abstractNumId w:val="10"/>
  </w:num>
  <w:num w:numId="9">
    <w:abstractNumId w:val="6"/>
  </w:num>
  <w:num w:numId="10">
    <w:abstractNumId w:val="4"/>
  </w:num>
  <w:num w:numId="11">
    <w:abstractNumId w:val="5"/>
  </w:num>
  <w:num w:numId="12">
    <w:abstractNumId w:val="26"/>
  </w:num>
  <w:num w:numId="13">
    <w:abstractNumId w:val="25"/>
  </w:num>
  <w:num w:numId="14">
    <w:abstractNumId w:val="20"/>
  </w:num>
  <w:num w:numId="15">
    <w:abstractNumId w:val="3"/>
  </w:num>
  <w:num w:numId="16">
    <w:abstractNumId w:val="11"/>
  </w:num>
  <w:num w:numId="17">
    <w:abstractNumId w:val="16"/>
  </w:num>
  <w:num w:numId="18">
    <w:abstractNumId w:val="24"/>
  </w:num>
  <w:num w:numId="19">
    <w:abstractNumId w:val="7"/>
  </w:num>
  <w:num w:numId="20">
    <w:abstractNumId w:val="8"/>
  </w:num>
  <w:num w:numId="21">
    <w:abstractNumId w:val="12"/>
  </w:num>
  <w:num w:numId="22">
    <w:abstractNumId w:val="9"/>
  </w:num>
  <w:num w:numId="23">
    <w:abstractNumId w:val="1"/>
  </w:num>
  <w:num w:numId="24">
    <w:abstractNumId w:val="15"/>
  </w:num>
  <w:num w:numId="25">
    <w:abstractNumId w:val="23"/>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F9"/>
    <w:rsid w:val="00000733"/>
    <w:rsid w:val="00002DCE"/>
    <w:rsid w:val="000044D8"/>
    <w:rsid w:val="000063BD"/>
    <w:rsid w:val="00013F94"/>
    <w:rsid w:val="000154C7"/>
    <w:rsid w:val="00016396"/>
    <w:rsid w:val="00017F83"/>
    <w:rsid w:val="000210A7"/>
    <w:rsid w:val="000274FE"/>
    <w:rsid w:val="000326A2"/>
    <w:rsid w:val="00036EB5"/>
    <w:rsid w:val="00043436"/>
    <w:rsid w:val="00050C2C"/>
    <w:rsid w:val="00051258"/>
    <w:rsid w:val="0005338E"/>
    <w:rsid w:val="00053598"/>
    <w:rsid w:val="00055AA4"/>
    <w:rsid w:val="00057CD5"/>
    <w:rsid w:val="00062682"/>
    <w:rsid w:val="0006366E"/>
    <w:rsid w:val="0006391B"/>
    <w:rsid w:val="00063C95"/>
    <w:rsid w:val="000641A0"/>
    <w:rsid w:val="00066270"/>
    <w:rsid w:val="00071266"/>
    <w:rsid w:val="00071454"/>
    <w:rsid w:val="00072CA7"/>
    <w:rsid w:val="000736AC"/>
    <w:rsid w:val="000747D6"/>
    <w:rsid w:val="0007755B"/>
    <w:rsid w:val="000839CA"/>
    <w:rsid w:val="000867F6"/>
    <w:rsid w:val="00086BF8"/>
    <w:rsid w:val="00090CAB"/>
    <w:rsid w:val="00091666"/>
    <w:rsid w:val="00092AB4"/>
    <w:rsid w:val="00092B12"/>
    <w:rsid w:val="00096A52"/>
    <w:rsid w:val="00097E1C"/>
    <w:rsid w:val="000A171E"/>
    <w:rsid w:val="000A28E9"/>
    <w:rsid w:val="000A5B78"/>
    <w:rsid w:val="000A7291"/>
    <w:rsid w:val="000A7ED6"/>
    <w:rsid w:val="000B0692"/>
    <w:rsid w:val="000B2ACF"/>
    <w:rsid w:val="000C149A"/>
    <w:rsid w:val="000C48A6"/>
    <w:rsid w:val="000C4E01"/>
    <w:rsid w:val="000C4F4B"/>
    <w:rsid w:val="000C6106"/>
    <w:rsid w:val="000D05AA"/>
    <w:rsid w:val="000D2809"/>
    <w:rsid w:val="000E0646"/>
    <w:rsid w:val="000E18CB"/>
    <w:rsid w:val="000E2420"/>
    <w:rsid w:val="000E3E94"/>
    <w:rsid w:val="000E684D"/>
    <w:rsid w:val="000E6C57"/>
    <w:rsid w:val="000E7BE0"/>
    <w:rsid w:val="000E7DB3"/>
    <w:rsid w:val="000F150A"/>
    <w:rsid w:val="00100394"/>
    <w:rsid w:val="00102252"/>
    <w:rsid w:val="00103388"/>
    <w:rsid w:val="00104859"/>
    <w:rsid w:val="00105179"/>
    <w:rsid w:val="00106306"/>
    <w:rsid w:val="00106794"/>
    <w:rsid w:val="00107847"/>
    <w:rsid w:val="00110F58"/>
    <w:rsid w:val="00112E82"/>
    <w:rsid w:val="00113964"/>
    <w:rsid w:val="00120073"/>
    <w:rsid w:val="001215DD"/>
    <w:rsid w:val="00121BED"/>
    <w:rsid w:val="00123B74"/>
    <w:rsid w:val="001240C5"/>
    <w:rsid w:val="00127C91"/>
    <w:rsid w:val="00131528"/>
    <w:rsid w:val="00134799"/>
    <w:rsid w:val="001354E2"/>
    <w:rsid w:val="001365DA"/>
    <w:rsid w:val="00137349"/>
    <w:rsid w:val="001414DD"/>
    <w:rsid w:val="00141581"/>
    <w:rsid w:val="00141631"/>
    <w:rsid w:val="00141C01"/>
    <w:rsid w:val="00142747"/>
    <w:rsid w:val="001435B9"/>
    <w:rsid w:val="00145FE0"/>
    <w:rsid w:val="00153977"/>
    <w:rsid w:val="0015737F"/>
    <w:rsid w:val="001617C2"/>
    <w:rsid w:val="00161ACD"/>
    <w:rsid w:val="00162DF3"/>
    <w:rsid w:val="00163214"/>
    <w:rsid w:val="00163A6E"/>
    <w:rsid w:val="00164145"/>
    <w:rsid w:val="0016711F"/>
    <w:rsid w:val="001721FE"/>
    <w:rsid w:val="001740D7"/>
    <w:rsid w:val="00176D60"/>
    <w:rsid w:val="0017764F"/>
    <w:rsid w:val="001809DA"/>
    <w:rsid w:val="001814EB"/>
    <w:rsid w:val="0018360E"/>
    <w:rsid w:val="00183D65"/>
    <w:rsid w:val="00186BDB"/>
    <w:rsid w:val="00190D72"/>
    <w:rsid w:val="0019237D"/>
    <w:rsid w:val="00193BCD"/>
    <w:rsid w:val="00194CB3"/>
    <w:rsid w:val="00195652"/>
    <w:rsid w:val="00195EEC"/>
    <w:rsid w:val="001972FF"/>
    <w:rsid w:val="001A00B0"/>
    <w:rsid w:val="001A1D5C"/>
    <w:rsid w:val="001A3761"/>
    <w:rsid w:val="001A47F0"/>
    <w:rsid w:val="001A5F53"/>
    <w:rsid w:val="001A5FCA"/>
    <w:rsid w:val="001B1B18"/>
    <w:rsid w:val="001B3BF1"/>
    <w:rsid w:val="001B4B2B"/>
    <w:rsid w:val="001C0088"/>
    <w:rsid w:val="001C015D"/>
    <w:rsid w:val="001C2F5C"/>
    <w:rsid w:val="001C326C"/>
    <w:rsid w:val="001C7EFE"/>
    <w:rsid w:val="001D0D7C"/>
    <w:rsid w:val="001D4731"/>
    <w:rsid w:val="001D575A"/>
    <w:rsid w:val="001D5CD5"/>
    <w:rsid w:val="001D6B16"/>
    <w:rsid w:val="001D6EE0"/>
    <w:rsid w:val="001D77BA"/>
    <w:rsid w:val="001E0555"/>
    <w:rsid w:val="001E1D6C"/>
    <w:rsid w:val="001E6132"/>
    <w:rsid w:val="001E6943"/>
    <w:rsid w:val="001F04D4"/>
    <w:rsid w:val="001F0C0E"/>
    <w:rsid w:val="001F42E6"/>
    <w:rsid w:val="001F5F7E"/>
    <w:rsid w:val="001F750B"/>
    <w:rsid w:val="001F77A4"/>
    <w:rsid w:val="00201999"/>
    <w:rsid w:val="002022DB"/>
    <w:rsid w:val="00207E7E"/>
    <w:rsid w:val="0021185F"/>
    <w:rsid w:val="00211C67"/>
    <w:rsid w:val="002176CD"/>
    <w:rsid w:val="00223697"/>
    <w:rsid w:val="00226E1E"/>
    <w:rsid w:val="002308F2"/>
    <w:rsid w:val="002330E5"/>
    <w:rsid w:val="00233F0E"/>
    <w:rsid w:val="0023463B"/>
    <w:rsid w:val="0023586A"/>
    <w:rsid w:val="00237AAB"/>
    <w:rsid w:val="002400B4"/>
    <w:rsid w:val="0024353D"/>
    <w:rsid w:val="002452E5"/>
    <w:rsid w:val="00251A3A"/>
    <w:rsid w:val="002529E0"/>
    <w:rsid w:val="00254D03"/>
    <w:rsid w:val="00257037"/>
    <w:rsid w:val="002615A8"/>
    <w:rsid w:val="00262DD9"/>
    <w:rsid w:val="00262FE0"/>
    <w:rsid w:val="00264E57"/>
    <w:rsid w:val="00265741"/>
    <w:rsid w:val="00270E20"/>
    <w:rsid w:val="00273180"/>
    <w:rsid w:val="00273FF4"/>
    <w:rsid w:val="00280523"/>
    <w:rsid w:val="00286793"/>
    <w:rsid w:val="002876C8"/>
    <w:rsid w:val="00293043"/>
    <w:rsid w:val="00293210"/>
    <w:rsid w:val="0029546A"/>
    <w:rsid w:val="002A20C5"/>
    <w:rsid w:val="002A3AF7"/>
    <w:rsid w:val="002A6D5B"/>
    <w:rsid w:val="002A728F"/>
    <w:rsid w:val="002A78E4"/>
    <w:rsid w:val="002B1C47"/>
    <w:rsid w:val="002B2090"/>
    <w:rsid w:val="002B35D1"/>
    <w:rsid w:val="002B4A21"/>
    <w:rsid w:val="002B7BD3"/>
    <w:rsid w:val="002B7C0F"/>
    <w:rsid w:val="002C262E"/>
    <w:rsid w:val="002C2EB6"/>
    <w:rsid w:val="002C53F9"/>
    <w:rsid w:val="002C7966"/>
    <w:rsid w:val="002D1073"/>
    <w:rsid w:val="002D37E4"/>
    <w:rsid w:val="002D6128"/>
    <w:rsid w:val="002E3A22"/>
    <w:rsid w:val="002E4A44"/>
    <w:rsid w:val="002E6848"/>
    <w:rsid w:val="002E7274"/>
    <w:rsid w:val="002F0F4F"/>
    <w:rsid w:val="002F1775"/>
    <w:rsid w:val="002F2BFB"/>
    <w:rsid w:val="002F3B55"/>
    <w:rsid w:val="002F5318"/>
    <w:rsid w:val="00301130"/>
    <w:rsid w:val="003024F5"/>
    <w:rsid w:val="00302BAE"/>
    <w:rsid w:val="003044A4"/>
    <w:rsid w:val="00305A0F"/>
    <w:rsid w:val="00312277"/>
    <w:rsid w:val="003137B4"/>
    <w:rsid w:val="0031471F"/>
    <w:rsid w:val="00316B12"/>
    <w:rsid w:val="00317796"/>
    <w:rsid w:val="00320745"/>
    <w:rsid w:val="00321D11"/>
    <w:rsid w:val="00321EE1"/>
    <w:rsid w:val="0032204C"/>
    <w:rsid w:val="00323C01"/>
    <w:rsid w:val="0032718F"/>
    <w:rsid w:val="00327398"/>
    <w:rsid w:val="003302C5"/>
    <w:rsid w:val="00333696"/>
    <w:rsid w:val="003355E6"/>
    <w:rsid w:val="00336999"/>
    <w:rsid w:val="0033709F"/>
    <w:rsid w:val="00337162"/>
    <w:rsid w:val="003375ED"/>
    <w:rsid w:val="00341183"/>
    <w:rsid w:val="00342086"/>
    <w:rsid w:val="003450F7"/>
    <w:rsid w:val="00345663"/>
    <w:rsid w:val="00356A4D"/>
    <w:rsid w:val="00367570"/>
    <w:rsid w:val="00371960"/>
    <w:rsid w:val="00372818"/>
    <w:rsid w:val="00373B68"/>
    <w:rsid w:val="00375FF0"/>
    <w:rsid w:val="00376B24"/>
    <w:rsid w:val="00376D57"/>
    <w:rsid w:val="003818A4"/>
    <w:rsid w:val="00381E80"/>
    <w:rsid w:val="00382772"/>
    <w:rsid w:val="00386885"/>
    <w:rsid w:val="00386977"/>
    <w:rsid w:val="003A21C8"/>
    <w:rsid w:val="003A31B7"/>
    <w:rsid w:val="003A4072"/>
    <w:rsid w:val="003A491B"/>
    <w:rsid w:val="003A60C1"/>
    <w:rsid w:val="003B074B"/>
    <w:rsid w:val="003B1BC4"/>
    <w:rsid w:val="003B2725"/>
    <w:rsid w:val="003B2C00"/>
    <w:rsid w:val="003B30A1"/>
    <w:rsid w:val="003B46A9"/>
    <w:rsid w:val="003B7B10"/>
    <w:rsid w:val="003C0107"/>
    <w:rsid w:val="003C1A82"/>
    <w:rsid w:val="003C7663"/>
    <w:rsid w:val="003D17A8"/>
    <w:rsid w:val="003D3B07"/>
    <w:rsid w:val="003D3C38"/>
    <w:rsid w:val="003D446B"/>
    <w:rsid w:val="003D4968"/>
    <w:rsid w:val="003E09C8"/>
    <w:rsid w:val="003E16ED"/>
    <w:rsid w:val="003E2269"/>
    <w:rsid w:val="003E6A0F"/>
    <w:rsid w:val="003F174D"/>
    <w:rsid w:val="003F1C4C"/>
    <w:rsid w:val="003F3A4E"/>
    <w:rsid w:val="003F4A7C"/>
    <w:rsid w:val="003F7538"/>
    <w:rsid w:val="00400D65"/>
    <w:rsid w:val="0040354A"/>
    <w:rsid w:val="00404D3C"/>
    <w:rsid w:val="00405622"/>
    <w:rsid w:val="0040736F"/>
    <w:rsid w:val="00410E77"/>
    <w:rsid w:val="0041264F"/>
    <w:rsid w:val="0041481B"/>
    <w:rsid w:val="0041592B"/>
    <w:rsid w:val="00415EB1"/>
    <w:rsid w:val="0041628B"/>
    <w:rsid w:val="004162AA"/>
    <w:rsid w:val="004177AE"/>
    <w:rsid w:val="00422C59"/>
    <w:rsid w:val="00422CCC"/>
    <w:rsid w:val="004255EB"/>
    <w:rsid w:val="004259BC"/>
    <w:rsid w:val="00433386"/>
    <w:rsid w:val="00434E35"/>
    <w:rsid w:val="00436A2A"/>
    <w:rsid w:val="004418F7"/>
    <w:rsid w:val="00442773"/>
    <w:rsid w:val="00442935"/>
    <w:rsid w:val="00443367"/>
    <w:rsid w:val="00447947"/>
    <w:rsid w:val="00450780"/>
    <w:rsid w:val="00454C46"/>
    <w:rsid w:val="004553F4"/>
    <w:rsid w:val="00465755"/>
    <w:rsid w:val="00465768"/>
    <w:rsid w:val="00471072"/>
    <w:rsid w:val="00471753"/>
    <w:rsid w:val="00485D7A"/>
    <w:rsid w:val="004863F5"/>
    <w:rsid w:val="00487BF5"/>
    <w:rsid w:val="004926F0"/>
    <w:rsid w:val="00493BA4"/>
    <w:rsid w:val="0049520F"/>
    <w:rsid w:val="004A086C"/>
    <w:rsid w:val="004A094F"/>
    <w:rsid w:val="004A58C3"/>
    <w:rsid w:val="004A6480"/>
    <w:rsid w:val="004B13EB"/>
    <w:rsid w:val="004B204A"/>
    <w:rsid w:val="004C6E7A"/>
    <w:rsid w:val="004D3DA2"/>
    <w:rsid w:val="004D4710"/>
    <w:rsid w:val="004D53E7"/>
    <w:rsid w:val="004D71FF"/>
    <w:rsid w:val="004D7D4C"/>
    <w:rsid w:val="004E3AE1"/>
    <w:rsid w:val="004E3BF9"/>
    <w:rsid w:val="004E6B3D"/>
    <w:rsid w:val="004F1E46"/>
    <w:rsid w:val="004F6130"/>
    <w:rsid w:val="004F6819"/>
    <w:rsid w:val="00500BB1"/>
    <w:rsid w:val="005017DD"/>
    <w:rsid w:val="00506B13"/>
    <w:rsid w:val="00511FDD"/>
    <w:rsid w:val="00516D80"/>
    <w:rsid w:val="00517112"/>
    <w:rsid w:val="00520240"/>
    <w:rsid w:val="0052024A"/>
    <w:rsid w:val="00534567"/>
    <w:rsid w:val="005349E7"/>
    <w:rsid w:val="0053548B"/>
    <w:rsid w:val="00542A07"/>
    <w:rsid w:val="005448F6"/>
    <w:rsid w:val="00545EB6"/>
    <w:rsid w:val="00546FF8"/>
    <w:rsid w:val="00547591"/>
    <w:rsid w:val="00550B80"/>
    <w:rsid w:val="00552B0D"/>
    <w:rsid w:val="00552FCF"/>
    <w:rsid w:val="00553066"/>
    <w:rsid w:val="00555C40"/>
    <w:rsid w:val="00555F09"/>
    <w:rsid w:val="0055756B"/>
    <w:rsid w:val="005618FD"/>
    <w:rsid w:val="005645BE"/>
    <w:rsid w:val="005653AF"/>
    <w:rsid w:val="00565FD4"/>
    <w:rsid w:val="00566741"/>
    <w:rsid w:val="00567DF9"/>
    <w:rsid w:val="005747AA"/>
    <w:rsid w:val="0057684B"/>
    <w:rsid w:val="00577203"/>
    <w:rsid w:val="00577745"/>
    <w:rsid w:val="005777C8"/>
    <w:rsid w:val="00577AB1"/>
    <w:rsid w:val="00580276"/>
    <w:rsid w:val="00584209"/>
    <w:rsid w:val="00590A0B"/>
    <w:rsid w:val="00590D99"/>
    <w:rsid w:val="00593DEA"/>
    <w:rsid w:val="005949D0"/>
    <w:rsid w:val="00596A6B"/>
    <w:rsid w:val="00596D89"/>
    <w:rsid w:val="005974AC"/>
    <w:rsid w:val="005A0133"/>
    <w:rsid w:val="005A4972"/>
    <w:rsid w:val="005A5BD1"/>
    <w:rsid w:val="005A5DC7"/>
    <w:rsid w:val="005A67FD"/>
    <w:rsid w:val="005A6EC0"/>
    <w:rsid w:val="005A7C29"/>
    <w:rsid w:val="005B06DA"/>
    <w:rsid w:val="005B0706"/>
    <w:rsid w:val="005B1A5B"/>
    <w:rsid w:val="005B506B"/>
    <w:rsid w:val="005B5AF8"/>
    <w:rsid w:val="005B60AC"/>
    <w:rsid w:val="005C0F41"/>
    <w:rsid w:val="005C1078"/>
    <w:rsid w:val="005C410F"/>
    <w:rsid w:val="005C4EB1"/>
    <w:rsid w:val="005C640A"/>
    <w:rsid w:val="005D0896"/>
    <w:rsid w:val="005D10A6"/>
    <w:rsid w:val="005D3C36"/>
    <w:rsid w:val="005E4C4C"/>
    <w:rsid w:val="005E50B8"/>
    <w:rsid w:val="005E50D6"/>
    <w:rsid w:val="005F15FA"/>
    <w:rsid w:val="005F1C6A"/>
    <w:rsid w:val="005F2C6A"/>
    <w:rsid w:val="005F40BD"/>
    <w:rsid w:val="005F594A"/>
    <w:rsid w:val="005F636C"/>
    <w:rsid w:val="006023DF"/>
    <w:rsid w:val="00612F63"/>
    <w:rsid w:val="0061302D"/>
    <w:rsid w:val="006150EB"/>
    <w:rsid w:val="00621B6B"/>
    <w:rsid w:val="00623EB9"/>
    <w:rsid w:val="0062644E"/>
    <w:rsid w:val="006267BD"/>
    <w:rsid w:val="00632062"/>
    <w:rsid w:val="0063275A"/>
    <w:rsid w:val="006338C6"/>
    <w:rsid w:val="00636A6B"/>
    <w:rsid w:val="00640D70"/>
    <w:rsid w:val="006443B7"/>
    <w:rsid w:val="00650D35"/>
    <w:rsid w:val="00652169"/>
    <w:rsid w:val="00652C3B"/>
    <w:rsid w:val="006613C8"/>
    <w:rsid w:val="00665C4B"/>
    <w:rsid w:val="0067129E"/>
    <w:rsid w:val="00673355"/>
    <w:rsid w:val="0067629A"/>
    <w:rsid w:val="00677CCD"/>
    <w:rsid w:val="006807F8"/>
    <w:rsid w:val="00684018"/>
    <w:rsid w:val="00684934"/>
    <w:rsid w:val="006850A1"/>
    <w:rsid w:val="006852D8"/>
    <w:rsid w:val="006865D5"/>
    <w:rsid w:val="00690D76"/>
    <w:rsid w:val="00691762"/>
    <w:rsid w:val="006918EE"/>
    <w:rsid w:val="00691E41"/>
    <w:rsid w:val="00692EC7"/>
    <w:rsid w:val="0069408A"/>
    <w:rsid w:val="00695069"/>
    <w:rsid w:val="00696F3D"/>
    <w:rsid w:val="006A265C"/>
    <w:rsid w:val="006A439F"/>
    <w:rsid w:val="006A4BE9"/>
    <w:rsid w:val="006A4C59"/>
    <w:rsid w:val="006B635D"/>
    <w:rsid w:val="006B6990"/>
    <w:rsid w:val="006B7588"/>
    <w:rsid w:val="006B7FD7"/>
    <w:rsid w:val="006C3F43"/>
    <w:rsid w:val="006C424B"/>
    <w:rsid w:val="006C5E73"/>
    <w:rsid w:val="006C66C0"/>
    <w:rsid w:val="006C7412"/>
    <w:rsid w:val="006D5075"/>
    <w:rsid w:val="006D5D5F"/>
    <w:rsid w:val="006D6F61"/>
    <w:rsid w:val="006E0ED4"/>
    <w:rsid w:val="006E0FA9"/>
    <w:rsid w:val="006E1EC0"/>
    <w:rsid w:val="006E38E4"/>
    <w:rsid w:val="006E728A"/>
    <w:rsid w:val="006F027F"/>
    <w:rsid w:val="006F57B1"/>
    <w:rsid w:val="006F5D73"/>
    <w:rsid w:val="00700BD6"/>
    <w:rsid w:val="00702032"/>
    <w:rsid w:val="007021E2"/>
    <w:rsid w:val="00704986"/>
    <w:rsid w:val="00710E53"/>
    <w:rsid w:val="00711435"/>
    <w:rsid w:val="007114A5"/>
    <w:rsid w:val="00712DCE"/>
    <w:rsid w:val="00716939"/>
    <w:rsid w:val="00717999"/>
    <w:rsid w:val="00720086"/>
    <w:rsid w:val="00720CDD"/>
    <w:rsid w:val="00721042"/>
    <w:rsid w:val="0072114B"/>
    <w:rsid w:val="007223B7"/>
    <w:rsid w:val="00727687"/>
    <w:rsid w:val="007328F0"/>
    <w:rsid w:val="007423DC"/>
    <w:rsid w:val="00744A6F"/>
    <w:rsid w:val="00746890"/>
    <w:rsid w:val="007510FD"/>
    <w:rsid w:val="00752F13"/>
    <w:rsid w:val="00752F1E"/>
    <w:rsid w:val="007559CF"/>
    <w:rsid w:val="00757524"/>
    <w:rsid w:val="007617EE"/>
    <w:rsid w:val="0076257C"/>
    <w:rsid w:val="00763DB3"/>
    <w:rsid w:val="00764209"/>
    <w:rsid w:val="00764281"/>
    <w:rsid w:val="00764F22"/>
    <w:rsid w:val="00770FE3"/>
    <w:rsid w:val="00771782"/>
    <w:rsid w:val="007729C9"/>
    <w:rsid w:val="00773F67"/>
    <w:rsid w:val="00775797"/>
    <w:rsid w:val="00776F03"/>
    <w:rsid w:val="00781D6E"/>
    <w:rsid w:val="0078409B"/>
    <w:rsid w:val="007856E3"/>
    <w:rsid w:val="007916F1"/>
    <w:rsid w:val="00796226"/>
    <w:rsid w:val="00797752"/>
    <w:rsid w:val="00797EB8"/>
    <w:rsid w:val="007A029D"/>
    <w:rsid w:val="007A438A"/>
    <w:rsid w:val="007A4B7F"/>
    <w:rsid w:val="007B25F9"/>
    <w:rsid w:val="007B2CE3"/>
    <w:rsid w:val="007C05AA"/>
    <w:rsid w:val="007C2479"/>
    <w:rsid w:val="007C25D8"/>
    <w:rsid w:val="007C28DF"/>
    <w:rsid w:val="007C6B45"/>
    <w:rsid w:val="007D051F"/>
    <w:rsid w:val="007D503D"/>
    <w:rsid w:val="007D5156"/>
    <w:rsid w:val="007D51DE"/>
    <w:rsid w:val="007D63DD"/>
    <w:rsid w:val="007D797E"/>
    <w:rsid w:val="007E0BB2"/>
    <w:rsid w:val="007E5590"/>
    <w:rsid w:val="007E5651"/>
    <w:rsid w:val="007E5E12"/>
    <w:rsid w:val="007E61FA"/>
    <w:rsid w:val="007E6756"/>
    <w:rsid w:val="007E704C"/>
    <w:rsid w:val="007E73AE"/>
    <w:rsid w:val="007E7466"/>
    <w:rsid w:val="007E7BBD"/>
    <w:rsid w:val="007F0E51"/>
    <w:rsid w:val="007F118F"/>
    <w:rsid w:val="007F1750"/>
    <w:rsid w:val="007F35E1"/>
    <w:rsid w:val="007F380A"/>
    <w:rsid w:val="007F648B"/>
    <w:rsid w:val="007F77B4"/>
    <w:rsid w:val="007F7FDF"/>
    <w:rsid w:val="008000B5"/>
    <w:rsid w:val="00801289"/>
    <w:rsid w:val="00804BCB"/>
    <w:rsid w:val="0080752D"/>
    <w:rsid w:val="00810693"/>
    <w:rsid w:val="00811392"/>
    <w:rsid w:val="00816546"/>
    <w:rsid w:val="00821EA2"/>
    <w:rsid w:val="00822046"/>
    <w:rsid w:val="008235BC"/>
    <w:rsid w:val="00823EDD"/>
    <w:rsid w:val="008250F4"/>
    <w:rsid w:val="008254DA"/>
    <w:rsid w:val="008255DE"/>
    <w:rsid w:val="00826B70"/>
    <w:rsid w:val="008306BA"/>
    <w:rsid w:val="0083145E"/>
    <w:rsid w:val="00832A1D"/>
    <w:rsid w:val="00833AB0"/>
    <w:rsid w:val="0083599C"/>
    <w:rsid w:val="00837717"/>
    <w:rsid w:val="00845CD5"/>
    <w:rsid w:val="0084754A"/>
    <w:rsid w:val="00847DF1"/>
    <w:rsid w:val="00850051"/>
    <w:rsid w:val="008533FA"/>
    <w:rsid w:val="008535F8"/>
    <w:rsid w:val="00854A8B"/>
    <w:rsid w:val="00856CE9"/>
    <w:rsid w:val="00860235"/>
    <w:rsid w:val="00860E8F"/>
    <w:rsid w:val="008613A7"/>
    <w:rsid w:val="00863F13"/>
    <w:rsid w:val="00864C68"/>
    <w:rsid w:val="00865976"/>
    <w:rsid w:val="00867D32"/>
    <w:rsid w:val="008717A4"/>
    <w:rsid w:val="008724F4"/>
    <w:rsid w:val="008741CF"/>
    <w:rsid w:val="00875E28"/>
    <w:rsid w:val="00877549"/>
    <w:rsid w:val="00886AB5"/>
    <w:rsid w:val="00886CC2"/>
    <w:rsid w:val="008872FC"/>
    <w:rsid w:val="00891B8C"/>
    <w:rsid w:val="008920D9"/>
    <w:rsid w:val="008925DD"/>
    <w:rsid w:val="00894094"/>
    <w:rsid w:val="008956A1"/>
    <w:rsid w:val="0089626D"/>
    <w:rsid w:val="008974E6"/>
    <w:rsid w:val="008A0D29"/>
    <w:rsid w:val="008A0F34"/>
    <w:rsid w:val="008A1496"/>
    <w:rsid w:val="008A42BE"/>
    <w:rsid w:val="008A48D5"/>
    <w:rsid w:val="008A767D"/>
    <w:rsid w:val="008B48B2"/>
    <w:rsid w:val="008B7BC9"/>
    <w:rsid w:val="008C01AD"/>
    <w:rsid w:val="008C1F90"/>
    <w:rsid w:val="008C623B"/>
    <w:rsid w:val="008D5481"/>
    <w:rsid w:val="008D7592"/>
    <w:rsid w:val="008E01A6"/>
    <w:rsid w:val="008E0E29"/>
    <w:rsid w:val="008E143E"/>
    <w:rsid w:val="008E1E64"/>
    <w:rsid w:val="008E2E8F"/>
    <w:rsid w:val="008E56F6"/>
    <w:rsid w:val="008E66F2"/>
    <w:rsid w:val="008F0439"/>
    <w:rsid w:val="008F04D7"/>
    <w:rsid w:val="008F0C5D"/>
    <w:rsid w:val="008F62A3"/>
    <w:rsid w:val="00904252"/>
    <w:rsid w:val="00905D4F"/>
    <w:rsid w:val="00906A96"/>
    <w:rsid w:val="00913BE9"/>
    <w:rsid w:val="00914104"/>
    <w:rsid w:val="009141F2"/>
    <w:rsid w:val="00917A2D"/>
    <w:rsid w:val="00924296"/>
    <w:rsid w:val="009247A7"/>
    <w:rsid w:val="009252CC"/>
    <w:rsid w:val="00926D0D"/>
    <w:rsid w:val="00931B3B"/>
    <w:rsid w:val="00932547"/>
    <w:rsid w:val="009464AA"/>
    <w:rsid w:val="0094655D"/>
    <w:rsid w:val="00950D89"/>
    <w:rsid w:val="00950E94"/>
    <w:rsid w:val="00953271"/>
    <w:rsid w:val="00956FB3"/>
    <w:rsid w:val="00960D75"/>
    <w:rsid w:val="0096483C"/>
    <w:rsid w:val="00965E4A"/>
    <w:rsid w:val="009664D2"/>
    <w:rsid w:val="00970C30"/>
    <w:rsid w:val="00971A5D"/>
    <w:rsid w:val="009757C6"/>
    <w:rsid w:val="00975AB3"/>
    <w:rsid w:val="00983772"/>
    <w:rsid w:val="00983D88"/>
    <w:rsid w:val="00983F60"/>
    <w:rsid w:val="00986A67"/>
    <w:rsid w:val="00990FA2"/>
    <w:rsid w:val="009958C5"/>
    <w:rsid w:val="009A337E"/>
    <w:rsid w:val="009A6A24"/>
    <w:rsid w:val="009B398F"/>
    <w:rsid w:val="009B4F61"/>
    <w:rsid w:val="009B6030"/>
    <w:rsid w:val="009B6BE6"/>
    <w:rsid w:val="009B7EC5"/>
    <w:rsid w:val="009C5CF7"/>
    <w:rsid w:val="009C5F7A"/>
    <w:rsid w:val="009D083D"/>
    <w:rsid w:val="009D14F9"/>
    <w:rsid w:val="009D3C14"/>
    <w:rsid w:val="009E1675"/>
    <w:rsid w:val="009E5AC1"/>
    <w:rsid w:val="009E65E5"/>
    <w:rsid w:val="009F2B8E"/>
    <w:rsid w:val="009F5E62"/>
    <w:rsid w:val="00A00BB3"/>
    <w:rsid w:val="00A11F34"/>
    <w:rsid w:val="00A1256F"/>
    <w:rsid w:val="00A14BFB"/>
    <w:rsid w:val="00A21A84"/>
    <w:rsid w:val="00A26B11"/>
    <w:rsid w:val="00A308E3"/>
    <w:rsid w:val="00A35536"/>
    <w:rsid w:val="00A40FFF"/>
    <w:rsid w:val="00A47163"/>
    <w:rsid w:val="00A52467"/>
    <w:rsid w:val="00A54DB8"/>
    <w:rsid w:val="00A56A75"/>
    <w:rsid w:val="00A6467E"/>
    <w:rsid w:val="00A67777"/>
    <w:rsid w:val="00A705D4"/>
    <w:rsid w:val="00A7591C"/>
    <w:rsid w:val="00A81F50"/>
    <w:rsid w:val="00A8382D"/>
    <w:rsid w:val="00A83968"/>
    <w:rsid w:val="00A92A0C"/>
    <w:rsid w:val="00A94C66"/>
    <w:rsid w:val="00AA24A5"/>
    <w:rsid w:val="00AA489E"/>
    <w:rsid w:val="00AA7FAC"/>
    <w:rsid w:val="00AB0C73"/>
    <w:rsid w:val="00AB1397"/>
    <w:rsid w:val="00AB3288"/>
    <w:rsid w:val="00AB4E64"/>
    <w:rsid w:val="00AC2C0F"/>
    <w:rsid w:val="00AC4BF3"/>
    <w:rsid w:val="00AC6BB2"/>
    <w:rsid w:val="00AD063D"/>
    <w:rsid w:val="00AD1D5D"/>
    <w:rsid w:val="00AD6E8B"/>
    <w:rsid w:val="00AD71CF"/>
    <w:rsid w:val="00AD7B7D"/>
    <w:rsid w:val="00AE1824"/>
    <w:rsid w:val="00AE1B90"/>
    <w:rsid w:val="00AE1BD3"/>
    <w:rsid w:val="00AE225F"/>
    <w:rsid w:val="00AE54B4"/>
    <w:rsid w:val="00AF784E"/>
    <w:rsid w:val="00B079A4"/>
    <w:rsid w:val="00B10C56"/>
    <w:rsid w:val="00B1101A"/>
    <w:rsid w:val="00B11E1C"/>
    <w:rsid w:val="00B12050"/>
    <w:rsid w:val="00B14277"/>
    <w:rsid w:val="00B22F6D"/>
    <w:rsid w:val="00B232BF"/>
    <w:rsid w:val="00B25DD1"/>
    <w:rsid w:val="00B27DC0"/>
    <w:rsid w:val="00B31ACF"/>
    <w:rsid w:val="00B32D3B"/>
    <w:rsid w:val="00B34042"/>
    <w:rsid w:val="00B34A6D"/>
    <w:rsid w:val="00B353DA"/>
    <w:rsid w:val="00B3686E"/>
    <w:rsid w:val="00B41AE4"/>
    <w:rsid w:val="00B4371D"/>
    <w:rsid w:val="00B46182"/>
    <w:rsid w:val="00B46CDB"/>
    <w:rsid w:val="00B47CCE"/>
    <w:rsid w:val="00B507B9"/>
    <w:rsid w:val="00B53426"/>
    <w:rsid w:val="00B56FEB"/>
    <w:rsid w:val="00B57EC5"/>
    <w:rsid w:val="00B57FF2"/>
    <w:rsid w:val="00B6019C"/>
    <w:rsid w:val="00B623C9"/>
    <w:rsid w:val="00B669EE"/>
    <w:rsid w:val="00B70DB1"/>
    <w:rsid w:val="00B7167A"/>
    <w:rsid w:val="00B71E5C"/>
    <w:rsid w:val="00B80DBD"/>
    <w:rsid w:val="00B836CB"/>
    <w:rsid w:val="00B85ADA"/>
    <w:rsid w:val="00B85BC0"/>
    <w:rsid w:val="00B86540"/>
    <w:rsid w:val="00B87DBB"/>
    <w:rsid w:val="00B923C8"/>
    <w:rsid w:val="00B92FE2"/>
    <w:rsid w:val="00BA130A"/>
    <w:rsid w:val="00BA1C62"/>
    <w:rsid w:val="00BA2D5A"/>
    <w:rsid w:val="00BA34CB"/>
    <w:rsid w:val="00BA455D"/>
    <w:rsid w:val="00BA4B65"/>
    <w:rsid w:val="00BA5C59"/>
    <w:rsid w:val="00BA5D18"/>
    <w:rsid w:val="00BB0ADD"/>
    <w:rsid w:val="00BB1722"/>
    <w:rsid w:val="00BB34B2"/>
    <w:rsid w:val="00BB4AD2"/>
    <w:rsid w:val="00BB4BCA"/>
    <w:rsid w:val="00BB629F"/>
    <w:rsid w:val="00BC03A4"/>
    <w:rsid w:val="00BC3B97"/>
    <w:rsid w:val="00BC528A"/>
    <w:rsid w:val="00BC5C3B"/>
    <w:rsid w:val="00BC6E19"/>
    <w:rsid w:val="00BD4952"/>
    <w:rsid w:val="00BD5D75"/>
    <w:rsid w:val="00BE195D"/>
    <w:rsid w:val="00BE288F"/>
    <w:rsid w:val="00BF076A"/>
    <w:rsid w:val="00BF0A8E"/>
    <w:rsid w:val="00BF4747"/>
    <w:rsid w:val="00BF4B71"/>
    <w:rsid w:val="00BF666C"/>
    <w:rsid w:val="00C05869"/>
    <w:rsid w:val="00C14C97"/>
    <w:rsid w:val="00C15DF7"/>
    <w:rsid w:val="00C1731D"/>
    <w:rsid w:val="00C225C4"/>
    <w:rsid w:val="00C22ECE"/>
    <w:rsid w:val="00C23C63"/>
    <w:rsid w:val="00C244AB"/>
    <w:rsid w:val="00C30125"/>
    <w:rsid w:val="00C40FD4"/>
    <w:rsid w:val="00C41497"/>
    <w:rsid w:val="00C415A4"/>
    <w:rsid w:val="00C41A1A"/>
    <w:rsid w:val="00C41B65"/>
    <w:rsid w:val="00C460D2"/>
    <w:rsid w:val="00C50973"/>
    <w:rsid w:val="00C52217"/>
    <w:rsid w:val="00C53935"/>
    <w:rsid w:val="00C641A6"/>
    <w:rsid w:val="00C67E7B"/>
    <w:rsid w:val="00C7413D"/>
    <w:rsid w:val="00C745D8"/>
    <w:rsid w:val="00C804C3"/>
    <w:rsid w:val="00C8175A"/>
    <w:rsid w:val="00C820D6"/>
    <w:rsid w:val="00C832AB"/>
    <w:rsid w:val="00C83547"/>
    <w:rsid w:val="00C8385D"/>
    <w:rsid w:val="00C86ADD"/>
    <w:rsid w:val="00C876C5"/>
    <w:rsid w:val="00C87DC8"/>
    <w:rsid w:val="00C92D9B"/>
    <w:rsid w:val="00C938FD"/>
    <w:rsid w:val="00C96166"/>
    <w:rsid w:val="00CA0750"/>
    <w:rsid w:val="00CA0926"/>
    <w:rsid w:val="00CA0E9B"/>
    <w:rsid w:val="00CA1B36"/>
    <w:rsid w:val="00CA483A"/>
    <w:rsid w:val="00CA62C9"/>
    <w:rsid w:val="00CB36AF"/>
    <w:rsid w:val="00CB4BCB"/>
    <w:rsid w:val="00CB5209"/>
    <w:rsid w:val="00CB62EB"/>
    <w:rsid w:val="00CC0267"/>
    <w:rsid w:val="00CC4C19"/>
    <w:rsid w:val="00CC6756"/>
    <w:rsid w:val="00CC68AC"/>
    <w:rsid w:val="00CC6BAC"/>
    <w:rsid w:val="00CD1725"/>
    <w:rsid w:val="00CD28B0"/>
    <w:rsid w:val="00CD57B7"/>
    <w:rsid w:val="00CE383A"/>
    <w:rsid w:val="00CE4244"/>
    <w:rsid w:val="00CE5CB3"/>
    <w:rsid w:val="00CE66CA"/>
    <w:rsid w:val="00CE7F70"/>
    <w:rsid w:val="00CF0FD0"/>
    <w:rsid w:val="00CF2AE7"/>
    <w:rsid w:val="00CF6FF6"/>
    <w:rsid w:val="00CF72B0"/>
    <w:rsid w:val="00CF7443"/>
    <w:rsid w:val="00CF7613"/>
    <w:rsid w:val="00D031FB"/>
    <w:rsid w:val="00D0505C"/>
    <w:rsid w:val="00D0703B"/>
    <w:rsid w:val="00D10BCA"/>
    <w:rsid w:val="00D11699"/>
    <w:rsid w:val="00D17A1B"/>
    <w:rsid w:val="00D20FBA"/>
    <w:rsid w:val="00D229B4"/>
    <w:rsid w:val="00D22B08"/>
    <w:rsid w:val="00D2306B"/>
    <w:rsid w:val="00D23443"/>
    <w:rsid w:val="00D25BF8"/>
    <w:rsid w:val="00D27200"/>
    <w:rsid w:val="00D31728"/>
    <w:rsid w:val="00D318FD"/>
    <w:rsid w:val="00D32124"/>
    <w:rsid w:val="00D3259E"/>
    <w:rsid w:val="00D32A77"/>
    <w:rsid w:val="00D33A5F"/>
    <w:rsid w:val="00D34C2A"/>
    <w:rsid w:val="00D36A4D"/>
    <w:rsid w:val="00D379DF"/>
    <w:rsid w:val="00D41386"/>
    <w:rsid w:val="00D413E1"/>
    <w:rsid w:val="00D4373D"/>
    <w:rsid w:val="00D44FAE"/>
    <w:rsid w:val="00D51006"/>
    <w:rsid w:val="00D5353D"/>
    <w:rsid w:val="00D536DE"/>
    <w:rsid w:val="00D547BE"/>
    <w:rsid w:val="00D5752E"/>
    <w:rsid w:val="00D6505E"/>
    <w:rsid w:val="00D66660"/>
    <w:rsid w:val="00D70CFD"/>
    <w:rsid w:val="00D77449"/>
    <w:rsid w:val="00D809B6"/>
    <w:rsid w:val="00D81472"/>
    <w:rsid w:val="00D83958"/>
    <w:rsid w:val="00D92B9C"/>
    <w:rsid w:val="00D93802"/>
    <w:rsid w:val="00D96053"/>
    <w:rsid w:val="00D97526"/>
    <w:rsid w:val="00DA101D"/>
    <w:rsid w:val="00DA1CFB"/>
    <w:rsid w:val="00DA52CB"/>
    <w:rsid w:val="00DA6774"/>
    <w:rsid w:val="00DB0148"/>
    <w:rsid w:val="00DB07F1"/>
    <w:rsid w:val="00DB09CB"/>
    <w:rsid w:val="00DB26E9"/>
    <w:rsid w:val="00DB2A81"/>
    <w:rsid w:val="00DB4036"/>
    <w:rsid w:val="00DC0260"/>
    <w:rsid w:val="00DC0362"/>
    <w:rsid w:val="00DC2AB1"/>
    <w:rsid w:val="00DC388B"/>
    <w:rsid w:val="00DC3F0C"/>
    <w:rsid w:val="00DC4167"/>
    <w:rsid w:val="00DC4B1F"/>
    <w:rsid w:val="00DC51E2"/>
    <w:rsid w:val="00DC52E8"/>
    <w:rsid w:val="00DC7071"/>
    <w:rsid w:val="00DD24FD"/>
    <w:rsid w:val="00DD329D"/>
    <w:rsid w:val="00DD56B3"/>
    <w:rsid w:val="00DD7B67"/>
    <w:rsid w:val="00DE16C1"/>
    <w:rsid w:val="00DE46F8"/>
    <w:rsid w:val="00DE5D94"/>
    <w:rsid w:val="00DE6482"/>
    <w:rsid w:val="00DE6C07"/>
    <w:rsid w:val="00DF1D18"/>
    <w:rsid w:val="00DF204E"/>
    <w:rsid w:val="00DF3D56"/>
    <w:rsid w:val="00DF55DF"/>
    <w:rsid w:val="00E023C4"/>
    <w:rsid w:val="00E02BA1"/>
    <w:rsid w:val="00E12684"/>
    <w:rsid w:val="00E137AA"/>
    <w:rsid w:val="00E14E3C"/>
    <w:rsid w:val="00E15A1D"/>
    <w:rsid w:val="00E2024E"/>
    <w:rsid w:val="00E21BCE"/>
    <w:rsid w:val="00E2250D"/>
    <w:rsid w:val="00E227F1"/>
    <w:rsid w:val="00E234AF"/>
    <w:rsid w:val="00E23D4A"/>
    <w:rsid w:val="00E3210A"/>
    <w:rsid w:val="00E32428"/>
    <w:rsid w:val="00E333CE"/>
    <w:rsid w:val="00E349A9"/>
    <w:rsid w:val="00E3795F"/>
    <w:rsid w:val="00E402B1"/>
    <w:rsid w:val="00E40C6D"/>
    <w:rsid w:val="00E41B63"/>
    <w:rsid w:val="00E43CF0"/>
    <w:rsid w:val="00E47565"/>
    <w:rsid w:val="00E52766"/>
    <w:rsid w:val="00E5608C"/>
    <w:rsid w:val="00E5681E"/>
    <w:rsid w:val="00E60626"/>
    <w:rsid w:val="00E61A35"/>
    <w:rsid w:val="00E61C39"/>
    <w:rsid w:val="00E671AA"/>
    <w:rsid w:val="00E6793C"/>
    <w:rsid w:val="00E70748"/>
    <w:rsid w:val="00E710C2"/>
    <w:rsid w:val="00E73833"/>
    <w:rsid w:val="00E74FD1"/>
    <w:rsid w:val="00E763A6"/>
    <w:rsid w:val="00E77992"/>
    <w:rsid w:val="00E87216"/>
    <w:rsid w:val="00E911B4"/>
    <w:rsid w:val="00E92FCF"/>
    <w:rsid w:val="00EA060E"/>
    <w:rsid w:val="00EA3DC3"/>
    <w:rsid w:val="00EA57FF"/>
    <w:rsid w:val="00EA60A9"/>
    <w:rsid w:val="00EB0806"/>
    <w:rsid w:val="00EB2C24"/>
    <w:rsid w:val="00EB402B"/>
    <w:rsid w:val="00EB4472"/>
    <w:rsid w:val="00EB514F"/>
    <w:rsid w:val="00EB71D2"/>
    <w:rsid w:val="00EC0A1E"/>
    <w:rsid w:val="00EC0CD7"/>
    <w:rsid w:val="00EC125B"/>
    <w:rsid w:val="00EC7100"/>
    <w:rsid w:val="00ED190D"/>
    <w:rsid w:val="00ED4084"/>
    <w:rsid w:val="00EE6C7F"/>
    <w:rsid w:val="00EF11BA"/>
    <w:rsid w:val="00EF1200"/>
    <w:rsid w:val="00EF6526"/>
    <w:rsid w:val="00EF76BA"/>
    <w:rsid w:val="00EF76C9"/>
    <w:rsid w:val="00F012DF"/>
    <w:rsid w:val="00F02D04"/>
    <w:rsid w:val="00F053DB"/>
    <w:rsid w:val="00F135A2"/>
    <w:rsid w:val="00F13C35"/>
    <w:rsid w:val="00F14CF5"/>
    <w:rsid w:val="00F174CE"/>
    <w:rsid w:val="00F17D07"/>
    <w:rsid w:val="00F20832"/>
    <w:rsid w:val="00F22013"/>
    <w:rsid w:val="00F26CEA"/>
    <w:rsid w:val="00F31FF4"/>
    <w:rsid w:val="00F32959"/>
    <w:rsid w:val="00F37DB9"/>
    <w:rsid w:val="00F40570"/>
    <w:rsid w:val="00F413FD"/>
    <w:rsid w:val="00F4164E"/>
    <w:rsid w:val="00F45FFE"/>
    <w:rsid w:val="00F53CF1"/>
    <w:rsid w:val="00F55BA8"/>
    <w:rsid w:val="00F56461"/>
    <w:rsid w:val="00F57FFE"/>
    <w:rsid w:val="00F62AF2"/>
    <w:rsid w:val="00F63023"/>
    <w:rsid w:val="00F63DFE"/>
    <w:rsid w:val="00F67535"/>
    <w:rsid w:val="00F73C85"/>
    <w:rsid w:val="00F74165"/>
    <w:rsid w:val="00F7428C"/>
    <w:rsid w:val="00F751AF"/>
    <w:rsid w:val="00F769E4"/>
    <w:rsid w:val="00F82AB0"/>
    <w:rsid w:val="00F83A9D"/>
    <w:rsid w:val="00F9242C"/>
    <w:rsid w:val="00F93499"/>
    <w:rsid w:val="00F948C9"/>
    <w:rsid w:val="00FA0087"/>
    <w:rsid w:val="00FA02E6"/>
    <w:rsid w:val="00FA3541"/>
    <w:rsid w:val="00FA712D"/>
    <w:rsid w:val="00FA7E71"/>
    <w:rsid w:val="00FB1393"/>
    <w:rsid w:val="00FB286F"/>
    <w:rsid w:val="00FB53A4"/>
    <w:rsid w:val="00FB5DB6"/>
    <w:rsid w:val="00FC0895"/>
    <w:rsid w:val="00FC1129"/>
    <w:rsid w:val="00FC3F12"/>
    <w:rsid w:val="00FC5CE3"/>
    <w:rsid w:val="00FD1B78"/>
    <w:rsid w:val="00FD1D8C"/>
    <w:rsid w:val="00FD2525"/>
    <w:rsid w:val="00FD758D"/>
    <w:rsid w:val="00FD7793"/>
    <w:rsid w:val="00FD7F9A"/>
    <w:rsid w:val="00FE35AA"/>
    <w:rsid w:val="00FF0E73"/>
    <w:rsid w:val="00FF4720"/>
    <w:rsid w:val="00FF4FC2"/>
    <w:rsid w:val="00FF50EE"/>
    <w:rsid w:val="7B7B12D5"/>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pt-BR" w:eastAsia="pt-BR" w:bidi="ar-SA"/>
    </w:rPr>
  </w:style>
  <w:style w:type="paragraph" w:styleId="2">
    <w:name w:val="heading 1"/>
    <w:basedOn w:val="1"/>
    <w:next w:val="1"/>
    <w:link w:val="50"/>
    <w:qFormat/>
    <w:uiPriority w:val="9"/>
    <w:pPr>
      <w:keepNext/>
      <w:keepLines/>
      <w:spacing w:before="24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26"/>
    <w:qFormat/>
    <w:uiPriority w:val="9"/>
    <w:pPr>
      <w:keepNext/>
      <w:jc w:val="both"/>
      <w:outlineLvl w:val="1"/>
    </w:pPr>
    <w:rPr>
      <w:rFonts w:ascii="Arial" w:hAnsi="Arial"/>
      <w:sz w:val="28"/>
    </w:rPr>
  </w:style>
  <w:style w:type="paragraph" w:styleId="4">
    <w:name w:val="heading 3"/>
    <w:basedOn w:val="1"/>
    <w:next w:val="1"/>
    <w:link w:val="27"/>
    <w:qFormat/>
    <w:uiPriority w:val="9"/>
    <w:pPr>
      <w:keepNext/>
      <w:outlineLvl w:val="2"/>
    </w:pPr>
  </w:style>
  <w:style w:type="paragraph" w:styleId="5">
    <w:name w:val="heading 4"/>
    <w:basedOn w:val="1"/>
    <w:next w:val="1"/>
    <w:link w:val="28"/>
    <w:qFormat/>
    <w:uiPriority w:val="0"/>
    <w:pPr>
      <w:keepNext/>
      <w:jc w:val="both"/>
      <w:outlineLvl w:val="3"/>
    </w:pPr>
    <w:rPr>
      <w:rFonts w:ascii="Arial" w:hAnsi="Arial"/>
      <w:b/>
    </w:rPr>
  </w:style>
  <w:style w:type="paragraph" w:styleId="6">
    <w:name w:val="heading 5"/>
    <w:basedOn w:val="1"/>
    <w:next w:val="1"/>
    <w:link w:val="29"/>
    <w:qFormat/>
    <w:uiPriority w:val="0"/>
    <w:pPr>
      <w:keepNext/>
      <w:outlineLvl w:val="4"/>
    </w:pPr>
    <w:rPr>
      <w:rFonts w:ascii="Arial Unicode MS" w:hAnsi="Arial Unicode MS" w:eastAsia="Arial Unicode MS"/>
      <w:b/>
      <w:caps/>
      <w:szCs w:val="24"/>
    </w:rPr>
  </w:style>
  <w:style w:type="paragraph" w:styleId="7">
    <w:name w:val="heading 9"/>
    <w:basedOn w:val="1"/>
    <w:next w:val="1"/>
    <w:link w:val="43"/>
    <w:semiHidden/>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uiPriority w:val="99"/>
    <w:rPr>
      <w:color w:val="954F72"/>
      <w:u w:val="single"/>
    </w:rPr>
  </w:style>
  <w:style w:type="character" w:styleId="12">
    <w:name w:val="Hyperlink"/>
    <w:basedOn w:val="8"/>
    <w:unhideWhenUsed/>
    <w:uiPriority w:val="99"/>
    <w:rPr>
      <w:color w:val="0000FF"/>
      <w:u w:val="single"/>
    </w:rPr>
  </w:style>
  <w:style w:type="character" w:styleId="13">
    <w:name w:val="page number"/>
    <w:basedOn w:val="8"/>
    <w:uiPriority w:val="0"/>
  </w:style>
  <w:style w:type="paragraph" w:styleId="14">
    <w:name w:val="Body Text"/>
    <w:basedOn w:val="1"/>
    <w:link w:val="36"/>
    <w:uiPriority w:val="99"/>
    <w:pPr>
      <w:spacing w:after="120"/>
    </w:pPr>
    <w:rPr>
      <w:sz w:val="20"/>
    </w:rPr>
  </w:style>
  <w:style w:type="paragraph" w:styleId="15">
    <w:name w:val="Title"/>
    <w:basedOn w:val="1"/>
    <w:link w:val="42"/>
    <w:qFormat/>
    <w:uiPriority w:val="0"/>
    <w:pPr>
      <w:jc w:val="center"/>
    </w:pPr>
    <w:rPr>
      <w:b/>
      <w:sz w:val="28"/>
      <w:u w:val="single"/>
    </w:rPr>
  </w:style>
  <w:style w:type="paragraph" w:styleId="16">
    <w:name w:val="Normal (Web)"/>
    <w:basedOn w:val="1"/>
    <w:unhideWhenUsed/>
    <w:uiPriority w:val="99"/>
    <w:pPr>
      <w:spacing w:before="100" w:beforeAutospacing="1" w:after="100" w:afterAutospacing="1"/>
    </w:pPr>
    <w:rPr>
      <w:szCs w:val="24"/>
    </w:rPr>
  </w:style>
  <w:style w:type="paragraph" w:styleId="17">
    <w:name w:val="Body Text 3"/>
    <w:basedOn w:val="1"/>
    <w:link w:val="35"/>
    <w:uiPriority w:val="0"/>
    <w:pPr>
      <w:jc w:val="both"/>
    </w:pPr>
    <w:rPr>
      <w:rFonts w:ascii="Arial" w:hAnsi="Arial"/>
      <w:b/>
    </w:rPr>
  </w:style>
  <w:style w:type="paragraph" w:styleId="18">
    <w:name w:val="header"/>
    <w:basedOn w:val="1"/>
    <w:link w:val="30"/>
    <w:uiPriority w:val="0"/>
    <w:pPr>
      <w:tabs>
        <w:tab w:val="center" w:pos="4252"/>
        <w:tab w:val="right" w:pos="8504"/>
      </w:tabs>
    </w:pPr>
  </w:style>
  <w:style w:type="paragraph" w:styleId="19">
    <w:name w:val="footer"/>
    <w:basedOn w:val="1"/>
    <w:link w:val="31"/>
    <w:uiPriority w:val="0"/>
    <w:pPr>
      <w:tabs>
        <w:tab w:val="center" w:pos="4252"/>
        <w:tab w:val="right" w:pos="8504"/>
      </w:tabs>
    </w:pPr>
  </w:style>
  <w:style w:type="paragraph" w:styleId="20">
    <w:name w:val="Body Text Indent 3"/>
    <w:basedOn w:val="1"/>
    <w:link w:val="54"/>
    <w:unhideWhenUsed/>
    <w:uiPriority w:val="99"/>
    <w:pPr>
      <w:spacing w:after="120"/>
      <w:ind w:left="283"/>
    </w:pPr>
    <w:rPr>
      <w:sz w:val="16"/>
      <w:szCs w:val="16"/>
    </w:rPr>
  </w:style>
  <w:style w:type="paragraph" w:styleId="21">
    <w:name w:val="Balloon Text"/>
    <w:basedOn w:val="1"/>
    <w:link w:val="41"/>
    <w:unhideWhenUsed/>
    <w:uiPriority w:val="99"/>
    <w:rPr>
      <w:rFonts w:ascii="Tahoma" w:hAnsi="Tahoma" w:cs="Tahoma"/>
      <w:sz w:val="16"/>
      <w:szCs w:val="16"/>
    </w:rPr>
  </w:style>
  <w:style w:type="paragraph" w:styleId="22">
    <w:name w:val="Subtitle"/>
    <w:basedOn w:val="1"/>
    <w:next w:val="14"/>
    <w:link w:val="44"/>
    <w:qFormat/>
    <w:uiPriority w:val="0"/>
    <w:pPr>
      <w:suppressAutoHyphens/>
    </w:pPr>
    <w:rPr>
      <w:rFonts w:ascii="Futura Lt BT" w:hAnsi="Futura Lt BT"/>
      <w:b/>
      <w:bCs/>
      <w:smallCaps/>
      <w:sz w:val="20"/>
      <w:lang w:eastAsia="ar-SA"/>
    </w:rPr>
  </w:style>
  <w:style w:type="paragraph" w:styleId="23">
    <w:name w:val="footnote text"/>
    <w:basedOn w:val="1"/>
    <w:link w:val="47"/>
    <w:semiHidden/>
    <w:uiPriority w:val="0"/>
    <w:pPr>
      <w:suppressAutoHyphens/>
    </w:pPr>
    <w:rPr>
      <w:sz w:val="20"/>
      <w:lang w:val="pt-PT" w:eastAsia="ar-SA"/>
    </w:rPr>
  </w:style>
  <w:style w:type="paragraph" w:styleId="24">
    <w:name w:val="Body Text Indent"/>
    <w:basedOn w:val="1"/>
    <w:link w:val="78"/>
    <w:uiPriority w:val="0"/>
    <w:pPr>
      <w:ind w:firstLine="1134"/>
      <w:jc w:val="both"/>
    </w:pPr>
    <w:rPr>
      <w:sz w:val="28"/>
    </w:rPr>
  </w:style>
  <w:style w:type="table" w:styleId="25">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Título 2 Char"/>
    <w:basedOn w:val="8"/>
    <w:link w:val="3"/>
    <w:uiPriority w:val="9"/>
    <w:rPr>
      <w:rFonts w:ascii="Arial" w:hAnsi="Arial" w:eastAsia="Times New Roman" w:cs="Times New Roman"/>
      <w:sz w:val="28"/>
      <w:szCs w:val="20"/>
      <w:lang w:eastAsia="pt-BR"/>
    </w:rPr>
  </w:style>
  <w:style w:type="character" w:customStyle="1" w:styleId="27">
    <w:name w:val="Título 3 Char"/>
    <w:basedOn w:val="8"/>
    <w:link w:val="4"/>
    <w:uiPriority w:val="9"/>
    <w:rPr>
      <w:rFonts w:ascii="Times New Roman" w:hAnsi="Times New Roman" w:eastAsia="Times New Roman" w:cs="Times New Roman"/>
      <w:sz w:val="24"/>
      <w:szCs w:val="20"/>
      <w:lang w:eastAsia="pt-BR"/>
    </w:rPr>
  </w:style>
  <w:style w:type="character" w:customStyle="1" w:styleId="28">
    <w:name w:val="Título 4 Char"/>
    <w:basedOn w:val="8"/>
    <w:link w:val="5"/>
    <w:uiPriority w:val="0"/>
    <w:rPr>
      <w:rFonts w:ascii="Arial" w:hAnsi="Arial" w:eastAsia="Times New Roman" w:cs="Times New Roman"/>
      <w:b/>
      <w:sz w:val="24"/>
      <w:szCs w:val="20"/>
      <w:lang w:eastAsia="pt-BR"/>
    </w:rPr>
  </w:style>
  <w:style w:type="character" w:customStyle="1" w:styleId="29">
    <w:name w:val="Título 5 Char"/>
    <w:basedOn w:val="8"/>
    <w:link w:val="6"/>
    <w:uiPriority w:val="0"/>
    <w:rPr>
      <w:rFonts w:ascii="Arial Unicode MS" w:hAnsi="Arial Unicode MS" w:eastAsia="Arial Unicode MS" w:cs="Times New Roman"/>
      <w:b/>
      <w:caps/>
      <w:sz w:val="24"/>
      <w:szCs w:val="24"/>
      <w:lang w:eastAsia="pt-BR"/>
    </w:rPr>
  </w:style>
  <w:style w:type="character" w:customStyle="1" w:styleId="30">
    <w:name w:val="Cabeçalho Char"/>
    <w:basedOn w:val="8"/>
    <w:link w:val="18"/>
    <w:qFormat/>
    <w:uiPriority w:val="0"/>
    <w:rPr>
      <w:rFonts w:ascii="Times New Roman" w:hAnsi="Times New Roman" w:eastAsia="Times New Roman" w:cs="Times New Roman"/>
      <w:sz w:val="24"/>
      <w:szCs w:val="20"/>
      <w:lang w:eastAsia="pt-BR"/>
    </w:rPr>
  </w:style>
  <w:style w:type="character" w:customStyle="1" w:styleId="31">
    <w:name w:val="Rodapé Char"/>
    <w:basedOn w:val="8"/>
    <w:link w:val="19"/>
    <w:uiPriority w:val="0"/>
    <w:rPr>
      <w:rFonts w:ascii="Times New Roman" w:hAnsi="Times New Roman" w:eastAsia="Times New Roman" w:cs="Times New Roman"/>
      <w:sz w:val="24"/>
      <w:szCs w:val="20"/>
      <w:lang w:eastAsia="pt-BR"/>
    </w:rPr>
  </w:style>
  <w:style w:type="paragraph" w:customStyle="1" w:styleId="32">
    <w:name w:val="Edital Normal"/>
    <w:basedOn w:val="1"/>
    <w:autoRedefine/>
    <w:uiPriority w:val="0"/>
    <w:pPr>
      <w:autoSpaceDE w:val="0"/>
      <w:autoSpaceDN w:val="0"/>
      <w:adjustRightInd w:val="0"/>
      <w:jc w:val="center"/>
    </w:pPr>
    <w:rPr>
      <w:rFonts w:ascii="Arial" w:hAnsi="Arial" w:cs="Arial"/>
      <w:sz w:val="20"/>
    </w:rPr>
  </w:style>
  <w:style w:type="paragraph" w:customStyle="1" w:styleId="33">
    <w:name w:val="Cabeçalho.encabezado"/>
    <w:basedOn w:val="1"/>
    <w:uiPriority w:val="0"/>
    <w:pPr>
      <w:tabs>
        <w:tab w:val="center" w:pos="4419"/>
        <w:tab w:val="right" w:pos="8838"/>
      </w:tabs>
    </w:pPr>
    <w:rPr>
      <w:rFonts w:ascii="Arial" w:hAnsi="Arial"/>
    </w:rPr>
  </w:style>
  <w:style w:type="paragraph" w:customStyle="1" w:styleId="34">
    <w:name w:val="Corpo de texto 21"/>
    <w:basedOn w:val="1"/>
    <w:uiPriority w:val="0"/>
    <w:pPr>
      <w:jc w:val="both"/>
    </w:pPr>
  </w:style>
  <w:style w:type="character" w:customStyle="1" w:styleId="35">
    <w:name w:val="Corpo de texto 3 Char"/>
    <w:basedOn w:val="8"/>
    <w:link w:val="17"/>
    <w:uiPriority w:val="0"/>
    <w:rPr>
      <w:rFonts w:ascii="Arial" w:hAnsi="Arial" w:eastAsia="Times New Roman" w:cs="Times New Roman"/>
      <w:b/>
      <w:sz w:val="24"/>
      <w:szCs w:val="20"/>
      <w:lang w:eastAsia="pt-BR"/>
    </w:rPr>
  </w:style>
  <w:style w:type="character" w:customStyle="1" w:styleId="36">
    <w:name w:val="Corpo de texto Char"/>
    <w:basedOn w:val="8"/>
    <w:link w:val="14"/>
    <w:uiPriority w:val="99"/>
    <w:rPr>
      <w:rFonts w:ascii="Times New Roman" w:hAnsi="Times New Roman" w:eastAsia="Times New Roman" w:cs="Times New Roman"/>
      <w:sz w:val="20"/>
      <w:szCs w:val="20"/>
      <w:lang w:eastAsia="pt-BR"/>
    </w:rPr>
  </w:style>
  <w:style w:type="paragraph" w:customStyle="1" w:styleId="37">
    <w:name w:val="bodytext2"/>
    <w:basedOn w:val="1"/>
    <w:uiPriority w:val="0"/>
    <w:pPr>
      <w:jc w:val="both"/>
    </w:pPr>
    <w:rPr>
      <w:szCs w:val="24"/>
    </w:rPr>
  </w:style>
  <w:style w:type="paragraph" w:customStyle="1" w:styleId="38">
    <w:name w:val="cabealhoencabezado"/>
    <w:basedOn w:val="1"/>
    <w:uiPriority w:val="0"/>
    <w:pPr>
      <w:tabs>
        <w:tab w:val="center" w:pos="4419"/>
        <w:tab w:val="right" w:pos="8838"/>
      </w:tabs>
    </w:pPr>
    <w:rPr>
      <w:rFonts w:ascii="Arial" w:hAnsi="Arial" w:cs="Arial"/>
      <w:szCs w:val="24"/>
    </w:rPr>
  </w:style>
  <w:style w:type="paragraph" w:customStyle="1" w:styleId="39">
    <w:name w:val="cabealhoencabezado0"/>
    <w:basedOn w:val="1"/>
    <w:uiPriority w:val="0"/>
    <w:pPr>
      <w:spacing w:before="100" w:after="100"/>
    </w:pPr>
    <w:rPr>
      <w:color w:val="000000"/>
      <w:szCs w:val="24"/>
    </w:rPr>
  </w:style>
  <w:style w:type="paragraph" w:styleId="40">
    <w:name w:val="List Paragraph"/>
    <w:basedOn w:val="1"/>
    <w:link w:val="77"/>
    <w:qFormat/>
    <w:uiPriority w:val="0"/>
    <w:pPr>
      <w:ind w:left="720"/>
      <w:contextualSpacing/>
    </w:pPr>
  </w:style>
  <w:style w:type="character" w:customStyle="1" w:styleId="41">
    <w:name w:val="Texto de balão Char"/>
    <w:basedOn w:val="8"/>
    <w:link w:val="21"/>
    <w:uiPriority w:val="99"/>
    <w:rPr>
      <w:rFonts w:ascii="Tahoma" w:hAnsi="Tahoma" w:eastAsia="Times New Roman" w:cs="Tahoma"/>
      <w:sz w:val="16"/>
      <w:szCs w:val="16"/>
      <w:lang w:eastAsia="pt-BR"/>
    </w:rPr>
  </w:style>
  <w:style w:type="character" w:customStyle="1" w:styleId="42">
    <w:name w:val="Título Char"/>
    <w:basedOn w:val="8"/>
    <w:link w:val="15"/>
    <w:uiPriority w:val="0"/>
    <w:rPr>
      <w:rFonts w:ascii="Times New Roman" w:hAnsi="Times New Roman" w:eastAsia="Times New Roman" w:cs="Times New Roman"/>
      <w:b/>
      <w:sz w:val="28"/>
      <w:szCs w:val="20"/>
      <w:u w:val="single"/>
      <w:lang w:eastAsia="pt-BR"/>
    </w:rPr>
  </w:style>
  <w:style w:type="character" w:customStyle="1" w:styleId="43">
    <w:name w:val="Título 9 Char"/>
    <w:basedOn w:val="8"/>
    <w:link w:val="7"/>
    <w:semiHidden/>
    <w:uiPriority w:val="9"/>
    <w:rPr>
      <w:rFonts w:asciiTheme="majorHAnsi" w:hAnsiTheme="majorHAnsi" w:eastAsiaTheme="majorEastAsia" w:cstheme="majorBidi"/>
      <w:i/>
      <w:iCs/>
      <w:color w:val="3F3F3F" w:themeColor="text1" w:themeTint="BF"/>
      <w:sz w:val="20"/>
      <w:szCs w:val="20"/>
      <w:lang w:eastAsia="pt-BR"/>
    </w:rPr>
  </w:style>
  <w:style w:type="character" w:customStyle="1" w:styleId="44">
    <w:name w:val="Subtítulo Char"/>
    <w:basedOn w:val="8"/>
    <w:link w:val="22"/>
    <w:uiPriority w:val="0"/>
    <w:rPr>
      <w:rFonts w:ascii="Futura Lt BT" w:hAnsi="Futura Lt BT" w:eastAsia="Times New Roman" w:cs="Times New Roman"/>
      <w:b/>
      <w:bCs/>
      <w:smallCaps/>
      <w:sz w:val="20"/>
      <w:szCs w:val="20"/>
      <w:lang w:eastAsia="ar-SA"/>
    </w:rPr>
  </w:style>
  <w:style w:type="paragraph" w:customStyle="1" w:styleId="45">
    <w:name w:val="Recuo de corpo de texto 31"/>
    <w:basedOn w:val="1"/>
    <w:uiPriority w:val="0"/>
    <w:pPr>
      <w:suppressAutoHyphens/>
      <w:spacing w:line="360" w:lineRule="auto"/>
      <w:ind w:left="705"/>
      <w:jc w:val="both"/>
    </w:pPr>
    <w:rPr>
      <w:rFonts w:ascii="Futura Lt BT" w:hAnsi="Futura Lt BT"/>
      <w:sz w:val="20"/>
      <w:lang w:eastAsia="ar-SA"/>
    </w:rPr>
  </w:style>
  <w:style w:type="paragraph" w:customStyle="1" w:styleId="46">
    <w:name w:val="Corpo de texto 32"/>
    <w:basedOn w:val="1"/>
    <w:uiPriority w:val="0"/>
    <w:pPr>
      <w:suppressAutoHyphens/>
      <w:jc w:val="both"/>
    </w:pPr>
    <w:rPr>
      <w:rFonts w:ascii="Bookman Old Style" w:hAnsi="Bookman Old Style"/>
      <w:color w:val="FF0000"/>
      <w:sz w:val="22"/>
      <w:szCs w:val="22"/>
      <w:lang w:val="pt-PT" w:eastAsia="ar-SA"/>
    </w:rPr>
  </w:style>
  <w:style w:type="character" w:customStyle="1" w:styleId="47">
    <w:name w:val="Texto de nota de rodapé Char"/>
    <w:basedOn w:val="8"/>
    <w:link w:val="23"/>
    <w:semiHidden/>
    <w:uiPriority w:val="0"/>
    <w:rPr>
      <w:rFonts w:ascii="Times New Roman" w:hAnsi="Times New Roman" w:eastAsia="Times New Roman" w:cs="Times New Roman"/>
      <w:sz w:val="20"/>
      <w:szCs w:val="20"/>
      <w:lang w:val="pt-PT" w:eastAsia="ar-SA"/>
    </w:rPr>
  </w:style>
  <w:style w:type="paragraph" w:customStyle="1" w:styleId="48">
    <w:name w:val="Nivel 01"/>
    <w:basedOn w:val="2"/>
    <w:next w:val="1"/>
    <w:link w:val="49"/>
    <w:qFormat/>
    <w:uiPriority w:val="0"/>
    <w:pPr>
      <w:tabs>
        <w:tab w:val="left" w:pos="567"/>
      </w:tabs>
      <w:jc w:val="both"/>
    </w:pPr>
    <w:rPr>
      <w:rFonts w:ascii="Ecofont_Spranq_eco_Sans" w:hAnsi="Ecofont_Spranq_eco_Sans" w:cs="Times New Roman"/>
      <w:b/>
      <w:bCs/>
      <w:color w:val="000000"/>
      <w:sz w:val="20"/>
      <w:szCs w:val="20"/>
    </w:rPr>
  </w:style>
  <w:style w:type="character" w:customStyle="1" w:styleId="49">
    <w:name w:val="Nivel 01 Char"/>
    <w:basedOn w:val="8"/>
    <w:link w:val="48"/>
    <w:uiPriority w:val="0"/>
    <w:rPr>
      <w:rFonts w:ascii="Ecofont_Spranq_eco_Sans" w:hAnsi="Ecofont_Spranq_eco_Sans" w:cs="Times New Roman" w:eastAsiaTheme="majorEastAsia"/>
      <w:b/>
      <w:bCs/>
      <w:color w:val="000000"/>
      <w:sz w:val="20"/>
      <w:szCs w:val="20"/>
      <w:lang w:eastAsia="pt-BR"/>
    </w:rPr>
  </w:style>
  <w:style w:type="character" w:customStyle="1" w:styleId="50">
    <w:name w:val="Título 1 Char"/>
    <w:basedOn w:val="8"/>
    <w:link w:val="2"/>
    <w:uiPriority w:val="9"/>
    <w:rPr>
      <w:rFonts w:asciiTheme="majorHAnsi" w:hAnsiTheme="majorHAnsi" w:eastAsiaTheme="majorEastAsia" w:cstheme="majorBidi"/>
      <w:color w:val="366091" w:themeColor="accent1" w:themeShade="BF"/>
      <w:sz w:val="32"/>
      <w:szCs w:val="32"/>
      <w:lang w:eastAsia="pt-BR"/>
    </w:rPr>
  </w:style>
  <w:style w:type="paragraph" w:customStyle="1" w:styleId="51">
    <w:name w:val="Texto recuado numerado"/>
    <w:basedOn w:val="1"/>
    <w:uiPriority w:val="0"/>
    <w:pPr>
      <w:tabs>
        <w:tab w:val="left" w:pos="850"/>
      </w:tabs>
      <w:suppressAutoHyphens/>
      <w:spacing w:before="85" w:after="113" w:line="100" w:lineRule="atLeast"/>
      <w:ind w:left="737"/>
      <w:jc w:val="both"/>
    </w:pPr>
    <w:rPr>
      <w:rFonts w:ascii="Arial" w:hAnsi="Arial" w:cs="Arial"/>
      <w:sz w:val="22"/>
      <w:szCs w:val="22"/>
      <w:lang w:eastAsia="zh-CN"/>
    </w:rPr>
  </w:style>
  <w:style w:type="character" w:customStyle="1" w:styleId="52">
    <w:name w:val="Menção Pendente1"/>
    <w:basedOn w:val="8"/>
    <w:semiHidden/>
    <w:unhideWhenUsed/>
    <w:uiPriority w:val="99"/>
    <w:rPr>
      <w:color w:val="605E5C"/>
      <w:shd w:val="clear" w:color="auto" w:fill="E1DFDD"/>
    </w:rPr>
  </w:style>
  <w:style w:type="paragraph" w:customStyle="1" w:styleId="53">
    <w:name w:val="Defaul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character" w:customStyle="1" w:styleId="54">
    <w:name w:val="Recuo de corpo de texto 3 Char"/>
    <w:basedOn w:val="8"/>
    <w:link w:val="20"/>
    <w:uiPriority w:val="99"/>
    <w:rPr>
      <w:rFonts w:ascii="Times New Roman" w:hAnsi="Times New Roman" w:eastAsia="Times New Roman" w:cs="Times New Roman"/>
      <w:sz w:val="16"/>
      <w:szCs w:val="16"/>
      <w:lang w:eastAsia="pt-BR"/>
    </w:rPr>
  </w:style>
  <w:style w:type="paragraph" w:styleId="55">
    <w:name w:val="No Spacing"/>
    <w:qFormat/>
    <w:uiPriority w:val="1"/>
    <w:pPr>
      <w:spacing w:after="0" w:line="240" w:lineRule="auto"/>
    </w:pPr>
    <w:rPr>
      <w:rFonts w:ascii="Calibri" w:hAnsi="Calibri" w:eastAsia="Times New Roman" w:cs="Times New Roman"/>
      <w:sz w:val="22"/>
      <w:szCs w:val="22"/>
      <w:lang w:val="pt-BR" w:eastAsia="pt-BR" w:bidi="ar-SA"/>
    </w:rPr>
  </w:style>
  <w:style w:type="character" w:customStyle="1" w:styleId="56">
    <w:name w:val="Intense Emphasis"/>
    <w:qFormat/>
    <w:uiPriority w:val="21"/>
    <w:rPr>
      <w:b/>
      <w:bCs/>
      <w:i/>
      <w:iCs/>
      <w:color w:val="4F81BD"/>
    </w:rPr>
  </w:style>
  <w:style w:type="paragraph" w:customStyle="1" w:styleId="57">
    <w:name w:val="msonormal"/>
    <w:basedOn w:val="1"/>
    <w:uiPriority w:val="0"/>
    <w:pPr>
      <w:spacing w:before="100" w:beforeAutospacing="1" w:after="100" w:afterAutospacing="1"/>
    </w:pPr>
    <w:rPr>
      <w:szCs w:val="24"/>
    </w:rPr>
  </w:style>
  <w:style w:type="paragraph" w:customStyle="1" w:styleId="58">
    <w:name w:val="xl66"/>
    <w:basedOn w:val="1"/>
    <w:uiPriority w:val="0"/>
    <w:pPr>
      <w:spacing w:before="100" w:beforeAutospacing="1" w:after="100" w:afterAutospacing="1"/>
      <w:jc w:val="right"/>
    </w:pPr>
    <w:rPr>
      <w:szCs w:val="24"/>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18"/>
      <w:szCs w:val="18"/>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8">
    <w:name w:val="xl7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18"/>
      <w:szCs w:val="18"/>
    </w:rPr>
  </w:style>
  <w:style w:type="paragraph" w:customStyle="1" w:styleId="6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18"/>
      <w:szCs w:val="18"/>
    </w:rPr>
  </w:style>
  <w:style w:type="paragraph" w:customStyle="1" w:styleId="7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7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Cs w:val="24"/>
    </w:rPr>
  </w:style>
  <w:style w:type="paragraph" w:customStyle="1" w:styleId="73">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4">
    <w:name w:val="font5"/>
    <w:basedOn w:val="1"/>
    <w:uiPriority w:val="0"/>
    <w:pPr>
      <w:spacing w:before="100" w:beforeAutospacing="1" w:after="100" w:afterAutospacing="1"/>
    </w:pPr>
    <w:rPr>
      <w:b/>
      <w:bCs/>
      <w:color w:val="000000"/>
      <w:sz w:val="20"/>
    </w:rPr>
  </w:style>
  <w:style w:type="paragraph" w:customStyle="1" w:styleId="75">
    <w:name w:val="xl64"/>
    <w:basedOn w:val="1"/>
    <w:uiPriority w:val="0"/>
    <w:pPr>
      <w:spacing w:before="100" w:beforeAutospacing="1" w:after="100" w:afterAutospacing="1"/>
      <w:jc w:val="right"/>
    </w:pPr>
    <w:rPr>
      <w:szCs w:val="24"/>
    </w:rPr>
  </w:style>
  <w:style w:type="paragraph" w:customStyle="1" w:styleId="76">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rPr>
  </w:style>
  <w:style w:type="character" w:customStyle="1" w:styleId="77">
    <w:name w:val="Parágrafo da Lista Char"/>
    <w:link w:val="40"/>
    <w:uiPriority w:val="0"/>
    <w:rPr>
      <w:rFonts w:ascii="Times New Roman" w:hAnsi="Times New Roman" w:eastAsia="Times New Roman" w:cs="Times New Roman"/>
      <w:sz w:val="24"/>
      <w:szCs w:val="20"/>
      <w:lang w:eastAsia="pt-BR"/>
    </w:rPr>
  </w:style>
  <w:style w:type="character" w:customStyle="1" w:styleId="78">
    <w:name w:val="Recuo de corpo de texto Char"/>
    <w:basedOn w:val="8"/>
    <w:link w:val="24"/>
    <w:uiPriority w:val="0"/>
    <w:rPr>
      <w:rFonts w:ascii="Times New Roman" w:hAnsi="Times New Roman" w:eastAsia="Times New Roman" w:cs="Times New Roman"/>
      <w:sz w:val="28"/>
      <w:szCs w:val="20"/>
      <w:lang w:eastAsia="pt-BR"/>
    </w:rPr>
  </w:style>
  <w:style w:type="paragraph" w:customStyle="1" w:styleId="79">
    <w:name w:val="Nivel_01"/>
    <w:basedOn w:val="2"/>
    <w:qFormat/>
    <w:uiPriority w:val="0"/>
    <w:pPr>
      <w:numPr>
        <w:ilvl w:val="0"/>
        <w:numId w:val="1"/>
      </w:numPr>
      <w:tabs>
        <w:tab w:val="left" w:pos="567"/>
      </w:tabs>
      <w:jc w:val="both"/>
    </w:pPr>
    <w:rPr>
      <w:rFonts w:ascii="Ecofont_Spranq_eco_Sans" w:hAnsi="Ecofont_Spranq_eco_Sans"/>
      <w:b/>
      <w:bCs/>
      <w:sz w:val="28"/>
      <w:szCs w:val="28"/>
    </w:rPr>
  </w:style>
  <w:style w:type="paragraph" w:customStyle="1" w:styleId="80">
    <w:name w:val="Table Paragraph"/>
    <w:basedOn w:val="1"/>
    <w:qFormat/>
    <w:uiPriority w:val="1"/>
    <w:pPr>
      <w:widowControl w:val="0"/>
      <w:autoSpaceDE w:val="0"/>
      <w:autoSpaceDN w:val="0"/>
      <w:jc w:val="center"/>
    </w:pPr>
    <w:rPr>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5C78-9A1D-4A33-8521-B790D67D54CB}">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61</Pages>
  <Words>23480</Words>
  <Characters>126798</Characters>
  <Lines>1056</Lines>
  <Paragraphs>299</Paragraphs>
  <TotalTime>3887</TotalTime>
  <ScaleCrop>false</ScaleCrop>
  <LinksUpToDate>false</LinksUpToDate>
  <CharactersWithSpaces>149979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2013-01-25T14:55:00Z</dcterms:created>
  <dc:creator>cliente</dc:creator>
  <cp:lastModifiedBy>darllyson.henrique</cp:lastModifiedBy>
  <cp:lastPrinted>2024-08-21T14:34:00Z</cp:lastPrinted>
  <dcterms:modified xsi:type="dcterms:W3CDTF">2024-08-22T12:41:34Z</dcterms:modified>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690AAE57E5DE41F6B07678E4B31A953C_13</vt:lpwstr>
  </property>
</Properties>
</file>